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926AA0">
      <w:pPr>
        <w:ind w:firstLine="720"/>
        <w:rPr>
          <w:rFonts w:hint="eastAsia" w:eastAsia="仿宋_GB2312"/>
          <w:color w:val="auto"/>
          <w:sz w:val="36"/>
          <w:szCs w:val="36"/>
          <w:highlight w:val="none"/>
          <w:lang w:val="en-US" w:eastAsia="zh-CN"/>
        </w:rPr>
      </w:pPr>
    </w:p>
    <w:p w14:paraId="7232DCD0">
      <w:pPr>
        <w:ind w:firstLine="720"/>
        <w:rPr>
          <w:rFonts w:eastAsia="仿宋_GB2312"/>
          <w:color w:val="auto"/>
          <w:sz w:val="36"/>
          <w:szCs w:val="36"/>
          <w:highlight w:val="none"/>
        </w:rPr>
      </w:pPr>
    </w:p>
    <w:p w14:paraId="728C77AF">
      <w:pPr>
        <w:adjustRightInd w:val="0"/>
        <w:snapToGrid w:val="0"/>
        <w:ind w:firstLine="0" w:firstLineChars="0"/>
        <w:jc w:val="center"/>
        <w:outlineLvl w:val="0"/>
        <w:rPr>
          <w:rFonts w:hint="eastAsia" w:ascii="华文中宋" w:hAnsi="华文中宋" w:eastAsia="华文中宋" w:cs="华文中宋"/>
          <w:b w:val="0"/>
          <w:bCs/>
          <w:color w:val="auto"/>
          <w:sz w:val="72"/>
          <w:szCs w:val="72"/>
          <w:highlight w:val="none"/>
        </w:rPr>
      </w:pPr>
      <w:r>
        <w:rPr>
          <w:rFonts w:hint="eastAsia" w:ascii="华文中宋" w:hAnsi="华文中宋" w:eastAsia="华文中宋" w:cs="华文中宋"/>
          <w:b w:val="0"/>
          <w:bCs/>
          <w:color w:val="auto"/>
          <w:sz w:val="72"/>
          <w:szCs w:val="72"/>
          <w:highlight w:val="none"/>
        </w:rPr>
        <w:t>建设项目环境影响报告表</w:t>
      </w:r>
    </w:p>
    <w:p w14:paraId="3A7A5133">
      <w:pPr>
        <w:adjustRightInd w:val="0"/>
        <w:snapToGrid w:val="0"/>
        <w:spacing w:before="192" w:beforeLines="80"/>
        <w:ind w:firstLine="0" w:firstLineChars="0"/>
        <w:jc w:val="center"/>
        <w:rPr>
          <w:rFonts w:eastAsia="楷体_GB2312"/>
          <w:bCs/>
          <w:color w:val="auto"/>
          <w:sz w:val="48"/>
          <w:szCs w:val="48"/>
          <w:highlight w:val="none"/>
        </w:rPr>
      </w:pPr>
      <w:r>
        <w:rPr>
          <w:rFonts w:eastAsia="楷体_GB2312"/>
          <w:bCs/>
          <w:color w:val="auto"/>
          <w:sz w:val="48"/>
          <w:szCs w:val="48"/>
          <w:highlight w:val="none"/>
        </w:rPr>
        <w:t>（污染影响类）</w:t>
      </w:r>
    </w:p>
    <w:p w14:paraId="6E33DBC0">
      <w:pPr>
        <w:adjustRightInd w:val="0"/>
        <w:snapToGrid w:val="0"/>
        <w:spacing w:line="288" w:lineRule="auto"/>
        <w:ind w:firstLine="880"/>
        <w:jc w:val="center"/>
        <w:outlineLvl w:val="0"/>
        <w:rPr>
          <w:rFonts w:eastAsia="华文仿宋"/>
          <w:color w:val="auto"/>
          <w:kern w:val="44"/>
          <w:sz w:val="44"/>
          <w:szCs w:val="44"/>
          <w:highlight w:val="none"/>
        </w:rPr>
      </w:pPr>
    </w:p>
    <w:p w14:paraId="669529BA">
      <w:pPr>
        <w:pStyle w:val="7"/>
        <w:rPr>
          <w:color w:val="auto"/>
        </w:rPr>
      </w:pPr>
    </w:p>
    <w:p w14:paraId="602EFBFC">
      <w:pPr>
        <w:ind w:firstLine="1040"/>
        <w:jc w:val="center"/>
        <w:rPr>
          <w:rFonts w:eastAsia="仿宋"/>
          <w:color w:val="auto"/>
          <w:sz w:val="52"/>
          <w:szCs w:val="52"/>
          <w:highlight w:val="none"/>
        </w:rPr>
      </w:pPr>
    </w:p>
    <w:p w14:paraId="02046561">
      <w:pPr>
        <w:ind w:firstLine="880"/>
        <w:rPr>
          <w:rFonts w:eastAsia="仿宋"/>
          <w:color w:val="auto"/>
          <w:sz w:val="44"/>
          <w:szCs w:val="44"/>
          <w:highlight w:val="none"/>
        </w:rPr>
      </w:pPr>
    </w:p>
    <w:p w14:paraId="02BEC60A">
      <w:pPr>
        <w:ind w:firstLine="880"/>
        <w:rPr>
          <w:rFonts w:eastAsia="仿宋"/>
          <w:color w:val="auto"/>
          <w:sz w:val="44"/>
          <w:szCs w:val="44"/>
          <w:highlight w:val="none"/>
        </w:rPr>
      </w:pPr>
      <w:bookmarkStart w:id="3" w:name="_GoBack"/>
      <w:bookmarkEnd w:id="3"/>
    </w:p>
    <w:p w14:paraId="727DEF2F">
      <w:pPr>
        <w:ind w:firstLine="880"/>
        <w:jc w:val="left"/>
        <w:rPr>
          <w:rFonts w:eastAsia="仿宋"/>
          <w:color w:val="auto"/>
          <w:sz w:val="44"/>
          <w:szCs w:val="44"/>
          <w:highlight w:val="none"/>
        </w:rPr>
      </w:pPr>
    </w:p>
    <w:p w14:paraId="1A9E4D48">
      <w:pPr>
        <w:keepNext w:val="0"/>
        <w:keepLines w:val="0"/>
        <w:pageBreakBefore w:val="0"/>
        <w:widowControl w:val="0"/>
        <w:kinsoku/>
        <w:wordWrap/>
        <w:overflowPunct/>
        <w:topLinePunct w:val="0"/>
        <w:autoSpaceDE/>
        <w:autoSpaceDN/>
        <w:bidi w:val="0"/>
        <w:adjustRightInd w:val="0"/>
        <w:snapToGrid w:val="0"/>
        <w:spacing w:line="288" w:lineRule="auto"/>
        <w:ind w:firstLine="320" w:firstLineChars="100"/>
        <w:jc w:val="left"/>
        <w:textAlignment w:val="auto"/>
        <w:rPr>
          <w:rFonts w:hint="default" w:ascii="Times New Roman" w:hAnsi="Times New Roman" w:eastAsia="仿宋" w:cs="Times New Roman"/>
          <w:color w:val="auto"/>
          <w:sz w:val="32"/>
          <w:szCs w:val="32"/>
          <w:u w:val="single"/>
        </w:rPr>
      </w:pPr>
      <w:r>
        <w:rPr>
          <w:rFonts w:hint="default" w:ascii="Times New Roman" w:hAnsi="Times New Roman" w:eastAsia="仿宋_GB2312" w:cs="Times New Roman"/>
          <w:color w:val="auto"/>
          <w:sz w:val="32"/>
          <w:szCs w:val="32"/>
        </w:rPr>
        <w:t>项目</w:t>
      </w:r>
      <w:r>
        <w:rPr>
          <w:rFonts w:hint="default" w:ascii="Times New Roman" w:hAnsi="Times New Roman" w:eastAsia="仿宋" w:cs="Times New Roman"/>
          <w:color w:val="auto"/>
          <w:sz w:val="32"/>
          <w:szCs w:val="32"/>
        </w:rPr>
        <w:t>名称：</w:t>
      </w:r>
      <w:r>
        <w:rPr>
          <w:rFonts w:hint="eastAsia" w:ascii="Times New Roman" w:hAnsi="Times New Roman" w:eastAsia="仿宋" w:cs="Times New Roman"/>
          <w:color w:val="auto"/>
          <w:sz w:val="32"/>
          <w:szCs w:val="32"/>
          <w:u w:val="single"/>
          <w:lang w:eastAsia="zh-CN"/>
        </w:rPr>
        <w:t>西咸新区膳韵餐饮管理有限公司食品产业园项目</w:t>
      </w:r>
    </w:p>
    <w:p w14:paraId="6FEC734E">
      <w:pPr>
        <w:keepNext w:val="0"/>
        <w:keepLines w:val="0"/>
        <w:pageBreakBefore w:val="0"/>
        <w:widowControl w:val="0"/>
        <w:kinsoku/>
        <w:wordWrap/>
        <w:overflowPunct/>
        <w:topLinePunct w:val="0"/>
        <w:autoSpaceDE/>
        <w:autoSpaceDN/>
        <w:bidi w:val="0"/>
        <w:adjustRightInd w:val="0"/>
        <w:snapToGrid w:val="0"/>
        <w:spacing w:line="288" w:lineRule="auto"/>
        <w:ind w:firstLine="320" w:firstLineChars="100"/>
        <w:jc w:val="left"/>
        <w:textAlignment w:val="auto"/>
        <w:rPr>
          <w:rFonts w:hint="default" w:ascii="Times New Roman" w:hAnsi="Times New Roman" w:eastAsia="仿宋" w:cs="Times New Roman"/>
          <w:color w:val="auto"/>
          <w:sz w:val="32"/>
          <w:szCs w:val="32"/>
          <w:u w:val="single"/>
          <w:lang w:val="en-US" w:eastAsia="zh-CN"/>
        </w:rPr>
      </w:pPr>
      <w:r>
        <w:rPr>
          <w:rFonts w:hint="default" w:ascii="Times New Roman" w:hAnsi="Times New Roman" w:eastAsia="仿宋" w:cs="Times New Roman"/>
          <w:color w:val="auto"/>
          <w:sz w:val="32"/>
          <w:szCs w:val="32"/>
        </w:rPr>
        <w:t>建设单位（盖章）：</w:t>
      </w:r>
      <w:r>
        <w:rPr>
          <w:rFonts w:hint="default" w:ascii="Times New Roman" w:hAnsi="Times New Roman" w:eastAsia="仿宋" w:cs="Times New Roman"/>
          <w:color w:val="auto"/>
          <w:sz w:val="32"/>
          <w:szCs w:val="32"/>
          <w:u w:val="single"/>
          <w:lang w:val="en-US" w:eastAsia="zh-CN"/>
        </w:rPr>
        <w:t xml:space="preserve">  </w:t>
      </w:r>
      <w:r>
        <w:rPr>
          <w:rFonts w:hint="eastAsia" w:ascii="Times New Roman" w:hAnsi="Times New Roman" w:eastAsia="仿宋" w:cs="Times New Roman"/>
          <w:color w:val="auto"/>
          <w:sz w:val="32"/>
          <w:szCs w:val="32"/>
          <w:u w:val="single"/>
          <w:lang w:val="en-US" w:eastAsia="zh-CN"/>
        </w:rPr>
        <w:t>西咸新区膳韵餐饮管理有限公司</w:t>
      </w:r>
      <w:r>
        <w:rPr>
          <w:rFonts w:hint="default" w:ascii="Times New Roman" w:hAnsi="Times New Roman" w:eastAsia="仿宋" w:cs="Times New Roman"/>
          <w:color w:val="auto"/>
          <w:sz w:val="32"/>
          <w:szCs w:val="32"/>
          <w:u w:val="single"/>
          <w:lang w:val="en-US" w:eastAsia="zh-CN"/>
        </w:rPr>
        <w:t xml:space="preserve">    </w:t>
      </w:r>
    </w:p>
    <w:p w14:paraId="23FAC4C1">
      <w:pPr>
        <w:keepNext w:val="0"/>
        <w:keepLines w:val="0"/>
        <w:pageBreakBefore w:val="0"/>
        <w:widowControl w:val="0"/>
        <w:kinsoku/>
        <w:wordWrap/>
        <w:overflowPunct/>
        <w:topLinePunct w:val="0"/>
        <w:autoSpaceDE/>
        <w:autoSpaceDN/>
        <w:bidi w:val="0"/>
        <w:adjustRightInd w:val="0"/>
        <w:snapToGrid w:val="0"/>
        <w:spacing w:line="288" w:lineRule="auto"/>
        <w:ind w:firstLine="320" w:firstLineChars="100"/>
        <w:jc w:val="left"/>
        <w:textAlignment w:val="auto"/>
        <w:rPr>
          <w:rFonts w:hint="default" w:ascii="Times New Roman" w:hAnsi="Times New Roman" w:eastAsia="仿宋_GB2312" w:cs="Times New Roman"/>
          <w:color w:val="auto"/>
          <w:sz w:val="32"/>
          <w:szCs w:val="32"/>
          <w:u w:val="single"/>
        </w:rPr>
      </w:pPr>
      <w:r>
        <w:rPr>
          <w:rFonts w:hint="default" w:ascii="Times New Roman" w:hAnsi="Times New Roman" w:eastAsia="仿宋" w:cs="Times New Roman"/>
          <w:color w:val="auto"/>
          <w:sz w:val="32"/>
          <w:szCs w:val="32"/>
        </w:rPr>
        <w:t>编</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制</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日</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期：</w:t>
      </w:r>
      <w:r>
        <w:rPr>
          <w:rFonts w:hint="default" w:ascii="Times New Roman" w:hAnsi="Times New Roman" w:eastAsia="仿宋" w:cs="Times New Roman"/>
          <w:color w:val="auto"/>
          <w:sz w:val="32"/>
          <w:szCs w:val="32"/>
          <w:u w:val="single"/>
        </w:rPr>
        <w:t xml:space="preserve">        </w:t>
      </w:r>
      <w:r>
        <w:rPr>
          <w:rFonts w:hint="default" w:ascii="Times New Roman" w:hAnsi="Times New Roman" w:eastAsia="仿宋" w:cs="Times New Roman"/>
          <w:color w:val="auto"/>
          <w:sz w:val="32"/>
          <w:szCs w:val="32"/>
          <w:u w:val="single"/>
          <w:lang w:val="en-US" w:eastAsia="zh-CN"/>
        </w:rPr>
        <w:t xml:space="preserve">    202</w:t>
      </w:r>
      <w:r>
        <w:rPr>
          <w:rFonts w:hint="eastAsia" w:eastAsia="仿宋" w:cs="Times New Roman"/>
          <w:color w:val="auto"/>
          <w:sz w:val="32"/>
          <w:szCs w:val="32"/>
          <w:u w:val="single"/>
          <w:lang w:val="en-US" w:eastAsia="zh-CN"/>
        </w:rPr>
        <w:t>4</w:t>
      </w:r>
      <w:r>
        <w:rPr>
          <w:rFonts w:hint="default" w:ascii="Times New Roman" w:hAnsi="Times New Roman" w:eastAsia="仿宋" w:cs="Times New Roman"/>
          <w:color w:val="auto"/>
          <w:sz w:val="32"/>
          <w:szCs w:val="32"/>
          <w:u w:val="single"/>
          <w:lang w:val="en-US" w:eastAsia="zh-CN"/>
        </w:rPr>
        <w:t>年</w:t>
      </w:r>
      <w:r>
        <w:rPr>
          <w:rFonts w:hint="eastAsia" w:ascii="Times New Roman" w:hAnsi="Times New Roman" w:eastAsia="仿宋" w:cs="Times New Roman"/>
          <w:color w:val="auto"/>
          <w:sz w:val="32"/>
          <w:szCs w:val="32"/>
          <w:u w:val="single"/>
          <w:lang w:val="en-US" w:eastAsia="zh-CN"/>
        </w:rPr>
        <w:t>1</w:t>
      </w:r>
      <w:r>
        <w:rPr>
          <w:rFonts w:hint="eastAsia" w:eastAsia="仿宋" w:cs="Times New Roman"/>
          <w:color w:val="auto"/>
          <w:sz w:val="32"/>
          <w:szCs w:val="32"/>
          <w:u w:val="single"/>
          <w:lang w:val="en-US" w:eastAsia="zh-CN"/>
        </w:rPr>
        <w:t>1</w:t>
      </w:r>
      <w:r>
        <w:rPr>
          <w:rFonts w:hint="default" w:ascii="Times New Roman" w:hAnsi="Times New Roman" w:eastAsia="仿宋" w:cs="Times New Roman"/>
          <w:color w:val="auto"/>
          <w:sz w:val="32"/>
          <w:szCs w:val="32"/>
          <w:u w:val="single"/>
          <w:lang w:val="en-US" w:eastAsia="zh-CN"/>
        </w:rPr>
        <w:t>月</w:t>
      </w:r>
      <w:r>
        <w:rPr>
          <w:rFonts w:hint="default" w:ascii="Times New Roman" w:hAnsi="Times New Roman" w:eastAsia="仿宋" w:cs="Times New Roman"/>
          <w:color w:val="auto"/>
          <w:sz w:val="32"/>
          <w:szCs w:val="32"/>
          <w:u w:val="single"/>
        </w:rPr>
        <w:t xml:space="preserve">    </w:t>
      </w:r>
      <w:r>
        <w:rPr>
          <w:rFonts w:hint="default" w:ascii="Times New Roman" w:hAnsi="Times New Roman" w:eastAsia="仿宋" w:cs="Times New Roman"/>
          <w:color w:val="auto"/>
          <w:sz w:val="32"/>
          <w:szCs w:val="32"/>
          <w:u w:val="single"/>
          <w:lang w:val="en-US" w:eastAsia="zh-CN"/>
        </w:rPr>
        <w:t xml:space="preserve"> </w:t>
      </w:r>
      <w:r>
        <w:rPr>
          <w:rFonts w:hint="default" w:ascii="Times New Roman" w:hAnsi="Times New Roman" w:eastAsia="仿宋" w:cs="Times New Roman"/>
          <w:color w:val="auto"/>
          <w:sz w:val="32"/>
          <w:szCs w:val="32"/>
          <w:u w:val="single"/>
        </w:rPr>
        <w:t xml:space="preserve"> </w:t>
      </w:r>
      <w:r>
        <w:rPr>
          <w:rFonts w:hint="default" w:ascii="Times New Roman" w:hAnsi="Times New Roman" w:eastAsia="仿宋" w:cs="Times New Roman"/>
          <w:color w:val="auto"/>
          <w:sz w:val="32"/>
          <w:szCs w:val="32"/>
          <w:u w:val="single"/>
          <w:lang w:val="en-US" w:eastAsia="zh-CN"/>
        </w:rPr>
        <w:t xml:space="preserve">  </w:t>
      </w:r>
      <w:r>
        <w:rPr>
          <w:rFonts w:hint="default" w:ascii="Times New Roman" w:hAnsi="Times New Roman" w:eastAsia="仿宋" w:cs="Times New Roman"/>
          <w:color w:val="auto"/>
          <w:sz w:val="32"/>
          <w:szCs w:val="32"/>
          <w:u w:val="single"/>
        </w:rPr>
        <w:t xml:space="preserve">  </w:t>
      </w:r>
      <w:r>
        <w:rPr>
          <w:rFonts w:hint="eastAsia" w:eastAsia="仿宋" w:cs="Times New Roman"/>
          <w:color w:val="auto"/>
          <w:sz w:val="32"/>
          <w:szCs w:val="32"/>
          <w:u w:val="single"/>
          <w:lang w:val="en-US" w:eastAsia="zh-CN"/>
        </w:rPr>
        <w:t xml:space="preserve"> </w:t>
      </w:r>
      <w:r>
        <w:rPr>
          <w:rFonts w:hint="default" w:ascii="Times New Roman" w:hAnsi="Times New Roman" w:eastAsia="仿宋" w:cs="Times New Roman"/>
          <w:color w:val="auto"/>
          <w:sz w:val="32"/>
          <w:szCs w:val="32"/>
          <w:u w:val="single"/>
        </w:rPr>
        <w:t xml:space="preserve">  </w:t>
      </w:r>
    </w:p>
    <w:p w14:paraId="4D2B6225">
      <w:pPr>
        <w:keepNext w:val="0"/>
        <w:keepLines w:val="0"/>
        <w:pageBreakBefore w:val="0"/>
        <w:widowControl w:val="0"/>
        <w:kinsoku/>
        <w:wordWrap/>
        <w:overflowPunct/>
        <w:topLinePunct w:val="0"/>
        <w:autoSpaceDE/>
        <w:autoSpaceDN/>
        <w:bidi w:val="0"/>
        <w:adjustRightInd w:val="0"/>
        <w:snapToGrid w:val="0"/>
        <w:spacing w:line="276" w:lineRule="auto"/>
        <w:ind w:left="0" w:leftChars="0" w:firstLine="320" w:firstLineChars="100"/>
        <w:jc w:val="left"/>
        <w:textAlignment w:val="auto"/>
        <w:rPr>
          <w:rFonts w:eastAsia="仿宋_GB2312"/>
          <w:color w:val="auto"/>
          <w:sz w:val="32"/>
          <w:szCs w:val="32"/>
          <w:highlight w:val="none"/>
          <w:u w:val="single"/>
        </w:rPr>
      </w:pPr>
    </w:p>
    <w:p w14:paraId="47392DA4">
      <w:pPr>
        <w:keepNext w:val="0"/>
        <w:keepLines w:val="0"/>
        <w:pageBreakBefore w:val="0"/>
        <w:widowControl w:val="0"/>
        <w:kinsoku/>
        <w:wordWrap/>
        <w:overflowPunct/>
        <w:topLinePunct w:val="0"/>
        <w:autoSpaceDE/>
        <w:autoSpaceDN/>
        <w:bidi w:val="0"/>
        <w:adjustRightInd w:val="0"/>
        <w:snapToGrid w:val="0"/>
        <w:spacing w:line="288" w:lineRule="auto"/>
        <w:ind w:left="0" w:leftChars="0" w:firstLine="720"/>
        <w:jc w:val="left"/>
        <w:textAlignment w:val="auto"/>
        <w:rPr>
          <w:rFonts w:eastAsia="仿宋_GB2312"/>
          <w:color w:val="auto"/>
          <w:sz w:val="36"/>
          <w:szCs w:val="36"/>
          <w:highlight w:val="none"/>
          <w:u w:val="single"/>
        </w:rPr>
      </w:pPr>
      <w:bookmarkStart w:id="0" w:name="_Hlk57884087"/>
    </w:p>
    <w:p w14:paraId="73E0E11D">
      <w:pPr>
        <w:adjustRightInd w:val="0"/>
        <w:snapToGrid w:val="0"/>
        <w:spacing w:line="288" w:lineRule="auto"/>
        <w:ind w:firstLine="720"/>
        <w:rPr>
          <w:rFonts w:eastAsia="仿宋_GB2312"/>
          <w:color w:val="auto"/>
          <w:sz w:val="36"/>
          <w:szCs w:val="36"/>
          <w:highlight w:val="none"/>
        </w:rPr>
      </w:pPr>
    </w:p>
    <w:p w14:paraId="3A10220D">
      <w:pPr>
        <w:adjustRightInd w:val="0"/>
        <w:snapToGrid w:val="0"/>
        <w:spacing w:line="288" w:lineRule="auto"/>
        <w:ind w:firstLine="720"/>
        <w:rPr>
          <w:rFonts w:eastAsia="仿宋_GB2312"/>
          <w:color w:val="auto"/>
          <w:sz w:val="36"/>
          <w:szCs w:val="36"/>
          <w:highlight w:val="none"/>
        </w:rPr>
      </w:pPr>
    </w:p>
    <w:p w14:paraId="69D79730">
      <w:pPr>
        <w:adjustRightInd w:val="0"/>
        <w:snapToGrid w:val="0"/>
        <w:spacing w:line="288" w:lineRule="auto"/>
        <w:ind w:firstLine="720"/>
        <w:rPr>
          <w:rFonts w:eastAsia="仿宋_GB2312"/>
          <w:color w:val="auto"/>
          <w:sz w:val="36"/>
          <w:szCs w:val="36"/>
          <w:highlight w:val="none"/>
        </w:rPr>
      </w:pPr>
    </w:p>
    <w:p w14:paraId="74DC2C8E">
      <w:pPr>
        <w:adjustRightInd w:val="0"/>
        <w:snapToGrid w:val="0"/>
        <w:spacing w:line="288" w:lineRule="auto"/>
        <w:ind w:firstLine="720"/>
        <w:rPr>
          <w:rFonts w:eastAsia="仿宋_GB2312"/>
          <w:color w:val="auto"/>
          <w:sz w:val="36"/>
          <w:szCs w:val="36"/>
          <w:highlight w:val="none"/>
        </w:rPr>
      </w:pPr>
    </w:p>
    <w:bookmarkEnd w:id="0"/>
    <w:p w14:paraId="20708111">
      <w:pPr>
        <w:adjustRightInd w:val="0"/>
        <w:snapToGrid w:val="0"/>
        <w:spacing w:line="288" w:lineRule="auto"/>
        <w:ind w:firstLine="0" w:firstLineChars="0"/>
        <w:jc w:val="center"/>
        <w:rPr>
          <w:rFonts w:eastAsia="楷体_GB2312"/>
          <w:color w:val="auto"/>
          <w:sz w:val="36"/>
          <w:szCs w:val="36"/>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701" w:right="1531" w:bottom="1701" w:left="1531" w:header="851" w:footer="1077" w:gutter="0"/>
          <w:pgBorders>
            <w:top w:val="none" w:sz="0" w:space="0"/>
            <w:left w:val="none" w:sz="0" w:space="0"/>
            <w:bottom w:val="none" w:sz="0" w:space="0"/>
            <w:right w:val="none" w:sz="0" w:space="0"/>
          </w:pgBorders>
          <w:pgNumType w:fmt="numberInDash" w:start="3"/>
          <w:cols w:space="720" w:num="1"/>
          <w:docGrid w:linePitch="312" w:charSpace="0"/>
        </w:sectPr>
      </w:pPr>
      <w:r>
        <w:rPr>
          <w:rFonts w:eastAsia="楷体_GB2312"/>
          <w:color w:val="auto"/>
          <w:sz w:val="36"/>
          <w:szCs w:val="36"/>
          <w:highlight w:val="none"/>
        </w:rPr>
        <w:t>中华人民共和国生态环境部制</w:t>
      </w:r>
    </w:p>
    <w:p w14:paraId="60071211">
      <w:pPr>
        <w:pStyle w:val="36"/>
        <w:ind w:left="480" w:firstLine="480"/>
        <w:rPr>
          <w:color w:val="auto"/>
          <w:highlight w:val="none"/>
        </w:rPr>
        <w:sectPr>
          <w:pgSz w:w="11906" w:h="16838"/>
          <w:pgMar w:top="1701" w:right="1531" w:bottom="1701" w:left="1531" w:header="851" w:footer="1077" w:gutter="0"/>
          <w:pgBorders>
            <w:top w:val="none" w:sz="0" w:space="0"/>
            <w:left w:val="none" w:sz="0" w:space="0"/>
            <w:bottom w:val="none" w:sz="0" w:space="0"/>
            <w:right w:val="none" w:sz="0" w:space="0"/>
          </w:pgBorders>
          <w:pgNumType w:fmt="numberInDash" w:start="3"/>
          <w:cols w:space="720" w:num="1"/>
          <w:docGrid w:linePitch="312" w:charSpace="0"/>
        </w:sectPr>
      </w:pPr>
    </w:p>
    <w:p w14:paraId="5CE29A59">
      <w:pPr>
        <w:pStyle w:val="32"/>
        <w:ind w:firstLine="0" w:firstLineChars="0"/>
        <w:jc w:val="center"/>
        <w:outlineLvl w:val="0"/>
        <w:rPr>
          <w:rFonts w:ascii="Times New Roman" w:hAnsi="Times New Roman" w:eastAsia="黑体"/>
          <w:snapToGrid w:val="0"/>
          <w:color w:val="auto"/>
          <w:sz w:val="30"/>
          <w:szCs w:val="30"/>
          <w:highlight w:val="none"/>
        </w:rPr>
      </w:pPr>
      <w:r>
        <w:rPr>
          <w:rFonts w:ascii="Times New Roman" w:hAnsi="Times New Roman" w:eastAsia="黑体"/>
          <w:snapToGrid w:val="0"/>
          <w:color w:val="auto"/>
          <w:sz w:val="30"/>
          <w:szCs w:val="30"/>
          <w:highlight w:val="none"/>
        </w:rPr>
        <w:t>一、建设项目基本情况</w:t>
      </w:r>
    </w:p>
    <w:tbl>
      <w:tblPr>
        <w:tblStyle w:val="3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476"/>
        <w:gridCol w:w="1990"/>
        <w:gridCol w:w="1812"/>
        <w:gridCol w:w="3592"/>
      </w:tblGrid>
      <w:tr w14:paraId="59910D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97" w:hRule="atLeast"/>
          <w:jc w:val="center"/>
        </w:trPr>
        <w:tc>
          <w:tcPr>
            <w:tcW w:w="1476" w:type="dxa"/>
            <w:tcMar>
              <w:top w:w="16" w:type="dxa"/>
              <w:left w:w="16" w:type="dxa"/>
              <w:right w:w="16" w:type="dxa"/>
            </w:tcMar>
            <w:vAlign w:val="center"/>
          </w:tcPr>
          <w:p w14:paraId="76C33620">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建设项目名称</w:t>
            </w:r>
          </w:p>
        </w:tc>
        <w:tc>
          <w:tcPr>
            <w:tcW w:w="7394" w:type="dxa"/>
            <w:gridSpan w:val="3"/>
            <w:vAlign w:val="center"/>
          </w:tcPr>
          <w:p w14:paraId="1D7A124C">
            <w:pPr>
              <w:pStyle w:val="80"/>
              <w:keepNext w:val="0"/>
              <w:keepLines w:val="0"/>
              <w:widowControl/>
              <w:suppressLineNumbers w:val="0"/>
              <w:spacing w:before="0" w:beforeAutospacing="0" w:after="0" w:afterAutospacing="0"/>
              <w:ind w:left="0" w:right="0"/>
              <w:rPr>
                <w:rFonts w:hint="eastAsia" w:eastAsia="宋体"/>
                <w:color w:val="auto"/>
                <w:szCs w:val="20"/>
                <w:highlight w:val="none"/>
                <w:lang w:eastAsia="zh-CN"/>
              </w:rPr>
            </w:pPr>
            <w:r>
              <w:rPr>
                <w:rFonts w:hint="eastAsia"/>
                <w:color w:val="auto"/>
                <w:szCs w:val="20"/>
                <w:highlight w:val="none"/>
                <w:lang w:eastAsia="zh-CN"/>
              </w:rPr>
              <w:t>西咸新区膳韵餐饮管理有限公司食品产业园项目</w:t>
            </w:r>
          </w:p>
        </w:tc>
      </w:tr>
      <w:tr w14:paraId="62B367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6" w:type="dxa"/>
            <w:tcMar>
              <w:top w:w="16" w:type="dxa"/>
              <w:left w:w="16" w:type="dxa"/>
              <w:right w:w="16" w:type="dxa"/>
            </w:tcMar>
            <w:vAlign w:val="center"/>
          </w:tcPr>
          <w:p w14:paraId="4DCC3248">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项目代码</w:t>
            </w:r>
          </w:p>
        </w:tc>
        <w:tc>
          <w:tcPr>
            <w:tcW w:w="7394" w:type="dxa"/>
            <w:gridSpan w:val="3"/>
            <w:vAlign w:val="center"/>
          </w:tcPr>
          <w:p w14:paraId="2666D30C">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2409-611206-04-01-572225</w:t>
            </w:r>
          </w:p>
        </w:tc>
      </w:tr>
      <w:tr w14:paraId="402E73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6" w:type="dxa"/>
            <w:tcMar>
              <w:top w:w="16" w:type="dxa"/>
              <w:left w:w="16" w:type="dxa"/>
              <w:right w:w="16" w:type="dxa"/>
            </w:tcMar>
            <w:vAlign w:val="center"/>
          </w:tcPr>
          <w:p w14:paraId="0C55DA7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建设单位联系人</w:t>
            </w:r>
          </w:p>
        </w:tc>
        <w:tc>
          <w:tcPr>
            <w:tcW w:w="1990" w:type="dxa"/>
            <w:vAlign w:val="center"/>
          </w:tcPr>
          <w:p w14:paraId="71048937">
            <w:pPr>
              <w:pStyle w:val="80"/>
              <w:keepNext w:val="0"/>
              <w:keepLines w:val="0"/>
              <w:widowControl/>
              <w:suppressLineNumbers w:val="0"/>
              <w:spacing w:before="0" w:beforeAutospacing="0" w:after="0" w:afterAutospacing="0"/>
              <w:ind w:left="0" w:right="0"/>
              <w:rPr>
                <w:rFonts w:hint="eastAsia" w:eastAsia="宋体"/>
                <w:color w:val="auto"/>
                <w:szCs w:val="20"/>
                <w:highlight w:val="none"/>
                <w:u w:val="single"/>
                <w:lang w:eastAsia="zh-CN"/>
              </w:rPr>
            </w:pPr>
            <w:r>
              <w:rPr>
                <w:rFonts w:hint="eastAsia"/>
                <w:color w:val="auto"/>
                <w:szCs w:val="20"/>
                <w:highlight w:val="none"/>
                <w:lang w:val="en-US" w:eastAsia="zh-CN"/>
              </w:rPr>
              <w:t>秦楠</w:t>
            </w:r>
          </w:p>
        </w:tc>
        <w:tc>
          <w:tcPr>
            <w:tcW w:w="1812" w:type="dxa"/>
            <w:vAlign w:val="center"/>
          </w:tcPr>
          <w:p w14:paraId="3D157FE9">
            <w:pPr>
              <w:pStyle w:val="80"/>
              <w:keepNext w:val="0"/>
              <w:keepLines w:val="0"/>
              <w:widowControl/>
              <w:suppressLineNumbers w:val="0"/>
              <w:spacing w:before="0" w:beforeAutospacing="0" w:after="0" w:afterAutospacing="0"/>
              <w:ind w:left="0" w:right="0"/>
              <w:rPr>
                <w:rFonts w:hint="default"/>
                <w:color w:val="auto"/>
                <w:szCs w:val="20"/>
                <w:highlight w:val="none"/>
                <w:u w:val="single"/>
              </w:rPr>
            </w:pPr>
            <w:r>
              <w:rPr>
                <w:rFonts w:hint="default"/>
                <w:color w:val="auto"/>
                <w:szCs w:val="20"/>
                <w:highlight w:val="none"/>
              </w:rPr>
              <w:t>联系方式</w:t>
            </w:r>
          </w:p>
        </w:tc>
        <w:tc>
          <w:tcPr>
            <w:tcW w:w="3592" w:type="dxa"/>
            <w:vAlign w:val="center"/>
          </w:tcPr>
          <w:p w14:paraId="0D70C86B">
            <w:pPr>
              <w:pStyle w:val="80"/>
              <w:keepNext w:val="0"/>
              <w:keepLines w:val="0"/>
              <w:widowControl/>
              <w:suppressLineNumbers w:val="0"/>
              <w:spacing w:before="0" w:beforeAutospacing="0" w:after="0" w:afterAutospacing="0"/>
              <w:ind w:left="0" w:right="0"/>
              <w:rPr>
                <w:rFonts w:hint="default" w:eastAsia="宋体"/>
                <w:color w:val="auto"/>
                <w:szCs w:val="20"/>
                <w:highlight w:val="none"/>
                <w:u w:val="single"/>
                <w:lang w:val="en-US" w:eastAsia="zh-CN"/>
              </w:rPr>
            </w:pPr>
            <w:r>
              <w:rPr>
                <w:rFonts w:hint="eastAsia"/>
                <w:color w:val="auto"/>
                <w:szCs w:val="20"/>
                <w:highlight w:val="none"/>
                <w:lang w:val="en-US" w:eastAsia="zh-CN"/>
              </w:rPr>
              <w:t>15249003867</w:t>
            </w:r>
          </w:p>
        </w:tc>
      </w:tr>
      <w:tr w14:paraId="131963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04" w:hRule="atLeast"/>
          <w:jc w:val="center"/>
        </w:trPr>
        <w:tc>
          <w:tcPr>
            <w:tcW w:w="1476" w:type="dxa"/>
            <w:tcMar>
              <w:top w:w="16" w:type="dxa"/>
              <w:left w:w="16" w:type="dxa"/>
              <w:right w:w="16" w:type="dxa"/>
            </w:tcMar>
            <w:vAlign w:val="center"/>
          </w:tcPr>
          <w:p w14:paraId="7C60B2EB">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建设地点</w:t>
            </w:r>
          </w:p>
        </w:tc>
        <w:tc>
          <w:tcPr>
            <w:tcW w:w="7394" w:type="dxa"/>
            <w:gridSpan w:val="3"/>
            <w:vAlign w:val="center"/>
          </w:tcPr>
          <w:p w14:paraId="717D2DE0">
            <w:pPr>
              <w:pStyle w:val="80"/>
              <w:keepNext w:val="0"/>
              <w:keepLines w:val="0"/>
              <w:widowControl/>
              <w:suppressLineNumbers w:val="0"/>
              <w:spacing w:before="0" w:beforeAutospacing="0" w:after="0" w:afterAutospacing="0"/>
              <w:ind w:left="0" w:right="0"/>
              <w:rPr>
                <w:rFonts w:hint="eastAsia" w:eastAsia="宋体"/>
                <w:color w:val="auto"/>
                <w:szCs w:val="20"/>
                <w:highlight w:val="none"/>
                <w:lang w:eastAsia="zh-CN"/>
              </w:rPr>
            </w:pPr>
            <w:r>
              <w:rPr>
                <w:rFonts w:hint="eastAsia"/>
                <w:color w:val="auto"/>
                <w:szCs w:val="20"/>
                <w:highlight w:val="none"/>
              </w:rPr>
              <w:t>陕西省西咸新区</w:t>
            </w:r>
            <w:r>
              <w:rPr>
                <w:rFonts w:hint="eastAsia"/>
                <w:color w:val="auto"/>
                <w:szCs w:val="20"/>
                <w:highlight w:val="none"/>
                <w:lang w:eastAsia="zh-CN"/>
              </w:rPr>
              <w:t>泾河新城泾干街道泾晨路西</w:t>
            </w:r>
          </w:p>
        </w:tc>
      </w:tr>
      <w:tr w14:paraId="1C1FE8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49" w:hRule="atLeast"/>
          <w:jc w:val="center"/>
        </w:trPr>
        <w:tc>
          <w:tcPr>
            <w:tcW w:w="1476" w:type="dxa"/>
            <w:tcMar>
              <w:top w:w="16" w:type="dxa"/>
              <w:left w:w="16" w:type="dxa"/>
              <w:right w:w="16" w:type="dxa"/>
            </w:tcMar>
            <w:vAlign w:val="center"/>
          </w:tcPr>
          <w:p w14:paraId="2E2937E5">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地理坐标</w:t>
            </w:r>
          </w:p>
        </w:tc>
        <w:tc>
          <w:tcPr>
            <w:tcW w:w="7394" w:type="dxa"/>
            <w:gridSpan w:val="3"/>
            <w:vAlign w:val="center"/>
          </w:tcPr>
          <w:p w14:paraId="74981D4B">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w:t>
            </w:r>
            <w:r>
              <w:rPr>
                <w:rFonts w:hint="eastAsia"/>
                <w:color w:val="auto"/>
                <w:szCs w:val="20"/>
                <w:highlight w:val="none"/>
              </w:rPr>
              <w:t>E</w:t>
            </w:r>
            <w:r>
              <w:rPr>
                <w:rFonts w:hint="eastAsia"/>
                <w:color w:val="auto"/>
                <w:szCs w:val="20"/>
                <w:highlight w:val="none"/>
                <w:u w:val="single"/>
              </w:rPr>
              <w:t xml:space="preserve"> </w:t>
            </w:r>
            <w:r>
              <w:rPr>
                <w:rFonts w:hint="default"/>
                <w:color w:val="auto"/>
                <w:szCs w:val="20"/>
                <w:highlight w:val="none"/>
                <w:u w:val="single"/>
              </w:rPr>
              <w:t>10</w:t>
            </w:r>
            <w:r>
              <w:rPr>
                <w:rFonts w:hint="eastAsia"/>
                <w:color w:val="auto"/>
                <w:szCs w:val="20"/>
                <w:highlight w:val="none"/>
                <w:u w:val="single"/>
              </w:rPr>
              <w:t>8</w:t>
            </w:r>
            <w:r>
              <w:rPr>
                <w:rFonts w:hint="default"/>
                <w:color w:val="auto"/>
                <w:szCs w:val="20"/>
                <w:highlight w:val="none"/>
                <w:u w:val="single"/>
              </w:rPr>
              <w:t xml:space="preserve"> </w:t>
            </w:r>
            <w:r>
              <w:rPr>
                <w:rFonts w:hint="default"/>
                <w:color w:val="auto"/>
                <w:szCs w:val="20"/>
                <w:highlight w:val="none"/>
              </w:rPr>
              <w:t>度</w:t>
            </w:r>
            <w:r>
              <w:rPr>
                <w:rFonts w:hint="default"/>
                <w:color w:val="auto"/>
                <w:szCs w:val="20"/>
                <w:highlight w:val="none"/>
                <w:u w:val="single"/>
              </w:rPr>
              <w:t xml:space="preserve"> </w:t>
            </w:r>
            <w:r>
              <w:rPr>
                <w:rFonts w:hint="eastAsia"/>
                <w:color w:val="auto"/>
                <w:szCs w:val="20"/>
                <w:highlight w:val="none"/>
                <w:u w:val="single"/>
              </w:rPr>
              <w:t>5</w:t>
            </w:r>
            <w:r>
              <w:rPr>
                <w:rFonts w:hint="eastAsia"/>
                <w:color w:val="auto"/>
                <w:szCs w:val="20"/>
                <w:highlight w:val="none"/>
                <w:u w:val="single"/>
                <w:lang w:val="en-US" w:eastAsia="zh-CN"/>
              </w:rPr>
              <w:t>4</w:t>
            </w:r>
            <w:r>
              <w:rPr>
                <w:rFonts w:hint="default"/>
                <w:color w:val="auto"/>
                <w:szCs w:val="20"/>
                <w:highlight w:val="none"/>
                <w:u w:val="single"/>
              </w:rPr>
              <w:t xml:space="preserve"> </w:t>
            </w:r>
            <w:r>
              <w:rPr>
                <w:rFonts w:hint="default"/>
                <w:color w:val="auto"/>
                <w:szCs w:val="20"/>
                <w:highlight w:val="none"/>
              </w:rPr>
              <w:t>分</w:t>
            </w:r>
            <w:r>
              <w:rPr>
                <w:rFonts w:hint="default"/>
                <w:color w:val="auto"/>
                <w:szCs w:val="20"/>
                <w:highlight w:val="none"/>
                <w:u w:val="single"/>
              </w:rPr>
              <w:t xml:space="preserve"> </w:t>
            </w:r>
            <w:r>
              <w:rPr>
                <w:rFonts w:hint="eastAsia"/>
                <w:color w:val="auto"/>
                <w:szCs w:val="20"/>
                <w:highlight w:val="none"/>
                <w:u w:val="single"/>
                <w:lang w:val="en-US" w:eastAsia="zh-CN"/>
              </w:rPr>
              <w:t>12.256</w:t>
            </w:r>
            <w:r>
              <w:rPr>
                <w:rFonts w:hint="default"/>
                <w:color w:val="auto"/>
                <w:szCs w:val="20"/>
                <w:highlight w:val="none"/>
                <w:u w:val="single"/>
              </w:rPr>
              <w:t xml:space="preserve"> </w:t>
            </w:r>
            <w:r>
              <w:rPr>
                <w:rFonts w:hint="default"/>
                <w:color w:val="auto"/>
                <w:szCs w:val="20"/>
                <w:highlight w:val="none"/>
              </w:rPr>
              <w:t>秒，</w:t>
            </w:r>
            <w:r>
              <w:rPr>
                <w:rFonts w:hint="eastAsia"/>
                <w:color w:val="auto"/>
                <w:szCs w:val="20"/>
                <w:highlight w:val="none"/>
              </w:rPr>
              <w:t>N</w:t>
            </w:r>
            <w:r>
              <w:rPr>
                <w:rFonts w:hint="default"/>
                <w:color w:val="auto"/>
                <w:szCs w:val="20"/>
                <w:highlight w:val="none"/>
                <w:u w:val="single"/>
              </w:rPr>
              <w:t xml:space="preserve"> 34 </w:t>
            </w:r>
            <w:r>
              <w:rPr>
                <w:rFonts w:hint="default"/>
                <w:color w:val="auto"/>
                <w:szCs w:val="20"/>
                <w:highlight w:val="none"/>
              </w:rPr>
              <w:t>度</w:t>
            </w:r>
            <w:r>
              <w:rPr>
                <w:rFonts w:hint="default"/>
                <w:color w:val="auto"/>
                <w:szCs w:val="20"/>
                <w:highlight w:val="none"/>
                <w:u w:val="single"/>
              </w:rPr>
              <w:t xml:space="preserve"> </w:t>
            </w:r>
            <w:r>
              <w:rPr>
                <w:rFonts w:hint="eastAsia"/>
                <w:color w:val="auto"/>
                <w:szCs w:val="20"/>
                <w:highlight w:val="none"/>
                <w:u w:val="single"/>
              </w:rPr>
              <w:t>3</w:t>
            </w:r>
            <w:r>
              <w:rPr>
                <w:rFonts w:hint="eastAsia"/>
                <w:color w:val="auto"/>
                <w:szCs w:val="20"/>
                <w:highlight w:val="none"/>
                <w:u w:val="single"/>
                <w:lang w:val="en-US" w:eastAsia="zh-CN"/>
              </w:rPr>
              <w:t>2</w:t>
            </w:r>
            <w:r>
              <w:rPr>
                <w:rFonts w:hint="default"/>
                <w:color w:val="auto"/>
                <w:szCs w:val="20"/>
                <w:highlight w:val="none"/>
                <w:u w:val="single"/>
              </w:rPr>
              <w:t xml:space="preserve"> </w:t>
            </w:r>
            <w:r>
              <w:rPr>
                <w:rFonts w:hint="default"/>
                <w:color w:val="auto"/>
                <w:szCs w:val="20"/>
                <w:highlight w:val="none"/>
              </w:rPr>
              <w:t>分</w:t>
            </w:r>
            <w:r>
              <w:rPr>
                <w:rFonts w:hint="default"/>
                <w:color w:val="auto"/>
                <w:szCs w:val="20"/>
                <w:highlight w:val="none"/>
                <w:u w:val="single"/>
              </w:rPr>
              <w:t xml:space="preserve"> </w:t>
            </w:r>
            <w:r>
              <w:rPr>
                <w:rFonts w:hint="eastAsia"/>
                <w:color w:val="auto"/>
                <w:szCs w:val="20"/>
                <w:highlight w:val="none"/>
                <w:u w:val="single"/>
                <w:lang w:val="en-US" w:eastAsia="zh-CN"/>
              </w:rPr>
              <w:t>18.355</w:t>
            </w:r>
            <w:r>
              <w:rPr>
                <w:rFonts w:hint="default"/>
                <w:color w:val="auto"/>
                <w:szCs w:val="20"/>
                <w:highlight w:val="none"/>
                <w:u w:val="single"/>
              </w:rPr>
              <w:t xml:space="preserve"> </w:t>
            </w:r>
            <w:r>
              <w:rPr>
                <w:rFonts w:hint="default"/>
                <w:color w:val="auto"/>
                <w:szCs w:val="20"/>
                <w:highlight w:val="none"/>
              </w:rPr>
              <w:t>秒）</w:t>
            </w:r>
          </w:p>
        </w:tc>
      </w:tr>
      <w:tr w14:paraId="065BB0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55" w:hRule="atLeast"/>
          <w:jc w:val="center"/>
        </w:trPr>
        <w:tc>
          <w:tcPr>
            <w:tcW w:w="1476" w:type="dxa"/>
            <w:tcMar>
              <w:top w:w="16" w:type="dxa"/>
              <w:left w:w="16" w:type="dxa"/>
              <w:right w:w="16" w:type="dxa"/>
            </w:tcMar>
            <w:vAlign w:val="center"/>
          </w:tcPr>
          <w:p w14:paraId="0A93AE3D">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国民经济</w:t>
            </w:r>
          </w:p>
          <w:p w14:paraId="3D31ACBF">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行业类别</w:t>
            </w:r>
          </w:p>
        </w:tc>
        <w:tc>
          <w:tcPr>
            <w:tcW w:w="1990" w:type="dxa"/>
            <w:vAlign w:val="center"/>
          </w:tcPr>
          <w:p w14:paraId="6944E4A2">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s="Times New Roman"/>
                <w:color w:val="auto"/>
                <w:szCs w:val="20"/>
                <w:highlight w:val="none"/>
                <w:lang w:val="en-US" w:eastAsia="zh-CN" w:bidi="ar"/>
              </w:rPr>
              <w:t>C1</w:t>
            </w:r>
            <w:r>
              <w:rPr>
                <w:rFonts w:hint="eastAsia" w:cs="Times New Roman"/>
                <w:color w:val="auto"/>
                <w:sz w:val="21"/>
                <w:szCs w:val="21"/>
                <w:highlight w:val="none"/>
                <w:lang w:val="en-US" w:eastAsia="zh-CN" w:bidi="ar"/>
              </w:rPr>
              <w:t>411</w:t>
            </w:r>
            <w:r>
              <w:rPr>
                <w:rFonts w:hint="eastAsia"/>
                <w:color w:val="auto"/>
                <w:sz w:val="21"/>
                <w:szCs w:val="21"/>
                <w:lang w:val="en-US" w:eastAsia="zh-CN"/>
              </w:rPr>
              <w:t>糕点、面包制造C1431</w:t>
            </w:r>
            <w:r>
              <w:rPr>
                <w:rFonts w:hint="default"/>
                <w:color w:val="auto"/>
                <w:sz w:val="21"/>
                <w:szCs w:val="21"/>
              </w:rPr>
              <w:t>米、面制品制造</w:t>
            </w:r>
            <w:r>
              <w:rPr>
                <w:rFonts w:hint="default" w:ascii="Times New Roman" w:hAnsi="Times New Roman" w:cs="Times New Roman"/>
                <w:color w:val="auto"/>
                <w:sz w:val="21"/>
                <w:szCs w:val="21"/>
                <w:highlight w:val="none"/>
                <w:lang w:val="en-US" w:eastAsia="zh-CN" w:bidi="ar"/>
              </w:rPr>
              <w:t>C1439其他方便食品制造</w:t>
            </w:r>
            <w:r>
              <w:rPr>
                <w:rFonts w:hint="eastAsia" w:cs="Times New Roman"/>
                <w:color w:val="auto"/>
                <w:sz w:val="21"/>
                <w:szCs w:val="21"/>
                <w:highlight w:val="none"/>
                <w:lang w:val="en-US" w:eastAsia="zh-CN" w:bidi="ar"/>
              </w:rPr>
              <w:t>C1371蔬菜加工</w:t>
            </w:r>
            <w:r>
              <w:rPr>
                <w:rFonts w:hint="eastAsia"/>
                <w:color w:val="auto"/>
                <w:sz w:val="21"/>
                <w:szCs w:val="21"/>
                <w:lang w:val="en-US" w:eastAsia="zh-CN"/>
              </w:rPr>
              <w:t>C7292包装服务</w:t>
            </w:r>
          </w:p>
        </w:tc>
        <w:tc>
          <w:tcPr>
            <w:tcW w:w="1812" w:type="dxa"/>
            <w:vAlign w:val="center"/>
          </w:tcPr>
          <w:p w14:paraId="0E53FB0F">
            <w:pPr>
              <w:pStyle w:val="80"/>
              <w:keepNext w:val="0"/>
              <w:keepLines w:val="0"/>
              <w:widowControl/>
              <w:suppressLineNumbers w:val="0"/>
              <w:spacing w:before="0" w:beforeAutospacing="0" w:after="0" w:afterAutospacing="0"/>
              <w:ind w:left="0" w:right="0"/>
              <w:rPr>
                <w:rFonts w:hint="default"/>
                <w:color w:val="auto"/>
                <w:szCs w:val="20"/>
                <w:highlight w:val="none"/>
              </w:rPr>
            </w:pPr>
            <w:bookmarkStart w:id="1" w:name="_Hlk49843745"/>
            <w:r>
              <w:rPr>
                <w:rFonts w:hint="default"/>
                <w:color w:val="auto"/>
                <w:szCs w:val="20"/>
                <w:highlight w:val="none"/>
              </w:rPr>
              <w:t>建设项目</w:t>
            </w:r>
          </w:p>
          <w:p w14:paraId="43633B50">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行业类别</w:t>
            </w:r>
            <w:bookmarkEnd w:id="1"/>
          </w:p>
        </w:tc>
        <w:tc>
          <w:tcPr>
            <w:tcW w:w="3592" w:type="dxa"/>
            <w:vAlign w:val="center"/>
          </w:tcPr>
          <w:p w14:paraId="61D52C14">
            <w:pPr>
              <w:pStyle w:val="80"/>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0"/>
                <w:highlight w:val="none"/>
                <w:lang w:val="en-US" w:eastAsia="zh-CN" w:bidi="ar"/>
              </w:rPr>
            </w:pPr>
            <w:r>
              <w:rPr>
                <w:rFonts w:hint="default" w:ascii="Times New Roman" w:hAnsi="Times New Roman" w:cs="Times New Roman"/>
                <w:color w:val="auto"/>
                <w:szCs w:val="20"/>
                <w:highlight w:val="none"/>
                <w:lang w:val="en-US" w:eastAsia="zh-CN" w:bidi="ar"/>
              </w:rPr>
              <w:t>十一</w:t>
            </w:r>
            <w:r>
              <w:rPr>
                <w:rFonts w:hint="default" w:ascii="Times New Roman" w:hAnsi="Times New Roman" w:cs="Times New Roman"/>
                <w:color w:val="auto"/>
                <w:szCs w:val="20"/>
                <w:highlight w:val="none"/>
                <w:lang w:bidi="ar"/>
              </w:rPr>
              <w:t>、</w:t>
            </w:r>
            <w:r>
              <w:rPr>
                <w:rFonts w:hint="default" w:ascii="Times New Roman" w:hAnsi="Times New Roman" w:cs="Times New Roman"/>
                <w:color w:val="auto"/>
                <w:szCs w:val="20"/>
                <w:highlight w:val="none"/>
                <w:lang w:val="en-US" w:eastAsia="zh-CN" w:bidi="ar"/>
              </w:rPr>
              <w:t>食品制造</w:t>
            </w:r>
            <w:r>
              <w:rPr>
                <w:rFonts w:hint="default" w:ascii="Times New Roman" w:hAnsi="Times New Roman" w:cs="Times New Roman"/>
                <w:color w:val="auto"/>
                <w:szCs w:val="20"/>
                <w:highlight w:val="none"/>
                <w:lang w:bidi="ar"/>
              </w:rPr>
              <w:t>业</w:t>
            </w:r>
            <w:r>
              <w:rPr>
                <w:rFonts w:hint="default" w:ascii="Times New Roman" w:hAnsi="Times New Roman" w:cs="Times New Roman"/>
                <w:color w:val="auto"/>
                <w:szCs w:val="20"/>
                <w:highlight w:val="none"/>
                <w:lang w:val="en-US" w:eastAsia="zh-CN" w:bidi="ar"/>
              </w:rPr>
              <w:t>14</w:t>
            </w:r>
          </w:p>
          <w:p w14:paraId="0588DDD2">
            <w:pPr>
              <w:pStyle w:val="80"/>
              <w:keepNext w:val="0"/>
              <w:keepLines w:val="0"/>
              <w:widowControl/>
              <w:numPr>
                <w:ilvl w:val="0"/>
                <w:numId w:val="0"/>
              </w:numPr>
              <w:suppressLineNumbers w:val="0"/>
              <w:spacing w:before="0" w:beforeAutospacing="0" w:after="0" w:afterAutospacing="0"/>
              <w:ind w:left="0" w:right="0" w:rightChars="0"/>
              <w:jc w:val="center"/>
              <w:rPr>
                <w:rFonts w:hint="default" w:ascii="Times New Roman" w:hAnsi="Times New Roman" w:cs="Times New Roman"/>
                <w:color w:val="auto"/>
                <w:szCs w:val="20"/>
              </w:rPr>
            </w:pPr>
            <w:r>
              <w:rPr>
                <w:rFonts w:hint="default" w:ascii="Times New Roman" w:hAnsi="Times New Roman" w:cs="Times New Roman"/>
                <w:color w:val="auto"/>
                <w:szCs w:val="20"/>
                <w:highlight w:val="none"/>
                <w:lang w:val="en-US" w:eastAsia="zh-CN" w:bidi="ar"/>
              </w:rPr>
              <w:t>21、方便食品制造143</w:t>
            </w:r>
          </w:p>
          <w:p w14:paraId="6066FA50">
            <w:pPr>
              <w:pStyle w:val="80"/>
              <w:keepNext w:val="0"/>
              <w:keepLines w:val="0"/>
              <w:widowControl/>
              <w:numPr>
                <w:ilvl w:val="0"/>
                <w:numId w:val="0"/>
              </w:numPr>
              <w:suppressLineNumbers w:val="0"/>
              <w:spacing w:before="0" w:beforeAutospacing="0" w:after="0" w:afterAutospacing="0"/>
              <w:ind w:left="0" w:right="0" w:rightChars="0"/>
              <w:jc w:val="center"/>
              <w:rPr>
                <w:rFonts w:hint="default"/>
                <w:color w:val="auto"/>
                <w:szCs w:val="20"/>
                <w:lang w:val="en-US" w:eastAsia="zh-CN"/>
              </w:rPr>
            </w:pPr>
            <w:r>
              <w:rPr>
                <w:rFonts w:hint="default" w:ascii="Times New Roman" w:hAnsi="Times New Roman" w:cs="Times New Roman"/>
                <w:color w:val="auto"/>
                <w:szCs w:val="20"/>
                <w:lang w:val="en-US" w:eastAsia="zh-CN"/>
              </w:rPr>
              <w:t>24、其他食品制造</w:t>
            </w:r>
          </w:p>
        </w:tc>
      </w:tr>
      <w:tr w14:paraId="752B3C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343" w:hRule="atLeast"/>
          <w:jc w:val="center"/>
        </w:trPr>
        <w:tc>
          <w:tcPr>
            <w:tcW w:w="1476" w:type="dxa"/>
            <w:tcMar>
              <w:top w:w="16" w:type="dxa"/>
              <w:left w:w="16" w:type="dxa"/>
              <w:right w:w="16" w:type="dxa"/>
            </w:tcMar>
            <w:vAlign w:val="center"/>
          </w:tcPr>
          <w:p w14:paraId="200DF808">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建设性质</w:t>
            </w:r>
          </w:p>
        </w:tc>
        <w:tc>
          <w:tcPr>
            <w:tcW w:w="1990" w:type="dxa"/>
            <w:vAlign w:val="center"/>
          </w:tcPr>
          <w:p w14:paraId="0B9D4335">
            <w:pPr>
              <w:pStyle w:val="80"/>
              <w:keepNext w:val="0"/>
              <w:keepLines w:val="0"/>
              <w:widowControl/>
              <w:suppressLineNumbers w:val="0"/>
              <w:spacing w:before="0" w:beforeAutospacing="0" w:after="0" w:afterAutospacing="0"/>
              <w:ind w:left="0" w:right="0" w:firstLine="105" w:firstLineChars="50"/>
              <w:jc w:val="left"/>
              <w:rPr>
                <w:rFonts w:hint="default"/>
                <w:color w:val="auto"/>
                <w:szCs w:val="20"/>
                <w:highlight w:val="none"/>
              </w:rPr>
            </w:pPr>
            <w:r>
              <w:rPr>
                <w:rFonts w:hint="default"/>
                <w:color w:val="auto"/>
                <w:szCs w:val="20"/>
                <w:highlight w:val="none"/>
              </w:rPr>
              <w:sym w:font="Wingdings 2" w:char="0052"/>
            </w:r>
            <w:r>
              <w:rPr>
                <w:rFonts w:hint="default"/>
                <w:color w:val="auto"/>
                <w:szCs w:val="20"/>
                <w:highlight w:val="none"/>
              </w:rPr>
              <w:t>新建（迁建）</w:t>
            </w:r>
          </w:p>
          <w:p w14:paraId="1FB2AAB2">
            <w:pPr>
              <w:pStyle w:val="80"/>
              <w:keepNext w:val="0"/>
              <w:keepLines w:val="0"/>
              <w:widowControl/>
              <w:suppressLineNumbers w:val="0"/>
              <w:spacing w:before="0" w:beforeAutospacing="0" w:after="0" w:afterAutospacing="0"/>
              <w:ind w:left="0" w:right="0" w:firstLine="105" w:firstLineChars="50"/>
              <w:jc w:val="left"/>
              <w:rPr>
                <w:rFonts w:hint="default"/>
                <w:color w:val="auto"/>
                <w:szCs w:val="20"/>
                <w:highlight w:val="none"/>
              </w:rPr>
            </w:pPr>
            <w:r>
              <w:rPr>
                <w:rFonts w:hint="default"/>
                <w:color w:val="auto"/>
                <w:szCs w:val="20"/>
                <w:highlight w:val="none"/>
              </w:rPr>
              <w:sym w:font="Wingdings 2" w:char="00A3"/>
            </w:r>
            <w:r>
              <w:rPr>
                <w:rFonts w:hint="default"/>
                <w:color w:val="auto"/>
                <w:szCs w:val="20"/>
                <w:highlight w:val="none"/>
              </w:rPr>
              <w:t>改建</w:t>
            </w:r>
          </w:p>
          <w:p w14:paraId="24E4861D">
            <w:pPr>
              <w:pStyle w:val="80"/>
              <w:keepNext w:val="0"/>
              <w:keepLines w:val="0"/>
              <w:widowControl/>
              <w:suppressLineNumbers w:val="0"/>
              <w:spacing w:before="0" w:beforeAutospacing="0" w:after="0" w:afterAutospacing="0"/>
              <w:ind w:left="0" w:right="0" w:firstLine="105" w:firstLineChars="50"/>
              <w:jc w:val="left"/>
              <w:rPr>
                <w:rFonts w:hint="default"/>
                <w:color w:val="auto"/>
                <w:szCs w:val="20"/>
                <w:highlight w:val="none"/>
              </w:rPr>
            </w:pPr>
            <w:r>
              <w:rPr>
                <w:rFonts w:hint="default"/>
                <w:color w:val="auto"/>
                <w:szCs w:val="20"/>
                <w:highlight w:val="none"/>
              </w:rPr>
              <w:sym w:font="Wingdings 2" w:char="00A3"/>
            </w:r>
            <w:r>
              <w:rPr>
                <w:rFonts w:hint="default"/>
                <w:color w:val="auto"/>
                <w:szCs w:val="20"/>
                <w:highlight w:val="none"/>
              </w:rPr>
              <w:t>扩建</w:t>
            </w:r>
          </w:p>
          <w:p w14:paraId="4B29D004">
            <w:pPr>
              <w:pStyle w:val="80"/>
              <w:keepNext w:val="0"/>
              <w:keepLines w:val="0"/>
              <w:widowControl/>
              <w:suppressLineNumbers w:val="0"/>
              <w:spacing w:before="0" w:beforeAutospacing="0" w:after="0" w:afterAutospacing="0"/>
              <w:ind w:left="0" w:right="0" w:firstLine="105" w:firstLineChars="50"/>
              <w:jc w:val="left"/>
              <w:rPr>
                <w:rFonts w:hint="default"/>
                <w:color w:val="auto"/>
                <w:szCs w:val="20"/>
                <w:highlight w:val="none"/>
              </w:rPr>
            </w:pPr>
            <w:r>
              <w:rPr>
                <w:rFonts w:hint="default"/>
                <w:color w:val="auto"/>
                <w:szCs w:val="20"/>
                <w:highlight w:val="none"/>
              </w:rPr>
              <w:sym w:font="Wingdings 2" w:char="00A3"/>
            </w:r>
            <w:r>
              <w:rPr>
                <w:rFonts w:hint="default"/>
                <w:color w:val="auto"/>
                <w:szCs w:val="20"/>
                <w:highlight w:val="none"/>
              </w:rPr>
              <w:t>技术改造</w:t>
            </w:r>
          </w:p>
        </w:tc>
        <w:tc>
          <w:tcPr>
            <w:tcW w:w="1812" w:type="dxa"/>
            <w:vAlign w:val="center"/>
          </w:tcPr>
          <w:p w14:paraId="01D08FFD">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建设项目</w:t>
            </w:r>
          </w:p>
          <w:p w14:paraId="63015942">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申报情形</w:t>
            </w:r>
          </w:p>
        </w:tc>
        <w:tc>
          <w:tcPr>
            <w:tcW w:w="3592" w:type="dxa"/>
            <w:vAlign w:val="center"/>
          </w:tcPr>
          <w:p w14:paraId="6D241530">
            <w:pPr>
              <w:pStyle w:val="80"/>
              <w:keepNext w:val="0"/>
              <w:keepLines w:val="0"/>
              <w:widowControl/>
              <w:suppressLineNumbers w:val="0"/>
              <w:spacing w:before="0" w:beforeAutospacing="0" w:after="0" w:afterAutospacing="0"/>
              <w:ind w:left="0" w:right="0" w:firstLine="105" w:firstLineChars="50"/>
              <w:jc w:val="left"/>
              <w:rPr>
                <w:rFonts w:hint="default"/>
                <w:color w:val="auto"/>
                <w:szCs w:val="20"/>
                <w:highlight w:val="none"/>
              </w:rPr>
            </w:pPr>
            <w:r>
              <w:rPr>
                <w:rFonts w:hint="default"/>
                <w:color w:val="auto"/>
                <w:szCs w:val="20"/>
                <w:highlight w:val="none"/>
              </w:rPr>
              <w:sym w:font="Wingdings 2" w:char="0052"/>
            </w:r>
            <w:r>
              <w:rPr>
                <w:rFonts w:hint="default"/>
                <w:color w:val="auto"/>
                <w:szCs w:val="20"/>
                <w:highlight w:val="none"/>
              </w:rPr>
              <w:t xml:space="preserve">首次申报项目             </w:t>
            </w:r>
          </w:p>
          <w:p w14:paraId="23921111">
            <w:pPr>
              <w:pStyle w:val="80"/>
              <w:keepNext w:val="0"/>
              <w:keepLines w:val="0"/>
              <w:widowControl/>
              <w:suppressLineNumbers w:val="0"/>
              <w:spacing w:before="0" w:beforeAutospacing="0" w:after="0" w:afterAutospacing="0"/>
              <w:ind w:left="0" w:right="0" w:firstLine="105" w:firstLineChars="50"/>
              <w:jc w:val="left"/>
              <w:rPr>
                <w:rFonts w:hint="default"/>
                <w:color w:val="auto"/>
                <w:szCs w:val="20"/>
                <w:highlight w:val="none"/>
              </w:rPr>
            </w:pPr>
            <w:r>
              <w:rPr>
                <w:rFonts w:hint="default"/>
                <w:color w:val="auto"/>
                <w:szCs w:val="20"/>
                <w:highlight w:val="none"/>
              </w:rPr>
              <w:sym w:font="Wingdings 2" w:char="00A3"/>
            </w:r>
            <w:r>
              <w:rPr>
                <w:rFonts w:hint="default"/>
                <w:color w:val="auto"/>
                <w:szCs w:val="20"/>
                <w:highlight w:val="none"/>
              </w:rPr>
              <w:t>不予批准后再次申报项目</w:t>
            </w:r>
          </w:p>
          <w:p w14:paraId="7EF12963">
            <w:pPr>
              <w:pStyle w:val="80"/>
              <w:keepNext w:val="0"/>
              <w:keepLines w:val="0"/>
              <w:widowControl/>
              <w:suppressLineNumbers w:val="0"/>
              <w:spacing w:before="0" w:beforeAutospacing="0" w:after="0" w:afterAutospacing="0"/>
              <w:ind w:left="0" w:right="0" w:firstLine="105" w:firstLineChars="50"/>
              <w:jc w:val="left"/>
              <w:rPr>
                <w:rFonts w:hint="default"/>
                <w:color w:val="auto"/>
                <w:szCs w:val="20"/>
                <w:highlight w:val="none"/>
              </w:rPr>
            </w:pPr>
            <w:r>
              <w:rPr>
                <w:rFonts w:hint="default"/>
                <w:color w:val="auto"/>
                <w:szCs w:val="20"/>
                <w:highlight w:val="none"/>
              </w:rPr>
              <w:sym w:font="Wingdings 2" w:char="00A3"/>
            </w:r>
            <w:r>
              <w:rPr>
                <w:rFonts w:hint="default"/>
                <w:color w:val="auto"/>
                <w:szCs w:val="20"/>
                <w:highlight w:val="none"/>
              </w:rPr>
              <w:t xml:space="preserve">超五年重新审核项目     </w:t>
            </w:r>
          </w:p>
          <w:p w14:paraId="6AF26F7C">
            <w:pPr>
              <w:pStyle w:val="80"/>
              <w:keepNext w:val="0"/>
              <w:keepLines w:val="0"/>
              <w:widowControl/>
              <w:suppressLineNumbers w:val="0"/>
              <w:spacing w:before="0" w:beforeAutospacing="0" w:after="0" w:afterAutospacing="0"/>
              <w:ind w:left="0" w:right="0" w:firstLine="105" w:firstLineChars="50"/>
              <w:jc w:val="left"/>
              <w:rPr>
                <w:rFonts w:hint="default"/>
                <w:color w:val="auto"/>
                <w:szCs w:val="20"/>
                <w:highlight w:val="none"/>
              </w:rPr>
            </w:pPr>
            <w:r>
              <w:rPr>
                <w:rFonts w:hint="default"/>
                <w:color w:val="auto"/>
                <w:szCs w:val="20"/>
                <w:highlight w:val="none"/>
              </w:rPr>
              <w:sym w:font="Wingdings 2" w:char="00A3"/>
            </w:r>
            <w:r>
              <w:rPr>
                <w:rFonts w:hint="default"/>
                <w:color w:val="auto"/>
                <w:szCs w:val="20"/>
                <w:highlight w:val="none"/>
              </w:rPr>
              <w:t>重大变动重新报批项目</w:t>
            </w:r>
          </w:p>
        </w:tc>
      </w:tr>
      <w:tr w14:paraId="70C494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476" w:type="dxa"/>
            <w:tcMar>
              <w:top w:w="16" w:type="dxa"/>
              <w:left w:w="16" w:type="dxa"/>
              <w:right w:w="16" w:type="dxa"/>
            </w:tcMar>
            <w:vAlign w:val="center"/>
          </w:tcPr>
          <w:p w14:paraId="00A69685">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项目审批（核准/备案）部门（选填）</w:t>
            </w:r>
          </w:p>
        </w:tc>
        <w:tc>
          <w:tcPr>
            <w:tcW w:w="1990" w:type="dxa"/>
            <w:vAlign w:val="center"/>
          </w:tcPr>
          <w:p w14:paraId="0B3ECB27">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陕西省西咸新区泾河新城管理委员会</w:t>
            </w:r>
          </w:p>
        </w:tc>
        <w:tc>
          <w:tcPr>
            <w:tcW w:w="1812" w:type="dxa"/>
            <w:vAlign w:val="center"/>
          </w:tcPr>
          <w:p w14:paraId="0AFE655A">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项目审批（核准/</w:t>
            </w:r>
          </w:p>
          <w:p w14:paraId="609DD327">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备案）文号（选填）</w:t>
            </w:r>
          </w:p>
        </w:tc>
        <w:tc>
          <w:tcPr>
            <w:tcW w:w="3592" w:type="dxa"/>
            <w:vAlign w:val="center"/>
          </w:tcPr>
          <w:p w14:paraId="6FC525AE">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w:t>
            </w:r>
          </w:p>
        </w:tc>
      </w:tr>
      <w:tr w14:paraId="29088B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6" w:type="dxa"/>
            <w:tcMar>
              <w:top w:w="16" w:type="dxa"/>
              <w:left w:w="16" w:type="dxa"/>
              <w:right w:w="16" w:type="dxa"/>
            </w:tcMar>
            <w:vAlign w:val="center"/>
          </w:tcPr>
          <w:p w14:paraId="6119E7EB">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总投资（万元）</w:t>
            </w:r>
          </w:p>
        </w:tc>
        <w:tc>
          <w:tcPr>
            <w:tcW w:w="1990" w:type="dxa"/>
            <w:vAlign w:val="center"/>
          </w:tcPr>
          <w:p w14:paraId="048CFAAB">
            <w:pPr>
              <w:pStyle w:val="80"/>
              <w:keepNext w:val="0"/>
              <w:keepLines w:val="0"/>
              <w:widowControl/>
              <w:suppressLineNumbers w:val="0"/>
              <w:spacing w:before="0" w:beforeAutospacing="0" w:after="0" w:afterAutospacing="0"/>
              <w:ind w:left="0" w:right="0"/>
              <w:rPr>
                <w:rFonts w:hint="default"/>
                <w:color w:val="auto"/>
                <w:szCs w:val="20"/>
                <w:highlight w:val="none"/>
                <w:lang w:val="en-US"/>
              </w:rPr>
            </w:pPr>
            <w:r>
              <w:rPr>
                <w:rFonts w:hint="eastAsia"/>
                <w:color w:val="auto"/>
                <w:szCs w:val="20"/>
                <w:highlight w:val="none"/>
                <w:lang w:val="en-US" w:eastAsia="zh-CN"/>
              </w:rPr>
              <w:t>2622</w:t>
            </w:r>
          </w:p>
        </w:tc>
        <w:tc>
          <w:tcPr>
            <w:tcW w:w="1812" w:type="dxa"/>
            <w:tcMar>
              <w:top w:w="16" w:type="dxa"/>
              <w:left w:w="16" w:type="dxa"/>
              <w:right w:w="16" w:type="dxa"/>
            </w:tcMar>
            <w:vAlign w:val="center"/>
          </w:tcPr>
          <w:p w14:paraId="235BD0D9">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环保投资（万元）</w:t>
            </w:r>
          </w:p>
        </w:tc>
        <w:tc>
          <w:tcPr>
            <w:tcW w:w="3592" w:type="dxa"/>
            <w:vAlign w:val="center"/>
          </w:tcPr>
          <w:p w14:paraId="4D8F6491">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48.2</w:t>
            </w:r>
          </w:p>
        </w:tc>
      </w:tr>
      <w:tr w14:paraId="20F290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6" w:type="dxa"/>
            <w:tcMar>
              <w:top w:w="16" w:type="dxa"/>
              <w:left w:w="16" w:type="dxa"/>
              <w:right w:w="16" w:type="dxa"/>
            </w:tcMar>
            <w:vAlign w:val="center"/>
          </w:tcPr>
          <w:p w14:paraId="387C7F0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环保投资占比（%）</w:t>
            </w:r>
          </w:p>
        </w:tc>
        <w:tc>
          <w:tcPr>
            <w:tcW w:w="1990" w:type="dxa"/>
            <w:vAlign w:val="center"/>
          </w:tcPr>
          <w:p w14:paraId="46144F71">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1.84</w:t>
            </w:r>
          </w:p>
        </w:tc>
        <w:tc>
          <w:tcPr>
            <w:tcW w:w="1812" w:type="dxa"/>
            <w:tcMar>
              <w:top w:w="16" w:type="dxa"/>
              <w:left w:w="16" w:type="dxa"/>
              <w:right w:w="16" w:type="dxa"/>
            </w:tcMar>
            <w:vAlign w:val="center"/>
          </w:tcPr>
          <w:p w14:paraId="387855E7">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施工工期</w:t>
            </w:r>
          </w:p>
        </w:tc>
        <w:tc>
          <w:tcPr>
            <w:tcW w:w="3592" w:type="dxa"/>
            <w:vAlign w:val="center"/>
          </w:tcPr>
          <w:p w14:paraId="2DDBC6B8">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lang w:val="en-US" w:eastAsia="zh-CN"/>
              </w:rPr>
              <w:t>12</w:t>
            </w:r>
            <w:r>
              <w:rPr>
                <w:rFonts w:hint="eastAsia"/>
                <w:color w:val="auto"/>
                <w:szCs w:val="20"/>
                <w:highlight w:val="none"/>
              </w:rPr>
              <w:t>个月（</w:t>
            </w:r>
            <w:r>
              <w:rPr>
                <w:rFonts w:hint="eastAsia"/>
                <w:color w:val="auto"/>
                <w:szCs w:val="20"/>
                <w:highlight w:val="none"/>
                <w:lang w:val="en-US" w:eastAsia="zh-CN"/>
              </w:rPr>
              <w:t>2025.1</w:t>
            </w:r>
            <w:r>
              <w:rPr>
                <w:rFonts w:hint="eastAsia"/>
                <w:color w:val="auto"/>
                <w:szCs w:val="20"/>
                <w:highlight w:val="none"/>
              </w:rPr>
              <w:t>.1-202</w:t>
            </w:r>
            <w:r>
              <w:rPr>
                <w:rFonts w:hint="eastAsia"/>
                <w:color w:val="auto"/>
                <w:szCs w:val="20"/>
                <w:highlight w:val="none"/>
                <w:lang w:val="en-US" w:eastAsia="zh-CN"/>
              </w:rPr>
              <w:t>5</w:t>
            </w:r>
            <w:r>
              <w:rPr>
                <w:rFonts w:hint="eastAsia"/>
                <w:color w:val="auto"/>
                <w:szCs w:val="20"/>
                <w:highlight w:val="none"/>
              </w:rPr>
              <w:t>.</w:t>
            </w:r>
            <w:r>
              <w:rPr>
                <w:rFonts w:hint="eastAsia"/>
                <w:color w:val="auto"/>
                <w:szCs w:val="20"/>
                <w:highlight w:val="none"/>
                <w:lang w:val="en-US" w:eastAsia="zh-CN"/>
              </w:rPr>
              <w:t>12</w:t>
            </w:r>
            <w:r>
              <w:rPr>
                <w:rFonts w:hint="eastAsia"/>
                <w:color w:val="auto"/>
                <w:szCs w:val="20"/>
                <w:highlight w:val="none"/>
              </w:rPr>
              <w:t>.3</w:t>
            </w:r>
            <w:r>
              <w:rPr>
                <w:rFonts w:hint="eastAsia"/>
                <w:color w:val="auto"/>
                <w:szCs w:val="20"/>
                <w:highlight w:val="none"/>
                <w:lang w:val="en-US" w:eastAsia="zh-CN"/>
              </w:rPr>
              <w:t>1</w:t>
            </w:r>
            <w:r>
              <w:rPr>
                <w:rFonts w:hint="eastAsia"/>
                <w:color w:val="auto"/>
                <w:szCs w:val="20"/>
                <w:highlight w:val="none"/>
              </w:rPr>
              <w:t>）</w:t>
            </w:r>
          </w:p>
        </w:tc>
      </w:tr>
      <w:tr w14:paraId="74B503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34" w:hRule="atLeast"/>
          <w:jc w:val="center"/>
        </w:trPr>
        <w:tc>
          <w:tcPr>
            <w:tcW w:w="1476" w:type="dxa"/>
            <w:tcMar>
              <w:top w:w="16" w:type="dxa"/>
              <w:left w:w="16" w:type="dxa"/>
              <w:right w:w="16" w:type="dxa"/>
            </w:tcMar>
            <w:vAlign w:val="center"/>
          </w:tcPr>
          <w:p w14:paraId="357F03A5">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是否开工建设</w:t>
            </w:r>
          </w:p>
        </w:tc>
        <w:tc>
          <w:tcPr>
            <w:tcW w:w="1990" w:type="dxa"/>
            <w:vAlign w:val="center"/>
          </w:tcPr>
          <w:p w14:paraId="3740BF09">
            <w:pPr>
              <w:pStyle w:val="80"/>
              <w:keepNext w:val="0"/>
              <w:keepLines w:val="0"/>
              <w:widowControl/>
              <w:suppressLineNumbers w:val="0"/>
              <w:spacing w:before="0" w:beforeAutospacing="0" w:after="0" w:afterAutospacing="0"/>
              <w:ind w:left="0" w:right="0"/>
              <w:jc w:val="left"/>
              <w:rPr>
                <w:rFonts w:hint="default"/>
                <w:color w:val="auto"/>
                <w:szCs w:val="20"/>
                <w:highlight w:val="none"/>
              </w:rPr>
            </w:pPr>
            <w:r>
              <w:rPr>
                <w:rFonts w:hint="default"/>
                <w:color w:val="auto"/>
                <w:szCs w:val="20"/>
                <w:highlight w:val="none"/>
              </w:rPr>
              <w:sym w:font="Wingdings 2" w:char="0052"/>
            </w:r>
            <w:r>
              <w:rPr>
                <w:rFonts w:hint="default"/>
                <w:color w:val="auto"/>
                <w:szCs w:val="20"/>
                <w:highlight w:val="none"/>
              </w:rPr>
              <w:t>否</w:t>
            </w:r>
          </w:p>
          <w:p w14:paraId="792780C9">
            <w:pPr>
              <w:pStyle w:val="80"/>
              <w:keepNext w:val="0"/>
              <w:keepLines w:val="0"/>
              <w:widowControl/>
              <w:suppressLineNumbers w:val="0"/>
              <w:spacing w:before="0" w:beforeAutospacing="0" w:after="0" w:afterAutospacing="0"/>
              <w:ind w:left="0" w:right="0"/>
              <w:jc w:val="left"/>
              <w:rPr>
                <w:rFonts w:hint="default"/>
                <w:color w:val="auto"/>
                <w:szCs w:val="20"/>
                <w:highlight w:val="none"/>
              </w:rPr>
            </w:pPr>
            <w:r>
              <w:rPr>
                <w:rFonts w:hint="default"/>
                <w:color w:val="auto"/>
                <w:szCs w:val="20"/>
                <w:highlight w:val="none"/>
              </w:rPr>
              <w:sym w:font="Wingdings 2" w:char="00A3"/>
            </w:r>
            <w:r>
              <w:rPr>
                <w:rFonts w:hint="default"/>
                <w:color w:val="auto"/>
                <w:szCs w:val="20"/>
                <w:highlight w:val="none"/>
              </w:rPr>
              <w:t>是</w:t>
            </w:r>
            <w:r>
              <w:rPr>
                <w:rFonts w:hint="eastAsia" w:ascii="宋体" w:hAnsi="宋体" w:cs="宋体"/>
                <w:color w:val="auto"/>
                <w:szCs w:val="21"/>
                <w:highlight w:val="none"/>
              </w:rPr>
              <w:t>：</w:t>
            </w:r>
            <w:r>
              <w:rPr>
                <w:rFonts w:hint="eastAsia" w:ascii="宋体" w:hAnsi="宋体" w:cs="宋体"/>
                <w:color w:val="auto"/>
                <w:szCs w:val="21"/>
                <w:highlight w:val="none"/>
                <w:u w:val="single"/>
              </w:rPr>
              <w:t xml:space="preserve">              </w:t>
            </w:r>
          </w:p>
        </w:tc>
        <w:tc>
          <w:tcPr>
            <w:tcW w:w="1812" w:type="dxa"/>
            <w:tcMar>
              <w:top w:w="16" w:type="dxa"/>
              <w:left w:w="16" w:type="dxa"/>
              <w:right w:w="16" w:type="dxa"/>
            </w:tcMar>
            <w:vAlign w:val="center"/>
          </w:tcPr>
          <w:p w14:paraId="273AA869">
            <w:pPr>
              <w:pStyle w:val="80"/>
              <w:keepNext w:val="0"/>
              <w:keepLines w:val="0"/>
              <w:widowControl/>
              <w:suppressLineNumbers w:val="0"/>
              <w:spacing w:before="0" w:beforeAutospacing="0" w:after="0" w:afterAutospacing="0"/>
              <w:ind w:left="0" w:right="0"/>
              <w:rPr>
                <w:rFonts w:hint="default"/>
                <w:color w:val="auto"/>
                <w:spacing w:val="-6"/>
                <w:szCs w:val="20"/>
                <w:highlight w:val="none"/>
              </w:rPr>
            </w:pPr>
            <w:r>
              <w:rPr>
                <w:rFonts w:hint="default"/>
                <w:color w:val="auto"/>
                <w:spacing w:val="-6"/>
                <w:szCs w:val="20"/>
                <w:highlight w:val="none"/>
              </w:rPr>
              <w:t>用地（用海）</w:t>
            </w:r>
          </w:p>
          <w:p w14:paraId="12446B86">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pacing w:val="-6"/>
                <w:szCs w:val="20"/>
                <w:highlight w:val="none"/>
              </w:rPr>
              <w:t>面积（m</w:t>
            </w:r>
            <w:r>
              <w:rPr>
                <w:rFonts w:hint="default"/>
                <w:color w:val="auto"/>
                <w:spacing w:val="-6"/>
                <w:szCs w:val="20"/>
                <w:highlight w:val="none"/>
                <w:vertAlign w:val="superscript"/>
              </w:rPr>
              <w:t>2</w:t>
            </w:r>
            <w:r>
              <w:rPr>
                <w:rFonts w:hint="default"/>
                <w:color w:val="auto"/>
                <w:spacing w:val="-6"/>
                <w:szCs w:val="20"/>
                <w:highlight w:val="none"/>
              </w:rPr>
              <w:t>）</w:t>
            </w:r>
          </w:p>
        </w:tc>
        <w:tc>
          <w:tcPr>
            <w:tcW w:w="3592" w:type="dxa"/>
            <w:vAlign w:val="center"/>
          </w:tcPr>
          <w:p w14:paraId="1D1F9A68">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26906.06</w:t>
            </w:r>
          </w:p>
        </w:tc>
      </w:tr>
      <w:tr w14:paraId="505408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3" w:hRule="atLeast"/>
          <w:jc w:val="center"/>
        </w:trPr>
        <w:tc>
          <w:tcPr>
            <w:tcW w:w="1476" w:type="dxa"/>
            <w:vAlign w:val="center"/>
          </w:tcPr>
          <w:p w14:paraId="7466E856">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专项评价设置情况</w:t>
            </w:r>
          </w:p>
        </w:tc>
        <w:tc>
          <w:tcPr>
            <w:tcW w:w="7394" w:type="dxa"/>
            <w:gridSpan w:val="3"/>
            <w:vAlign w:val="center"/>
          </w:tcPr>
          <w:p w14:paraId="30BD8456">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无</w:t>
            </w:r>
          </w:p>
        </w:tc>
      </w:tr>
      <w:tr w14:paraId="7A9F92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476" w:type="dxa"/>
            <w:vAlign w:val="center"/>
          </w:tcPr>
          <w:p w14:paraId="68C10DC8">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规划情况</w:t>
            </w:r>
          </w:p>
        </w:tc>
        <w:tc>
          <w:tcPr>
            <w:tcW w:w="7394" w:type="dxa"/>
            <w:gridSpan w:val="3"/>
            <w:vAlign w:val="center"/>
          </w:tcPr>
          <w:p w14:paraId="5FB3F45E">
            <w:pPr>
              <w:keepNext w:val="0"/>
              <w:keepLines w:val="0"/>
              <w:suppressLineNumbers w:val="0"/>
              <w:autoSpaceDE w:val="0"/>
              <w:autoSpaceDN w:val="0"/>
              <w:adjustRightInd w:val="0"/>
              <w:snapToGrid w:val="0"/>
              <w:spacing w:before="0" w:beforeAutospacing="0" w:after="0" w:afterAutospacing="0" w:line="240" w:lineRule="auto"/>
              <w:ind w:left="0" w:right="0" w:firstLine="420"/>
              <w:jc w:val="left"/>
              <w:rPr>
                <w:rFonts w:hint="default"/>
                <w:color w:val="auto"/>
                <w:highlight w:val="none"/>
              </w:rPr>
            </w:pPr>
            <w:r>
              <w:rPr>
                <w:rFonts w:hint="default"/>
                <w:color w:val="auto"/>
                <w:kern w:val="0"/>
                <w:sz w:val="21"/>
                <w:szCs w:val="21"/>
                <w:highlight w:val="none"/>
              </w:rPr>
              <w:t>规划文件：《西咸新区泾河新城分区规划</w:t>
            </w:r>
            <w:r>
              <w:rPr>
                <w:rFonts w:hint="eastAsia"/>
                <w:color w:val="auto"/>
                <w:kern w:val="0"/>
                <w:sz w:val="21"/>
                <w:szCs w:val="21"/>
                <w:highlight w:val="none"/>
              </w:rPr>
              <w:t>修编</w:t>
            </w:r>
            <w:r>
              <w:rPr>
                <w:rFonts w:hint="default"/>
                <w:color w:val="auto"/>
                <w:kern w:val="0"/>
                <w:sz w:val="21"/>
                <w:szCs w:val="21"/>
                <w:highlight w:val="none"/>
              </w:rPr>
              <w:t>（2016-2035）》</w:t>
            </w:r>
          </w:p>
          <w:p w14:paraId="5CEACA54">
            <w:pPr>
              <w:keepNext w:val="0"/>
              <w:keepLines w:val="0"/>
              <w:suppressLineNumbers w:val="0"/>
              <w:autoSpaceDE w:val="0"/>
              <w:autoSpaceDN w:val="0"/>
              <w:adjustRightInd w:val="0"/>
              <w:snapToGrid w:val="0"/>
              <w:spacing w:before="0" w:beforeAutospacing="0" w:after="0" w:afterAutospacing="0" w:line="240" w:lineRule="auto"/>
              <w:ind w:left="0" w:right="0" w:firstLine="1470" w:firstLineChars="700"/>
              <w:jc w:val="left"/>
              <w:rPr>
                <w:rFonts w:hint="default"/>
                <w:color w:val="auto"/>
                <w:sz w:val="21"/>
                <w:szCs w:val="21"/>
                <w:highlight w:val="none"/>
              </w:rPr>
            </w:pPr>
            <w:r>
              <w:rPr>
                <w:rFonts w:hint="eastAsia"/>
                <w:color w:val="auto"/>
                <w:kern w:val="0"/>
                <w:sz w:val="21"/>
                <w:szCs w:val="21"/>
                <w:highlight w:val="none"/>
              </w:rPr>
              <w:t>《陕西省西咸新区泾河新城控制性详细规划（2016-2035）</w:t>
            </w:r>
          </w:p>
        </w:tc>
      </w:tr>
      <w:tr w14:paraId="65FF28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61" w:hRule="atLeast"/>
          <w:jc w:val="center"/>
        </w:trPr>
        <w:tc>
          <w:tcPr>
            <w:tcW w:w="1476" w:type="dxa"/>
            <w:vAlign w:val="center"/>
          </w:tcPr>
          <w:p w14:paraId="42351532">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规划环境影响评价情况</w:t>
            </w:r>
          </w:p>
        </w:tc>
        <w:tc>
          <w:tcPr>
            <w:tcW w:w="7394" w:type="dxa"/>
            <w:gridSpan w:val="3"/>
            <w:vAlign w:val="center"/>
          </w:tcPr>
          <w:p w14:paraId="427864C2">
            <w:pPr>
              <w:keepNext w:val="0"/>
              <w:keepLines w:val="0"/>
              <w:suppressLineNumbers w:val="0"/>
              <w:autoSpaceDE w:val="0"/>
              <w:autoSpaceDN w:val="0"/>
              <w:adjustRightInd w:val="0"/>
              <w:snapToGrid w:val="0"/>
              <w:spacing w:before="0" w:beforeAutospacing="0" w:after="0" w:afterAutospacing="0" w:line="240" w:lineRule="auto"/>
              <w:ind w:left="0" w:right="0" w:firstLine="420"/>
              <w:jc w:val="left"/>
              <w:rPr>
                <w:rFonts w:hint="default"/>
                <w:color w:val="auto"/>
                <w:kern w:val="0"/>
                <w:sz w:val="21"/>
                <w:szCs w:val="21"/>
                <w:highlight w:val="none"/>
              </w:rPr>
            </w:pPr>
            <w:r>
              <w:rPr>
                <w:rFonts w:hint="default"/>
                <w:color w:val="auto"/>
                <w:kern w:val="0"/>
                <w:sz w:val="21"/>
                <w:szCs w:val="21"/>
                <w:highlight w:val="none"/>
              </w:rPr>
              <w:t>规划环境影响评价文件名称：《</w:t>
            </w:r>
            <w:r>
              <w:rPr>
                <w:rFonts w:hint="eastAsia"/>
                <w:color w:val="auto"/>
                <w:kern w:val="0"/>
                <w:sz w:val="21"/>
                <w:szCs w:val="21"/>
                <w:highlight w:val="none"/>
                <w:lang w:val="en-US" w:eastAsia="zh-CN"/>
              </w:rPr>
              <w:t>陕西省</w:t>
            </w:r>
            <w:r>
              <w:rPr>
                <w:rFonts w:hint="default"/>
                <w:color w:val="auto"/>
                <w:kern w:val="0"/>
                <w:sz w:val="21"/>
                <w:szCs w:val="21"/>
                <w:highlight w:val="none"/>
              </w:rPr>
              <w:t>西咸新区泾河新城分区规划（2016-2035）环境影响报告书》</w:t>
            </w:r>
          </w:p>
          <w:p w14:paraId="33CFE99D">
            <w:pPr>
              <w:keepNext w:val="0"/>
              <w:keepLines w:val="0"/>
              <w:suppressLineNumbers w:val="0"/>
              <w:autoSpaceDE w:val="0"/>
              <w:autoSpaceDN w:val="0"/>
              <w:adjustRightInd w:val="0"/>
              <w:snapToGrid w:val="0"/>
              <w:spacing w:before="0" w:beforeAutospacing="0" w:after="0" w:afterAutospacing="0" w:line="240" w:lineRule="auto"/>
              <w:ind w:left="0" w:right="0" w:firstLine="420"/>
              <w:jc w:val="left"/>
              <w:rPr>
                <w:rFonts w:hint="default"/>
                <w:color w:val="auto"/>
                <w:kern w:val="0"/>
                <w:sz w:val="21"/>
                <w:szCs w:val="21"/>
                <w:highlight w:val="none"/>
              </w:rPr>
            </w:pPr>
            <w:r>
              <w:rPr>
                <w:rFonts w:hint="eastAsia"/>
                <w:color w:val="auto"/>
                <w:kern w:val="0"/>
                <w:sz w:val="21"/>
                <w:szCs w:val="21"/>
                <w:highlight w:val="none"/>
                <w:lang w:val="en-US" w:eastAsia="zh-CN"/>
              </w:rPr>
              <w:t>召集</w:t>
            </w:r>
            <w:r>
              <w:rPr>
                <w:rFonts w:hint="default"/>
                <w:color w:val="auto"/>
                <w:kern w:val="0"/>
                <w:sz w:val="21"/>
                <w:szCs w:val="21"/>
                <w:highlight w:val="none"/>
              </w:rPr>
              <w:t>审查机关：陕西省西咸新区生态环境局</w:t>
            </w:r>
          </w:p>
          <w:p w14:paraId="50B2EA70">
            <w:pPr>
              <w:keepNext w:val="0"/>
              <w:keepLines w:val="0"/>
              <w:suppressLineNumbers w:val="0"/>
              <w:autoSpaceDE w:val="0"/>
              <w:autoSpaceDN w:val="0"/>
              <w:adjustRightInd w:val="0"/>
              <w:snapToGrid w:val="0"/>
              <w:spacing w:before="0" w:beforeAutospacing="0" w:after="0" w:afterAutospacing="0" w:line="240" w:lineRule="auto"/>
              <w:ind w:left="0" w:right="0" w:firstLine="420"/>
              <w:jc w:val="left"/>
              <w:rPr>
                <w:rFonts w:hint="default"/>
                <w:color w:val="auto"/>
                <w:sz w:val="21"/>
                <w:szCs w:val="21"/>
                <w:highlight w:val="none"/>
              </w:rPr>
            </w:pPr>
            <w:r>
              <w:rPr>
                <w:rFonts w:hint="default"/>
                <w:color w:val="auto"/>
                <w:kern w:val="0"/>
                <w:sz w:val="21"/>
                <w:szCs w:val="21"/>
                <w:highlight w:val="none"/>
              </w:rPr>
              <w:t>审查文件名称及文号：陕西省西咸新区生态环境局</w:t>
            </w:r>
            <w:r>
              <w:rPr>
                <w:rFonts w:hint="eastAsia"/>
                <w:color w:val="auto"/>
                <w:kern w:val="0"/>
                <w:sz w:val="21"/>
                <w:szCs w:val="21"/>
                <w:highlight w:val="none"/>
              </w:rPr>
              <w:t>关于</w:t>
            </w:r>
            <w:r>
              <w:rPr>
                <w:rFonts w:hint="default"/>
                <w:color w:val="auto"/>
                <w:kern w:val="0"/>
                <w:sz w:val="21"/>
                <w:szCs w:val="21"/>
                <w:highlight w:val="none"/>
              </w:rPr>
              <w:t>《</w:t>
            </w:r>
            <w:r>
              <w:rPr>
                <w:rFonts w:hint="eastAsia"/>
                <w:color w:val="auto"/>
                <w:kern w:val="0"/>
                <w:sz w:val="21"/>
                <w:szCs w:val="21"/>
                <w:highlight w:val="none"/>
              </w:rPr>
              <w:t>陕西省</w:t>
            </w:r>
            <w:r>
              <w:rPr>
                <w:rFonts w:hint="default"/>
                <w:color w:val="auto"/>
                <w:kern w:val="0"/>
                <w:sz w:val="21"/>
                <w:szCs w:val="21"/>
                <w:highlight w:val="none"/>
              </w:rPr>
              <w:t>西咸新区泾河新城分区规划（2016-2035</w:t>
            </w:r>
            <w:r>
              <w:rPr>
                <w:rFonts w:hint="eastAsia"/>
                <w:color w:val="auto"/>
                <w:kern w:val="0"/>
                <w:sz w:val="21"/>
                <w:szCs w:val="21"/>
                <w:highlight w:val="none"/>
              </w:rPr>
              <w:t>年</w:t>
            </w:r>
            <w:r>
              <w:rPr>
                <w:rFonts w:hint="default"/>
                <w:color w:val="auto"/>
                <w:kern w:val="0"/>
                <w:sz w:val="21"/>
                <w:szCs w:val="21"/>
                <w:highlight w:val="none"/>
              </w:rPr>
              <w:t>）环境影响报告书》</w:t>
            </w:r>
            <w:r>
              <w:rPr>
                <w:rFonts w:hint="eastAsia"/>
                <w:color w:val="auto"/>
                <w:kern w:val="0"/>
                <w:sz w:val="21"/>
                <w:szCs w:val="21"/>
                <w:highlight w:val="none"/>
              </w:rPr>
              <w:t>的</w:t>
            </w:r>
            <w:r>
              <w:rPr>
                <w:rFonts w:hint="default"/>
                <w:color w:val="auto"/>
                <w:kern w:val="0"/>
                <w:sz w:val="21"/>
                <w:szCs w:val="21"/>
                <w:highlight w:val="none"/>
              </w:rPr>
              <w:t>审查意见（陕西咸环函</w:t>
            </w:r>
            <w:r>
              <w:rPr>
                <w:rFonts w:hint="eastAsia"/>
                <w:color w:val="auto"/>
                <w:kern w:val="0"/>
                <w:sz w:val="21"/>
                <w:szCs w:val="21"/>
                <w:highlight w:val="none"/>
              </w:rPr>
              <w:t>〔</w:t>
            </w:r>
            <w:r>
              <w:rPr>
                <w:rFonts w:hint="default"/>
                <w:color w:val="auto"/>
                <w:kern w:val="0"/>
                <w:sz w:val="21"/>
                <w:szCs w:val="21"/>
                <w:highlight w:val="none"/>
              </w:rPr>
              <w:t>2021</w:t>
            </w:r>
            <w:r>
              <w:rPr>
                <w:rFonts w:hint="eastAsia"/>
                <w:color w:val="auto"/>
                <w:kern w:val="0"/>
                <w:sz w:val="21"/>
                <w:szCs w:val="21"/>
                <w:highlight w:val="none"/>
              </w:rPr>
              <w:t>〕</w:t>
            </w:r>
            <w:r>
              <w:rPr>
                <w:rFonts w:hint="default"/>
                <w:color w:val="auto"/>
                <w:kern w:val="0"/>
                <w:sz w:val="21"/>
                <w:szCs w:val="21"/>
                <w:highlight w:val="none"/>
              </w:rPr>
              <w:t>41号）</w:t>
            </w:r>
          </w:p>
        </w:tc>
      </w:tr>
      <w:tr w14:paraId="5391D5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8" w:hRule="atLeast"/>
          <w:jc w:val="center"/>
        </w:trPr>
        <w:tc>
          <w:tcPr>
            <w:tcW w:w="1476" w:type="dxa"/>
            <w:vAlign w:val="center"/>
          </w:tcPr>
          <w:p w14:paraId="6C264C6F">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规划及规划环境影响评价符合性分析</w:t>
            </w:r>
          </w:p>
        </w:tc>
        <w:tc>
          <w:tcPr>
            <w:tcW w:w="7394" w:type="dxa"/>
            <w:gridSpan w:val="3"/>
            <w:vAlign w:val="center"/>
          </w:tcPr>
          <w:p w14:paraId="4BF2DCE5">
            <w:pPr>
              <w:keepNext w:val="0"/>
              <w:keepLines w:val="0"/>
              <w:suppressLineNumbers w:val="0"/>
              <w:spacing w:before="0" w:beforeAutospacing="0" w:after="0" w:afterAutospacing="0"/>
              <w:ind w:left="0" w:right="0" w:firstLine="480"/>
              <w:rPr>
                <w:rFonts w:hint="default"/>
                <w:b w:val="0"/>
                <w:bCs w:val="0"/>
                <w:color w:val="auto"/>
                <w:highlight w:val="none"/>
              </w:rPr>
            </w:pPr>
            <w:r>
              <w:rPr>
                <w:rFonts w:hint="eastAsia"/>
                <w:b w:val="0"/>
                <w:bCs w:val="0"/>
                <w:color w:val="auto"/>
                <w:highlight w:val="none"/>
              </w:rPr>
              <w:t>本</w:t>
            </w:r>
            <w:r>
              <w:rPr>
                <w:rFonts w:hint="default"/>
                <w:b w:val="0"/>
                <w:bCs w:val="0"/>
                <w:color w:val="auto"/>
                <w:highlight w:val="none"/>
              </w:rPr>
              <w:t>项目建设与相关规划及规划环境影响评价符合性分析见表1</w:t>
            </w:r>
            <w:r>
              <w:rPr>
                <w:rFonts w:hint="eastAsia"/>
                <w:b w:val="0"/>
                <w:bCs w:val="0"/>
                <w:color w:val="auto"/>
                <w:highlight w:val="none"/>
              </w:rPr>
              <w:t>-1</w:t>
            </w:r>
            <w:r>
              <w:rPr>
                <w:rFonts w:hint="default"/>
                <w:b w:val="0"/>
                <w:bCs w:val="0"/>
                <w:color w:val="auto"/>
                <w:highlight w:val="none"/>
              </w:rPr>
              <w:t>。</w:t>
            </w:r>
          </w:p>
          <w:p w14:paraId="3109A396">
            <w:pPr>
              <w:pStyle w:val="77"/>
              <w:keepNext w:val="0"/>
              <w:keepLines w:val="0"/>
              <w:widowControl/>
              <w:suppressLineNumbers w:val="0"/>
              <w:spacing w:before="0" w:beforeLines="0" w:beforeAutospacing="0" w:after="0" w:afterAutospacing="0"/>
              <w:ind w:left="0" w:right="0"/>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表1-1   项目与规划及规划环评相符性分析</w:t>
            </w:r>
          </w:p>
          <w:tbl>
            <w:tblPr>
              <w:tblStyle w:val="37"/>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28" w:type="dxa"/>
                <w:left w:w="108" w:type="dxa"/>
                <w:bottom w:w="28" w:type="dxa"/>
                <w:right w:w="108" w:type="dxa"/>
              </w:tblCellMar>
            </w:tblPr>
            <w:tblGrid>
              <w:gridCol w:w="846"/>
              <w:gridCol w:w="3432"/>
              <w:gridCol w:w="2633"/>
              <w:gridCol w:w="339"/>
            </w:tblGrid>
            <w:tr w14:paraId="6967C9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397" w:hRule="atLeast"/>
                <w:jc w:val="center"/>
              </w:trPr>
              <w:tc>
                <w:tcPr>
                  <w:tcW w:w="583" w:type="pct"/>
                  <w:vAlign w:val="center"/>
                </w:tcPr>
                <w:p w14:paraId="367867BD">
                  <w:pPr>
                    <w:pStyle w:val="80"/>
                    <w:keepNext w:val="0"/>
                    <w:keepLines w:val="0"/>
                    <w:widowControl/>
                    <w:suppressLineNumbers w:val="0"/>
                    <w:spacing w:before="0" w:beforeAutospacing="0" w:after="0" w:afterAutospacing="0"/>
                    <w:ind w:left="0" w:right="0"/>
                    <w:rPr>
                      <w:rFonts w:hint="default"/>
                      <w:b w:val="0"/>
                      <w:bCs w:val="0"/>
                      <w:color w:val="auto"/>
                      <w:szCs w:val="20"/>
                      <w:highlight w:val="none"/>
                    </w:rPr>
                  </w:pPr>
                  <w:r>
                    <w:rPr>
                      <w:rFonts w:hint="default"/>
                      <w:b w:val="0"/>
                      <w:bCs w:val="0"/>
                      <w:color w:val="auto"/>
                      <w:szCs w:val="20"/>
                      <w:highlight w:val="none"/>
                    </w:rPr>
                    <w:t>文件</w:t>
                  </w:r>
                </w:p>
              </w:tc>
              <w:tc>
                <w:tcPr>
                  <w:tcW w:w="2366" w:type="pct"/>
                  <w:vAlign w:val="center"/>
                </w:tcPr>
                <w:p w14:paraId="63472CE2">
                  <w:pPr>
                    <w:pStyle w:val="80"/>
                    <w:keepNext w:val="0"/>
                    <w:keepLines w:val="0"/>
                    <w:widowControl/>
                    <w:suppressLineNumbers w:val="0"/>
                    <w:spacing w:before="0" w:beforeAutospacing="0" w:after="0" w:afterAutospacing="0"/>
                    <w:ind w:left="0" w:right="0"/>
                    <w:rPr>
                      <w:rFonts w:hint="default"/>
                      <w:b w:val="0"/>
                      <w:bCs w:val="0"/>
                      <w:color w:val="auto"/>
                      <w:szCs w:val="21"/>
                      <w:highlight w:val="none"/>
                    </w:rPr>
                  </w:pPr>
                  <w:r>
                    <w:rPr>
                      <w:rFonts w:hint="eastAsia"/>
                      <w:b w:val="0"/>
                      <w:bCs w:val="0"/>
                      <w:color w:val="auto"/>
                      <w:szCs w:val="21"/>
                      <w:highlight w:val="none"/>
                    </w:rPr>
                    <w:t>规划判定内容</w:t>
                  </w:r>
                </w:p>
              </w:tc>
              <w:tc>
                <w:tcPr>
                  <w:tcW w:w="1815" w:type="pct"/>
                  <w:vAlign w:val="center"/>
                </w:tcPr>
                <w:p w14:paraId="64F0A406">
                  <w:pPr>
                    <w:pStyle w:val="80"/>
                    <w:keepNext w:val="0"/>
                    <w:keepLines w:val="0"/>
                    <w:widowControl/>
                    <w:suppressLineNumbers w:val="0"/>
                    <w:spacing w:before="0" w:beforeAutospacing="0" w:after="0" w:afterAutospacing="0"/>
                    <w:ind w:left="0" w:right="0"/>
                    <w:rPr>
                      <w:rFonts w:hint="default"/>
                      <w:b w:val="0"/>
                      <w:bCs w:val="0"/>
                      <w:color w:val="auto"/>
                      <w:szCs w:val="21"/>
                      <w:highlight w:val="none"/>
                    </w:rPr>
                  </w:pPr>
                  <w:r>
                    <w:rPr>
                      <w:rFonts w:hint="eastAsia"/>
                      <w:b w:val="0"/>
                      <w:bCs w:val="0"/>
                      <w:color w:val="auto"/>
                      <w:szCs w:val="21"/>
                      <w:highlight w:val="none"/>
                    </w:rPr>
                    <w:t>本项目情况</w:t>
                  </w:r>
                </w:p>
              </w:tc>
              <w:tc>
                <w:tcPr>
                  <w:tcW w:w="233" w:type="pct"/>
                  <w:vAlign w:val="center"/>
                </w:tcPr>
                <w:p w14:paraId="0DD232E3">
                  <w:pPr>
                    <w:pStyle w:val="80"/>
                    <w:keepNext w:val="0"/>
                    <w:keepLines w:val="0"/>
                    <w:widowControl/>
                    <w:suppressLineNumbers w:val="0"/>
                    <w:spacing w:before="0" w:beforeAutospacing="0" w:after="0" w:afterAutospacing="0"/>
                    <w:ind w:left="0" w:right="0"/>
                    <w:rPr>
                      <w:rFonts w:hint="default"/>
                      <w:b w:val="0"/>
                      <w:bCs w:val="0"/>
                      <w:color w:val="auto"/>
                      <w:szCs w:val="21"/>
                      <w:highlight w:val="none"/>
                    </w:rPr>
                  </w:pPr>
                  <w:r>
                    <w:rPr>
                      <w:rFonts w:hint="eastAsia"/>
                      <w:b w:val="0"/>
                      <w:bCs w:val="0"/>
                      <w:color w:val="auto"/>
                      <w:szCs w:val="21"/>
                      <w:highlight w:val="none"/>
                    </w:rPr>
                    <w:t>符合性</w:t>
                  </w:r>
                </w:p>
              </w:tc>
            </w:tr>
            <w:tr w14:paraId="60DD65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397" w:hRule="atLeast"/>
                <w:jc w:val="center"/>
              </w:trPr>
              <w:tc>
                <w:tcPr>
                  <w:tcW w:w="583" w:type="pct"/>
                  <w:vAlign w:val="center"/>
                </w:tcPr>
                <w:p w14:paraId="0273E744">
                  <w:pPr>
                    <w:pStyle w:val="80"/>
                    <w:keepNext w:val="0"/>
                    <w:keepLines w:val="0"/>
                    <w:widowControl/>
                    <w:suppressLineNumbers w:val="0"/>
                    <w:spacing w:before="0" w:beforeAutospacing="0" w:after="0" w:afterAutospacing="0"/>
                    <w:ind w:left="0" w:right="0"/>
                    <w:rPr>
                      <w:rFonts w:hint="default"/>
                      <w:b w:val="0"/>
                      <w:bCs w:val="0"/>
                      <w:color w:val="auto"/>
                      <w:szCs w:val="21"/>
                      <w:highlight w:val="none"/>
                    </w:rPr>
                  </w:pPr>
                  <w:r>
                    <w:rPr>
                      <w:rFonts w:hint="default"/>
                      <w:b w:val="0"/>
                      <w:bCs w:val="0"/>
                      <w:color w:val="auto"/>
                      <w:szCs w:val="21"/>
                      <w:highlight w:val="none"/>
                    </w:rPr>
                    <w:t>《西咸新区泾河新城分区规划（2016-2035）》</w:t>
                  </w:r>
                </w:p>
              </w:tc>
              <w:tc>
                <w:tcPr>
                  <w:tcW w:w="2366" w:type="pct"/>
                  <w:vAlign w:val="center"/>
                </w:tcPr>
                <w:p w14:paraId="633E3C83">
                  <w:pPr>
                    <w:pStyle w:val="80"/>
                    <w:keepNext w:val="0"/>
                    <w:keepLines w:val="0"/>
                    <w:widowControl/>
                    <w:suppressLineNumbers w:val="0"/>
                    <w:spacing w:before="0" w:beforeAutospacing="0" w:after="0" w:afterAutospacing="0"/>
                    <w:ind w:left="0" w:right="0"/>
                    <w:jc w:val="both"/>
                    <w:rPr>
                      <w:rFonts w:hint="default"/>
                      <w:b w:val="0"/>
                      <w:bCs w:val="0"/>
                      <w:color w:val="auto"/>
                      <w:szCs w:val="21"/>
                      <w:highlight w:val="none"/>
                    </w:rPr>
                  </w:pPr>
                  <w:r>
                    <w:rPr>
                      <w:rFonts w:hint="default"/>
                      <w:b w:val="0"/>
                      <w:bCs w:val="0"/>
                      <w:color w:val="auto"/>
                      <w:szCs w:val="21"/>
                      <w:highlight w:val="none"/>
                    </w:rPr>
                    <w:t>规划将泾河新城总体定位为：以先进制造业、现代服务业、现代农业为主导产业，以智能制造、生产性服务、文化旅游和茯茶产业为特色产业，具有浓厚古今文化韵味、智慧宜居氛围的大西安北部生态休闲示范区和渭北创新产业服务高地。产业发展规划：重点打造以先进制造业、现代服务业、现代农业为主导产业，以智能制造、生产性服务、文化旅游和茯茶产业为特色产业。</w:t>
                  </w:r>
                </w:p>
              </w:tc>
              <w:tc>
                <w:tcPr>
                  <w:tcW w:w="1815" w:type="pct"/>
                  <w:vAlign w:val="center"/>
                </w:tcPr>
                <w:p w14:paraId="34B7C689">
                  <w:pPr>
                    <w:pStyle w:val="80"/>
                    <w:keepNext w:val="0"/>
                    <w:keepLines w:val="0"/>
                    <w:widowControl/>
                    <w:suppressLineNumbers w:val="0"/>
                    <w:spacing w:before="0" w:beforeAutospacing="0" w:after="0" w:afterAutospacing="0"/>
                    <w:ind w:left="0" w:right="0"/>
                    <w:jc w:val="both"/>
                    <w:rPr>
                      <w:rFonts w:hint="default"/>
                      <w:b w:val="0"/>
                      <w:bCs w:val="0"/>
                      <w:color w:val="auto"/>
                      <w:szCs w:val="21"/>
                      <w:highlight w:val="none"/>
                    </w:rPr>
                  </w:pPr>
                  <w:r>
                    <w:rPr>
                      <w:rFonts w:hint="eastAsia"/>
                      <w:b w:val="0"/>
                      <w:bCs w:val="0"/>
                      <w:color w:val="auto"/>
                      <w:szCs w:val="21"/>
                      <w:highlight w:val="none"/>
                    </w:rPr>
                    <w:t>本项目位于陕西省西咸新区泾河新城</w:t>
                  </w:r>
                  <w:r>
                    <w:rPr>
                      <w:rFonts w:hint="eastAsia"/>
                      <w:b w:val="0"/>
                      <w:bCs w:val="0"/>
                      <w:color w:val="auto"/>
                      <w:szCs w:val="21"/>
                      <w:highlight w:val="none"/>
                      <w:lang w:val="en-US" w:eastAsia="zh-CN"/>
                    </w:rPr>
                    <w:t>泾干街道泾晨路西</w:t>
                  </w:r>
                  <w:r>
                    <w:rPr>
                      <w:rFonts w:hint="eastAsia"/>
                      <w:b w:val="0"/>
                      <w:bCs w:val="0"/>
                      <w:color w:val="auto"/>
                      <w:szCs w:val="21"/>
                      <w:highlight w:val="none"/>
                    </w:rPr>
                    <w:t>，属于规划范围内；项目</w:t>
                  </w:r>
                  <w:r>
                    <w:rPr>
                      <w:rFonts w:hint="eastAsia"/>
                      <w:b w:val="0"/>
                      <w:bCs w:val="0"/>
                      <w:color w:val="auto"/>
                      <w:szCs w:val="21"/>
                      <w:highlight w:val="none"/>
                      <w:lang w:val="en-US" w:eastAsia="zh-CN"/>
                    </w:rPr>
                    <w:t>为食品</w:t>
                  </w:r>
                  <w:r>
                    <w:rPr>
                      <w:rFonts w:hint="eastAsia"/>
                      <w:b w:val="0"/>
                      <w:bCs w:val="0"/>
                      <w:color w:val="auto"/>
                      <w:szCs w:val="21"/>
                      <w:highlight w:val="none"/>
                    </w:rPr>
                    <w:t>制造业，</w:t>
                  </w:r>
                  <w:r>
                    <w:rPr>
                      <w:rFonts w:hint="eastAsia"/>
                      <w:b w:val="0"/>
                      <w:bCs w:val="0"/>
                      <w:color w:val="auto"/>
                      <w:szCs w:val="21"/>
                      <w:highlight w:val="none"/>
                      <w:lang w:val="en-US" w:eastAsia="zh-CN"/>
                    </w:rPr>
                    <w:t>属于现代服务性产业，</w:t>
                  </w:r>
                  <w:r>
                    <w:rPr>
                      <w:rFonts w:hint="default"/>
                      <w:b w:val="0"/>
                      <w:bCs w:val="0"/>
                      <w:color w:val="auto"/>
                      <w:szCs w:val="21"/>
                      <w:highlight w:val="none"/>
                    </w:rPr>
                    <w:t>符合总体产业定位</w:t>
                  </w:r>
                  <w:r>
                    <w:rPr>
                      <w:rFonts w:hint="eastAsia"/>
                      <w:b w:val="0"/>
                      <w:bCs w:val="0"/>
                      <w:color w:val="auto"/>
                      <w:szCs w:val="21"/>
                      <w:highlight w:val="none"/>
                    </w:rPr>
                    <w:t>。</w:t>
                  </w:r>
                </w:p>
              </w:tc>
              <w:tc>
                <w:tcPr>
                  <w:tcW w:w="233" w:type="pct"/>
                  <w:vAlign w:val="center"/>
                </w:tcPr>
                <w:p w14:paraId="51C55ADF">
                  <w:pPr>
                    <w:pStyle w:val="80"/>
                    <w:keepNext w:val="0"/>
                    <w:keepLines w:val="0"/>
                    <w:widowControl/>
                    <w:suppressLineNumbers w:val="0"/>
                    <w:spacing w:before="0" w:beforeAutospacing="0" w:after="0" w:afterAutospacing="0"/>
                    <w:ind w:left="0" w:right="0"/>
                    <w:rPr>
                      <w:rFonts w:hint="default"/>
                      <w:b w:val="0"/>
                      <w:bCs w:val="0"/>
                      <w:color w:val="auto"/>
                      <w:szCs w:val="21"/>
                      <w:highlight w:val="none"/>
                    </w:rPr>
                  </w:pPr>
                  <w:r>
                    <w:rPr>
                      <w:rFonts w:hint="default"/>
                      <w:b w:val="0"/>
                      <w:bCs w:val="0"/>
                      <w:color w:val="auto"/>
                      <w:szCs w:val="21"/>
                      <w:highlight w:val="none"/>
                    </w:rPr>
                    <w:t>符合</w:t>
                  </w:r>
                </w:p>
              </w:tc>
            </w:tr>
            <w:tr w14:paraId="649C91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1702" w:hRule="atLeast"/>
                <w:jc w:val="center"/>
              </w:trPr>
              <w:tc>
                <w:tcPr>
                  <w:tcW w:w="583" w:type="pct"/>
                  <w:vMerge w:val="restart"/>
                  <w:vAlign w:val="center"/>
                </w:tcPr>
                <w:p w14:paraId="5D7E7454">
                  <w:pPr>
                    <w:pStyle w:val="80"/>
                    <w:keepNext w:val="0"/>
                    <w:keepLines w:val="0"/>
                    <w:widowControl/>
                    <w:suppressLineNumbers w:val="0"/>
                    <w:spacing w:before="0" w:beforeAutospacing="0" w:after="0" w:afterAutospacing="0"/>
                    <w:ind w:left="0" w:right="0"/>
                    <w:rPr>
                      <w:rFonts w:hint="default"/>
                      <w:b w:val="0"/>
                      <w:bCs w:val="0"/>
                      <w:color w:val="auto"/>
                      <w:kern w:val="2"/>
                      <w:szCs w:val="21"/>
                      <w:highlight w:val="none"/>
                    </w:rPr>
                  </w:pPr>
                  <w:r>
                    <w:rPr>
                      <w:rFonts w:hint="default"/>
                      <w:b w:val="0"/>
                      <w:bCs w:val="0"/>
                      <w:color w:val="auto"/>
                      <w:szCs w:val="21"/>
                      <w:highlight w:val="none"/>
                    </w:rPr>
                    <w:t>《西咸新区泾河新城分区规划（2016-2035）》环境影响报告书及审查意见</w:t>
                  </w:r>
                </w:p>
              </w:tc>
              <w:tc>
                <w:tcPr>
                  <w:tcW w:w="2366" w:type="pct"/>
                  <w:vAlign w:val="center"/>
                </w:tcPr>
                <w:p w14:paraId="51E465C5">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对产生废气的固定源一</w:t>
                  </w:r>
                  <w:r>
                    <w:rPr>
                      <w:rFonts w:hint="eastAsia" w:cs="Times New Roman"/>
                      <w:b w:val="0"/>
                      <w:bCs w:val="0"/>
                      <w:color w:val="auto"/>
                      <w:szCs w:val="21"/>
                      <w:highlight w:val="none"/>
                      <w:lang w:val="en-US" w:eastAsia="zh-CN"/>
                    </w:rPr>
                    <w:t>方面</w:t>
                  </w:r>
                  <w:r>
                    <w:rPr>
                      <w:rFonts w:hint="default" w:ascii="Times New Roman" w:hAnsi="Times New Roman" w:eastAsia="宋体" w:cs="Times New Roman"/>
                      <w:b w:val="0"/>
                      <w:bCs w:val="0"/>
                      <w:color w:val="auto"/>
                      <w:szCs w:val="21"/>
                      <w:highlight w:val="none"/>
                    </w:rPr>
                    <w:t>要通过采用新技术、新工艺，淘汰落后、污染严重的设备，推行</w:t>
                  </w:r>
                  <w:r>
                    <w:rPr>
                      <w:rFonts w:hint="eastAsia" w:ascii="Times New Roman" w:hAnsi="Times New Roman" w:eastAsia="宋体" w:cs="Times New Roman"/>
                      <w:b w:val="0"/>
                      <w:bCs w:val="0"/>
                      <w:color w:val="auto"/>
                      <w:szCs w:val="21"/>
                      <w:highlight w:val="none"/>
                      <w:lang w:eastAsia="zh-CN"/>
                    </w:rPr>
                    <w:t>清洁</w:t>
                  </w:r>
                  <w:r>
                    <w:rPr>
                      <w:rFonts w:hint="default" w:ascii="Times New Roman" w:hAnsi="Times New Roman" w:eastAsia="宋体" w:cs="Times New Roman"/>
                      <w:b w:val="0"/>
                      <w:bCs w:val="0"/>
                      <w:color w:val="auto"/>
                      <w:szCs w:val="21"/>
                      <w:highlight w:val="none"/>
                    </w:rPr>
                    <w:t>生产，另一</w:t>
                  </w:r>
                  <w:r>
                    <w:rPr>
                      <w:rFonts w:hint="eastAsia" w:cs="Times New Roman"/>
                      <w:b w:val="0"/>
                      <w:bCs w:val="0"/>
                      <w:color w:val="auto"/>
                      <w:szCs w:val="21"/>
                      <w:highlight w:val="none"/>
                      <w:lang w:val="en-US" w:eastAsia="zh-CN"/>
                    </w:rPr>
                    <w:t>方面</w:t>
                  </w:r>
                  <w:r>
                    <w:rPr>
                      <w:rFonts w:hint="default" w:ascii="Times New Roman" w:hAnsi="Times New Roman" w:eastAsia="宋体" w:cs="Times New Roman"/>
                      <w:b w:val="0"/>
                      <w:bCs w:val="0"/>
                      <w:color w:val="auto"/>
                      <w:szCs w:val="21"/>
                      <w:highlight w:val="none"/>
                    </w:rPr>
                    <w:t>应加强管理，确保废气治理设施稳定</w:t>
                  </w:r>
                  <w:r>
                    <w:rPr>
                      <w:rFonts w:hint="eastAsia" w:ascii="Times New Roman" w:hAnsi="Times New Roman" w:eastAsia="宋体" w:cs="Times New Roman"/>
                      <w:b w:val="0"/>
                      <w:bCs w:val="0"/>
                      <w:color w:val="auto"/>
                      <w:szCs w:val="21"/>
                      <w:highlight w:val="none"/>
                      <w:lang w:eastAsia="zh-CN"/>
                    </w:rPr>
                    <w:t>高效</w:t>
                  </w:r>
                  <w:r>
                    <w:rPr>
                      <w:rFonts w:hint="default" w:ascii="Times New Roman" w:hAnsi="Times New Roman" w:eastAsia="宋体" w:cs="Times New Roman"/>
                      <w:b w:val="0"/>
                      <w:bCs w:val="0"/>
                      <w:color w:val="auto"/>
                      <w:szCs w:val="21"/>
                      <w:highlight w:val="none"/>
                    </w:rPr>
                    <w:t>运行，降低排放。</w:t>
                  </w:r>
                </w:p>
              </w:tc>
              <w:tc>
                <w:tcPr>
                  <w:tcW w:w="1815" w:type="pct"/>
                  <w:vAlign w:val="center"/>
                </w:tcPr>
                <w:p w14:paraId="5D74D1D9">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项目</w:t>
                  </w:r>
                  <w:r>
                    <w:rPr>
                      <w:rFonts w:hint="eastAsia" w:cs="Times New Roman"/>
                      <w:b w:val="0"/>
                      <w:bCs w:val="0"/>
                      <w:color w:val="auto"/>
                      <w:szCs w:val="21"/>
                      <w:highlight w:val="none"/>
                      <w:lang w:val="en-US" w:eastAsia="zh-CN"/>
                    </w:rPr>
                    <w:t>配料间、冷却间、内包间</w:t>
                  </w:r>
                  <w:r>
                    <w:rPr>
                      <w:rFonts w:hint="default" w:ascii="Times New Roman" w:hAnsi="Times New Roman" w:eastAsia="宋体" w:cs="Times New Roman"/>
                      <w:b w:val="0"/>
                      <w:bCs w:val="0"/>
                      <w:color w:val="auto"/>
                      <w:szCs w:val="21"/>
                      <w:highlight w:val="none"/>
                    </w:rPr>
                    <w:t>采用洁净车间，</w:t>
                  </w:r>
                  <w:r>
                    <w:rPr>
                      <w:rFonts w:hint="eastAsia" w:cs="Times New Roman"/>
                      <w:b w:val="0"/>
                      <w:bCs w:val="0"/>
                      <w:color w:val="auto"/>
                      <w:szCs w:val="21"/>
                      <w:highlight w:val="none"/>
                      <w:lang w:val="en-US" w:eastAsia="zh-CN"/>
                    </w:rPr>
                    <w:t>油烟</w:t>
                  </w:r>
                  <w:r>
                    <w:rPr>
                      <w:rFonts w:hint="default" w:ascii="Times New Roman" w:hAnsi="Times New Roman" w:eastAsia="宋体" w:cs="Times New Roman"/>
                      <w:b w:val="0"/>
                      <w:bCs w:val="0"/>
                      <w:color w:val="auto"/>
                      <w:szCs w:val="21"/>
                      <w:highlight w:val="none"/>
                    </w:rPr>
                    <w:t>废气</w:t>
                  </w:r>
                  <w:r>
                    <w:rPr>
                      <w:rFonts w:hint="eastAsia" w:cs="Times New Roman"/>
                      <w:b w:val="0"/>
                      <w:bCs w:val="0"/>
                      <w:color w:val="auto"/>
                      <w:szCs w:val="21"/>
                      <w:highlight w:val="none"/>
                      <w:lang w:val="en-US" w:eastAsia="zh-CN"/>
                    </w:rPr>
                    <w:t>经管道收集引至楼顶高效油烟净化器</w:t>
                  </w:r>
                  <w:r>
                    <w:rPr>
                      <w:rFonts w:hint="default" w:ascii="Times New Roman" w:hAnsi="Times New Roman" w:eastAsia="宋体" w:cs="Times New Roman"/>
                      <w:b w:val="0"/>
                      <w:bCs w:val="0"/>
                      <w:color w:val="auto"/>
                      <w:szCs w:val="21"/>
                      <w:highlight w:val="none"/>
                    </w:rPr>
                    <w:t>处理后</w:t>
                  </w:r>
                  <w:r>
                    <w:rPr>
                      <w:rFonts w:hint="eastAsia" w:cs="Times New Roman"/>
                      <w:b w:val="0"/>
                      <w:bCs w:val="0"/>
                      <w:color w:val="auto"/>
                      <w:szCs w:val="21"/>
                      <w:highlight w:val="none"/>
                      <w:lang w:val="en-US" w:eastAsia="zh-CN"/>
                    </w:rPr>
                    <w:t>通过24m高排气筒</w:t>
                  </w:r>
                  <w:r>
                    <w:rPr>
                      <w:rFonts w:hint="default" w:ascii="Times New Roman" w:hAnsi="Times New Roman" w:eastAsia="宋体" w:cs="Times New Roman"/>
                      <w:b w:val="0"/>
                      <w:bCs w:val="0"/>
                      <w:color w:val="auto"/>
                      <w:szCs w:val="21"/>
                      <w:highlight w:val="none"/>
                    </w:rPr>
                    <w:t>达标排放</w:t>
                  </w:r>
                  <w:r>
                    <w:rPr>
                      <w:rFonts w:hint="eastAsia" w:cs="Times New Roman"/>
                      <w:b w:val="0"/>
                      <w:bCs w:val="0"/>
                      <w:color w:val="auto"/>
                      <w:szCs w:val="21"/>
                      <w:highlight w:val="none"/>
                      <w:lang w:eastAsia="zh-CN"/>
                    </w:rPr>
                    <w:t>；</w:t>
                  </w:r>
                  <w:r>
                    <w:rPr>
                      <w:rFonts w:hint="eastAsia" w:cs="Times New Roman"/>
                      <w:b w:val="0"/>
                      <w:bCs w:val="0"/>
                      <w:color w:val="auto"/>
                      <w:szCs w:val="21"/>
                      <w:highlight w:val="none"/>
                      <w:lang w:val="en-US" w:eastAsia="zh-CN"/>
                    </w:rPr>
                    <w:t>异味采用生物抑制剂处理</w:t>
                  </w:r>
                  <w:r>
                    <w:rPr>
                      <w:rFonts w:hint="default" w:ascii="Times New Roman" w:hAnsi="Times New Roman" w:eastAsia="宋体" w:cs="Times New Roman"/>
                      <w:b w:val="0"/>
                      <w:bCs w:val="0"/>
                      <w:color w:val="auto"/>
                      <w:szCs w:val="21"/>
                      <w:highlight w:val="none"/>
                    </w:rPr>
                    <w:t>。</w:t>
                  </w:r>
                </w:p>
              </w:tc>
              <w:tc>
                <w:tcPr>
                  <w:tcW w:w="233" w:type="pct"/>
                  <w:vAlign w:val="center"/>
                </w:tcPr>
                <w:p w14:paraId="11AAF320">
                  <w:pPr>
                    <w:pStyle w:val="194"/>
                    <w:suppressLineNumbers w:val="0"/>
                    <w:bidi w:val="0"/>
                    <w:spacing w:beforeAutospacing="0" w:afterAutospacing="0"/>
                    <w:ind w:left="0" w:right="0" w:firstLine="0" w:firstLineChars="0"/>
                    <w:jc w:val="center"/>
                    <w:rPr>
                      <w:rFonts w:hint="default"/>
                      <w:b w:val="0"/>
                      <w:bCs w:val="0"/>
                      <w:color w:val="auto"/>
                      <w:szCs w:val="21"/>
                      <w:highlight w:val="none"/>
                    </w:rPr>
                  </w:pPr>
                  <w:r>
                    <w:rPr>
                      <w:rFonts w:hint="default"/>
                      <w:b w:val="0"/>
                      <w:bCs w:val="0"/>
                      <w:color w:val="auto"/>
                      <w:highlight w:val="none"/>
                    </w:rPr>
                    <w:t>符合</w:t>
                  </w:r>
                </w:p>
              </w:tc>
            </w:tr>
            <w:tr w14:paraId="75C1CF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583" w:type="pct"/>
                  <w:vMerge w:val="continue"/>
                  <w:vAlign w:val="center"/>
                </w:tcPr>
                <w:p w14:paraId="09434AFD">
                  <w:pPr>
                    <w:pStyle w:val="80"/>
                    <w:keepNext w:val="0"/>
                    <w:keepLines w:val="0"/>
                    <w:widowControl/>
                    <w:suppressLineNumbers w:val="0"/>
                    <w:spacing w:before="0" w:beforeAutospacing="0" w:after="0" w:afterAutospacing="0"/>
                    <w:ind w:left="0" w:right="0"/>
                    <w:rPr>
                      <w:rFonts w:hint="default"/>
                      <w:b w:val="0"/>
                      <w:bCs w:val="0"/>
                      <w:color w:val="auto"/>
                      <w:szCs w:val="21"/>
                      <w:highlight w:val="none"/>
                    </w:rPr>
                  </w:pPr>
                </w:p>
              </w:tc>
              <w:tc>
                <w:tcPr>
                  <w:tcW w:w="2366" w:type="pct"/>
                  <w:vAlign w:val="center"/>
                </w:tcPr>
                <w:p w14:paraId="619D1CFE">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加强环境风险防范措施。企业优化布局，将易发生风险事故的设备、厂房在</w:t>
                  </w:r>
                  <w:r>
                    <w:rPr>
                      <w:rFonts w:hint="eastAsia" w:ascii="Times New Roman" w:hAnsi="Times New Roman" w:eastAsia="宋体" w:cs="Times New Roman"/>
                      <w:b w:val="0"/>
                      <w:bCs w:val="0"/>
                      <w:color w:val="auto"/>
                      <w:szCs w:val="21"/>
                      <w:highlight w:val="none"/>
                      <w:lang w:eastAsia="zh-CN"/>
                    </w:rPr>
                    <w:t>平面布置</w:t>
                  </w:r>
                  <w:r>
                    <w:rPr>
                      <w:rFonts w:hint="default" w:ascii="Times New Roman" w:hAnsi="Times New Roman" w:eastAsia="宋体" w:cs="Times New Roman"/>
                      <w:b w:val="0"/>
                      <w:bCs w:val="0"/>
                      <w:color w:val="auto"/>
                      <w:szCs w:val="21"/>
                      <w:highlight w:val="none"/>
                    </w:rPr>
                    <w:t>中远离敏感区：仓储区/储罐区应加强</w:t>
                  </w:r>
                  <w:r>
                    <w:rPr>
                      <w:rFonts w:hint="eastAsia" w:ascii="Times New Roman" w:hAnsi="Times New Roman" w:eastAsia="宋体" w:cs="Times New Roman"/>
                      <w:b w:val="0"/>
                      <w:bCs w:val="0"/>
                      <w:color w:val="auto"/>
                      <w:szCs w:val="21"/>
                      <w:highlight w:val="none"/>
                      <w:lang w:eastAsia="zh-CN"/>
                    </w:rPr>
                    <w:t>日常</w:t>
                  </w:r>
                  <w:r>
                    <w:rPr>
                      <w:rFonts w:hint="default" w:ascii="Times New Roman" w:hAnsi="Times New Roman" w:eastAsia="宋体" w:cs="Times New Roman"/>
                      <w:b w:val="0"/>
                      <w:bCs w:val="0"/>
                      <w:color w:val="auto"/>
                      <w:szCs w:val="21"/>
                      <w:highlight w:val="none"/>
                    </w:rPr>
                    <w:t>生产管理和设备维护，做好通风设施，定期</w:t>
                  </w:r>
                  <w:r>
                    <w:rPr>
                      <w:rFonts w:hint="eastAsia" w:ascii="Times New Roman" w:hAnsi="Times New Roman" w:eastAsia="宋体" w:cs="Times New Roman"/>
                      <w:b w:val="0"/>
                      <w:bCs w:val="0"/>
                      <w:color w:val="auto"/>
                      <w:szCs w:val="21"/>
                      <w:highlight w:val="none"/>
                      <w:lang w:eastAsia="zh-CN"/>
                    </w:rPr>
                    <w:t>检漏</w:t>
                  </w:r>
                  <w:r>
                    <w:rPr>
                      <w:rFonts w:hint="default" w:ascii="Times New Roman" w:hAnsi="Times New Roman" w:eastAsia="宋体" w:cs="Times New Roman"/>
                      <w:b w:val="0"/>
                      <w:bCs w:val="0"/>
                      <w:color w:val="auto"/>
                      <w:szCs w:val="21"/>
                      <w:highlight w:val="none"/>
                    </w:rPr>
                    <w:t>，避免环境风险泄漏和燃爆事故发生；设置先进的自动控制系统企业建立风险应急机制，做好风险防范措施。</w:t>
                  </w:r>
                </w:p>
              </w:tc>
              <w:tc>
                <w:tcPr>
                  <w:tcW w:w="1815" w:type="pct"/>
                  <w:vAlign w:val="center"/>
                </w:tcPr>
                <w:p w14:paraId="2449EE50">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本项目厂区已做优化布局，锅炉置于锅炉房内，并加强</w:t>
                  </w:r>
                  <w:r>
                    <w:rPr>
                      <w:rFonts w:hint="eastAsia" w:ascii="Times New Roman" w:hAnsi="Times New Roman" w:eastAsia="宋体" w:cs="Times New Roman"/>
                      <w:b w:val="0"/>
                      <w:bCs w:val="0"/>
                      <w:color w:val="auto"/>
                      <w:szCs w:val="21"/>
                      <w:highlight w:val="none"/>
                      <w:lang w:eastAsia="zh-CN"/>
                    </w:rPr>
                    <w:t>日常</w:t>
                  </w:r>
                  <w:r>
                    <w:rPr>
                      <w:rFonts w:hint="default" w:ascii="Times New Roman" w:hAnsi="Times New Roman" w:eastAsia="宋体" w:cs="Times New Roman"/>
                      <w:b w:val="0"/>
                      <w:bCs w:val="0"/>
                      <w:color w:val="auto"/>
                      <w:szCs w:val="21"/>
                      <w:highlight w:val="none"/>
                    </w:rPr>
                    <w:t>生产管理和设备维护，</w:t>
                  </w:r>
                  <w:r>
                    <w:rPr>
                      <w:rFonts w:hint="eastAsia" w:ascii="Times New Roman" w:hAnsi="Times New Roman" w:eastAsia="宋体" w:cs="Times New Roman"/>
                      <w:b w:val="0"/>
                      <w:bCs w:val="0"/>
                      <w:color w:val="auto"/>
                      <w:szCs w:val="21"/>
                      <w:highlight w:val="none"/>
                      <w:lang w:val="en-US" w:eastAsia="zh-CN"/>
                    </w:rPr>
                    <w:t>设专人定期</w:t>
                  </w:r>
                  <w:r>
                    <w:rPr>
                      <w:rFonts w:hint="eastAsia" w:cs="Times New Roman"/>
                      <w:b w:val="0"/>
                      <w:bCs w:val="0"/>
                      <w:color w:val="auto"/>
                      <w:szCs w:val="21"/>
                      <w:highlight w:val="none"/>
                      <w:lang w:val="en-US" w:eastAsia="zh-CN"/>
                    </w:rPr>
                    <w:t>维护</w:t>
                  </w:r>
                  <w:r>
                    <w:rPr>
                      <w:rFonts w:hint="default" w:ascii="Times New Roman" w:hAnsi="Times New Roman" w:eastAsia="宋体" w:cs="Times New Roman"/>
                      <w:b w:val="0"/>
                      <w:bCs w:val="0"/>
                      <w:color w:val="auto"/>
                      <w:szCs w:val="21"/>
                      <w:highlight w:val="none"/>
                    </w:rPr>
                    <w:t>，</w:t>
                  </w:r>
                  <w:r>
                    <w:rPr>
                      <w:rFonts w:hint="eastAsia" w:ascii="Times New Roman" w:hAnsi="Times New Roman" w:eastAsia="宋体" w:cs="Times New Roman"/>
                      <w:b w:val="0"/>
                      <w:bCs w:val="0"/>
                      <w:color w:val="auto"/>
                      <w:szCs w:val="21"/>
                      <w:highlight w:val="none"/>
                      <w:lang w:val="en-US" w:eastAsia="zh-CN"/>
                    </w:rPr>
                    <w:t>降低和预防事故的发生；并</w:t>
                  </w:r>
                  <w:r>
                    <w:rPr>
                      <w:rFonts w:hint="default" w:ascii="Times New Roman" w:hAnsi="Times New Roman" w:eastAsia="宋体" w:cs="Times New Roman"/>
                      <w:b w:val="0"/>
                      <w:bCs w:val="0"/>
                      <w:color w:val="auto"/>
                      <w:szCs w:val="21"/>
                      <w:highlight w:val="none"/>
                    </w:rPr>
                    <w:t>建立风险应急机制，</w:t>
                  </w:r>
                  <w:r>
                    <w:rPr>
                      <w:rFonts w:hint="eastAsia" w:ascii="Times New Roman" w:hAnsi="Times New Roman" w:eastAsia="宋体" w:cs="Times New Roman"/>
                      <w:b w:val="0"/>
                      <w:bCs w:val="0"/>
                      <w:color w:val="auto"/>
                      <w:szCs w:val="21"/>
                      <w:highlight w:val="none"/>
                      <w:lang w:val="en-US" w:eastAsia="zh-CN"/>
                    </w:rPr>
                    <w:t>项目建成后企业应编制突发环境事件应急预案，日常做好</w:t>
                  </w:r>
                  <w:r>
                    <w:rPr>
                      <w:rFonts w:hint="default" w:ascii="Times New Roman" w:hAnsi="Times New Roman" w:eastAsia="宋体" w:cs="Times New Roman"/>
                      <w:b w:val="0"/>
                      <w:bCs w:val="0"/>
                      <w:color w:val="auto"/>
                      <w:szCs w:val="21"/>
                      <w:highlight w:val="none"/>
                    </w:rPr>
                    <w:t>风险防范措施</w:t>
                  </w:r>
                  <w:r>
                    <w:rPr>
                      <w:rFonts w:hint="eastAsia" w:ascii="Times New Roman" w:hAnsi="Times New Roman" w:eastAsia="宋体" w:cs="Times New Roman"/>
                      <w:b w:val="0"/>
                      <w:bCs w:val="0"/>
                      <w:color w:val="auto"/>
                      <w:szCs w:val="21"/>
                      <w:highlight w:val="none"/>
                      <w:lang w:val="en-US" w:eastAsia="zh-CN"/>
                    </w:rPr>
                    <w:t>。</w:t>
                  </w:r>
                </w:p>
              </w:tc>
              <w:tc>
                <w:tcPr>
                  <w:tcW w:w="233" w:type="pct"/>
                  <w:vAlign w:val="center"/>
                </w:tcPr>
                <w:p w14:paraId="26DBAEE6">
                  <w:pPr>
                    <w:pStyle w:val="194"/>
                    <w:suppressLineNumbers w:val="0"/>
                    <w:bidi w:val="0"/>
                    <w:spacing w:beforeAutospacing="0" w:afterAutospacing="0"/>
                    <w:ind w:left="0" w:right="0" w:firstLine="0" w:firstLineChars="0"/>
                    <w:jc w:val="center"/>
                    <w:rPr>
                      <w:rFonts w:hint="default"/>
                      <w:b w:val="0"/>
                      <w:bCs w:val="0"/>
                      <w:color w:val="auto"/>
                      <w:szCs w:val="21"/>
                      <w:highlight w:val="none"/>
                    </w:rPr>
                  </w:pPr>
                  <w:r>
                    <w:rPr>
                      <w:rFonts w:hint="default"/>
                      <w:b w:val="0"/>
                      <w:bCs w:val="0"/>
                      <w:color w:val="auto"/>
                      <w:highlight w:val="none"/>
                    </w:rPr>
                    <w:t>符合</w:t>
                  </w:r>
                </w:p>
              </w:tc>
            </w:tr>
            <w:tr w14:paraId="349FD4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165" w:hRule="atLeast"/>
                <w:jc w:val="center"/>
              </w:trPr>
              <w:tc>
                <w:tcPr>
                  <w:tcW w:w="583" w:type="pct"/>
                  <w:vMerge w:val="continue"/>
                  <w:vAlign w:val="center"/>
                </w:tcPr>
                <w:p w14:paraId="006EE367">
                  <w:pPr>
                    <w:pStyle w:val="80"/>
                    <w:keepNext w:val="0"/>
                    <w:keepLines w:val="0"/>
                    <w:widowControl/>
                    <w:suppressLineNumbers w:val="0"/>
                    <w:spacing w:before="0" w:beforeAutospacing="0" w:after="0" w:afterAutospacing="0"/>
                    <w:ind w:left="0" w:right="0"/>
                    <w:rPr>
                      <w:rFonts w:hint="default"/>
                      <w:b w:val="0"/>
                      <w:bCs w:val="0"/>
                      <w:color w:val="auto"/>
                      <w:szCs w:val="21"/>
                      <w:highlight w:val="none"/>
                    </w:rPr>
                  </w:pPr>
                </w:p>
              </w:tc>
              <w:tc>
                <w:tcPr>
                  <w:tcW w:w="2366" w:type="pct"/>
                  <w:vAlign w:val="center"/>
                </w:tcPr>
                <w:p w14:paraId="5AEED0E3">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对饮食业、单位食堂等确保使用清洁能源和安装符合要求的油烟净化设施。</w:t>
                  </w:r>
                </w:p>
              </w:tc>
              <w:tc>
                <w:tcPr>
                  <w:tcW w:w="1815" w:type="pct"/>
                  <w:vAlign w:val="center"/>
                </w:tcPr>
                <w:p w14:paraId="3F69751E">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本</w:t>
                  </w:r>
                  <w:r>
                    <w:rPr>
                      <w:rFonts w:hint="default" w:ascii="Times New Roman" w:hAnsi="Times New Roman" w:eastAsia="宋体" w:cs="Times New Roman"/>
                      <w:b w:val="0"/>
                      <w:bCs w:val="0"/>
                      <w:color w:val="auto"/>
                      <w:szCs w:val="21"/>
                      <w:highlight w:val="none"/>
                    </w:rPr>
                    <w:t>项目</w:t>
                  </w:r>
                  <w:r>
                    <w:rPr>
                      <w:rFonts w:hint="eastAsia" w:cs="Times New Roman"/>
                      <w:b w:val="0"/>
                      <w:bCs w:val="0"/>
                      <w:color w:val="auto"/>
                      <w:szCs w:val="21"/>
                      <w:highlight w:val="none"/>
                      <w:lang w:val="en-US" w:eastAsia="zh-CN"/>
                    </w:rPr>
                    <w:t>运营期</w:t>
                  </w:r>
                  <w:r>
                    <w:rPr>
                      <w:rFonts w:hint="default" w:ascii="Times New Roman" w:hAnsi="Times New Roman" w:eastAsia="宋体" w:cs="Times New Roman"/>
                      <w:b w:val="0"/>
                      <w:bCs w:val="0"/>
                      <w:color w:val="auto"/>
                      <w:szCs w:val="21"/>
                      <w:highlight w:val="none"/>
                    </w:rPr>
                    <w:t>使用</w:t>
                  </w:r>
                  <w:r>
                    <w:rPr>
                      <w:rFonts w:hint="eastAsia" w:ascii="Times New Roman" w:hAnsi="Times New Roman" w:eastAsia="宋体" w:cs="Times New Roman"/>
                      <w:b w:val="0"/>
                      <w:bCs w:val="0"/>
                      <w:color w:val="auto"/>
                      <w:szCs w:val="21"/>
                      <w:highlight w:val="none"/>
                      <w:lang w:val="en-US" w:eastAsia="zh-CN"/>
                    </w:rPr>
                    <w:t>电能</w:t>
                  </w:r>
                  <w:r>
                    <w:rPr>
                      <w:rFonts w:hint="eastAsia" w:cs="Times New Roman"/>
                      <w:b w:val="0"/>
                      <w:bCs w:val="0"/>
                      <w:color w:val="auto"/>
                      <w:szCs w:val="21"/>
                      <w:highlight w:val="none"/>
                      <w:lang w:val="en-US" w:eastAsia="zh-CN"/>
                    </w:rPr>
                    <w:t>和天然气，均为清洁能源，并按要求安装高效油烟净化器。</w:t>
                  </w:r>
                </w:p>
              </w:tc>
              <w:tc>
                <w:tcPr>
                  <w:tcW w:w="233" w:type="pct"/>
                  <w:vAlign w:val="center"/>
                </w:tcPr>
                <w:p w14:paraId="1FF0E4CE">
                  <w:pPr>
                    <w:pStyle w:val="194"/>
                    <w:suppressLineNumbers w:val="0"/>
                    <w:bidi w:val="0"/>
                    <w:spacing w:beforeAutospacing="0" w:afterAutospacing="0"/>
                    <w:ind w:left="0" w:right="0" w:firstLine="0" w:firstLineChars="0"/>
                    <w:jc w:val="center"/>
                    <w:rPr>
                      <w:rFonts w:hint="default"/>
                      <w:b w:val="0"/>
                      <w:bCs w:val="0"/>
                      <w:color w:val="auto"/>
                      <w:szCs w:val="21"/>
                      <w:highlight w:val="none"/>
                    </w:rPr>
                  </w:pPr>
                  <w:r>
                    <w:rPr>
                      <w:rFonts w:hint="default"/>
                      <w:b w:val="0"/>
                      <w:bCs w:val="0"/>
                      <w:color w:val="auto"/>
                      <w:highlight w:val="none"/>
                    </w:rPr>
                    <w:t>符合</w:t>
                  </w:r>
                </w:p>
              </w:tc>
            </w:tr>
            <w:tr w14:paraId="43DFE1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142" w:hRule="atLeast"/>
                <w:jc w:val="center"/>
              </w:trPr>
              <w:tc>
                <w:tcPr>
                  <w:tcW w:w="583" w:type="pct"/>
                  <w:vMerge w:val="continue"/>
                  <w:vAlign w:val="center"/>
                </w:tcPr>
                <w:p w14:paraId="4B60353D">
                  <w:pPr>
                    <w:pStyle w:val="80"/>
                    <w:keepNext w:val="0"/>
                    <w:keepLines w:val="0"/>
                    <w:widowControl/>
                    <w:suppressLineNumbers w:val="0"/>
                    <w:spacing w:before="0" w:beforeAutospacing="0" w:after="0" w:afterAutospacing="0"/>
                    <w:ind w:left="0" w:right="0"/>
                    <w:rPr>
                      <w:rFonts w:hint="default"/>
                      <w:b w:val="0"/>
                      <w:bCs w:val="0"/>
                      <w:color w:val="auto"/>
                      <w:szCs w:val="21"/>
                      <w:highlight w:val="none"/>
                    </w:rPr>
                  </w:pPr>
                </w:p>
              </w:tc>
              <w:tc>
                <w:tcPr>
                  <w:tcW w:w="2366" w:type="pct"/>
                  <w:vAlign w:val="center"/>
                </w:tcPr>
                <w:p w14:paraId="5E6C8FE3">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加强监督管理，确保入驻企业的污水预处理设施正常运行，保证进入污水处理厂的污水水质满足污水处理厂设计水质的要求，特别是严格控制含有毒有害污染物的废水排放，应根据下游污水处理厂的污水处理工艺和尾水排放标准，从严考虑接管标准。</w:t>
                  </w:r>
                </w:p>
              </w:tc>
              <w:tc>
                <w:tcPr>
                  <w:tcW w:w="1815" w:type="pct"/>
                  <w:vAlign w:val="center"/>
                </w:tcPr>
                <w:p w14:paraId="38335F6A">
                  <w:pPr>
                    <w:pStyle w:val="80"/>
                    <w:keepNext w:val="0"/>
                    <w:keepLines w:val="0"/>
                    <w:widowControl/>
                    <w:suppressLineNumbers w:val="0"/>
                    <w:spacing w:before="0" w:beforeAutospacing="0" w:after="0" w:afterAutospacing="0"/>
                    <w:ind w:left="0" w:right="0"/>
                    <w:jc w:val="both"/>
                    <w:rPr>
                      <w:rFonts w:hint="eastAsia" w:ascii="Times New Roman" w:hAnsi="Times New Roman" w:eastAsia="宋体" w:cs="Times New Roman"/>
                      <w:b w:val="0"/>
                      <w:bCs w:val="0"/>
                      <w:color w:val="auto"/>
                      <w:szCs w:val="21"/>
                      <w:highlight w:val="none"/>
                      <w:lang w:eastAsia="zh-CN"/>
                    </w:rPr>
                  </w:pPr>
                  <w:r>
                    <w:rPr>
                      <w:rFonts w:hint="default" w:ascii="Times New Roman" w:hAnsi="Times New Roman" w:eastAsia="宋体" w:cs="Times New Roman"/>
                      <w:b w:val="0"/>
                      <w:bCs w:val="0"/>
                      <w:color w:val="auto"/>
                      <w:szCs w:val="21"/>
                      <w:highlight w:val="none"/>
                    </w:rPr>
                    <w:t>本项目污水经</w:t>
                  </w:r>
                  <w:r>
                    <w:rPr>
                      <w:rFonts w:hint="eastAsia" w:cs="Times New Roman"/>
                      <w:b w:val="0"/>
                      <w:bCs w:val="0"/>
                      <w:color w:val="auto"/>
                      <w:szCs w:val="21"/>
                      <w:highlight w:val="none"/>
                      <w:lang w:val="en-US" w:eastAsia="zh-CN"/>
                    </w:rPr>
                    <w:t>地埋式</w:t>
                  </w:r>
                  <w:r>
                    <w:rPr>
                      <w:rFonts w:hint="eastAsia" w:ascii="Times New Roman" w:hAnsi="Times New Roman" w:eastAsia="宋体" w:cs="Times New Roman"/>
                      <w:b w:val="0"/>
                      <w:bCs w:val="0"/>
                      <w:color w:val="auto"/>
                      <w:szCs w:val="21"/>
                      <w:highlight w:val="none"/>
                      <w:lang w:val="en-US" w:eastAsia="zh-CN"/>
                    </w:rPr>
                    <w:t>污水处理设施</w:t>
                  </w:r>
                  <w:r>
                    <w:rPr>
                      <w:rFonts w:hint="default" w:ascii="Times New Roman" w:hAnsi="Times New Roman" w:eastAsia="宋体" w:cs="Times New Roman"/>
                      <w:b w:val="0"/>
                      <w:bCs w:val="0"/>
                      <w:color w:val="auto"/>
                      <w:szCs w:val="21"/>
                      <w:highlight w:val="none"/>
                    </w:rPr>
                    <w:t>处理后，各项污染物排放浓度满足泾河新城第</w:t>
                  </w:r>
                  <w:r>
                    <w:rPr>
                      <w:rFonts w:hint="eastAsia" w:cs="Times New Roman"/>
                      <w:b w:val="0"/>
                      <w:bCs w:val="0"/>
                      <w:color w:val="auto"/>
                      <w:szCs w:val="21"/>
                      <w:highlight w:val="none"/>
                      <w:lang w:val="en-US" w:eastAsia="zh-CN"/>
                    </w:rPr>
                    <w:t>二</w:t>
                  </w:r>
                  <w:r>
                    <w:rPr>
                      <w:rFonts w:hint="default" w:ascii="Times New Roman" w:hAnsi="Times New Roman" w:eastAsia="宋体" w:cs="Times New Roman"/>
                      <w:b w:val="0"/>
                      <w:bCs w:val="0"/>
                      <w:color w:val="auto"/>
                      <w:szCs w:val="21"/>
                      <w:highlight w:val="none"/>
                    </w:rPr>
                    <w:t>污水处理厂接管要求</w:t>
                  </w:r>
                  <w:r>
                    <w:rPr>
                      <w:rFonts w:hint="eastAsia" w:ascii="Times New Roman" w:hAnsi="Times New Roman" w:eastAsia="宋体" w:cs="Times New Roman"/>
                      <w:b w:val="0"/>
                      <w:bCs w:val="0"/>
                      <w:color w:val="auto"/>
                      <w:szCs w:val="21"/>
                      <w:highlight w:val="none"/>
                      <w:lang w:eastAsia="zh-CN"/>
                    </w:rPr>
                    <w:t>。</w:t>
                  </w:r>
                </w:p>
              </w:tc>
              <w:tc>
                <w:tcPr>
                  <w:tcW w:w="233" w:type="pct"/>
                  <w:vAlign w:val="center"/>
                </w:tcPr>
                <w:p w14:paraId="6D956A6C">
                  <w:pPr>
                    <w:pStyle w:val="194"/>
                    <w:suppressLineNumbers w:val="0"/>
                    <w:bidi w:val="0"/>
                    <w:spacing w:beforeAutospacing="0" w:afterAutospacing="0"/>
                    <w:ind w:left="0" w:right="0" w:firstLine="0" w:firstLineChars="0"/>
                    <w:jc w:val="center"/>
                    <w:rPr>
                      <w:rFonts w:hint="default"/>
                      <w:b w:val="0"/>
                      <w:bCs w:val="0"/>
                      <w:color w:val="auto"/>
                      <w:szCs w:val="21"/>
                      <w:highlight w:val="none"/>
                    </w:rPr>
                  </w:pPr>
                  <w:r>
                    <w:rPr>
                      <w:rFonts w:hint="default"/>
                      <w:b w:val="0"/>
                      <w:bCs w:val="0"/>
                      <w:color w:val="auto"/>
                      <w:highlight w:val="none"/>
                    </w:rPr>
                    <w:t>符合</w:t>
                  </w:r>
                </w:p>
              </w:tc>
            </w:tr>
            <w:tr w14:paraId="3B7702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248" w:hRule="atLeast"/>
                <w:jc w:val="center"/>
              </w:trPr>
              <w:tc>
                <w:tcPr>
                  <w:tcW w:w="583" w:type="pct"/>
                  <w:vMerge w:val="continue"/>
                  <w:vAlign w:val="center"/>
                </w:tcPr>
                <w:p w14:paraId="296896E3">
                  <w:pPr>
                    <w:pStyle w:val="80"/>
                    <w:keepNext w:val="0"/>
                    <w:keepLines w:val="0"/>
                    <w:widowControl/>
                    <w:suppressLineNumbers w:val="0"/>
                    <w:spacing w:before="0" w:beforeAutospacing="0" w:after="0" w:afterAutospacing="0"/>
                    <w:ind w:left="0" w:right="0"/>
                    <w:rPr>
                      <w:rFonts w:hint="default"/>
                      <w:b w:val="0"/>
                      <w:bCs w:val="0"/>
                      <w:color w:val="auto"/>
                      <w:szCs w:val="21"/>
                      <w:highlight w:val="none"/>
                    </w:rPr>
                  </w:pPr>
                </w:p>
              </w:tc>
              <w:tc>
                <w:tcPr>
                  <w:tcW w:w="2366" w:type="pct"/>
                  <w:vAlign w:val="center"/>
                </w:tcPr>
                <w:p w14:paraId="1CD386C9">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工业企业各种噪声源必须做到达标排放，达到《工业企业厂界环境噪声排放标准》（GB12348-2008）中相关标准要求。</w:t>
                  </w:r>
                </w:p>
              </w:tc>
              <w:tc>
                <w:tcPr>
                  <w:tcW w:w="1815" w:type="pct"/>
                  <w:vAlign w:val="center"/>
                </w:tcPr>
                <w:p w14:paraId="50780771">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项目产生的噪声经基础减振、厂房隔声、距离衰减后，噪声排放能够达到《工业企业厂界环境噪声排放标准》（GB12348-2008）中</w:t>
                  </w:r>
                  <w:r>
                    <w:rPr>
                      <w:rFonts w:hint="eastAsia" w:cs="Times New Roman"/>
                      <w:b w:val="0"/>
                      <w:bCs w:val="0"/>
                      <w:color w:val="auto"/>
                      <w:szCs w:val="21"/>
                      <w:highlight w:val="none"/>
                      <w:lang w:val="en-US" w:eastAsia="zh-CN"/>
                    </w:rPr>
                    <w:t>2</w:t>
                  </w:r>
                  <w:r>
                    <w:rPr>
                      <w:rFonts w:hint="default" w:ascii="Times New Roman" w:hAnsi="Times New Roman" w:eastAsia="宋体" w:cs="Times New Roman"/>
                      <w:b w:val="0"/>
                      <w:bCs w:val="0"/>
                      <w:color w:val="auto"/>
                      <w:szCs w:val="21"/>
                      <w:highlight w:val="none"/>
                    </w:rPr>
                    <w:t>类标准</w:t>
                  </w:r>
                  <w:r>
                    <w:rPr>
                      <w:rFonts w:hint="eastAsia" w:cs="Times New Roman"/>
                      <w:b w:val="0"/>
                      <w:bCs w:val="0"/>
                      <w:color w:val="auto"/>
                      <w:szCs w:val="21"/>
                      <w:highlight w:val="none"/>
                      <w:lang w:val="en-US" w:eastAsia="zh-CN"/>
                    </w:rPr>
                    <w:t>要求</w:t>
                  </w:r>
                  <w:r>
                    <w:rPr>
                      <w:rFonts w:hint="default" w:ascii="Times New Roman" w:hAnsi="Times New Roman" w:eastAsia="宋体" w:cs="Times New Roman"/>
                      <w:b w:val="0"/>
                      <w:bCs w:val="0"/>
                      <w:color w:val="auto"/>
                      <w:szCs w:val="21"/>
                      <w:highlight w:val="none"/>
                    </w:rPr>
                    <w:t>。</w:t>
                  </w:r>
                </w:p>
              </w:tc>
              <w:tc>
                <w:tcPr>
                  <w:tcW w:w="233" w:type="pct"/>
                  <w:vAlign w:val="center"/>
                </w:tcPr>
                <w:p w14:paraId="5ABD83C6">
                  <w:pPr>
                    <w:pStyle w:val="194"/>
                    <w:suppressLineNumbers w:val="0"/>
                    <w:bidi w:val="0"/>
                    <w:spacing w:beforeAutospacing="0" w:afterAutospacing="0"/>
                    <w:ind w:left="0" w:right="0" w:firstLine="0" w:firstLineChars="0"/>
                    <w:jc w:val="center"/>
                    <w:rPr>
                      <w:rFonts w:hint="default"/>
                      <w:b w:val="0"/>
                      <w:bCs w:val="0"/>
                      <w:color w:val="auto"/>
                      <w:szCs w:val="21"/>
                      <w:highlight w:val="none"/>
                    </w:rPr>
                  </w:pPr>
                  <w:r>
                    <w:rPr>
                      <w:rFonts w:hint="default"/>
                      <w:b w:val="0"/>
                      <w:bCs w:val="0"/>
                      <w:color w:val="auto"/>
                      <w:highlight w:val="none"/>
                    </w:rPr>
                    <w:t>符合</w:t>
                  </w:r>
                </w:p>
              </w:tc>
            </w:tr>
            <w:tr w14:paraId="0EEF8B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154" w:hRule="atLeast"/>
                <w:jc w:val="center"/>
              </w:trPr>
              <w:tc>
                <w:tcPr>
                  <w:tcW w:w="583" w:type="pct"/>
                  <w:vMerge w:val="continue"/>
                  <w:vAlign w:val="center"/>
                </w:tcPr>
                <w:p w14:paraId="482342E4">
                  <w:pPr>
                    <w:pStyle w:val="80"/>
                    <w:keepNext w:val="0"/>
                    <w:keepLines w:val="0"/>
                    <w:widowControl/>
                    <w:suppressLineNumbers w:val="0"/>
                    <w:spacing w:before="0" w:beforeAutospacing="0" w:after="0" w:afterAutospacing="0"/>
                    <w:ind w:left="0" w:right="0"/>
                    <w:rPr>
                      <w:rFonts w:hint="default"/>
                      <w:b w:val="0"/>
                      <w:bCs w:val="0"/>
                      <w:color w:val="auto"/>
                      <w:szCs w:val="21"/>
                      <w:highlight w:val="none"/>
                    </w:rPr>
                  </w:pPr>
                </w:p>
              </w:tc>
              <w:tc>
                <w:tcPr>
                  <w:tcW w:w="2366" w:type="pct"/>
                  <w:vAlign w:val="center"/>
                </w:tcPr>
                <w:p w14:paraId="6107358E">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各企业生产设备和辅助设备在选型、采购时应考虑使用低噪声、低振动的设备，从源头上控制噪声。确保防治环境噪声污染的设施必须正常使用。</w:t>
                  </w:r>
                </w:p>
              </w:tc>
              <w:tc>
                <w:tcPr>
                  <w:tcW w:w="1815" w:type="pct"/>
                  <w:vAlign w:val="center"/>
                </w:tcPr>
                <w:p w14:paraId="01149E11">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项目优先选用低噪声、低振动的设备。</w:t>
                  </w:r>
                </w:p>
              </w:tc>
              <w:tc>
                <w:tcPr>
                  <w:tcW w:w="233" w:type="pct"/>
                  <w:vAlign w:val="center"/>
                </w:tcPr>
                <w:p w14:paraId="47A024E5">
                  <w:pPr>
                    <w:pStyle w:val="194"/>
                    <w:suppressLineNumbers w:val="0"/>
                    <w:bidi w:val="0"/>
                    <w:spacing w:beforeAutospacing="0" w:afterAutospacing="0"/>
                    <w:ind w:left="0" w:right="0" w:firstLine="0" w:firstLineChars="0"/>
                    <w:jc w:val="center"/>
                    <w:rPr>
                      <w:rFonts w:hint="default"/>
                      <w:b w:val="0"/>
                      <w:bCs w:val="0"/>
                      <w:color w:val="auto"/>
                      <w:szCs w:val="21"/>
                      <w:highlight w:val="none"/>
                    </w:rPr>
                  </w:pPr>
                  <w:r>
                    <w:rPr>
                      <w:rFonts w:hint="default"/>
                      <w:b w:val="0"/>
                      <w:bCs w:val="0"/>
                      <w:color w:val="auto"/>
                      <w:highlight w:val="none"/>
                    </w:rPr>
                    <w:t>符合</w:t>
                  </w:r>
                </w:p>
              </w:tc>
            </w:tr>
            <w:tr w14:paraId="755602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166" w:hRule="atLeast"/>
                <w:jc w:val="center"/>
              </w:trPr>
              <w:tc>
                <w:tcPr>
                  <w:tcW w:w="583" w:type="pct"/>
                  <w:vMerge w:val="continue"/>
                  <w:vAlign w:val="center"/>
                </w:tcPr>
                <w:p w14:paraId="109B9FA5">
                  <w:pPr>
                    <w:pStyle w:val="80"/>
                    <w:keepNext w:val="0"/>
                    <w:keepLines w:val="0"/>
                    <w:widowControl/>
                    <w:suppressLineNumbers w:val="0"/>
                    <w:spacing w:before="0" w:beforeAutospacing="0" w:after="0" w:afterAutospacing="0"/>
                    <w:ind w:left="0" w:right="0"/>
                    <w:rPr>
                      <w:rFonts w:hint="default"/>
                      <w:b w:val="0"/>
                      <w:bCs w:val="0"/>
                      <w:color w:val="auto"/>
                      <w:szCs w:val="21"/>
                      <w:highlight w:val="none"/>
                    </w:rPr>
                  </w:pPr>
                </w:p>
              </w:tc>
              <w:tc>
                <w:tcPr>
                  <w:tcW w:w="2366" w:type="pct"/>
                  <w:vAlign w:val="center"/>
                </w:tcPr>
                <w:p w14:paraId="1211A9E4">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各工业企业应尽可能将高噪声设备布置在厂区的中央，以增加噪声的自然衰减距离，发挥建筑阻挡噪声传播的作用，既可减少车间噪声对外环境的影响，同时又可减少噪声治理费用。此外各企业噪声污染防治设施必须与主体工程同时设计、同时施工、同时投产使用；确保防治环境噪声污染的设施必须正常使用。</w:t>
                  </w:r>
                </w:p>
              </w:tc>
              <w:tc>
                <w:tcPr>
                  <w:tcW w:w="1815" w:type="pct"/>
                  <w:vAlign w:val="center"/>
                </w:tcPr>
                <w:p w14:paraId="02D1C9B1">
                  <w:pPr>
                    <w:pStyle w:val="80"/>
                    <w:keepNext w:val="0"/>
                    <w:keepLines w:val="0"/>
                    <w:widowControl/>
                    <w:suppressLineNumbers w:val="0"/>
                    <w:spacing w:before="0" w:beforeAutospacing="0" w:after="0" w:afterAutospacing="0"/>
                    <w:ind w:left="0" w:right="0"/>
                    <w:jc w:val="both"/>
                    <w:rPr>
                      <w:rFonts w:hint="eastAsia" w:ascii="Times New Roman" w:hAnsi="Times New Roman" w:eastAsia="宋体" w:cs="Times New Roman"/>
                      <w:b w:val="0"/>
                      <w:bCs w:val="0"/>
                      <w:color w:val="auto"/>
                      <w:szCs w:val="21"/>
                      <w:highlight w:val="none"/>
                      <w:lang w:eastAsia="zh-CN"/>
                    </w:rPr>
                  </w:pPr>
                  <w:r>
                    <w:rPr>
                      <w:rFonts w:hint="default" w:ascii="Times New Roman" w:hAnsi="Times New Roman" w:eastAsia="宋体" w:cs="Times New Roman"/>
                      <w:b w:val="0"/>
                      <w:bCs w:val="0"/>
                      <w:color w:val="auto"/>
                      <w:szCs w:val="21"/>
                      <w:highlight w:val="none"/>
                    </w:rPr>
                    <w:t>本项目</w:t>
                  </w:r>
                  <w:r>
                    <w:rPr>
                      <w:rFonts w:hint="eastAsia" w:cs="Times New Roman"/>
                      <w:b w:val="0"/>
                      <w:bCs w:val="0"/>
                      <w:color w:val="auto"/>
                      <w:szCs w:val="21"/>
                      <w:highlight w:val="none"/>
                      <w:lang w:val="en-US" w:eastAsia="zh-CN"/>
                    </w:rPr>
                    <w:t>使用的制冷机组、燃气锅炉、泵类、风机等</w:t>
                  </w:r>
                  <w:r>
                    <w:rPr>
                      <w:rFonts w:hint="default" w:ascii="Times New Roman" w:hAnsi="Times New Roman" w:eastAsia="宋体" w:cs="Times New Roman"/>
                      <w:b w:val="0"/>
                      <w:bCs w:val="0"/>
                      <w:color w:val="auto"/>
                      <w:szCs w:val="21"/>
                      <w:highlight w:val="none"/>
                    </w:rPr>
                    <w:t>高噪声设备布置在厂区中部及</w:t>
                  </w:r>
                  <w:r>
                    <w:rPr>
                      <w:rFonts w:hint="eastAsia" w:cs="Times New Roman"/>
                      <w:b w:val="0"/>
                      <w:bCs w:val="0"/>
                      <w:color w:val="auto"/>
                      <w:szCs w:val="21"/>
                      <w:highlight w:val="none"/>
                      <w:lang w:val="en-US" w:eastAsia="zh-CN"/>
                    </w:rPr>
                    <w:t>南</w:t>
                  </w:r>
                  <w:r>
                    <w:rPr>
                      <w:rFonts w:hint="default" w:ascii="Times New Roman" w:hAnsi="Times New Roman" w:eastAsia="宋体" w:cs="Times New Roman"/>
                      <w:b w:val="0"/>
                      <w:bCs w:val="0"/>
                      <w:color w:val="auto"/>
                      <w:szCs w:val="21"/>
                      <w:highlight w:val="none"/>
                    </w:rPr>
                    <w:t>侧。建设时噪声污染防治设施与主体工程同时设计、同时施工、同时投产使用；确保防治环境噪声污染的设施必须正常使用</w:t>
                  </w:r>
                  <w:r>
                    <w:rPr>
                      <w:rFonts w:hint="eastAsia" w:ascii="Times New Roman" w:hAnsi="Times New Roman" w:eastAsia="宋体" w:cs="Times New Roman"/>
                      <w:b w:val="0"/>
                      <w:bCs w:val="0"/>
                      <w:color w:val="auto"/>
                      <w:szCs w:val="21"/>
                      <w:highlight w:val="none"/>
                      <w:lang w:eastAsia="zh-CN"/>
                    </w:rPr>
                    <w:t>。</w:t>
                  </w:r>
                </w:p>
              </w:tc>
              <w:tc>
                <w:tcPr>
                  <w:tcW w:w="233" w:type="pct"/>
                  <w:vAlign w:val="center"/>
                </w:tcPr>
                <w:p w14:paraId="3D71E442">
                  <w:pPr>
                    <w:pStyle w:val="194"/>
                    <w:suppressLineNumbers w:val="0"/>
                    <w:bidi w:val="0"/>
                    <w:spacing w:beforeAutospacing="0" w:afterAutospacing="0"/>
                    <w:ind w:left="0" w:right="0" w:firstLine="0" w:firstLineChars="0"/>
                    <w:jc w:val="center"/>
                    <w:rPr>
                      <w:rFonts w:hint="default"/>
                      <w:b w:val="0"/>
                      <w:bCs w:val="0"/>
                      <w:color w:val="auto"/>
                      <w:szCs w:val="21"/>
                      <w:highlight w:val="none"/>
                    </w:rPr>
                  </w:pPr>
                  <w:r>
                    <w:rPr>
                      <w:rFonts w:hint="default"/>
                      <w:b w:val="0"/>
                      <w:bCs w:val="0"/>
                      <w:color w:val="auto"/>
                      <w:highlight w:val="none"/>
                    </w:rPr>
                    <w:t>符合</w:t>
                  </w:r>
                </w:p>
              </w:tc>
            </w:tr>
            <w:tr w14:paraId="74F363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141" w:hRule="atLeast"/>
                <w:jc w:val="center"/>
              </w:trPr>
              <w:tc>
                <w:tcPr>
                  <w:tcW w:w="583" w:type="pct"/>
                  <w:vMerge w:val="continue"/>
                  <w:vAlign w:val="center"/>
                </w:tcPr>
                <w:p w14:paraId="2DF09E09">
                  <w:pPr>
                    <w:pStyle w:val="80"/>
                    <w:keepNext w:val="0"/>
                    <w:keepLines w:val="0"/>
                    <w:widowControl/>
                    <w:suppressLineNumbers w:val="0"/>
                    <w:spacing w:before="0" w:beforeAutospacing="0" w:after="0" w:afterAutospacing="0"/>
                    <w:ind w:left="0" w:right="0"/>
                    <w:rPr>
                      <w:rFonts w:hint="default"/>
                      <w:b w:val="0"/>
                      <w:bCs w:val="0"/>
                      <w:color w:val="auto"/>
                      <w:szCs w:val="21"/>
                      <w:highlight w:val="none"/>
                    </w:rPr>
                  </w:pPr>
                </w:p>
              </w:tc>
              <w:tc>
                <w:tcPr>
                  <w:tcW w:w="2366" w:type="pct"/>
                  <w:vAlign w:val="center"/>
                </w:tcPr>
                <w:p w14:paraId="1AC3906E">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各工厂企业在厂区车间外、厂区道路两侧、厂区围墙内侧均应进行绿化设计，既美化环境，又有降噪、除尘作用；企业应加强高噪声设备及其隔声降噪设施的运行管理，及时维护，使其经常处于正常运行状态。</w:t>
                  </w:r>
                </w:p>
              </w:tc>
              <w:tc>
                <w:tcPr>
                  <w:tcW w:w="1815" w:type="pct"/>
                  <w:vAlign w:val="center"/>
                </w:tcPr>
                <w:p w14:paraId="3ED112BB">
                  <w:pPr>
                    <w:pStyle w:val="80"/>
                    <w:keepNext w:val="0"/>
                    <w:keepLines w:val="0"/>
                    <w:widowControl/>
                    <w:suppressLineNumbers w:val="0"/>
                    <w:spacing w:before="0" w:beforeAutospacing="0" w:after="0" w:afterAutospacing="0"/>
                    <w:ind w:left="0" w:right="0"/>
                    <w:jc w:val="both"/>
                    <w:rPr>
                      <w:rFonts w:hint="eastAsia" w:ascii="Times New Roman" w:hAnsi="Times New Roman" w:eastAsia="宋体" w:cs="Times New Roman"/>
                      <w:b w:val="0"/>
                      <w:bCs w:val="0"/>
                      <w:color w:val="auto"/>
                      <w:szCs w:val="21"/>
                      <w:highlight w:val="none"/>
                      <w:lang w:eastAsia="zh-CN"/>
                    </w:rPr>
                  </w:pPr>
                  <w:r>
                    <w:rPr>
                      <w:rFonts w:hint="default" w:ascii="Times New Roman" w:hAnsi="Times New Roman" w:eastAsia="宋体" w:cs="Times New Roman"/>
                      <w:b w:val="0"/>
                      <w:bCs w:val="0"/>
                      <w:color w:val="auto"/>
                      <w:szCs w:val="21"/>
                      <w:highlight w:val="none"/>
                    </w:rPr>
                    <w:t>本项目厂区车间外、厂区道路两侧、厂区围墙内侧均进行绿化设计并加强对高噪声设备的运行管理维护</w:t>
                  </w:r>
                  <w:r>
                    <w:rPr>
                      <w:rFonts w:hint="eastAsia" w:ascii="Times New Roman" w:hAnsi="Times New Roman" w:eastAsia="宋体" w:cs="Times New Roman"/>
                      <w:b w:val="0"/>
                      <w:bCs w:val="0"/>
                      <w:color w:val="auto"/>
                      <w:szCs w:val="21"/>
                      <w:highlight w:val="none"/>
                      <w:lang w:eastAsia="zh-CN"/>
                    </w:rPr>
                    <w:t>。</w:t>
                  </w:r>
                </w:p>
              </w:tc>
              <w:tc>
                <w:tcPr>
                  <w:tcW w:w="233" w:type="pct"/>
                  <w:vAlign w:val="center"/>
                </w:tcPr>
                <w:p w14:paraId="48269550">
                  <w:pPr>
                    <w:pStyle w:val="194"/>
                    <w:suppressLineNumbers w:val="0"/>
                    <w:bidi w:val="0"/>
                    <w:spacing w:beforeAutospacing="0" w:afterAutospacing="0"/>
                    <w:ind w:left="0" w:right="0" w:firstLine="0" w:firstLineChars="0"/>
                    <w:jc w:val="center"/>
                    <w:rPr>
                      <w:rFonts w:hint="default"/>
                      <w:b w:val="0"/>
                      <w:bCs w:val="0"/>
                      <w:color w:val="auto"/>
                      <w:szCs w:val="21"/>
                      <w:highlight w:val="none"/>
                    </w:rPr>
                  </w:pPr>
                  <w:r>
                    <w:rPr>
                      <w:rFonts w:hint="default"/>
                      <w:b w:val="0"/>
                      <w:bCs w:val="0"/>
                      <w:color w:val="auto"/>
                      <w:highlight w:val="none"/>
                    </w:rPr>
                    <w:t>符合</w:t>
                  </w:r>
                </w:p>
              </w:tc>
            </w:tr>
            <w:tr w14:paraId="054A45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174" w:hRule="atLeast"/>
                <w:jc w:val="center"/>
              </w:trPr>
              <w:tc>
                <w:tcPr>
                  <w:tcW w:w="583" w:type="pct"/>
                  <w:vMerge w:val="continue"/>
                  <w:vAlign w:val="center"/>
                </w:tcPr>
                <w:p w14:paraId="156BC8AC">
                  <w:pPr>
                    <w:pStyle w:val="80"/>
                    <w:keepNext w:val="0"/>
                    <w:keepLines w:val="0"/>
                    <w:widowControl/>
                    <w:suppressLineNumbers w:val="0"/>
                    <w:spacing w:before="0" w:beforeAutospacing="0" w:after="0" w:afterAutospacing="0"/>
                    <w:ind w:left="0" w:right="0"/>
                    <w:rPr>
                      <w:rFonts w:hint="default"/>
                      <w:b w:val="0"/>
                      <w:bCs w:val="0"/>
                      <w:color w:val="auto"/>
                      <w:szCs w:val="21"/>
                      <w:highlight w:val="none"/>
                    </w:rPr>
                  </w:pPr>
                </w:p>
              </w:tc>
              <w:tc>
                <w:tcPr>
                  <w:tcW w:w="2366" w:type="pct"/>
                  <w:vAlign w:val="center"/>
                </w:tcPr>
                <w:p w14:paraId="074C06FC">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对建设施工噪声可从以下几方面加以控制和管理：①建设中采取低噪声的施工工艺，如用液压打桩代替冲击打桩，用低噪声施工设备代替传统的高噪声设备。②对一些固定的高噪声设备采取噪声控制措施，如搅拌机、木工机械、线材切割机等设备应放置在远离居民住宅处，并采取一些噪声屏蔽措施。③加强对施工工地的管理和施工人员的环境意识教育。建设项目施工前，必须经过环保部门批准，严格控制夜间施工，对于那些必须连续施工工程在夜间施工时，应经地方环保部门批准，并事先向居民做好宣传解释工作。同时，教育施工人员文明施工，消除那些不必要的噪声，以减少施工噪声污染危害。④施工作业时间应避开居民休息时间，对确需在居民区连续施工的项目，需由环境保护行政主管部门批准，提前公告周围居民。环境保护行政主管部门应加强对建筑施工场地的现场监督检查。</w:t>
                  </w:r>
                </w:p>
              </w:tc>
              <w:tc>
                <w:tcPr>
                  <w:tcW w:w="1815" w:type="pct"/>
                  <w:vAlign w:val="center"/>
                </w:tcPr>
                <w:p w14:paraId="5CE7C89F">
                  <w:pPr>
                    <w:pStyle w:val="80"/>
                    <w:keepNext w:val="0"/>
                    <w:keepLines w:val="0"/>
                    <w:widowControl/>
                    <w:suppressLineNumbers w:val="0"/>
                    <w:spacing w:before="0" w:beforeAutospacing="0" w:after="0" w:afterAutospacing="0"/>
                    <w:ind w:left="0" w:right="0"/>
                    <w:jc w:val="both"/>
                    <w:rPr>
                      <w:rFonts w:hint="eastAsia" w:ascii="Times New Roman" w:hAnsi="Times New Roman" w:eastAsia="宋体" w:cs="Times New Roman"/>
                      <w:b w:val="0"/>
                      <w:bCs w:val="0"/>
                      <w:color w:val="auto"/>
                      <w:szCs w:val="21"/>
                      <w:highlight w:val="none"/>
                      <w:lang w:eastAsia="zh-CN"/>
                    </w:rPr>
                  </w:pPr>
                  <w:r>
                    <w:rPr>
                      <w:rFonts w:hint="default" w:ascii="Times New Roman" w:hAnsi="Times New Roman" w:eastAsia="宋体" w:cs="Times New Roman"/>
                      <w:b w:val="0"/>
                      <w:bCs w:val="0"/>
                      <w:color w:val="auto"/>
                      <w:szCs w:val="21"/>
                      <w:highlight w:val="none"/>
                    </w:rPr>
                    <w:t>本项目施工期建设中采取低噪施工工艺；对高噪声设备采取</w:t>
                  </w:r>
                  <w:r>
                    <w:rPr>
                      <w:rFonts w:hint="eastAsia" w:cs="Times New Roman"/>
                      <w:b w:val="0"/>
                      <w:bCs w:val="0"/>
                      <w:color w:val="auto"/>
                      <w:szCs w:val="21"/>
                      <w:highlight w:val="none"/>
                      <w:lang w:val="en-US" w:eastAsia="zh-CN"/>
                    </w:rPr>
                    <w:t>置于室内、加装减震垫等</w:t>
                  </w:r>
                  <w:r>
                    <w:rPr>
                      <w:rFonts w:hint="default" w:ascii="Times New Roman" w:hAnsi="Times New Roman" w:eastAsia="宋体" w:cs="Times New Roman"/>
                      <w:b w:val="0"/>
                      <w:bCs w:val="0"/>
                      <w:color w:val="auto"/>
                      <w:szCs w:val="21"/>
                      <w:highlight w:val="none"/>
                    </w:rPr>
                    <w:t>噪声控制措施</w:t>
                  </w:r>
                  <w:r>
                    <w:rPr>
                      <w:rFonts w:hint="eastAsia" w:cs="Times New Roman"/>
                      <w:b w:val="0"/>
                      <w:bCs w:val="0"/>
                      <w:color w:val="auto"/>
                      <w:szCs w:val="21"/>
                      <w:highlight w:val="none"/>
                      <w:lang w:eastAsia="zh-CN"/>
                    </w:rPr>
                    <w:t>；</w:t>
                  </w:r>
                  <w:r>
                    <w:rPr>
                      <w:rFonts w:hint="default" w:ascii="Times New Roman" w:hAnsi="Times New Roman" w:eastAsia="宋体" w:cs="Times New Roman"/>
                      <w:b w:val="0"/>
                      <w:bCs w:val="0"/>
                      <w:color w:val="auto"/>
                      <w:szCs w:val="21"/>
                      <w:highlight w:val="none"/>
                    </w:rPr>
                    <w:t>加强对施工工地的管理和施工人员的环境意识教育。施工前必须经过环保部门批准，严格控制夜间施工作业时间，避开居民休息时间</w:t>
                  </w:r>
                  <w:r>
                    <w:rPr>
                      <w:rFonts w:hint="eastAsia" w:ascii="Times New Roman" w:hAnsi="Times New Roman" w:eastAsia="宋体" w:cs="Times New Roman"/>
                      <w:b w:val="0"/>
                      <w:bCs w:val="0"/>
                      <w:color w:val="auto"/>
                      <w:szCs w:val="21"/>
                      <w:highlight w:val="none"/>
                      <w:lang w:eastAsia="zh-CN"/>
                    </w:rPr>
                    <w:t>。</w:t>
                  </w:r>
                </w:p>
              </w:tc>
              <w:tc>
                <w:tcPr>
                  <w:tcW w:w="233" w:type="pct"/>
                  <w:vAlign w:val="center"/>
                </w:tcPr>
                <w:p w14:paraId="594131B1">
                  <w:pPr>
                    <w:pStyle w:val="194"/>
                    <w:suppressLineNumbers w:val="0"/>
                    <w:bidi w:val="0"/>
                    <w:spacing w:beforeAutospacing="0" w:afterAutospacing="0"/>
                    <w:ind w:left="0" w:right="0" w:firstLine="0" w:firstLineChars="0"/>
                    <w:jc w:val="center"/>
                    <w:rPr>
                      <w:rFonts w:hint="default"/>
                      <w:b w:val="0"/>
                      <w:bCs w:val="0"/>
                      <w:color w:val="auto"/>
                      <w:szCs w:val="21"/>
                      <w:highlight w:val="none"/>
                    </w:rPr>
                  </w:pPr>
                  <w:r>
                    <w:rPr>
                      <w:rFonts w:hint="default"/>
                      <w:b w:val="0"/>
                      <w:bCs w:val="0"/>
                      <w:color w:val="auto"/>
                      <w:highlight w:val="none"/>
                    </w:rPr>
                    <w:t>符合</w:t>
                  </w:r>
                </w:p>
              </w:tc>
            </w:tr>
            <w:tr w14:paraId="4A14B3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146" w:hRule="atLeast"/>
                <w:jc w:val="center"/>
              </w:trPr>
              <w:tc>
                <w:tcPr>
                  <w:tcW w:w="583" w:type="pct"/>
                  <w:vMerge w:val="continue"/>
                  <w:vAlign w:val="center"/>
                </w:tcPr>
                <w:p w14:paraId="0BCAF479">
                  <w:pPr>
                    <w:pStyle w:val="80"/>
                    <w:keepNext w:val="0"/>
                    <w:keepLines w:val="0"/>
                    <w:widowControl/>
                    <w:suppressLineNumbers w:val="0"/>
                    <w:spacing w:before="0" w:beforeAutospacing="0" w:after="0" w:afterAutospacing="0"/>
                    <w:ind w:left="0" w:right="0"/>
                    <w:rPr>
                      <w:rFonts w:hint="default"/>
                      <w:b w:val="0"/>
                      <w:bCs w:val="0"/>
                      <w:color w:val="auto"/>
                      <w:szCs w:val="21"/>
                      <w:highlight w:val="none"/>
                    </w:rPr>
                  </w:pPr>
                </w:p>
              </w:tc>
              <w:tc>
                <w:tcPr>
                  <w:tcW w:w="2366" w:type="pct"/>
                  <w:vAlign w:val="center"/>
                </w:tcPr>
                <w:p w14:paraId="59A69BEC">
                  <w:pPr>
                    <w:pStyle w:val="80"/>
                    <w:keepNext w:val="0"/>
                    <w:keepLines w:val="0"/>
                    <w:widowControl/>
                    <w:suppressLineNumbers w:val="0"/>
                    <w:spacing w:before="0" w:beforeAutospacing="0" w:after="0" w:afterAutospacing="0"/>
                    <w:ind w:left="0" w:right="0"/>
                    <w:jc w:val="both"/>
                    <w:rPr>
                      <w:rFonts w:hint="eastAsia" w:ascii="Times New Roman" w:hAnsi="Times New Roman" w:eastAsia="宋体" w:cs="Times New Roman"/>
                      <w:b w:val="0"/>
                      <w:bCs w:val="0"/>
                      <w:color w:val="auto"/>
                      <w:szCs w:val="21"/>
                      <w:highlight w:val="none"/>
                      <w:lang w:eastAsia="zh-CN"/>
                    </w:rPr>
                  </w:pPr>
                  <w:r>
                    <w:rPr>
                      <w:rFonts w:hint="default" w:ascii="Times New Roman" w:hAnsi="Times New Roman" w:eastAsia="宋体" w:cs="Times New Roman"/>
                      <w:b w:val="0"/>
                      <w:bCs w:val="0"/>
                      <w:color w:val="auto"/>
                      <w:szCs w:val="21"/>
                      <w:highlight w:val="none"/>
                    </w:rPr>
                    <w:t>规划新增项目产生的一般工业固体废物可以回收利用的，企业直接回收利用，或送厂家进行回收再利用，或外卖其他企业回收利用；无法综合利用的一般工业固体废物按《</w:t>
                  </w:r>
                  <w:r>
                    <w:rPr>
                      <w:rFonts w:hint="eastAsia" w:ascii="Times New Roman" w:hAnsi="Times New Roman" w:eastAsia="宋体" w:cs="Times New Roman"/>
                      <w:b w:val="0"/>
                      <w:bCs w:val="0"/>
                      <w:color w:val="auto"/>
                      <w:szCs w:val="21"/>
                      <w:highlight w:val="none"/>
                    </w:rPr>
                    <w:t>一般工业固体废物贮存和填埋污染控制标准</w:t>
                  </w:r>
                  <w:r>
                    <w:rPr>
                      <w:rFonts w:hint="default" w:ascii="Times New Roman" w:hAnsi="Times New Roman" w:eastAsia="宋体" w:cs="Times New Roman"/>
                      <w:b w:val="0"/>
                      <w:bCs w:val="0"/>
                      <w:color w:val="auto"/>
                      <w:szCs w:val="21"/>
                      <w:highlight w:val="none"/>
                    </w:rPr>
                    <w:t>》（GB18599-2020）要求，进行贮存和处置</w:t>
                  </w:r>
                  <w:r>
                    <w:rPr>
                      <w:rFonts w:hint="eastAsia" w:ascii="Times New Roman" w:hAnsi="Times New Roman" w:eastAsia="宋体" w:cs="Times New Roman"/>
                      <w:b w:val="0"/>
                      <w:bCs w:val="0"/>
                      <w:color w:val="auto"/>
                      <w:szCs w:val="21"/>
                      <w:highlight w:val="none"/>
                      <w:lang w:eastAsia="zh-CN"/>
                    </w:rPr>
                    <w:t>。</w:t>
                  </w:r>
                </w:p>
              </w:tc>
              <w:tc>
                <w:tcPr>
                  <w:tcW w:w="1815" w:type="pct"/>
                  <w:vAlign w:val="center"/>
                </w:tcPr>
                <w:p w14:paraId="00A5DBA0">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b w:val="0"/>
                      <w:bCs w:val="0"/>
                      <w:color w:val="auto"/>
                      <w:szCs w:val="21"/>
                      <w:highlight w:val="none"/>
                    </w:rPr>
                  </w:pPr>
                  <w:r>
                    <w:rPr>
                      <w:rFonts w:hint="eastAsia" w:cs="Times New Roman"/>
                      <w:b w:val="0"/>
                      <w:bCs w:val="0"/>
                      <w:color w:val="auto"/>
                      <w:szCs w:val="21"/>
                      <w:highlight w:val="none"/>
                      <w:lang w:val="en-US" w:eastAsia="zh-CN"/>
                    </w:rPr>
                    <w:t>项目产生的废包装收集后定期外售废品回收站综合利用</w:t>
                  </w:r>
                  <w:r>
                    <w:rPr>
                      <w:rFonts w:hint="default" w:ascii="Times New Roman" w:hAnsi="Times New Roman" w:eastAsia="宋体" w:cs="Times New Roman"/>
                      <w:b w:val="0"/>
                      <w:bCs w:val="0"/>
                      <w:color w:val="auto"/>
                      <w:szCs w:val="21"/>
                      <w:highlight w:val="none"/>
                    </w:rPr>
                    <w:t>；生活垃圾收集后交由环卫部门</w:t>
                  </w:r>
                  <w:r>
                    <w:rPr>
                      <w:rFonts w:hint="eastAsia" w:cs="Times New Roman"/>
                      <w:b w:val="0"/>
                      <w:bCs w:val="0"/>
                      <w:color w:val="auto"/>
                      <w:szCs w:val="21"/>
                      <w:highlight w:val="none"/>
                      <w:lang w:val="en-US" w:eastAsia="zh-CN"/>
                    </w:rPr>
                    <w:t>定期清运</w:t>
                  </w:r>
                  <w:r>
                    <w:rPr>
                      <w:rFonts w:hint="default" w:ascii="Times New Roman" w:hAnsi="Times New Roman" w:eastAsia="宋体" w:cs="Times New Roman"/>
                      <w:b w:val="0"/>
                      <w:bCs w:val="0"/>
                      <w:color w:val="auto"/>
                      <w:szCs w:val="21"/>
                      <w:highlight w:val="none"/>
                    </w:rPr>
                    <w:t>；</w:t>
                  </w:r>
                  <w:r>
                    <w:rPr>
                      <w:rFonts w:hint="eastAsia" w:cs="Times New Roman"/>
                      <w:b w:val="0"/>
                      <w:bCs w:val="0"/>
                      <w:color w:val="auto"/>
                      <w:szCs w:val="21"/>
                      <w:highlight w:val="none"/>
                      <w:lang w:val="en-US" w:eastAsia="zh-CN"/>
                    </w:rPr>
                    <w:t>污水处理设施产生污泥定期由吸污车清理处置；废树脂由厂家更换后清运处理，不在厂内储存。</w:t>
                  </w:r>
                </w:p>
              </w:tc>
              <w:tc>
                <w:tcPr>
                  <w:tcW w:w="233" w:type="pct"/>
                  <w:vAlign w:val="center"/>
                </w:tcPr>
                <w:p w14:paraId="4DED6D1D">
                  <w:pPr>
                    <w:pStyle w:val="194"/>
                    <w:suppressLineNumbers w:val="0"/>
                    <w:bidi w:val="0"/>
                    <w:spacing w:beforeAutospacing="0" w:afterAutospacing="0"/>
                    <w:ind w:left="0" w:right="0" w:firstLine="0" w:firstLineChars="0"/>
                    <w:jc w:val="center"/>
                    <w:rPr>
                      <w:rFonts w:hint="default"/>
                      <w:b w:val="0"/>
                      <w:bCs w:val="0"/>
                      <w:color w:val="auto"/>
                      <w:szCs w:val="21"/>
                      <w:highlight w:val="none"/>
                    </w:rPr>
                  </w:pPr>
                  <w:r>
                    <w:rPr>
                      <w:rFonts w:hint="default"/>
                      <w:b w:val="0"/>
                      <w:bCs w:val="0"/>
                      <w:color w:val="auto"/>
                      <w:highlight w:val="none"/>
                    </w:rPr>
                    <w:t>符合</w:t>
                  </w:r>
                </w:p>
              </w:tc>
            </w:tr>
            <w:tr w14:paraId="7A5837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184" w:hRule="atLeast"/>
                <w:jc w:val="center"/>
              </w:trPr>
              <w:tc>
                <w:tcPr>
                  <w:tcW w:w="583" w:type="pct"/>
                  <w:vMerge w:val="continue"/>
                  <w:vAlign w:val="center"/>
                </w:tcPr>
                <w:p w14:paraId="067F6D91">
                  <w:pPr>
                    <w:pStyle w:val="80"/>
                    <w:keepNext w:val="0"/>
                    <w:keepLines w:val="0"/>
                    <w:widowControl/>
                    <w:suppressLineNumbers w:val="0"/>
                    <w:spacing w:before="0" w:beforeAutospacing="0" w:after="0" w:afterAutospacing="0"/>
                    <w:ind w:left="0" w:right="0"/>
                    <w:rPr>
                      <w:rFonts w:hint="default"/>
                      <w:b w:val="0"/>
                      <w:bCs w:val="0"/>
                      <w:color w:val="auto"/>
                      <w:szCs w:val="21"/>
                      <w:highlight w:val="none"/>
                    </w:rPr>
                  </w:pPr>
                </w:p>
              </w:tc>
              <w:tc>
                <w:tcPr>
                  <w:tcW w:w="2366" w:type="pct"/>
                  <w:vAlign w:val="center"/>
                </w:tcPr>
                <w:p w14:paraId="5DC74D5E">
                  <w:pPr>
                    <w:pStyle w:val="80"/>
                    <w:keepNext w:val="0"/>
                    <w:keepLines w:val="0"/>
                    <w:widowControl/>
                    <w:suppressLineNumbers w:val="0"/>
                    <w:spacing w:before="0" w:beforeAutospacing="0" w:after="0" w:afterAutospacing="0"/>
                    <w:ind w:left="0" w:right="0"/>
                    <w:jc w:val="both"/>
                    <w:rPr>
                      <w:rFonts w:hint="eastAsia" w:ascii="Times New Roman" w:hAnsi="Times New Roman" w:eastAsia="宋体" w:cs="Times New Roman"/>
                      <w:b w:val="0"/>
                      <w:bCs w:val="0"/>
                      <w:color w:val="auto"/>
                      <w:szCs w:val="21"/>
                      <w:highlight w:val="none"/>
                      <w:lang w:eastAsia="zh-CN"/>
                    </w:rPr>
                  </w:pPr>
                  <w:r>
                    <w:rPr>
                      <w:rFonts w:hint="default" w:ascii="Times New Roman" w:hAnsi="Times New Roman" w:eastAsia="宋体" w:cs="Times New Roman"/>
                      <w:b w:val="0"/>
                      <w:bCs w:val="0"/>
                      <w:color w:val="auto"/>
                      <w:szCs w:val="21"/>
                      <w:highlight w:val="none"/>
                    </w:rPr>
                    <w:t>危险废物在泾河新城内各企业自行建设临时堆放时，必须做好防渗、防水等措施，其收集储存、运输、处置过程均必须按照《危险废物贮存污染控制标准》（GB18597-2001）和《危险废物填埋污染控制标准》（GB18598-2001）进行专门处置，避免发生事故污染。对于涉及危险废物的企业应建立危险废物暂存库并严格按照重点防渗区进行防渗处理，防止污染地下水，并定期及时交由有资质单位处置，应与有危险废物处置资质单位建立长期合作关系</w:t>
                  </w:r>
                  <w:r>
                    <w:rPr>
                      <w:rFonts w:hint="eastAsia" w:ascii="Times New Roman" w:hAnsi="Times New Roman" w:eastAsia="宋体" w:cs="Times New Roman"/>
                      <w:b w:val="0"/>
                      <w:bCs w:val="0"/>
                      <w:color w:val="auto"/>
                      <w:szCs w:val="21"/>
                      <w:highlight w:val="none"/>
                      <w:lang w:eastAsia="zh-CN"/>
                    </w:rPr>
                    <w:t>。</w:t>
                  </w:r>
                </w:p>
              </w:tc>
              <w:tc>
                <w:tcPr>
                  <w:tcW w:w="1815" w:type="pct"/>
                  <w:vAlign w:val="center"/>
                </w:tcPr>
                <w:p w14:paraId="5D9CDD69">
                  <w:pPr>
                    <w:pStyle w:val="80"/>
                    <w:keepNext w:val="0"/>
                    <w:keepLines w:val="0"/>
                    <w:widowControl/>
                    <w:suppressLineNumbers w:val="0"/>
                    <w:spacing w:before="0" w:beforeAutospacing="0" w:after="0" w:afterAutospacing="0"/>
                    <w:ind w:left="0" w:right="0"/>
                    <w:jc w:val="both"/>
                    <w:rPr>
                      <w:rFonts w:hint="eastAsia" w:ascii="Times New Roman" w:hAnsi="Times New Roman" w:eastAsia="宋体" w:cs="Times New Roman"/>
                      <w:b w:val="0"/>
                      <w:bCs w:val="0"/>
                      <w:color w:val="auto"/>
                      <w:szCs w:val="21"/>
                      <w:highlight w:val="none"/>
                      <w:lang w:eastAsia="zh-CN"/>
                    </w:rPr>
                  </w:pPr>
                  <w:r>
                    <w:rPr>
                      <w:rFonts w:hint="eastAsia"/>
                      <w:color w:val="auto"/>
                      <w:kern w:val="0"/>
                      <w:sz w:val="21"/>
                      <w:szCs w:val="21"/>
                      <w:highlight w:val="none"/>
                      <w:lang w:val="en-US" w:eastAsia="zh-CN"/>
                    </w:rPr>
                    <w:t>本项目生产设备维护保养定期委托设备维护公司检修和保养，产生的废机油和含油抹布手套一并带走处置，不在厂内储存。</w:t>
                  </w:r>
                </w:p>
              </w:tc>
              <w:tc>
                <w:tcPr>
                  <w:tcW w:w="233" w:type="pct"/>
                  <w:vAlign w:val="center"/>
                </w:tcPr>
                <w:p w14:paraId="65CBB898">
                  <w:pPr>
                    <w:pStyle w:val="194"/>
                    <w:suppressLineNumbers w:val="0"/>
                    <w:bidi w:val="0"/>
                    <w:spacing w:beforeAutospacing="0" w:afterAutospacing="0"/>
                    <w:ind w:left="0" w:right="0" w:firstLine="0" w:firstLineChars="0"/>
                    <w:jc w:val="center"/>
                    <w:rPr>
                      <w:rFonts w:hint="default"/>
                      <w:b w:val="0"/>
                      <w:bCs w:val="0"/>
                      <w:color w:val="auto"/>
                      <w:szCs w:val="21"/>
                      <w:highlight w:val="none"/>
                    </w:rPr>
                  </w:pPr>
                  <w:r>
                    <w:rPr>
                      <w:rFonts w:hint="default"/>
                      <w:b w:val="0"/>
                      <w:bCs w:val="0"/>
                      <w:color w:val="auto"/>
                      <w:highlight w:val="none"/>
                    </w:rPr>
                    <w:t>符合</w:t>
                  </w:r>
                </w:p>
              </w:tc>
            </w:tr>
          </w:tbl>
          <w:p w14:paraId="6258DC3E">
            <w:pPr>
              <w:pStyle w:val="80"/>
              <w:keepNext w:val="0"/>
              <w:keepLines w:val="0"/>
              <w:widowControl/>
              <w:suppressLineNumbers w:val="0"/>
              <w:spacing w:before="0" w:beforeAutospacing="0" w:after="0" w:afterAutospacing="0"/>
              <w:ind w:left="0" w:right="0"/>
              <w:rPr>
                <w:rFonts w:hint="default"/>
                <w:b w:val="0"/>
                <w:bCs w:val="0"/>
                <w:color w:val="auto"/>
                <w:szCs w:val="20"/>
                <w:highlight w:val="none"/>
              </w:rPr>
            </w:pPr>
          </w:p>
        </w:tc>
      </w:tr>
      <w:tr w14:paraId="69A662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779" w:hRule="atLeast"/>
          <w:jc w:val="center"/>
        </w:trPr>
        <w:tc>
          <w:tcPr>
            <w:tcW w:w="1476" w:type="dxa"/>
            <w:vAlign w:val="center"/>
          </w:tcPr>
          <w:p w14:paraId="343D0DC1">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其他符合性分析</w:t>
            </w:r>
          </w:p>
        </w:tc>
        <w:tc>
          <w:tcPr>
            <w:tcW w:w="7394" w:type="dxa"/>
            <w:gridSpan w:val="3"/>
            <w:tcBorders>
              <w:bottom w:val="single" w:color="000000" w:sz="12" w:space="0"/>
            </w:tcBorders>
            <w:vAlign w:val="center"/>
          </w:tcPr>
          <w:p w14:paraId="79BD0784">
            <w:pPr>
              <w:keepNext w:val="0"/>
              <w:keepLines w:val="0"/>
              <w:suppressLineNumbers w:val="0"/>
              <w:spacing w:before="120" w:beforeLines="50" w:beforeAutospacing="0" w:after="0" w:afterAutospacing="0"/>
              <w:ind w:left="0" w:right="0" w:firstLine="482"/>
              <w:rPr>
                <w:rFonts w:hint="default"/>
                <w:b/>
                <w:color w:val="auto"/>
                <w:highlight w:val="none"/>
              </w:rPr>
            </w:pPr>
            <w:r>
              <w:rPr>
                <w:rFonts w:hint="default"/>
                <w:b/>
                <w:color w:val="auto"/>
                <w:highlight w:val="none"/>
              </w:rPr>
              <w:t>1、</w:t>
            </w:r>
            <w:r>
              <w:rPr>
                <w:rFonts w:hint="eastAsia"/>
                <w:b/>
                <w:color w:val="auto"/>
                <w:highlight w:val="none"/>
              </w:rPr>
              <w:t>“三线一单”</w:t>
            </w:r>
            <w:r>
              <w:rPr>
                <w:rFonts w:hint="default"/>
                <w:b/>
                <w:color w:val="auto"/>
                <w:highlight w:val="none"/>
              </w:rPr>
              <w:t>符合性分析</w:t>
            </w:r>
          </w:p>
          <w:p w14:paraId="7C025626">
            <w:pPr>
              <w:keepNext w:val="0"/>
              <w:keepLines w:val="0"/>
              <w:suppressLineNumbers w:val="0"/>
              <w:spacing w:before="0" w:beforeAutospacing="0" w:after="0" w:afterAutospacing="0"/>
              <w:ind w:left="0" w:right="0" w:firstLine="480"/>
              <w:jc w:val="left"/>
              <w:rPr>
                <w:rFonts w:hint="default"/>
                <w:color w:val="auto"/>
                <w:highlight w:val="none"/>
              </w:rPr>
            </w:pPr>
            <w:r>
              <w:rPr>
                <w:rFonts w:hint="default"/>
                <w:color w:val="auto"/>
                <w:highlight w:val="none"/>
              </w:rPr>
              <w:t>根据《陕西省人民政府关于加快实施</w:t>
            </w:r>
            <w:r>
              <w:rPr>
                <w:rFonts w:hint="default" w:ascii="宋体" w:hAnsi="宋体"/>
                <w:color w:val="auto"/>
                <w:kern w:val="0"/>
                <w:highlight w:val="none"/>
                <w:lang w:bidi="ar"/>
              </w:rPr>
              <w:t>“三线一单”</w:t>
            </w:r>
            <w:r>
              <w:rPr>
                <w:rFonts w:hint="default"/>
                <w:color w:val="auto"/>
                <w:highlight w:val="none"/>
              </w:rPr>
              <w:t>生态环境分区管控的意见》（陕政发〔202</w:t>
            </w:r>
            <w:r>
              <w:rPr>
                <w:rFonts w:hint="eastAsia"/>
                <w:color w:val="auto"/>
                <w:highlight w:val="none"/>
              </w:rPr>
              <w:t>0</w:t>
            </w:r>
            <w:r>
              <w:rPr>
                <w:rFonts w:hint="default"/>
                <w:color w:val="auto"/>
                <w:highlight w:val="none"/>
              </w:rPr>
              <w:t>〕11号）</w:t>
            </w:r>
            <w:r>
              <w:rPr>
                <w:rFonts w:hint="eastAsia"/>
                <w:color w:val="auto"/>
                <w:highlight w:val="none"/>
              </w:rPr>
              <w:t>、《陕西省“三线一单”生态环境分区管控应用技术指南：环境影响评价（试行）》及《西安</w:t>
            </w:r>
            <w:r>
              <w:rPr>
                <w:rFonts w:hint="default"/>
                <w:color w:val="auto"/>
                <w:highlight w:val="none"/>
              </w:rPr>
              <w:t>市</w:t>
            </w:r>
            <w:r>
              <w:rPr>
                <w:rFonts w:hint="default" w:ascii="宋体" w:hAnsi="宋体"/>
                <w:color w:val="auto"/>
                <w:kern w:val="0"/>
                <w:highlight w:val="none"/>
                <w:lang w:bidi="ar"/>
              </w:rPr>
              <w:t>“三线一单”</w:t>
            </w:r>
            <w:r>
              <w:rPr>
                <w:rFonts w:hint="default"/>
                <w:color w:val="auto"/>
                <w:highlight w:val="none"/>
              </w:rPr>
              <w:t>生态环境分区管控实施方案》（</w:t>
            </w:r>
            <w:r>
              <w:rPr>
                <w:rFonts w:hint="eastAsia"/>
                <w:color w:val="auto"/>
                <w:highlight w:val="none"/>
              </w:rPr>
              <w:t>市</w:t>
            </w:r>
            <w:r>
              <w:rPr>
                <w:rFonts w:hint="default"/>
                <w:color w:val="auto"/>
                <w:highlight w:val="none"/>
              </w:rPr>
              <w:t>政发〔2021〕</w:t>
            </w:r>
            <w:r>
              <w:rPr>
                <w:rFonts w:hint="eastAsia"/>
                <w:color w:val="auto"/>
                <w:highlight w:val="none"/>
              </w:rPr>
              <w:t>22</w:t>
            </w:r>
            <w:r>
              <w:rPr>
                <w:rFonts w:hint="default"/>
                <w:color w:val="auto"/>
                <w:highlight w:val="none"/>
              </w:rPr>
              <w:t>号）</w:t>
            </w:r>
            <w:r>
              <w:rPr>
                <w:rFonts w:hint="eastAsia"/>
                <w:color w:val="auto"/>
                <w:highlight w:val="none"/>
              </w:rPr>
              <w:t>，环评文件涉及“三线一单”生态环境分区管控符合性分析应采取“一图一表一说明”的表达方式，具体如下：</w:t>
            </w:r>
          </w:p>
          <w:p w14:paraId="2644E94F">
            <w:pPr>
              <w:keepNext w:val="0"/>
              <w:keepLines w:val="0"/>
              <w:suppressLineNumbers w:val="0"/>
              <w:spacing w:before="0" w:beforeAutospacing="0" w:after="0" w:afterAutospacing="0"/>
              <w:ind w:left="0" w:right="0" w:firstLine="480"/>
              <w:jc w:val="left"/>
              <w:rPr>
                <w:rFonts w:hint="default"/>
                <w:color w:val="auto"/>
                <w:highlight w:val="none"/>
              </w:rPr>
            </w:pPr>
            <w:r>
              <w:rPr>
                <w:rFonts w:hint="eastAsia"/>
                <w:color w:val="auto"/>
                <w:highlight w:val="none"/>
              </w:rPr>
              <w:t>（1）“一图”</w:t>
            </w:r>
          </w:p>
          <w:p w14:paraId="1C36FA49">
            <w:pPr>
              <w:keepNext w:val="0"/>
              <w:keepLines w:val="0"/>
              <w:suppressLineNumbers w:val="0"/>
              <w:spacing w:before="0" w:beforeAutospacing="0" w:after="0" w:afterAutospacing="0"/>
              <w:ind w:left="0" w:right="0" w:firstLine="480"/>
              <w:jc w:val="left"/>
              <w:rPr>
                <w:rFonts w:hint="default"/>
                <w:color w:val="auto"/>
                <w:highlight w:val="none"/>
              </w:rPr>
            </w:pPr>
            <w:r>
              <w:rPr>
                <w:rFonts w:hint="eastAsia"/>
                <w:color w:val="auto"/>
                <w:highlight w:val="none"/>
              </w:rPr>
              <w:t>根据陕西省“三线一单”数据应用系统叠图分析可知，本项目属于</w:t>
            </w:r>
            <w:r>
              <w:rPr>
                <w:rFonts w:hint="eastAsia"/>
                <w:color w:val="auto"/>
                <w:highlight w:val="none"/>
                <w:lang w:val="en-US" w:eastAsia="zh-CN"/>
              </w:rPr>
              <w:t>陕西省咸阳市泾阳县</w:t>
            </w:r>
            <w:r>
              <w:rPr>
                <w:rFonts w:hint="eastAsia"/>
                <w:color w:val="auto"/>
                <w:highlight w:val="none"/>
              </w:rPr>
              <w:t>重点管控单元，不涉及生态保护红线。项目与环境管控单位对照分析示意图如下图所示：</w:t>
            </w:r>
          </w:p>
          <w:p w14:paraId="15CE60FB">
            <w:pPr>
              <w:pStyle w:val="77"/>
              <w:keepNext w:val="0"/>
              <w:keepLines w:val="0"/>
              <w:widowControl/>
              <w:suppressLineNumbers w:val="0"/>
              <w:spacing w:before="0" w:beforeLines="0" w:beforeAutospacing="0" w:after="0" w:afterAutospacing="0"/>
              <w:ind w:left="0" w:right="0"/>
              <w:rPr>
                <w:rFonts w:hint="default"/>
                <w:color w:val="auto"/>
                <w:highlight w:val="none"/>
              </w:rPr>
            </w:pPr>
            <w:r>
              <w:rPr>
                <w:rFonts w:hint="default"/>
                <w:color w:val="auto"/>
              </w:rPr>
              <w:drawing>
                <wp:inline distT="0" distB="0" distL="114300" distR="114300">
                  <wp:extent cx="4258945" cy="6638925"/>
                  <wp:effectExtent l="0" t="0" r="8255" b="952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5"/>
                          <a:stretch>
                            <a:fillRect/>
                          </a:stretch>
                        </pic:blipFill>
                        <pic:spPr>
                          <a:xfrm>
                            <a:off x="0" y="0"/>
                            <a:ext cx="4258945" cy="6638925"/>
                          </a:xfrm>
                          <a:prstGeom prst="rect">
                            <a:avLst/>
                          </a:prstGeom>
                          <a:noFill/>
                          <a:ln>
                            <a:noFill/>
                          </a:ln>
                        </pic:spPr>
                      </pic:pic>
                    </a:graphicData>
                  </a:graphic>
                </wp:inline>
              </w:drawing>
            </w:r>
          </w:p>
          <w:p w14:paraId="5BE6C4E3">
            <w:pPr>
              <w:pStyle w:val="77"/>
              <w:keepNext w:val="0"/>
              <w:keepLines w:val="0"/>
              <w:widowControl/>
              <w:suppressLineNumbers w:val="0"/>
              <w:spacing w:before="0" w:beforeLines="0" w:beforeAutospacing="0" w:after="0" w:afterAutospacing="0"/>
              <w:ind w:left="0" w:right="0"/>
              <w:rPr>
                <w:rFonts w:hint="eastAsia" w:eastAsia="宋体"/>
                <w:b/>
                <w:color w:val="auto"/>
                <w:kern w:val="0"/>
                <w:sz w:val="21"/>
                <w:szCs w:val="18"/>
                <w:highlight w:val="none"/>
                <w:lang w:val="en-US" w:eastAsia="zh-CN"/>
              </w:rPr>
            </w:pPr>
            <w:r>
              <w:rPr>
                <w:rFonts w:hint="eastAsia" w:eastAsia="宋体"/>
                <w:b/>
                <w:color w:val="auto"/>
                <w:kern w:val="0"/>
                <w:sz w:val="21"/>
                <w:szCs w:val="18"/>
                <w:highlight w:val="none"/>
              </w:rPr>
              <w:t xml:space="preserve">图1-1  </w:t>
            </w:r>
            <w:r>
              <w:rPr>
                <w:rFonts w:hint="eastAsia" w:eastAsia="宋体"/>
                <w:b/>
                <w:color w:val="auto"/>
                <w:kern w:val="0"/>
                <w:sz w:val="21"/>
                <w:szCs w:val="18"/>
                <w:highlight w:val="none"/>
                <w:lang w:val="en-US" w:eastAsia="zh-CN"/>
              </w:rPr>
              <w:t>陕西省“三线一单”空间冲突分析图</w:t>
            </w:r>
          </w:p>
          <w:p w14:paraId="77B1EC51">
            <w:pPr>
              <w:pStyle w:val="77"/>
              <w:keepNext w:val="0"/>
              <w:keepLines w:val="0"/>
              <w:widowControl/>
              <w:suppressLineNumbers w:val="0"/>
              <w:spacing w:before="0" w:beforeLines="0" w:beforeAutospacing="0" w:after="0" w:afterAutospacing="0"/>
              <w:ind w:left="0" w:right="0"/>
              <w:rPr>
                <w:rFonts w:hint="default" w:eastAsia="宋体"/>
                <w:color w:val="auto"/>
                <w:sz w:val="21"/>
                <w:szCs w:val="20"/>
                <w:highlight w:val="none"/>
                <w:lang w:val="en-US" w:eastAsia="zh-CN"/>
              </w:rPr>
            </w:pPr>
            <w:r>
              <w:rPr>
                <w:rFonts w:hint="eastAsia" w:eastAsia="宋体"/>
                <w:b/>
                <w:color w:val="auto"/>
                <w:kern w:val="0"/>
                <w:sz w:val="21"/>
                <w:szCs w:val="18"/>
                <w:highlight w:val="none"/>
                <w:lang w:val="en-US" w:eastAsia="zh-CN"/>
              </w:rPr>
              <w:t>（来源于陕西省生态环境厅官网陕西省“三线一单”数据应用系统V1.0）</w:t>
            </w:r>
          </w:p>
          <w:p w14:paraId="57957A3E">
            <w:pPr>
              <w:pStyle w:val="188"/>
              <w:keepNext w:val="0"/>
              <w:keepLines w:val="0"/>
              <w:suppressLineNumbers w:val="0"/>
              <w:spacing w:before="0" w:beforeAutospacing="0" w:after="0" w:afterAutospacing="0" w:line="360" w:lineRule="auto"/>
              <w:ind w:left="0" w:right="0" w:firstLine="488"/>
              <w:rPr>
                <w:rFonts w:hint="default" w:hAnsi="Times New Roman"/>
                <w:color w:val="auto"/>
                <w:spacing w:val="2"/>
                <w:highlight w:val="none"/>
              </w:rPr>
            </w:pPr>
            <w:r>
              <w:rPr>
                <w:rFonts w:hint="eastAsia" w:hAnsi="Times New Roman"/>
                <w:color w:val="auto"/>
                <w:spacing w:val="2"/>
                <w:highlight w:val="none"/>
              </w:rPr>
              <w:t>（2）“一表”</w:t>
            </w:r>
          </w:p>
          <w:p w14:paraId="0F529707">
            <w:pPr>
              <w:pStyle w:val="188"/>
              <w:keepNext w:val="0"/>
              <w:keepLines w:val="0"/>
              <w:suppressLineNumbers w:val="0"/>
              <w:spacing w:before="0" w:beforeAutospacing="0" w:after="0" w:afterAutospacing="0" w:line="360" w:lineRule="auto"/>
              <w:ind w:left="0" w:right="0" w:firstLine="488"/>
              <w:rPr>
                <w:rFonts w:hint="default"/>
                <w:color w:val="auto"/>
                <w:highlight w:val="none"/>
              </w:rPr>
            </w:pPr>
            <w:r>
              <w:rPr>
                <w:rFonts w:hint="eastAsia" w:ascii="Calibri" w:hAnsi="Times New Roman"/>
                <w:color w:val="auto"/>
                <w:spacing w:val="2"/>
                <w:highlight w:val="none"/>
              </w:rPr>
              <w:t>根据从陕</w:t>
            </w:r>
            <w:r>
              <w:rPr>
                <w:rFonts w:hint="default" w:ascii="Times New Roman" w:hAnsi="Times New Roman" w:cs="Times New Roman"/>
                <w:color w:val="auto"/>
                <w:spacing w:val="2"/>
                <w:highlight w:val="none"/>
              </w:rPr>
              <w:t>西省“三线一单”数据应用系统（V1.0）中导出的分析文件（具体见附件</w:t>
            </w:r>
            <w:r>
              <w:rPr>
                <w:rFonts w:hint="default" w:ascii="Times New Roman" w:hAnsi="Times New Roman" w:cs="Times New Roman"/>
                <w:color w:val="auto"/>
                <w:spacing w:val="2"/>
                <w:highlight w:val="none"/>
                <w:lang w:val="en-US" w:eastAsia="zh-CN"/>
              </w:rPr>
              <w:t>5</w:t>
            </w:r>
            <w:r>
              <w:rPr>
                <w:rFonts w:hint="default" w:ascii="Times New Roman" w:hAnsi="Times New Roman" w:cs="Times New Roman"/>
                <w:color w:val="auto"/>
                <w:spacing w:val="2"/>
                <w:highlight w:val="none"/>
              </w:rPr>
              <w:t>），本项</w:t>
            </w:r>
            <w:r>
              <w:rPr>
                <w:rFonts w:hint="eastAsia" w:ascii="Calibri" w:hAnsi="Times New Roman"/>
                <w:color w:val="auto"/>
                <w:spacing w:val="2"/>
                <w:highlight w:val="none"/>
              </w:rPr>
              <w:t>目</w:t>
            </w:r>
            <w:r>
              <w:rPr>
                <w:rFonts w:hint="eastAsia" w:ascii="Calibri" w:hAnsi="Times New Roman"/>
                <w:color w:val="auto"/>
                <w:spacing w:val="2"/>
                <w:highlight w:val="none"/>
                <w:lang w:val="en-US" w:eastAsia="zh-CN"/>
              </w:rPr>
              <w:t>与“三线一单”符合性分析</w:t>
            </w:r>
            <w:r>
              <w:rPr>
                <w:rFonts w:hint="eastAsia" w:ascii="Calibri" w:hAnsi="Times New Roman"/>
                <w:color w:val="auto"/>
                <w:spacing w:val="2"/>
                <w:highlight w:val="none"/>
              </w:rPr>
              <w:t>如下表所示：</w:t>
            </w:r>
          </w:p>
        </w:tc>
      </w:tr>
    </w:tbl>
    <w:p w14:paraId="6FC5806B">
      <w:pPr>
        <w:ind w:firstLine="480"/>
        <w:rPr>
          <w:color w:val="auto"/>
          <w:highlight w:val="none"/>
        </w:rPr>
      </w:pPr>
    </w:p>
    <w:p w14:paraId="3B9C864C">
      <w:pPr>
        <w:pStyle w:val="80"/>
        <w:jc w:val="both"/>
        <w:rPr>
          <w:color w:val="auto"/>
          <w:szCs w:val="21"/>
          <w:highlight w:val="none"/>
        </w:rPr>
        <w:sectPr>
          <w:footerReference r:id="rId11" w:type="default"/>
          <w:pgSz w:w="11906" w:h="16838"/>
          <w:pgMar w:top="1701" w:right="1531" w:bottom="1701" w:left="1531" w:header="851" w:footer="1077" w:gutter="0"/>
          <w:pgBorders>
            <w:top w:val="none" w:sz="0" w:space="0"/>
            <w:left w:val="none" w:sz="0" w:space="0"/>
            <w:bottom w:val="none" w:sz="0" w:space="0"/>
            <w:right w:val="none" w:sz="0" w:space="0"/>
          </w:pgBorders>
          <w:pgNumType w:fmt="numberInDash" w:start="1"/>
          <w:cols w:space="720" w:num="1"/>
          <w:docGrid w:linePitch="312" w:charSpace="0"/>
        </w:sectPr>
      </w:pPr>
    </w:p>
    <w:tbl>
      <w:tblPr>
        <w:tblStyle w:val="37"/>
        <w:tblW w:w="501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356"/>
        <w:gridCol w:w="13135"/>
      </w:tblGrid>
      <w:tr w14:paraId="19E239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621" w:hRule="atLeast"/>
          <w:jc w:val="center"/>
        </w:trPr>
        <w:tc>
          <w:tcPr>
            <w:tcW w:w="132" w:type="pct"/>
            <w:tcBorders>
              <w:top w:val="single" w:color="000000" w:sz="12" w:space="0"/>
            </w:tcBorders>
            <w:vAlign w:val="center"/>
          </w:tcPr>
          <w:p w14:paraId="34D70D27">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其他符合性分析</w:t>
            </w:r>
          </w:p>
        </w:tc>
        <w:tc>
          <w:tcPr>
            <w:tcW w:w="4867" w:type="pct"/>
            <w:tcBorders>
              <w:top w:val="single" w:color="000000" w:sz="12" w:space="0"/>
            </w:tcBorders>
            <w:vAlign w:val="center"/>
          </w:tcPr>
          <w:p w14:paraId="3FE8B514">
            <w:pPr>
              <w:pStyle w:val="77"/>
              <w:keepNext w:val="0"/>
              <w:keepLines w:val="0"/>
              <w:widowControl/>
              <w:suppressLineNumbers w:val="0"/>
              <w:spacing w:before="0" w:beforeLines="0" w:beforeAutospacing="0" w:after="0" w:afterAutospacing="0" w:line="240" w:lineRule="auto"/>
              <w:ind w:left="0" w:right="0"/>
              <w:rPr>
                <w:rFonts w:hint="default" w:eastAsia="宋体"/>
                <w:b/>
                <w:color w:val="auto"/>
                <w:kern w:val="0"/>
                <w:szCs w:val="21"/>
                <w:highlight w:val="none"/>
              </w:rPr>
            </w:pPr>
            <w:r>
              <w:rPr>
                <w:rFonts w:hint="eastAsia" w:eastAsia="宋体"/>
                <w:b/>
                <w:color w:val="auto"/>
                <w:kern w:val="0"/>
                <w:szCs w:val="21"/>
                <w:highlight w:val="none"/>
              </w:rPr>
              <w:t>表1</w:t>
            </w:r>
            <w:r>
              <w:rPr>
                <w:rFonts w:hint="eastAsia" w:eastAsia="宋体"/>
                <w:b/>
                <w:color w:val="auto"/>
                <w:kern w:val="0"/>
                <w:szCs w:val="21"/>
                <w:highlight w:val="none"/>
                <w:lang w:val="en-US" w:eastAsia="zh-CN"/>
              </w:rPr>
              <w:t>-2</w:t>
            </w:r>
            <w:r>
              <w:rPr>
                <w:rFonts w:hint="eastAsia" w:eastAsia="宋体"/>
                <w:b/>
                <w:color w:val="auto"/>
                <w:kern w:val="0"/>
                <w:szCs w:val="21"/>
                <w:highlight w:val="none"/>
              </w:rPr>
              <w:t xml:space="preserve">  建设项目范围涉及的生态环境管控单元准入清单符合性分析</w:t>
            </w:r>
          </w:p>
          <w:tbl>
            <w:tblPr>
              <w:tblStyle w:val="3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47"/>
              <w:gridCol w:w="320"/>
              <w:gridCol w:w="864"/>
              <w:gridCol w:w="892"/>
              <w:gridCol w:w="908"/>
              <w:gridCol w:w="4328"/>
              <w:gridCol w:w="1050"/>
              <w:gridCol w:w="3465"/>
              <w:gridCol w:w="441"/>
            </w:tblGrid>
            <w:tr w14:paraId="21D9BD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2" w:type="pct"/>
                  <w:tcBorders>
                    <w:tl2br w:val="nil"/>
                    <w:tr2bl w:val="nil"/>
                  </w:tcBorders>
                  <w:vAlign w:val="center"/>
                </w:tcPr>
                <w:p w14:paraId="056331BB">
                  <w:pPr>
                    <w:keepNext w:val="0"/>
                    <w:keepLines w:val="0"/>
                    <w:suppressLineNumbers w:val="0"/>
                    <w:spacing w:before="0" w:beforeAutospacing="0" w:after="0" w:afterAutospacing="0" w:line="240" w:lineRule="auto"/>
                    <w:ind w:left="0" w:right="0" w:firstLine="0" w:firstLineChars="0"/>
                    <w:jc w:val="center"/>
                    <w:rPr>
                      <w:rFonts w:hint="default"/>
                      <w:b/>
                      <w:color w:val="auto"/>
                      <w:sz w:val="21"/>
                      <w:szCs w:val="22"/>
                      <w:highlight w:val="none"/>
                    </w:rPr>
                  </w:pPr>
                  <w:r>
                    <w:rPr>
                      <w:rFonts w:hint="eastAsia"/>
                      <w:b/>
                      <w:color w:val="auto"/>
                      <w:sz w:val="21"/>
                      <w:szCs w:val="22"/>
                      <w:highlight w:val="none"/>
                    </w:rPr>
                    <w:t>市（区）</w:t>
                  </w:r>
                </w:p>
              </w:tc>
              <w:tc>
                <w:tcPr>
                  <w:tcW w:w="121" w:type="pct"/>
                  <w:tcBorders>
                    <w:tl2br w:val="nil"/>
                    <w:tr2bl w:val="nil"/>
                  </w:tcBorders>
                  <w:vAlign w:val="center"/>
                </w:tcPr>
                <w:p w14:paraId="4926FFD4">
                  <w:pPr>
                    <w:keepNext w:val="0"/>
                    <w:keepLines w:val="0"/>
                    <w:suppressLineNumbers w:val="0"/>
                    <w:spacing w:before="0" w:beforeAutospacing="0" w:after="0" w:afterAutospacing="0" w:line="240" w:lineRule="auto"/>
                    <w:ind w:left="0" w:right="0" w:firstLine="0" w:firstLineChars="0"/>
                    <w:jc w:val="center"/>
                    <w:rPr>
                      <w:rFonts w:hint="default"/>
                      <w:b/>
                      <w:color w:val="auto"/>
                      <w:sz w:val="21"/>
                      <w:szCs w:val="22"/>
                      <w:highlight w:val="none"/>
                    </w:rPr>
                  </w:pPr>
                  <w:r>
                    <w:rPr>
                      <w:rFonts w:hint="eastAsia"/>
                      <w:b/>
                      <w:color w:val="auto"/>
                      <w:sz w:val="21"/>
                      <w:szCs w:val="22"/>
                      <w:highlight w:val="none"/>
                    </w:rPr>
                    <w:t>区县</w:t>
                  </w:r>
                </w:p>
              </w:tc>
              <w:tc>
                <w:tcPr>
                  <w:tcW w:w="329" w:type="pct"/>
                  <w:tcBorders>
                    <w:tl2br w:val="nil"/>
                    <w:tr2bl w:val="nil"/>
                  </w:tcBorders>
                  <w:vAlign w:val="center"/>
                </w:tcPr>
                <w:p w14:paraId="409E3941">
                  <w:pPr>
                    <w:keepNext w:val="0"/>
                    <w:keepLines w:val="0"/>
                    <w:suppressLineNumbers w:val="0"/>
                    <w:spacing w:before="0" w:beforeAutospacing="0" w:after="0" w:afterAutospacing="0" w:line="240" w:lineRule="auto"/>
                    <w:ind w:left="0" w:right="0" w:firstLine="0" w:firstLineChars="0"/>
                    <w:jc w:val="center"/>
                    <w:rPr>
                      <w:rFonts w:hint="default"/>
                      <w:b/>
                      <w:color w:val="auto"/>
                      <w:sz w:val="21"/>
                      <w:szCs w:val="22"/>
                      <w:highlight w:val="none"/>
                    </w:rPr>
                  </w:pPr>
                  <w:r>
                    <w:rPr>
                      <w:rFonts w:hint="eastAsia"/>
                      <w:b/>
                      <w:color w:val="auto"/>
                      <w:sz w:val="21"/>
                      <w:szCs w:val="22"/>
                      <w:highlight w:val="none"/>
                    </w:rPr>
                    <w:t>环境管控单元名称</w:t>
                  </w:r>
                </w:p>
              </w:tc>
              <w:tc>
                <w:tcPr>
                  <w:tcW w:w="340" w:type="pct"/>
                  <w:tcBorders>
                    <w:tl2br w:val="nil"/>
                    <w:tr2bl w:val="nil"/>
                  </w:tcBorders>
                  <w:vAlign w:val="center"/>
                </w:tcPr>
                <w:p w14:paraId="7FA9172F">
                  <w:pPr>
                    <w:keepNext w:val="0"/>
                    <w:keepLines w:val="0"/>
                    <w:suppressLineNumbers w:val="0"/>
                    <w:spacing w:before="0" w:beforeAutospacing="0" w:after="0" w:afterAutospacing="0" w:line="240" w:lineRule="auto"/>
                    <w:ind w:left="0" w:right="0" w:firstLine="0" w:firstLineChars="0"/>
                    <w:jc w:val="center"/>
                    <w:rPr>
                      <w:rFonts w:hint="default"/>
                      <w:b/>
                      <w:color w:val="auto"/>
                      <w:sz w:val="21"/>
                      <w:szCs w:val="22"/>
                      <w:highlight w:val="none"/>
                    </w:rPr>
                  </w:pPr>
                  <w:r>
                    <w:rPr>
                      <w:rFonts w:hint="eastAsia"/>
                      <w:b/>
                      <w:color w:val="auto"/>
                      <w:sz w:val="21"/>
                      <w:szCs w:val="22"/>
                      <w:highlight w:val="none"/>
                    </w:rPr>
                    <w:t>单元要素亲属性</w:t>
                  </w:r>
                </w:p>
              </w:tc>
              <w:tc>
                <w:tcPr>
                  <w:tcW w:w="346" w:type="pct"/>
                  <w:tcBorders>
                    <w:tl2br w:val="nil"/>
                    <w:tr2bl w:val="nil"/>
                  </w:tcBorders>
                  <w:vAlign w:val="center"/>
                </w:tcPr>
                <w:p w14:paraId="4F288FF4">
                  <w:pPr>
                    <w:keepNext w:val="0"/>
                    <w:keepLines w:val="0"/>
                    <w:suppressLineNumbers w:val="0"/>
                    <w:spacing w:before="0" w:beforeAutospacing="0" w:after="0" w:afterAutospacing="0" w:line="240" w:lineRule="auto"/>
                    <w:ind w:left="0" w:right="0" w:firstLine="0" w:firstLineChars="0"/>
                    <w:jc w:val="center"/>
                    <w:rPr>
                      <w:rFonts w:hint="default"/>
                      <w:b/>
                      <w:color w:val="auto"/>
                      <w:sz w:val="21"/>
                      <w:szCs w:val="22"/>
                      <w:highlight w:val="none"/>
                    </w:rPr>
                  </w:pPr>
                  <w:r>
                    <w:rPr>
                      <w:rFonts w:hint="eastAsia"/>
                      <w:b/>
                      <w:color w:val="auto"/>
                      <w:sz w:val="21"/>
                      <w:szCs w:val="22"/>
                      <w:highlight w:val="none"/>
                    </w:rPr>
                    <w:t>管控单元分类</w:t>
                  </w:r>
                </w:p>
              </w:tc>
              <w:tc>
                <w:tcPr>
                  <w:tcW w:w="1650" w:type="pct"/>
                  <w:tcBorders>
                    <w:tl2br w:val="nil"/>
                    <w:tr2bl w:val="nil"/>
                  </w:tcBorders>
                  <w:vAlign w:val="center"/>
                </w:tcPr>
                <w:p w14:paraId="13587F35">
                  <w:pPr>
                    <w:keepNext w:val="0"/>
                    <w:keepLines w:val="0"/>
                    <w:suppressLineNumbers w:val="0"/>
                    <w:spacing w:before="0" w:beforeAutospacing="0" w:after="0" w:afterAutospacing="0" w:line="240" w:lineRule="auto"/>
                    <w:ind w:left="0" w:right="0" w:firstLine="0" w:firstLineChars="0"/>
                    <w:jc w:val="center"/>
                    <w:rPr>
                      <w:rFonts w:hint="default"/>
                      <w:b/>
                      <w:color w:val="auto"/>
                      <w:sz w:val="21"/>
                      <w:szCs w:val="22"/>
                      <w:highlight w:val="none"/>
                    </w:rPr>
                  </w:pPr>
                  <w:r>
                    <w:rPr>
                      <w:rFonts w:hint="eastAsia"/>
                      <w:b/>
                      <w:color w:val="auto"/>
                      <w:sz w:val="21"/>
                      <w:szCs w:val="22"/>
                      <w:highlight w:val="none"/>
                    </w:rPr>
                    <w:t>管控要求</w:t>
                  </w:r>
                </w:p>
              </w:tc>
              <w:tc>
                <w:tcPr>
                  <w:tcW w:w="400" w:type="pct"/>
                  <w:tcBorders>
                    <w:tl2br w:val="nil"/>
                    <w:tr2bl w:val="nil"/>
                  </w:tcBorders>
                  <w:vAlign w:val="center"/>
                </w:tcPr>
                <w:p w14:paraId="59017D6C">
                  <w:pPr>
                    <w:keepNext w:val="0"/>
                    <w:keepLines w:val="0"/>
                    <w:suppressLineNumbers w:val="0"/>
                    <w:spacing w:before="0" w:beforeAutospacing="0" w:after="0" w:afterAutospacing="0" w:line="240" w:lineRule="auto"/>
                    <w:ind w:left="0" w:right="0" w:firstLine="0" w:firstLineChars="0"/>
                    <w:jc w:val="center"/>
                    <w:rPr>
                      <w:rFonts w:hint="default" w:eastAsia="宋体"/>
                      <w:b/>
                      <w:color w:val="auto"/>
                      <w:sz w:val="21"/>
                      <w:szCs w:val="22"/>
                      <w:highlight w:val="none"/>
                      <w:lang w:val="en-US" w:eastAsia="zh-CN"/>
                    </w:rPr>
                  </w:pPr>
                  <w:r>
                    <w:rPr>
                      <w:rFonts w:hint="eastAsia"/>
                      <w:b/>
                      <w:color w:val="auto"/>
                      <w:sz w:val="21"/>
                      <w:szCs w:val="22"/>
                      <w:highlight w:val="none"/>
                      <w:lang w:val="en-US" w:eastAsia="zh-CN"/>
                    </w:rPr>
                    <w:t>面积/长度（m</w:t>
                  </w:r>
                  <w:r>
                    <w:rPr>
                      <w:rFonts w:hint="eastAsia"/>
                      <w:b/>
                      <w:color w:val="auto"/>
                      <w:sz w:val="21"/>
                      <w:szCs w:val="22"/>
                      <w:highlight w:val="none"/>
                      <w:vertAlign w:val="superscript"/>
                      <w:lang w:val="en-US" w:eastAsia="zh-CN"/>
                    </w:rPr>
                    <w:t>2</w:t>
                  </w:r>
                  <w:r>
                    <w:rPr>
                      <w:rFonts w:hint="eastAsia"/>
                      <w:b/>
                      <w:color w:val="auto"/>
                      <w:sz w:val="21"/>
                      <w:szCs w:val="22"/>
                      <w:highlight w:val="none"/>
                      <w:lang w:val="en-US" w:eastAsia="zh-CN"/>
                    </w:rPr>
                    <w:t>/m）</w:t>
                  </w:r>
                </w:p>
              </w:tc>
              <w:tc>
                <w:tcPr>
                  <w:tcW w:w="1321" w:type="pct"/>
                  <w:tcBorders>
                    <w:tl2br w:val="nil"/>
                    <w:tr2bl w:val="nil"/>
                  </w:tcBorders>
                  <w:vAlign w:val="center"/>
                </w:tcPr>
                <w:p w14:paraId="20AC1BB7">
                  <w:pPr>
                    <w:keepNext w:val="0"/>
                    <w:keepLines w:val="0"/>
                    <w:suppressLineNumbers w:val="0"/>
                    <w:spacing w:before="0" w:beforeAutospacing="0" w:after="0" w:afterAutospacing="0" w:line="240" w:lineRule="auto"/>
                    <w:ind w:left="0" w:right="0" w:firstLine="0" w:firstLineChars="0"/>
                    <w:jc w:val="center"/>
                    <w:rPr>
                      <w:rFonts w:hint="default"/>
                      <w:b/>
                      <w:color w:val="auto"/>
                      <w:sz w:val="21"/>
                      <w:szCs w:val="22"/>
                      <w:highlight w:val="none"/>
                    </w:rPr>
                  </w:pPr>
                  <w:r>
                    <w:rPr>
                      <w:rFonts w:hint="eastAsia"/>
                      <w:b/>
                      <w:color w:val="auto"/>
                      <w:sz w:val="21"/>
                      <w:szCs w:val="22"/>
                      <w:highlight w:val="none"/>
                    </w:rPr>
                    <w:t>本项目情况</w:t>
                  </w:r>
                </w:p>
              </w:tc>
              <w:tc>
                <w:tcPr>
                  <w:tcW w:w="168" w:type="pct"/>
                  <w:tcBorders>
                    <w:tl2br w:val="nil"/>
                    <w:tr2bl w:val="nil"/>
                  </w:tcBorders>
                  <w:vAlign w:val="center"/>
                </w:tcPr>
                <w:p w14:paraId="3FB10B2C">
                  <w:pPr>
                    <w:keepNext w:val="0"/>
                    <w:keepLines w:val="0"/>
                    <w:suppressLineNumbers w:val="0"/>
                    <w:spacing w:before="0" w:beforeAutospacing="0" w:after="0" w:afterAutospacing="0" w:line="240" w:lineRule="auto"/>
                    <w:ind w:left="0" w:right="0" w:firstLine="0" w:firstLineChars="0"/>
                    <w:jc w:val="center"/>
                    <w:rPr>
                      <w:rFonts w:hint="default"/>
                      <w:b/>
                      <w:color w:val="auto"/>
                      <w:sz w:val="21"/>
                      <w:szCs w:val="22"/>
                      <w:highlight w:val="none"/>
                    </w:rPr>
                  </w:pPr>
                  <w:r>
                    <w:rPr>
                      <w:rFonts w:hint="eastAsia"/>
                      <w:b/>
                      <w:color w:val="auto"/>
                      <w:sz w:val="21"/>
                      <w:szCs w:val="22"/>
                      <w:highlight w:val="none"/>
                    </w:rPr>
                    <w:t>符合性</w:t>
                  </w:r>
                </w:p>
              </w:tc>
            </w:tr>
            <w:tr w14:paraId="024F4E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322" w:type="pct"/>
                  <w:vMerge w:val="restart"/>
                  <w:tcBorders>
                    <w:tl2br w:val="nil"/>
                    <w:tr2bl w:val="nil"/>
                  </w:tcBorders>
                  <w:vAlign w:val="center"/>
                </w:tcPr>
                <w:p w14:paraId="0C5AC94A">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2"/>
                      <w:highlight w:val="none"/>
                    </w:rPr>
                  </w:pPr>
                  <w:r>
                    <w:rPr>
                      <w:rFonts w:hint="eastAsia"/>
                      <w:color w:val="auto"/>
                      <w:sz w:val="21"/>
                      <w:szCs w:val="22"/>
                      <w:highlight w:val="none"/>
                    </w:rPr>
                    <w:t>咸阳市</w:t>
                  </w:r>
                </w:p>
              </w:tc>
              <w:tc>
                <w:tcPr>
                  <w:tcW w:w="121" w:type="pct"/>
                  <w:vMerge w:val="restart"/>
                  <w:tcBorders>
                    <w:tl2br w:val="nil"/>
                    <w:tr2bl w:val="nil"/>
                  </w:tcBorders>
                  <w:vAlign w:val="center"/>
                </w:tcPr>
                <w:p w14:paraId="6CFA3695">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2"/>
                      <w:highlight w:val="none"/>
                    </w:rPr>
                  </w:pPr>
                  <w:r>
                    <w:rPr>
                      <w:rFonts w:hint="eastAsia"/>
                      <w:color w:val="auto"/>
                      <w:sz w:val="21"/>
                      <w:szCs w:val="22"/>
                      <w:highlight w:val="none"/>
                    </w:rPr>
                    <w:t>泾阳县</w:t>
                  </w:r>
                </w:p>
              </w:tc>
              <w:tc>
                <w:tcPr>
                  <w:tcW w:w="329" w:type="pct"/>
                  <w:vMerge w:val="restart"/>
                  <w:tcBorders>
                    <w:tl2br w:val="nil"/>
                    <w:tr2bl w:val="nil"/>
                  </w:tcBorders>
                  <w:vAlign w:val="center"/>
                </w:tcPr>
                <w:p w14:paraId="61A59495">
                  <w:pPr>
                    <w:keepNext w:val="0"/>
                    <w:keepLines w:val="0"/>
                    <w:suppressLineNumbers w:val="0"/>
                    <w:spacing w:before="0" w:beforeAutospacing="0" w:after="0" w:afterAutospacing="0" w:line="240" w:lineRule="auto"/>
                    <w:ind w:left="0" w:right="0" w:firstLine="0" w:firstLineChars="0"/>
                    <w:jc w:val="center"/>
                    <w:rPr>
                      <w:rFonts w:hint="default" w:eastAsia="宋体"/>
                      <w:color w:val="auto"/>
                      <w:sz w:val="21"/>
                      <w:szCs w:val="22"/>
                      <w:highlight w:val="none"/>
                      <w:lang w:val="en-US" w:eastAsia="zh-CN"/>
                    </w:rPr>
                  </w:pPr>
                  <w:r>
                    <w:rPr>
                      <w:rFonts w:hint="eastAsia"/>
                      <w:color w:val="auto"/>
                      <w:sz w:val="21"/>
                      <w:szCs w:val="22"/>
                      <w:highlight w:val="none"/>
                    </w:rPr>
                    <w:t>泾阳县重点管控单元</w:t>
                  </w:r>
                  <w:r>
                    <w:rPr>
                      <w:rFonts w:hint="eastAsia"/>
                      <w:color w:val="auto"/>
                      <w:sz w:val="21"/>
                      <w:szCs w:val="22"/>
                      <w:highlight w:val="none"/>
                      <w:lang w:val="en-US" w:eastAsia="zh-CN"/>
                    </w:rPr>
                    <w:t>11（西咸新区）</w:t>
                  </w:r>
                </w:p>
              </w:tc>
              <w:tc>
                <w:tcPr>
                  <w:tcW w:w="340" w:type="pct"/>
                  <w:vMerge w:val="restart"/>
                  <w:tcBorders>
                    <w:tl2br w:val="nil"/>
                    <w:tr2bl w:val="nil"/>
                  </w:tcBorders>
                  <w:vAlign w:val="center"/>
                </w:tcPr>
                <w:p w14:paraId="7A8A4B50">
                  <w:pPr>
                    <w:keepNext w:val="0"/>
                    <w:keepLines w:val="0"/>
                    <w:suppressLineNumbers w:val="0"/>
                    <w:spacing w:before="0" w:beforeAutospacing="0" w:after="0" w:afterAutospacing="0" w:line="240" w:lineRule="auto"/>
                    <w:ind w:left="0" w:right="0" w:firstLine="0" w:firstLineChars="0"/>
                    <w:jc w:val="center"/>
                    <w:rPr>
                      <w:rFonts w:hint="eastAsia"/>
                      <w:color w:val="auto"/>
                      <w:sz w:val="21"/>
                      <w:szCs w:val="22"/>
                      <w:highlight w:val="none"/>
                      <w:lang w:val="en-US" w:eastAsia="zh-CN"/>
                    </w:rPr>
                  </w:pPr>
                  <w:r>
                    <w:rPr>
                      <w:rFonts w:hint="eastAsia"/>
                      <w:color w:val="auto"/>
                      <w:sz w:val="21"/>
                      <w:szCs w:val="22"/>
                      <w:highlight w:val="none"/>
                      <w:lang w:val="en-US" w:eastAsia="zh-CN"/>
                    </w:rPr>
                    <w:t>大气环境受体敏感重点管控区、</w:t>
                  </w:r>
                </w:p>
                <w:p w14:paraId="67ED944B">
                  <w:pPr>
                    <w:keepNext w:val="0"/>
                    <w:keepLines w:val="0"/>
                    <w:suppressLineNumbers w:val="0"/>
                    <w:spacing w:before="0" w:beforeAutospacing="0" w:after="0" w:afterAutospacing="0" w:line="240" w:lineRule="auto"/>
                    <w:ind w:left="0" w:right="0" w:firstLine="0" w:firstLineChars="0"/>
                    <w:jc w:val="center"/>
                    <w:rPr>
                      <w:rFonts w:hint="eastAsia" w:eastAsia="宋体"/>
                      <w:color w:val="auto"/>
                      <w:sz w:val="21"/>
                      <w:szCs w:val="22"/>
                      <w:highlight w:val="none"/>
                      <w:lang w:eastAsia="zh-CN"/>
                    </w:rPr>
                  </w:pPr>
                  <w:r>
                    <w:rPr>
                      <w:rFonts w:hint="eastAsia"/>
                      <w:color w:val="auto"/>
                      <w:sz w:val="21"/>
                      <w:szCs w:val="22"/>
                      <w:highlight w:val="none"/>
                    </w:rPr>
                    <w:t>水环境城镇生活污染重点管控区</w:t>
                  </w:r>
                  <w:r>
                    <w:rPr>
                      <w:rFonts w:hint="eastAsia"/>
                      <w:color w:val="auto"/>
                      <w:sz w:val="21"/>
                      <w:szCs w:val="22"/>
                      <w:highlight w:val="none"/>
                      <w:lang w:eastAsia="zh-CN"/>
                    </w:rPr>
                    <w:t>、</w:t>
                  </w:r>
                </w:p>
                <w:p w14:paraId="498C7E4E">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2"/>
                      <w:highlight w:val="none"/>
                    </w:rPr>
                  </w:pPr>
                  <w:r>
                    <w:rPr>
                      <w:rFonts w:hint="eastAsia"/>
                      <w:color w:val="auto"/>
                      <w:sz w:val="21"/>
                      <w:szCs w:val="22"/>
                      <w:highlight w:val="none"/>
                    </w:rPr>
                    <w:t>高污染燃料禁燃区</w:t>
                  </w:r>
                </w:p>
              </w:tc>
              <w:tc>
                <w:tcPr>
                  <w:tcW w:w="346" w:type="pct"/>
                  <w:tcBorders>
                    <w:tl2br w:val="nil"/>
                    <w:tr2bl w:val="nil"/>
                  </w:tcBorders>
                  <w:vAlign w:val="center"/>
                </w:tcPr>
                <w:p w14:paraId="1E4BDA89">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2"/>
                      <w:highlight w:val="none"/>
                    </w:rPr>
                  </w:pPr>
                  <w:r>
                    <w:rPr>
                      <w:rFonts w:hint="eastAsia"/>
                      <w:color w:val="auto"/>
                      <w:sz w:val="21"/>
                      <w:szCs w:val="22"/>
                      <w:highlight w:val="none"/>
                    </w:rPr>
                    <w:t>空间约束要求</w:t>
                  </w:r>
                </w:p>
              </w:tc>
              <w:tc>
                <w:tcPr>
                  <w:tcW w:w="1650" w:type="pct"/>
                  <w:tcBorders>
                    <w:tl2br w:val="nil"/>
                    <w:tr2bl w:val="nil"/>
                  </w:tcBorders>
                  <w:vAlign w:val="center"/>
                </w:tcPr>
                <w:p w14:paraId="6FBD8776">
                  <w:pPr>
                    <w:keepNext w:val="0"/>
                    <w:keepLines w:val="0"/>
                    <w:suppressLineNumbers w:val="0"/>
                    <w:spacing w:before="0" w:beforeAutospacing="0" w:after="0" w:afterAutospacing="0" w:line="240" w:lineRule="auto"/>
                    <w:ind w:left="0" w:right="0" w:firstLine="0" w:firstLineChars="0"/>
                    <w:rPr>
                      <w:rFonts w:hint="eastAsia" w:eastAsia="宋体"/>
                      <w:b/>
                      <w:bCs/>
                      <w:color w:val="auto"/>
                      <w:sz w:val="21"/>
                      <w:szCs w:val="22"/>
                      <w:highlight w:val="none"/>
                      <w:lang w:eastAsia="zh-CN"/>
                    </w:rPr>
                  </w:pPr>
                  <w:r>
                    <w:rPr>
                      <w:rFonts w:hint="eastAsia" w:eastAsia="宋体"/>
                      <w:b/>
                      <w:bCs/>
                      <w:color w:val="auto"/>
                      <w:sz w:val="21"/>
                      <w:szCs w:val="22"/>
                      <w:highlight w:val="none"/>
                      <w:lang w:eastAsia="zh-CN"/>
                    </w:rPr>
                    <w:t>大气环境受体敏感重点管控区</w:t>
                  </w:r>
                  <w:r>
                    <w:rPr>
                      <w:rFonts w:hint="eastAsia"/>
                      <w:b/>
                      <w:bCs/>
                      <w:color w:val="auto"/>
                      <w:sz w:val="21"/>
                      <w:szCs w:val="22"/>
                      <w:highlight w:val="none"/>
                      <w:lang w:eastAsia="zh-CN"/>
                    </w:rPr>
                    <w:t>：</w:t>
                  </w:r>
                </w:p>
                <w:p w14:paraId="1ABCA7C7">
                  <w:pPr>
                    <w:keepNext w:val="0"/>
                    <w:keepLines w:val="0"/>
                    <w:numPr>
                      <w:ilvl w:val="0"/>
                      <w:numId w:val="0"/>
                    </w:numPr>
                    <w:suppressLineNumbers w:val="0"/>
                    <w:spacing w:before="0" w:beforeAutospacing="0" w:after="0" w:afterAutospacing="0" w:line="240" w:lineRule="auto"/>
                    <w:ind w:left="0" w:leftChars="0" w:right="0" w:rightChars="0"/>
                    <w:rPr>
                      <w:rFonts w:hint="eastAsia" w:eastAsia="宋体"/>
                      <w:color w:val="auto"/>
                      <w:sz w:val="21"/>
                      <w:szCs w:val="22"/>
                      <w:highlight w:val="none"/>
                      <w:lang w:eastAsia="zh-CN"/>
                    </w:rPr>
                  </w:pPr>
                  <w:r>
                    <w:rPr>
                      <w:rFonts w:hint="eastAsia"/>
                      <w:color w:val="auto"/>
                      <w:sz w:val="21"/>
                      <w:szCs w:val="22"/>
                      <w:highlight w:val="none"/>
                      <w:lang w:val="en-US" w:eastAsia="zh-CN"/>
                    </w:rPr>
                    <w:t>1.</w:t>
                  </w:r>
                  <w:r>
                    <w:rPr>
                      <w:rFonts w:hint="eastAsia" w:eastAsia="宋体"/>
                      <w:color w:val="auto"/>
                      <w:sz w:val="21"/>
                      <w:szCs w:val="22"/>
                      <w:highlight w:val="none"/>
                      <w:lang w:eastAsia="zh-CN"/>
                    </w:rPr>
                    <w:t>严格控制新增《陕西省"两高"项目管理暂行目录》行业项目</w:t>
                  </w:r>
                  <w:r>
                    <w:rPr>
                      <w:rFonts w:hint="eastAsia"/>
                      <w:color w:val="auto"/>
                      <w:sz w:val="21"/>
                      <w:szCs w:val="22"/>
                      <w:highlight w:val="none"/>
                      <w:lang w:eastAsia="zh-CN"/>
                    </w:rPr>
                    <w:t>（</w:t>
                  </w:r>
                  <w:r>
                    <w:rPr>
                      <w:rFonts w:hint="eastAsia" w:eastAsia="宋体"/>
                      <w:color w:val="auto"/>
                      <w:sz w:val="21"/>
                      <w:szCs w:val="22"/>
                      <w:highlight w:val="none"/>
                      <w:lang w:eastAsia="zh-CN"/>
                    </w:rPr>
                    <w:t>民生等项目除外，</w:t>
                  </w:r>
                  <w:r>
                    <w:rPr>
                      <w:rFonts w:hint="eastAsia" w:eastAsia="宋体"/>
                      <w:color w:val="auto"/>
                      <w:sz w:val="21"/>
                      <w:szCs w:val="22"/>
                      <w:highlight w:val="none"/>
                      <w:lang w:val="en-US" w:eastAsia="zh-CN"/>
                    </w:rPr>
                    <w:t>后续</w:t>
                  </w:r>
                  <w:r>
                    <w:rPr>
                      <w:rFonts w:hint="eastAsia" w:eastAsia="宋体"/>
                      <w:color w:val="auto"/>
                      <w:sz w:val="21"/>
                      <w:szCs w:val="22"/>
                      <w:highlight w:val="none"/>
                      <w:lang w:eastAsia="zh-CN"/>
                    </w:rPr>
                    <w:t>对“两高”范围国家如有新规定的，从其规定</w:t>
                  </w:r>
                  <w:r>
                    <w:rPr>
                      <w:rFonts w:hint="eastAsia"/>
                      <w:color w:val="auto"/>
                      <w:sz w:val="21"/>
                      <w:szCs w:val="22"/>
                      <w:highlight w:val="none"/>
                      <w:lang w:eastAsia="zh-CN"/>
                    </w:rPr>
                    <w:t>）</w:t>
                  </w:r>
                  <w:r>
                    <w:rPr>
                      <w:rFonts w:hint="eastAsia" w:eastAsia="宋体"/>
                      <w:color w:val="auto"/>
                      <w:sz w:val="21"/>
                      <w:szCs w:val="22"/>
                      <w:highlight w:val="none"/>
                      <w:lang w:eastAsia="zh-CN"/>
                    </w:rPr>
                    <w:t>。</w:t>
                  </w:r>
                </w:p>
                <w:p w14:paraId="37A0AE2A">
                  <w:pPr>
                    <w:keepNext w:val="0"/>
                    <w:keepLines w:val="0"/>
                    <w:numPr>
                      <w:ilvl w:val="0"/>
                      <w:numId w:val="0"/>
                    </w:numPr>
                    <w:suppressLineNumbers w:val="0"/>
                    <w:spacing w:before="0" w:beforeAutospacing="0" w:after="0" w:afterAutospacing="0" w:line="240" w:lineRule="auto"/>
                    <w:ind w:left="0" w:leftChars="0" w:right="0" w:rightChars="0"/>
                    <w:rPr>
                      <w:rFonts w:hint="eastAsia" w:eastAsia="宋体"/>
                      <w:color w:val="auto"/>
                      <w:sz w:val="21"/>
                      <w:szCs w:val="22"/>
                      <w:highlight w:val="none"/>
                      <w:lang w:eastAsia="zh-CN"/>
                    </w:rPr>
                  </w:pPr>
                  <w:r>
                    <w:rPr>
                      <w:rFonts w:hint="eastAsia" w:eastAsia="宋体"/>
                      <w:color w:val="auto"/>
                      <w:sz w:val="21"/>
                      <w:szCs w:val="22"/>
                      <w:highlight w:val="none"/>
                      <w:lang w:eastAsia="zh-CN"/>
                    </w:rPr>
                    <w:t>2.推动重污染企业搬迁入园或依法关闭。</w:t>
                  </w:r>
                </w:p>
              </w:tc>
              <w:tc>
                <w:tcPr>
                  <w:tcW w:w="400" w:type="pct"/>
                  <w:vMerge w:val="restart"/>
                  <w:tcBorders>
                    <w:tl2br w:val="nil"/>
                    <w:tr2bl w:val="nil"/>
                  </w:tcBorders>
                  <w:vAlign w:val="center"/>
                </w:tcPr>
                <w:p w14:paraId="30929675">
                  <w:pPr>
                    <w:keepNext w:val="0"/>
                    <w:keepLines w:val="0"/>
                    <w:suppressLineNumbers w:val="0"/>
                    <w:spacing w:before="0" w:beforeAutospacing="0" w:after="0" w:afterAutospacing="0" w:line="240" w:lineRule="auto"/>
                    <w:ind w:left="0" w:right="0" w:firstLine="0" w:firstLineChars="0"/>
                    <w:jc w:val="center"/>
                    <w:rPr>
                      <w:rFonts w:hint="default" w:eastAsia="宋体"/>
                      <w:color w:val="auto"/>
                      <w:sz w:val="21"/>
                      <w:szCs w:val="22"/>
                      <w:highlight w:val="none"/>
                      <w:lang w:val="en-US" w:eastAsia="zh-CN"/>
                    </w:rPr>
                  </w:pPr>
                  <w:r>
                    <w:rPr>
                      <w:rFonts w:hint="eastAsia"/>
                      <w:color w:val="auto"/>
                      <w:sz w:val="21"/>
                      <w:szCs w:val="22"/>
                      <w:highlight w:val="none"/>
                      <w:lang w:val="en-US" w:eastAsia="zh-CN"/>
                    </w:rPr>
                    <w:t>26906.06</w:t>
                  </w:r>
                </w:p>
              </w:tc>
              <w:tc>
                <w:tcPr>
                  <w:tcW w:w="1321" w:type="pct"/>
                  <w:tcBorders>
                    <w:tl2br w:val="nil"/>
                    <w:tr2bl w:val="nil"/>
                  </w:tcBorders>
                  <w:vAlign w:val="center"/>
                </w:tcPr>
                <w:p w14:paraId="3A81059D">
                  <w:pPr>
                    <w:keepNext w:val="0"/>
                    <w:keepLines w:val="0"/>
                    <w:suppressLineNumbers w:val="0"/>
                    <w:spacing w:before="0" w:beforeAutospacing="0" w:after="0" w:afterAutospacing="0" w:line="240" w:lineRule="auto"/>
                    <w:ind w:left="0" w:right="0" w:firstLine="0" w:firstLineChars="0"/>
                    <w:rPr>
                      <w:rFonts w:hint="default" w:eastAsia="宋体"/>
                      <w:color w:val="auto"/>
                      <w:sz w:val="21"/>
                      <w:szCs w:val="22"/>
                      <w:highlight w:val="none"/>
                      <w:lang w:val="en-US" w:eastAsia="zh-CN"/>
                    </w:rPr>
                  </w:pPr>
                  <w:r>
                    <w:rPr>
                      <w:rFonts w:hint="eastAsia"/>
                      <w:color w:val="auto"/>
                      <w:sz w:val="21"/>
                      <w:szCs w:val="22"/>
                      <w:highlight w:val="none"/>
                      <w:lang w:val="en-US" w:eastAsia="zh-CN"/>
                    </w:rPr>
                    <w:t>1.本项目为食品制造业，主要从事方便食品制造，不属于“两高”行业。2.本项目建设单位不属于重污染企业。</w:t>
                  </w:r>
                </w:p>
              </w:tc>
              <w:tc>
                <w:tcPr>
                  <w:tcW w:w="168" w:type="pct"/>
                  <w:tcBorders>
                    <w:tl2br w:val="nil"/>
                    <w:tr2bl w:val="nil"/>
                  </w:tcBorders>
                  <w:vAlign w:val="center"/>
                </w:tcPr>
                <w:p w14:paraId="63422E35">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2"/>
                      <w:highlight w:val="none"/>
                    </w:rPr>
                  </w:pPr>
                  <w:r>
                    <w:rPr>
                      <w:rFonts w:hint="eastAsia"/>
                      <w:color w:val="auto"/>
                      <w:sz w:val="21"/>
                      <w:szCs w:val="22"/>
                      <w:highlight w:val="none"/>
                    </w:rPr>
                    <w:t>符合</w:t>
                  </w:r>
                </w:p>
              </w:tc>
            </w:tr>
            <w:tr w14:paraId="2FF34A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 w:hRule="atLeast"/>
                <w:jc w:val="center"/>
              </w:trPr>
              <w:tc>
                <w:tcPr>
                  <w:tcW w:w="322" w:type="pct"/>
                  <w:vMerge w:val="continue"/>
                  <w:tcBorders>
                    <w:tl2br w:val="nil"/>
                    <w:tr2bl w:val="nil"/>
                  </w:tcBorders>
                  <w:vAlign w:val="center"/>
                </w:tcPr>
                <w:p w14:paraId="28DB3E1C">
                  <w:pPr>
                    <w:keepNext w:val="0"/>
                    <w:keepLines w:val="0"/>
                    <w:suppressLineNumbers w:val="0"/>
                    <w:spacing w:before="0" w:beforeAutospacing="0" w:after="0" w:afterAutospacing="0" w:line="240" w:lineRule="auto"/>
                    <w:ind w:left="0" w:right="0" w:firstLine="0" w:firstLineChars="0"/>
                    <w:jc w:val="center"/>
                    <w:rPr>
                      <w:rFonts w:hint="eastAsia"/>
                      <w:color w:val="auto"/>
                      <w:sz w:val="21"/>
                      <w:szCs w:val="22"/>
                      <w:highlight w:val="none"/>
                    </w:rPr>
                  </w:pPr>
                </w:p>
              </w:tc>
              <w:tc>
                <w:tcPr>
                  <w:tcW w:w="121" w:type="pct"/>
                  <w:vMerge w:val="continue"/>
                  <w:tcBorders>
                    <w:tl2br w:val="nil"/>
                    <w:tr2bl w:val="nil"/>
                  </w:tcBorders>
                  <w:vAlign w:val="center"/>
                </w:tcPr>
                <w:p w14:paraId="6908DB99">
                  <w:pPr>
                    <w:keepNext w:val="0"/>
                    <w:keepLines w:val="0"/>
                    <w:suppressLineNumbers w:val="0"/>
                    <w:spacing w:before="0" w:beforeAutospacing="0" w:after="0" w:afterAutospacing="0" w:line="240" w:lineRule="auto"/>
                    <w:ind w:left="0" w:right="0" w:firstLine="0" w:firstLineChars="0"/>
                    <w:jc w:val="center"/>
                    <w:rPr>
                      <w:rFonts w:hint="eastAsia"/>
                      <w:color w:val="auto"/>
                      <w:sz w:val="21"/>
                      <w:szCs w:val="22"/>
                      <w:highlight w:val="none"/>
                    </w:rPr>
                  </w:pPr>
                </w:p>
              </w:tc>
              <w:tc>
                <w:tcPr>
                  <w:tcW w:w="329" w:type="pct"/>
                  <w:vMerge w:val="continue"/>
                  <w:tcBorders>
                    <w:tl2br w:val="nil"/>
                    <w:tr2bl w:val="nil"/>
                  </w:tcBorders>
                  <w:vAlign w:val="center"/>
                </w:tcPr>
                <w:p w14:paraId="4C5FDD5A">
                  <w:pPr>
                    <w:keepNext w:val="0"/>
                    <w:keepLines w:val="0"/>
                    <w:suppressLineNumbers w:val="0"/>
                    <w:spacing w:before="0" w:beforeAutospacing="0" w:after="0" w:afterAutospacing="0" w:line="240" w:lineRule="auto"/>
                    <w:ind w:left="0" w:right="0" w:firstLine="0" w:firstLineChars="0"/>
                    <w:jc w:val="center"/>
                    <w:rPr>
                      <w:rFonts w:hint="eastAsia"/>
                      <w:color w:val="auto"/>
                      <w:sz w:val="21"/>
                      <w:szCs w:val="22"/>
                      <w:highlight w:val="none"/>
                    </w:rPr>
                  </w:pPr>
                </w:p>
              </w:tc>
              <w:tc>
                <w:tcPr>
                  <w:tcW w:w="340" w:type="pct"/>
                  <w:vMerge w:val="continue"/>
                  <w:tcBorders>
                    <w:tl2br w:val="nil"/>
                    <w:tr2bl w:val="nil"/>
                  </w:tcBorders>
                  <w:vAlign w:val="center"/>
                </w:tcPr>
                <w:p w14:paraId="70403553">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2"/>
                      <w:highlight w:val="none"/>
                    </w:rPr>
                  </w:pPr>
                </w:p>
              </w:tc>
              <w:tc>
                <w:tcPr>
                  <w:tcW w:w="346" w:type="pct"/>
                  <w:tcBorders>
                    <w:tl2br w:val="nil"/>
                    <w:tr2bl w:val="nil"/>
                  </w:tcBorders>
                  <w:vAlign w:val="center"/>
                </w:tcPr>
                <w:p w14:paraId="43DF32A2">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2"/>
                      <w:highlight w:val="none"/>
                    </w:rPr>
                  </w:pPr>
                  <w:r>
                    <w:rPr>
                      <w:rFonts w:hint="eastAsia"/>
                      <w:color w:val="auto"/>
                      <w:sz w:val="21"/>
                      <w:szCs w:val="22"/>
                      <w:highlight w:val="none"/>
                    </w:rPr>
                    <w:t>污染物排放管控</w:t>
                  </w:r>
                </w:p>
              </w:tc>
              <w:tc>
                <w:tcPr>
                  <w:tcW w:w="1650" w:type="pct"/>
                  <w:tcBorders>
                    <w:tl2br w:val="nil"/>
                    <w:tr2bl w:val="nil"/>
                  </w:tcBorders>
                  <w:vAlign w:val="center"/>
                </w:tcPr>
                <w:p w14:paraId="3A070D14">
                  <w:pPr>
                    <w:keepNext w:val="0"/>
                    <w:keepLines w:val="0"/>
                    <w:suppressLineNumbers w:val="0"/>
                    <w:spacing w:before="0" w:beforeAutospacing="0" w:after="0" w:afterAutospacing="0" w:line="240" w:lineRule="auto"/>
                    <w:ind w:left="0" w:right="0" w:firstLine="0" w:firstLineChars="0"/>
                    <w:rPr>
                      <w:rFonts w:hint="eastAsia"/>
                      <w:b/>
                      <w:bCs/>
                      <w:color w:val="auto"/>
                      <w:sz w:val="21"/>
                      <w:szCs w:val="22"/>
                      <w:highlight w:val="none"/>
                      <w:lang w:eastAsia="zh-CN"/>
                    </w:rPr>
                  </w:pPr>
                  <w:r>
                    <w:rPr>
                      <w:rFonts w:hint="default"/>
                      <w:b/>
                      <w:bCs/>
                      <w:color w:val="auto"/>
                      <w:sz w:val="21"/>
                      <w:szCs w:val="22"/>
                      <w:highlight w:val="none"/>
                    </w:rPr>
                    <w:t>大气环境受体敏感重点管控区</w:t>
                  </w:r>
                  <w:r>
                    <w:rPr>
                      <w:rFonts w:hint="eastAsia"/>
                      <w:b/>
                      <w:bCs/>
                      <w:color w:val="auto"/>
                      <w:sz w:val="21"/>
                      <w:szCs w:val="22"/>
                      <w:highlight w:val="none"/>
                      <w:lang w:eastAsia="zh-CN"/>
                    </w:rPr>
                    <w:t>：</w:t>
                  </w:r>
                </w:p>
                <w:p w14:paraId="2C5777DC">
                  <w:pPr>
                    <w:keepNext w:val="0"/>
                    <w:keepLines w:val="0"/>
                    <w:numPr>
                      <w:ilvl w:val="0"/>
                      <w:numId w:val="0"/>
                    </w:numPr>
                    <w:suppressLineNumbers w:val="0"/>
                    <w:spacing w:before="0" w:beforeAutospacing="0" w:after="0" w:afterAutospacing="0" w:line="240" w:lineRule="auto"/>
                    <w:ind w:left="0" w:right="0" w:rightChars="0"/>
                    <w:rPr>
                      <w:rFonts w:hint="eastAsia" w:eastAsia="宋体"/>
                      <w:color w:val="auto"/>
                      <w:sz w:val="21"/>
                      <w:szCs w:val="22"/>
                      <w:highlight w:val="none"/>
                      <w:lang w:eastAsia="zh-CN"/>
                    </w:rPr>
                  </w:pPr>
                  <w:r>
                    <w:rPr>
                      <w:rFonts w:hint="eastAsia"/>
                      <w:color w:val="auto"/>
                      <w:sz w:val="21"/>
                      <w:szCs w:val="22"/>
                      <w:highlight w:val="none"/>
                      <w:lang w:val="en-US" w:eastAsia="zh-CN"/>
                    </w:rPr>
                    <w:t>1.</w:t>
                  </w:r>
                  <w:r>
                    <w:rPr>
                      <w:rFonts w:hint="default"/>
                      <w:color w:val="auto"/>
                      <w:sz w:val="21"/>
                      <w:szCs w:val="22"/>
                      <w:highlight w:val="none"/>
                    </w:rPr>
                    <w:t>城市建成区产生油烟的餐饮服务</w:t>
                  </w:r>
                  <w:r>
                    <w:rPr>
                      <w:rFonts w:hint="eastAsia"/>
                      <w:color w:val="auto"/>
                      <w:sz w:val="21"/>
                      <w:szCs w:val="22"/>
                      <w:highlight w:val="none"/>
                      <w:lang w:val="en-US" w:eastAsia="zh-CN"/>
                    </w:rPr>
                    <w:t>单位</w:t>
                  </w:r>
                  <w:r>
                    <w:rPr>
                      <w:rFonts w:hint="default"/>
                      <w:color w:val="auto"/>
                      <w:sz w:val="21"/>
                      <w:szCs w:val="22"/>
                      <w:highlight w:val="none"/>
                    </w:rPr>
                    <w:t>全部安装油烟净化装置并保持正常运行和定期维护</w:t>
                  </w:r>
                  <w:r>
                    <w:rPr>
                      <w:rFonts w:hint="eastAsia"/>
                      <w:color w:val="auto"/>
                      <w:sz w:val="21"/>
                      <w:szCs w:val="22"/>
                      <w:highlight w:val="none"/>
                      <w:lang w:eastAsia="zh-CN"/>
                    </w:rPr>
                    <w:t>。</w:t>
                  </w:r>
                </w:p>
                <w:p w14:paraId="4E882940">
                  <w:pPr>
                    <w:keepNext w:val="0"/>
                    <w:keepLines w:val="0"/>
                    <w:numPr>
                      <w:ilvl w:val="0"/>
                      <w:numId w:val="0"/>
                    </w:numPr>
                    <w:suppressLineNumbers w:val="0"/>
                    <w:spacing w:before="0" w:beforeAutospacing="0" w:after="0" w:afterAutospacing="0" w:line="240" w:lineRule="auto"/>
                    <w:ind w:left="0" w:right="0" w:rightChars="0"/>
                    <w:rPr>
                      <w:rFonts w:hint="default"/>
                      <w:color w:val="auto"/>
                      <w:sz w:val="21"/>
                      <w:szCs w:val="22"/>
                      <w:highlight w:val="none"/>
                    </w:rPr>
                  </w:pPr>
                  <w:r>
                    <w:rPr>
                      <w:rFonts w:hint="eastAsia"/>
                      <w:color w:val="auto"/>
                      <w:sz w:val="21"/>
                      <w:szCs w:val="22"/>
                      <w:highlight w:val="none"/>
                      <w:lang w:val="en-US" w:eastAsia="zh-CN"/>
                    </w:rPr>
                    <w:t>2</w:t>
                  </w:r>
                  <w:r>
                    <w:rPr>
                      <w:rFonts w:hint="default"/>
                      <w:color w:val="auto"/>
                      <w:sz w:val="21"/>
                      <w:szCs w:val="22"/>
                      <w:highlight w:val="none"/>
                    </w:rPr>
                    <w:t>.持续因地制宜</w:t>
                  </w:r>
                  <w:r>
                    <w:rPr>
                      <w:rFonts w:hint="eastAsia"/>
                      <w:color w:val="auto"/>
                      <w:sz w:val="21"/>
                      <w:szCs w:val="22"/>
                      <w:highlight w:val="none"/>
                      <w:lang w:val="en-US" w:eastAsia="zh-CN"/>
                    </w:rPr>
                    <w:t>实施</w:t>
                  </w:r>
                  <w:r>
                    <w:rPr>
                      <w:rFonts w:hint="eastAsia"/>
                      <w:color w:val="auto"/>
                      <w:sz w:val="21"/>
                      <w:szCs w:val="22"/>
                      <w:highlight w:val="none"/>
                      <w:lang w:eastAsia="zh-CN"/>
                    </w:rPr>
                    <w:t>“</w:t>
                  </w:r>
                  <w:r>
                    <w:rPr>
                      <w:rFonts w:hint="default"/>
                      <w:color w:val="auto"/>
                      <w:sz w:val="21"/>
                      <w:szCs w:val="22"/>
                      <w:highlight w:val="none"/>
                    </w:rPr>
                    <w:t>煤改气</w:t>
                  </w:r>
                  <w:r>
                    <w:rPr>
                      <w:rFonts w:hint="eastAsia"/>
                      <w:color w:val="auto"/>
                      <w:sz w:val="21"/>
                      <w:szCs w:val="22"/>
                      <w:highlight w:val="none"/>
                      <w:lang w:eastAsia="zh-CN"/>
                    </w:rPr>
                    <w:t>”</w:t>
                  </w:r>
                  <w:r>
                    <w:rPr>
                      <w:rFonts w:hint="default"/>
                      <w:color w:val="auto"/>
                      <w:sz w:val="21"/>
                      <w:szCs w:val="22"/>
                      <w:highlight w:val="none"/>
                    </w:rPr>
                    <w:t>、</w:t>
                  </w:r>
                  <w:r>
                    <w:rPr>
                      <w:rFonts w:hint="eastAsia"/>
                      <w:color w:val="auto"/>
                      <w:sz w:val="21"/>
                      <w:szCs w:val="22"/>
                      <w:highlight w:val="none"/>
                      <w:lang w:eastAsia="zh-CN"/>
                    </w:rPr>
                    <w:t>“</w:t>
                  </w:r>
                  <w:r>
                    <w:rPr>
                      <w:rFonts w:hint="default"/>
                      <w:color w:val="auto"/>
                      <w:sz w:val="21"/>
                      <w:szCs w:val="22"/>
                      <w:highlight w:val="none"/>
                    </w:rPr>
                    <w:t>油改气</w:t>
                  </w:r>
                  <w:r>
                    <w:rPr>
                      <w:rFonts w:hint="eastAsia"/>
                      <w:color w:val="auto"/>
                      <w:sz w:val="21"/>
                      <w:szCs w:val="22"/>
                      <w:highlight w:val="none"/>
                      <w:lang w:eastAsia="zh-CN"/>
                    </w:rPr>
                    <w:t>”</w:t>
                  </w:r>
                  <w:r>
                    <w:rPr>
                      <w:rFonts w:hint="default"/>
                      <w:color w:val="auto"/>
                      <w:sz w:val="21"/>
                      <w:szCs w:val="22"/>
                      <w:highlight w:val="none"/>
                    </w:rPr>
                    <w:t>、 电能、地热、生物质等清洁能源取暖措施。</w:t>
                  </w:r>
                </w:p>
                <w:p w14:paraId="03DC1F22">
                  <w:pPr>
                    <w:keepNext w:val="0"/>
                    <w:keepLines w:val="0"/>
                    <w:numPr>
                      <w:ilvl w:val="0"/>
                      <w:numId w:val="0"/>
                    </w:numPr>
                    <w:suppressLineNumbers w:val="0"/>
                    <w:spacing w:before="0" w:beforeAutospacing="0" w:after="0" w:afterAutospacing="0" w:line="240" w:lineRule="auto"/>
                    <w:ind w:left="0" w:leftChars="0" w:right="0" w:rightChars="0"/>
                    <w:rPr>
                      <w:rFonts w:hint="default"/>
                      <w:color w:val="auto"/>
                      <w:sz w:val="21"/>
                      <w:szCs w:val="22"/>
                      <w:highlight w:val="none"/>
                    </w:rPr>
                  </w:pPr>
                  <w:r>
                    <w:rPr>
                      <w:rFonts w:hint="default"/>
                      <w:color w:val="auto"/>
                      <w:sz w:val="21"/>
                      <w:szCs w:val="22"/>
                      <w:highlight w:val="none"/>
                    </w:rPr>
                    <w:t>3鼓励将老旧车辆和非道路移动机械替换为清</w:t>
                  </w:r>
                  <w:r>
                    <w:rPr>
                      <w:rFonts w:hint="eastAsia"/>
                      <w:color w:val="auto"/>
                      <w:sz w:val="21"/>
                      <w:szCs w:val="22"/>
                      <w:highlight w:val="none"/>
                      <w:lang w:val="en-US" w:eastAsia="zh-CN"/>
                    </w:rPr>
                    <w:t>洁</w:t>
                  </w:r>
                  <w:r>
                    <w:rPr>
                      <w:rFonts w:hint="default"/>
                      <w:color w:val="auto"/>
                      <w:sz w:val="21"/>
                      <w:szCs w:val="22"/>
                      <w:highlight w:val="none"/>
                    </w:rPr>
                    <w:t>能源车</w:t>
                  </w:r>
                  <w:r>
                    <w:rPr>
                      <w:rFonts w:hint="eastAsia"/>
                      <w:color w:val="auto"/>
                      <w:sz w:val="21"/>
                      <w:szCs w:val="22"/>
                      <w:highlight w:val="none"/>
                      <w:lang w:eastAsia="zh-CN"/>
                    </w:rPr>
                    <w:t>，</w:t>
                  </w:r>
                  <w:r>
                    <w:rPr>
                      <w:rFonts w:hint="default"/>
                      <w:color w:val="auto"/>
                      <w:sz w:val="21"/>
                      <w:szCs w:val="22"/>
                      <w:highlight w:val="none"/>
                    </w:rPr>
                    <w:t>推进新能源清洁能源汽车使用。4.位于大气污染防治重点区域的汾</w:t>
                  </w:r>
                  <w:r>
                    <w:rPr>
                      <w:rFonts w:hint="eastAsia"/>
                      <w:color w:val="auto"/>
                      <w:sz w:val="21"/>
                      <w:szCs w:val="22"/>
                      <w:highlight w:val="none"/>
                      <w:lang w:val="en-US" w:eastAsia="zh-CN"/>
                    </w:rPr>
                    <w:t>渭</w:t>
                  </w:r>
                  <w:r>
                    <w:rPr>
                      <w:rFonts w:hint="default"/>
                      <w:color w:val="auto"/>
                      <w:sz w:val="21"/>
                      <w:szCs w:val="22"/>
                      <w:highlight w:val="none"/>
                    </w:rPr>
                    <w:t>平原，特别排放限值行业</w:t>
                  </w:r>
                  <w:r>
                    <w:rPr>
                      <w:rFonts w:hint="eastAsia"/>
                      <w:color w:val="auto"/>
                      <w:sz w:val="21"/>
                      <w:szCs w:val="22"/>
                      <w:highlight w:val="none"/>
                      <w:lang w:eastAsia="zh-CN"/>
                    </w:rPr>
                    <w:t>（</w:t>
                  </w:r>
                  <w:r>
                    <w:rPr>
                      <w:rFonts w:hint="default"/>
                      <w:color w:val="auto"/>
                      <w:sz w:val="21"/>
                      <w:szCs w:val="22"/>
                      <w:highlight w:val="none"/>
                    </w:rPr>
                    <w:t>钢铁、水泥、焦化、石化、化工、有色等行业</w:t>
                  </w:r>
                  <w:r>
                    <w:rPr>
                      <w:rFonts w:hint="eastAsia"/>
                      <w:color w:val="auto"/>
                      <w:sz w:val="21"/>
                      <w:szCs w:val="22"/>
                      <w:highlight w:val="none"/>
                      <w:lang w:eastAsia="zh-CN"/>
                    </w:rPr>
                    <w:t>）</w:t>
                  </w:r>
                  <w:r>
                    <w:rPr>
                      <w:rFonts w:hint="default"/>
                      <w:color w:val="auto"/>
                      <w:sz w:val="21"/>
                      <w:szCs w:val="22"/>
                      <w:highlight w:val="none"/>
                    </w:rPr>
                    <w:t>现有企业全面执行二氧化</w:t>
                  </w:r>
                  <w:r>
                    <w:rPr>
                      <w:rFonts w:hint="eastAsia"/>
                      <w:color w:val="auto"/>
                      <w:sz w:val="21"/>
                      <w:szCs w:val="22"/>
                      <w:highlight w:val="none"/>
                      <w:lang w:val="en-US" w:eastAsia="zh-CN"/>
                    </w:rPr>
                    <w:t>硫</w:t>
                  </w:r>
                  <w:r>
                    <w:rPr>
                      <w:rFonts w:hint="default"/>
                      <w:color w:val="auto"/>
                      <w:sz w:val="21"/>
                      <w:szCs w:val="22"/>
                      <w:highlight w:val="none"/>
                    </w:rPr>
                    <w:t>、氮氧化物、颗粒物、挥发性有机物(</w:t>
                  </w:r>
                  <w:r>
                    <w:rPr>
                      <w:rFonts w:hint="eastAsia"/>
                      <w:color w:val="auto"/>
                      <w:sz w:val="21"/>
                      <w:szCs w:val="22"/>
                      <w:highlight w:val="none"/>
                      <w:lang w:val="en-US" w:eastAsia="zh-CN"/>
                    </w:rPr>
                    <w:t>VOC</w:t>
                  </w:r>
                  <w:r>
                    <w:rPr>
                      <w:rFonts w:hint="default"/>
                      <w:color w:val="auto"/>
                      <w:sz w:val="21"/>
                      <w:szCs w:val="22"/>
                      <w:highlight w:val="none"/>
                    </w:rPr>
                    <w:t>s)特别排放限值。</w:t>
                  </w:r>
                </w:p>
                <w:p w14:paraId="17A2BB4D">
                  <w:pPr>
                    <w:keepNext w:val="0"/>
                    <w:keepLines w:val="0"/>
                    <w:numPr>
                      <w:ilvl w:val="0"/>
                      <w:numId w:val="0"/>
                    </w:numPr>
                    <w:suppressLineNumbers w:val="0"/>
                    <w:spacing w:before="0" w:beforeAutospacing="0" w:after="0" w:afterAutospacing="0" w:line="240" w:lineRule="auto"/>
                    <w:ind w:left="0" w:leftChars="0" w:right="0" w:rightChars="0"/>
                    <w:rPr>
                      <w:rFonts w:hint="eastAsia"/>
                      <w:b/>
                      <w:bCs/>
                      <w:color w:val="auto"/>
                      <w:sz w:val="21"/>
                      <w:szCs w:val="22"/>
                      <w:highlight w:val="none"/>
                      <w:lang w:eastAsia="zh-CN"/>
                    </w:rPr>
                  </w:pPr>
                  <w:r>
                    <w:rPr>
                      <w:rFonts w:hint="default"/>
                      <w:b/>
                      <w:bCs/>
                      <w:color w:val="auto"/>
                      <w:sz w:val="21"/>
                      <w:szCs w:val="22"/>
                      <w:highlight w:val="none"/>
                    </w:rPr>
                    <w:t>水环境城镇生活污染重点管控区</w:t>
                  </w:r>
                  <w:r>
                    <w:rPr>
                      <w:rFonts w:hint="eastAsia"/>
                      <w:b/>
                      <w:bCs/>
                      <w:color w:val="auto"/>
                      <w:sz w:val="21"/>
                      <w:szCs w:val="22"/>
                      <w:highlight w:val="none"/>
                      <w:lang w:eastAsia="zh-CN"/>
                    </w:rPr>
                    <w:t>：</w:t>
                  </w:r>
                </w:p>
                <w:p w14:paraId="7714A64F">
                  <w:pPr>
                    <w:keepNext w:val="0"/>
                    <w:keepLines w:val="0"/>
                    <w:numPr>
                      <w:ilvl w:val="0"/>
                      <w:numId w:val="0"/>
                    </w:numPr>
                    <w:suppressLineNumbers w:val="0"/>
                    <w:spacing w:before="0" w:beforeAutospacing="0" w:after="0" w:afterAutospacing="0" w:line="240" w:lineRule="auto"/>
                    <w:ind w:left="0" w:leftChars="0" w:right="0" w:rightChars="0"/>
                    <w:rPr>
                      <w:rFonts w:hint="eastAsia"/>
                      <w:color w:val="auto"/>
                      <w:sz w:val="21"/>
                      <w:szCs w:val="22"/>
                      <w:highlight w:val="none"/>
                      <w:lang w:eastAsia="zh-CN"/>
                    </w:rPr>
                  </w:pPr>
                  <w:r>
                    <w:rPr>
                      <w:rFonts w:hint="default"/>
                      <w:color w:val="auto"/>
                      <w:sz w:val="21"/>
                      <w:szCs w:val="22"/>
                      <w:highlight w:val="none"/>
                    </w:rPr>
                    <w:t>1.加强</w:t>
                  </w:r>
                  <w:r>
                    <w:rPr>
                      <w:rFonts w:hint="eastAsia"/>
                      <w:color w:val="auto"/>
                      <w:sz w:val="21"/>
                      <w:szCs w:val="22"/>
                      <w:highlight w:val="none"/>
                      <w:lang w:val="en-US" w:eastAsia="zh-CN"/>
                    </w:rPr>
                    <w:t>城镇</w:t>
                  </w:r>
                  <w:r>
                    <w:rPr>
                      <w:rFonts w:hint="default"/>
                      <w:color w:val="auto"/>
                      <w:sz w:val="21"/>
                      <w:szCs w:val="22"/>
                      <w:highlight w:val="none"/>
                    </w:rPr>
                    <w:t>污水收集处理设施建设与提标改造</w:t>
                  </w:r>
                  <w:r>
                    <w:rPr>
                      <w:rFonts w:hint="eastAsia"/>
                      <w:color w:val="auto"/>
                      <w:sz w:val="21"/>
                      <w:szCs w:val="22"/>
                      <w:highlight w:val="none"/>
                      <w:lang w:eastAsia="zh-CN"/>
                    </w:rPr>
                    <w:t>。</w:t>
                  </w:r>
                  <w:r>
                    <w:rPr>
                      <w:rFonts w:hint="default"/>
                      <w:color w:val="auto"/>
                      <w:sz w:val="21"/>
                      <w:szCs w:val="22"/>
                      <w:highlight w:val="none"/>
                    </w:rPr>
                    <w:t>全省黄河流域城镇生活污水处理达到《</w:t>
                  </w:r>
                  <w:r>
                    <w:rPr>
                      <w:rFonts w:hint="eastAsia"/>
                      <w:color w:val="auto"/>
                      <w:sz w:val="21"/>
                      <w:szCs w:val="22"/>
                      <w:highlight w:val="none"/>
                      <w:lang w:val="en-US" w:eastAsia="zh-CN"/>
                    </w:rPr>
                    <w:t>陕西</w:t>
                  </w:r>
                  <w:r>
                    <w:rPr>
                      <w:rFonts w:hint="default"/>
                      <w:color w:val="auto"/>
                      <w:sz w:val="21"/>
                      <w:szCs w:val="22"/>
                      <w:highlight w:val="none"/>
                    </w:rPr>
                    <w:t>省黄河流域污水综合排放标准》(DB61/224-2018)排放限值要求</w:t>
                  </w:r>
                  <w:r>
                    <w:rPr>
                      <w:rFonts w:hint="eastAsia"/>
                      <w:color w:val="auto"/>
                      <w:sz w:val="21"/>
                      <w:szCs w:val="22"/>
                      <w:highlight w:val="none"/>
                      <w:lang w:eastAsia="zh-CN"/>
                    </w:rPr>
                    <w:t>。</w:t>
                  </w:r>
                </w:p>
                <w:p w14:paraId="16B07FED">
                  <w:pPr>
                    <w:keepNext w:val="0"/>
                    <w:keepLines w:val="0"/>
                    <w:numPr>
                      <w:ilvl w:val="0"/>
                      <w:numId w:val="0"/>
                    </w:numPr>
                    <w:suppressLineNumbers w:val="0"/>
                    <w:spacing w:before="0" w:beforeAutospacing="0" w:after="0" w:afterAutospacing="0" w:line="240" w:lineRule="auto"/>
                    <w:ind w:left="0" w:leftChars="0" w:right="0" w:rightChars="0"/>
                    <w:rPr>
                      <w:rFonts w:hint="default"/>
                      <w:color w:val="auto"/>
                      <w:sz w:val="21"/>
                      <w:szCs w:val="22"/>
                      <w:highlight w:val="none"/>
                    </w:rPr>
                  </w:pPr>
                  <w:r>
                    <w:rPr>
                      <w:rFonts w:hint="default"/>
                      <w:color w:val="auto"/>
                      <w:sz w:val="21"/>
                      <w:szCs w:val="22"/>
                      <w:highlight w:val="none"/>
                    </w:rPr>
                    <w:t>2.</w:t>
                  </w:r>
                  <w:r>
                    <w:rPr>
                      <w:rFonts w:hint="eastAsia"/>
                      <w:color w:val="auto"/>
                      <w:sz w:val="21"/>
                      <w:szCs w:val="22"/>
                      <w:highlight w:val="none"/>
                      <w:lang w:val="en-US" w:eastAsia="zh-CN"/>
                    </w:rPr>
                    <w:t>城镇</w:t>
                  </w:r>
                  <w:r>
                    <w:rPr>
                      <w:rFonts w:hint="default"/>
                      <w:color w:val="auto"/>
                      <w:sz w:val="21"/>
                      <w:szCs w:val="22"/>
                      <w:highlight w:val="none"/>
                    </w:rPr>
                    <w:t>新区管网建设及老旧城区管网升级改造中实行</w:t>
                  </w:r>
                  <w:r>
                    <w:rPr>
                      <w:rFonts w:hint="eastAsia"/>
                      <w:color w:val="auto"/>
                      <w:sz w:val="21"/>
                      <w:szCs w:val="22"/>
                      <w:highlight w:val="none"/>
                      <w:lang w:val="en-US" w:eastAsia="zh-CN"/>
                    </w:rPr>
                    <w:t>雨污</w:t>
                  </w:r>
                  <w:r>
                    <w:rPr>
                      <w:rFonts w:hint="default"/>
                      <w:color w:val="auto"/>
                      <w:sz w:val="21"/>
                      <w:szCs w:val="22"/>
                      <w:highlight w:val="none"/>
                    </w:rPr>
                    <w:t>分</w:t>
                  </w:r>
                  <w:r>
                    <w:rPr>
                      <w:rFonts w:hint="eastAsia"/>
                      <w:color w:val="auto"/>
                      <w:sz w:val="21"/>
                      <w:szCs w:val="22"/>
                      <w:highlight w:val="none"/>
                      <w:lang w:val="en-US" w:eastAsia="zh-CN"/>
                    </w:rPr>
                    <w:t>流</w:t>
                  </w:r>
                  <w:r>
                    <w:rPr>
                      <w:rFonts w:hint="default"/>
                      <w:color w:val="auto"/>
                      <w:sz w:val="21"/>
                      <w:szCs w:val="22"/>
                      <w:highlight w:val="none"/>
                    </w:rPr>
                    <w:t>，鼓励推进初期</w:t>
                  </w:r>
                  <w:r>
                    <w:rPr>
                      <w:rFonts w:hint="eastAsia"/>
                      <w:color w:val="auto"/>
                      <w:sz w:val="21"/>
                      <w:szCs w:val="22"/>
                      <w:highlight w:val="none"/>
                      <w:lang w:val="en-US" w:eastAsia="zh-CN"/>
                    </w:rPr>
                    <w:t>雨水</w:t>
                  </w:r>
                  <w:r>
                    <w:rPr>
                      <w:rFonts w:hint="default"/>
                      <w:color w:val="auto"/>
                      <w:sz w:val="21"/>
                      <w:szCs w:val="22"/>
                      <w:highlight w:val="none"/>
                    </w:rPr>
                    <w:t>收集、处理和资源化利用，建设人工湿地水质净化工程，对处理</w:t>
                  </w:r>
                  <w:r>
                    <w:rPr>
                      <w:rFonts w:hint="eastAsia"/>
                      <w:color w:val="auto"/>
                      <w:sz w:val="21"/>
                      <w:szCs w:val="22"/>
                      <w:highlight w:val="none"/>
                      <w:lang w:val="en-US" w:eastAsia="zh-CN"/>
                    </w:rPr>
                    <w:t>达标</w:t>
                  </w:r>
                  <w:r>
                    <w:rPr>
                      <w:rFonts w:hint="default"/>
                      <w:color w:val="auto"/>
                      <w:sz w:val="21"/>
                      <w:szCs w:val="22"/>
                      <w:highlight w:val="none"/>
                    </w:rPr>
                    <w:t>后的尾水进一步净化。</w:t>
                  </w:r>
                </w:p>
                <w:p w14:paraId="5DF18361">
                  <w:pPr>
                    <w:keepNext w:val="0"/>
                    <w:keepLines w:val="0"/>
                    <w:numPr>
                      <w:ilvl w:val="0"/>
                      <w:numId w:val="0"/>
                    </w:numPr>
                    <w:suppressLineNumbers w:val="0"/>
                    <w:spacing w:before="0" w:beforeAutospacing="0" w:after="0" w:afterAutospacing="0" w:line="240" w:lineRule="auto"/>
                    <w:ind w:left="0" w:leftChars="0" w:right="0" w:rightChars="0"/>
                    <w:rPr>
                      <w:rFonts w:hint="eastAsia"/>
                      <w:color w:val="auto"/>
                      <w:sz w:val="21"/>
                      <w:szCs w:val="22"/>
                      <w:highlight w:val="none"/>
                      <w:lang w:eastAsia="zh-CN"/>
                    </w:rPr>
                  </w:pPr>
                  <w:r>
                    <w:rPr>
                      <w:rFonts w:hint="default"/>
                      <w:color w:val="auto"/>
                      <w:sz w:val="21"/>
                      <w:szCs w:val="22"/>
                      <w:highlight w:val="none"/>
                    </w:rPr>
                    <w:t>3.污水处理厂出水用于绿化、</w:t>
                  </w:r>
                  <w:r>
                    <w:rPr>
                      <w:rFonts w:hint="eastAsia"/>
                      <w:color w:val="auto"/>
                      <w:sz w:val="21"/>
                      <w:szCs w:val="22"/>
                      <w:highlight w:val="none"/>
                      <w:lang w:val="en-US" w:eastAsia="zh-CN"/>
                    </w:rPr>
                    <w:t>农灌</w:t>
                  </w:r>
                  <w:r>
                    <w:rPr>
                      <w:rFonts w:hint="default"/>
                      <w:color w:val="auto"/>
                      <w:sz w:val="21"/>
                      <w:szCs w:val="22"/>
                      <w:highlight w:val="none"/>
                    </w:rPr>
                    <w:t>等用途的</w:t>
                  </w:r>
                  <w:r>
                    <w:rPr>
                      <w:rFonts w:hint="eastAsia"/>
                      <w:color w:val="auto"/>
                      <w:sz w:val="21"/>
                      <w:szCs w:val="22"/>
                      <w:highlight w:val="none"/>
                      <w:lang w:eastAsia="zh-CN"/>
                    </w:rPr>
                    <w:t>，</w:t>
                  </w:r>
                  <w:r>
                    <w:rPr>
                      <w:rFonts w:hint="default"/>
                      <w:color w:val="auto"/>
                      <w:sz w:val="21"/>
                      <w:szCs w:val="22"/>
                      <w:highlight w:val="none"/>
                    </w:rPr>
                    <w:t>合理确定管控要求，确保达到相应污水再生利用标准</w:t>
                  </w:r>
                  <w:r>
                    <w:rPr>
                      <w:rFonts w:hint="eastAsia"/>
                      <w:color w:val="auto"/>
                      <w:sz w:val="21"/>
                      <w:szCs w:val="22"/>
                      <w:highlight w:val="none"/>
                      <w:lang w:eastAsia="zh-CN"/>
                    </w:rPr>
                    <w:t>。</w:t>
                  </w:r>
                </w:p>
                <w:p w14:paraId="46EF1111">
                  <w:pPr>
                    <w:keepNext w:val="0"/>
                    <w:keepLines w:val="0"/>
                    <w:numPr>
                      <w:ilvl w:val="0"/>
                      <w:numId w:val="0"/>
                    </w:numPr>
                    <w:suppressLineNumbers w:val="0"/>
                    <w:spacing w:before="0" w:beforeAutospacing="0" w:after="0" w:afterAutospacing="0" w:line="240" w:lineRule="auto"/>
                    <w:ind w:left="0" w:leftChars="0" w:right="0" w:rightChars="0"/>
                    <w:rPr>
                      <w:rFonts w:hint="eastAsia" w:eastAsia="宋体"/>
                      <w:color w:val="auto"/>
                      <w:sz w:val="21"/>
                      <w:szCs w:val="22"/>
                      <w:highlight w:val="none"/>
                      <w:lang w:eastAsia="zh-CN"/>
                    </w:rPr>
                  </w:pPr>
                  <w:r>
                    <w:rPr>
                      <w:rFonts w:hint="default"/>
                      <w:color w:val="auto"/>
                      <w:sz w:val="21"/>
                      <w:szCs w:val="22"/>
                      <w:highlight w:val="none"/>
                    </w:rPr>
                    <w:t>4.加强城镇污水收集处理设施建设与提标改造，推进渭河南岸西部污水处理厂建设，</w:t>
                  </w:r>
                  <w:r>
                    <w:rPr>
                      <w:rFonts w:hint="eastAsia"/>
                      <w:color w:val="auto"/>
                      <w:sz w:val="21"/>
                      <w:szCs w:val="22"/>
                      <w:highlight w:val="none"/>
                      <w:lang w:val="en-US" w:eastAsia="zh-CN"/>
                    </w:rPr>
                    <w:t>提升</w:t>
                  </w:r>
                  <w:r>
                    <w:rPr>
                      <w:rFonts w:hint="default"/>
                      <w:color w:val="auto"/>
                      <w:sz w:val="21"/>
                      <w:szCs w:val="22"/>
                      <w:highlight w:val="none"/>
                    </w:rPr>
                    <w:t>污水处理能力,因地</w:t>
                  </w:r>
                  <w:r>
                    <w:rPr>
                      <w:rFonts w:hint="eastAsia"/>
                      <w:color w:val="auto"/>
                      <w:sz w:val="21"/>
                      <w:szCs w:val="22"/>
                      <w:highlight w:val="none"/>
                      <w:lang w:val="en-US" w:eastAsia="zh-CN"/>
                    </w:rPr>
                    <w:t>制宜</w:t>
                  </w:r>
                  <w:r>
                    <w:rPr>
                      <w:rFonts w:hint="default"/>
                      <w:color w:val="auto"/>
                      <w:sz w:val="21"/>
                      <w:szCs w:val="22"/>
                      <w:highlight w:val="none"/>
                    </w:rPr>
                    <w:t>在污水处理厂出水口处建设人工水质净化工程</w:t>
                  </w:r>
                  <w:r>
                    <w:rPr>
                      <w:rFonts w:hint="eastAsia"/>
                      <w:color w:val="auto"/>
                      <w:sz w:val="21"/>
                      <w:szCs w:val="22"/>
                      <w:highlight w:val="none"/>
                      <w:lang w:eastAsia="zh-CN"/>
                    </w:rPr>
                    <w:t>。</w:t>
                  </w:r>
                  <w:r>
                    <w:rPr>
                      <w:rFonts w:hint="default"/>
                      <w:color w:val="auto"/>
                      <w:sz w:val="21"/>
                      <w:szCs w:val="22"/>
                      <w:highlight w:val="none"/>
                    </w:rPr>
                    <w:t>推进新建污水处理设施与配套管网的</w:t>
                  </w:r>
                  <w:r>
                    <w:rPr>
                      <w:rFonts w:hint="eastAsia"/>
                      <w:color w:val="auto"/>
                      <w:sz w:val="21"/>
                      <w:szCs w:val="22"/>
                      <w:highlight w:val="none"/>
                      <w:lang w:val="en-US" w:eastAsia="zh-CN"/>
                    </w:rPr>
                    <w:t>同步</w:t>
                  </w:r>
                  <w:r>
                    <w:rPr>
                      <w:rFonts w:hint="default"/>
                      <w:color w:val="auto"/>
                      <w:sz w:val="21"/>
                      <w:szCs w:val="22"/>
                      <w:highlight w:val="none"/>
                    </w:rPr>
                    <w:t>设计、同步建设、同步投运</w:t>
                  </w:r>
                  <w:r>
                    <w:rPr>
                      <w:rFonts w:hint="eastAsia"/>
                      <w:color w:val="auto"/>
                      <w:sz w:val="21"/>
                      <w:szCs w:val="22"/>
                      <w:highlight w:val="none"/>
                      <w:lang w:eastAsia="zh-CN"/>
                    </w:rPr>
                    <w:t>，</w:t>
                  </w:r>
                  <w:r>
                    <w:rPr>
                      <w:rFonts w:hint="default"/>
                      <w:color w:val="auto"/>
                      <w:sz w:val="21"/>
                      <w:szCs w:val="22"/>
                      <w:highlight w:val="none"/>
                    </w:rPr>
                    <w:t>加快污水管网建设与</w:t>
                  </w:r>
                  <w:r>
                    <w:rPr>
                      <w:rFonts w:hint="eastAsia"/>
                      <w:color w:val="auto"/>
                      <w:sz w:val="21"/>
                      <w:szCs w:val="22"/>
                      <w:highlight w:val="none"/>
                      <w:lang w:val="en-US" w:eastAsia="zh-CN"/>
                    </w:rPr>
                    <w:t>雨污</w:t>
                  </w:r>
                  <w:r>
                    <w:rPr>
                      <w:rFonts w:hint="default"/>
                      <w:color w:val="auto"/>
                      <w:sz w:val="21"/>
                      <w:szCs w:val="22"/>
                      <w:highlight w:val="none"/>
                    </w:rPr>
                    <w:t>分流改造，完成市区</w:t>
                  </w:r>
                  <w:r>
                    <w:rPr>
                      <w:rFonts w:hint="eastAsia"/>
                      <w:color w:val="auto"/>
                      <w:sz w:val="21"/>
                      <w:szCs w:val="22"/>
                      <w:highlight w:val="none"/>
                      <w:lang w:val="en-US" w:eastAsia="zh-CN"/>
                    </w:rPr>
                    <w:t>老旧</w:t>
                  </w:r>
                  <w:r>
                    <w:rPr>
                      <w:rFonts w:hint="default"/>
                      <w:color w:val="auto"/>
                      <w:sz w:val="21"/>
                      <w:szCs w:val="22"/>
                      <w:highlight w:val="none"/>
                    </w:rPr>
                    <w:t>城区管网升级</w:t>
                  </w:r>
                  <w:r>
                    <w:rPr>
                      <w:rFonts w:hint="eastAsia"/>
                      <w:color w:val="auto"/>
                      <w:sz w:val="21"/>
                      <w:szCs w:val="22"/>
                      <w:highlight w:val="none"/>
                      <w:lang w:val="en-US" w:eastAsia="zh-CN"/>
                    </w:rPr>
                    <w:t>改造</w:t>
                  </w:r>
                  <w:r>
                    <w:rPr>
                      <w:rFonts w:hint="eastAsia"/>
                      <w:color w:val="auto"/>
                      <w:sz w:val="21"/>
                      <w:szCs w:val="22"/>
                      <w:highlight w:val="none"/>
                      <w:lang w:eastAsia="zh-CN"/>
                    </w:rPr>
                    <w:t>。</w:t>
                  </w:r>
                </w:p>
              </w:tc>
              <w:tc>
                <w:tcPr>
                  <w:tcW w:w="400" w:type="pct"/>
                  <w:vMerge w:val="continue"/>
                  <w:tcBorders>
                    <w:tl2br w:val="nil"/>
                    <w:tr2bl w:val="nil"/>
                  </w:tcBorders>
                  <w:vAlign w:val="center"/>
                </w:tcPr>
                <w:p w14:paraId="58C7C2F4">
                  <w:pPr>
                    <w:keepNext w:val="0"/>
                    <w:keepLines w:val="0"/>
                    <w:suppressLineNumbers w:val="0"/>
                    <w:spacing w:before="0" w:beforeAutospacing="0" w:after="0" w:afterAutospacing="0" w:line="240" w:lineRule="auto"/>
                    <w:ind w:left="0" w:right="0" w:firstLine="0" w:firstLineChars="0"/>
                    <w:rPr>
                      <w:rFonts w:hint="default" w:eastAsia="宋体"/>
                      <w:color w:val="auto"/>
                      <w:sz w:val="21"/>
                      <w:szCs w:val="22"/>
                      <w:highlight w:val="none"/>
                      <w:lang w:val="en-US" w:eastAsia="zh-CN"/>
                    </w:rPr>
                  </w:pPr>
                </w:p>
              </w:tc>
              <w:tc>
                <w:tcPr>
                  <w:tcW w:w="1321" w:type="pct"/>
                  <w:tcBorders>
                    <w:tl2br w:val="nil"/>
                    <w:tr2bl w:val="nil"/>
                  </w:tcBorders>
                  <w:vAlign w:val="center"/>
                </w:tcPr>
                <w:p w14:paraId="37A86156">
                  <w:pPr>
                    <w:keepNext w:val="0"/>
                    <w:keepLines w:val="0"/>
                    <w:suppressLineNumbers w:val="0"/>
                    <w:spacing w:before="0" w:beforeAutospacing="0" w:after="0" w:afterAutospacing="0" w:line="240" w:lineRule="auto"/>
                    <w:ind w:left="0" w:right="0" w:firstLine="0" w:firstLineChars="0"/>
                    <w:rPr>
                      <w:rFonts w:hint="eastAsia" w:eastAsia="宋体"/>
                      <w:b/>
                      <w:bCs/>
                      <w:color w:val="auto"/>
                      <w:sz w:val="21"/>
                      <w:szCs w:val="22"/>
                      <w:highlight w:val="none"/>
                      <w:lang w:eastAsia="zh-CN"/>
                    </w:rPr>
                  </w:pPr>
                  <w:r>
                    <w:rPr>
                      <w:rFonts w:hint="eastAsia" w:eastAsia="宋体"/>
                      <w:b/>
                      <w:bCs/>
                      <w:color w:val="auto"/>
                      <w:sz w:val="21"/>
                      <w:szCs w:val="22"/>
                      <w:highlight w:val="none"/>
                      <w:lang w:eastAsia="zh-CN"/>
                    </w:rPr>
                    <w:t>大气环境受体敏感重点管控区</w:t>
                  </w:r>
                  <w:r>
                    <w:rPr>
                      <w:rFonts w:hint="eastAsia"/>
                      <w:b/>
                      <w:bCs/>
                      <w:color w:val="auto"/>
                      <w:sz w:val="21"/>
                      <w:szCs w:val="22"/>
                      <w:highlight w:val="none"/>
                      <w:lang w:eastAsia="zh-CN"/>
                    </w:rPr>
                    <w:t>：</w:t>
                  </w:r>
                </w:p>
                <w:p w14:paraId="5F7F6328">
                  <w:pPr>
                    <w:keepNext w:val="0"/>
                    <w:keepLines w:val="0"/>
                    <w:numPr>
                      <w:ilvl w:val="0"/>
                      <w:numId w:val="0"/>
                    </w:numPr>
                    <w:suppressLineNumbers w:val="0"/>
                    <w:spacing w:before="0" w:beforeAutospacing="0" w:after="0" w:afterAutospacing="0" w:line="240" w:lineRule="auto"/>
                    <w:ind w:left="0" w:leftChars="0" w:right="0" w:rightChars="0"/>
                    <w:rPr>
                      <w:rFonts w:hint="eastAsia"/>
                      <w:color w:val="auto"/>
                      <w:sz w:val="21"/>
                      <w:szCs w:val="22"/>
                      <w:highlight w:val="none"/>
                      <w:lang w:val="en-US" w:eastAsia="zh-CN"/>
                    </w:rPr>
                  </w:pPr>
                  <w:r>
                    <w:rPr>
                      <w:rFonts w:hint="eastAsia"/>
                      <w:color w:val="auto"/>
                      <w:sz w:val="21"/>
                      <w:szCs w:val="22"/>
                      <w:highlight w:val="none"/>
                      <w:lang w:val="en-US" w:eastAsia="zh-CN"/>
                    </w:rPr>
                    <w:t>1.本项目产生的油烟按照环评要求安装高效油烟净化器1套，日常有专业人员定期维护。</w:t>
                  </w:r>
                </w:p>
                <w:p w14:paraId="173890F1">
                  <w:pPr>
                    <w:keepNext w:val="0"/>
                    <w:keepLines w:val="0"/>
                    <w:numPr>
                      <w:ilvl w:val="0"/>
                      <w:numId w:val="0"/>
                    </w:numPr>
                    <w:suppressLineNumbers w:val="0"/>
                    <w:spacing w:before="0" w:beforeAutospacing="0" w:after="0" w:afterAutospacing="0" w:line="240" w:lineRule="auto"/>
                    <w:ind w:left="0" w:leftChars="0" w:right="0" w:rightChars="0"/>
                    <w:rPr>
                      <w:rFonts w:hint="eastAsia"/>
                      <w:color w:val="auto"/>
                      <w:sz w:val="21"/>
                      <w:szCs w:val="22"/>
                      <w:highlight w:val="none"/>
                      <w:lang w:val="en-US" w:eastAsia="zh-CN"/>
                    </w:rPr>
                  </w:pPr>
                  <w:r>
                    <w:rPr>
                      <w:rFonts w:hint="eastAsia"/>
                      <w:color w:val="auto"/>
                      <w:sz w:val="21"/>
                      <w:szCs w:val="22"/>
                      <w:highlight w:val="none"/>
                      <w:lang w:val="en-US" w:eastAsia="zh-CN"/>
                    </w:rPr>
                    <w:t>2.本项目采用清洁能源电能取暖。</w:t>
                  </w:r>
                </w:p>
                <w:p w14:paraId="45F5801D">
                  <w:pPr>
                    <w:keepNext w:val="0"/>
                    <w:keepLines w:val="0"/>
                    <w:numPr>
                      <w:ilvl w:val="0"/>
                      <w:numId w:val="0"/>
                    </w:numPr>
                    <w:suppressLineNumbers w:val="0"/>
                    <w:spacing w:before="0" w:beforeAutospacing="0" w:after="0" w:afterAutospacing="0" w:line="240" w:lineRule="auto"/>
                    <w:ind w:left="0" w:leftChars="0" w:right="0" w:rightChars="0"/>
                    <w:rPr>
                      <w:rFonts w:hint="default"/>
                      <w:color w:val="auto"/>
                      <w:highlight w:val="none"/>
                      <w:lang w:val="en-US" w:eastAsia="zh-CN"/>
                    </w:rPr>
                  </w:pPr>
                  <w:r>
                    <w:rPr>
                      <w:rFonts w:hint="eastAsia"/>
                      <w:color w:val="auto"/>
                      <w:sz w:val="21"/>
                      <w:szCs w:val="22"/>
                      <w:highlight w:val="none"/>
                      <w:lang w:val="en-US" w:eastAsia="zh-CN"/>
                    </w:rPr>
                    <w:t>3.不涉及。</w:t>
                  </w:r>
                </w:p>
                <w:p w14:paraId="0F0AFF04">
                  <w:pPr>
                    <w:keepNext w:val="0"/>
                    <w:keepLines w:val="0"/>
                    <w:numPr>
                      <w:ilvl w:val="0"/>
                      <w:numId w:val="0"/>
                    </w:numPr>
                    <w:suppressLineNumbers w:val="0"/>
                    <w:spacing w:before="0" w:beforeAutospacing="0" w:after="0" w:afterAutospacing="0" w:line="240" w:lineRule="auto"/>
                    <w:ind w:left="0" w:leftChars="0" w:right="0" w:rightChars="0"/>
                    <w:rPr>
                      <w:rFonts w:hint="eastAsia"/>
                      <w:color w:val="auto"/>
                      <w:sz w:val="21"/>
                      <w:szCs w:val="22"/>
                      <w:highlight w:val="none"/>
                      <w:lang w:val="en-US" w:eastAsia="zh-CN"/>
                    </w:rPr>
                  </w:pPr>
                  <w:r>
                    <w:rPr>
                      <w:rFonts w:hint="eastAsia"/>
                      <w:color w:val="auto"/>
                      <w:sz w:val="21"/>
                      <w:szCs w:val="22"/>
                      <w:highlight w:val="none"/>
                      <w:lang w:val="en-US" w:eastAsia="zh-CN"/>
                    </w:rPr>
                    <w:t>4.不涉及。</w:t>
                  </w:r>
                </w:p>
                <w:p w14:paraId="78B481BC">
                  <w:pPr>
                    <w:keepNext w:val="0"/>
                    <w:keepLines w:val="0"/>
                    <w:numPr>
                      <w:ilvl w:val="0"/>
                      <w:numId w:val="0"/>
                    </w:numPr>
                    <w:suppressLineNumbers w:val="0"/>
                    <w:spacing w:before="0" w:beforeAutospacing="0" w:after="0" w:afterAutospacing="0" w:line="240" w:lineRule="auto"/>
                    <w:ind w:left="0" w:leftChars="0" w:right="0" w:rightChars="0"/>
                    <w:rPr>
                      <w:rFonts w:hint="eastAsia"/>
                      <w:color w:val="auto"/>
                      <w:sz w:val="21"/>
                      <w:szCs w:val="22"/>
                      <w:highlight w:val="none"/>
                      <w:lang w:val="en-US" w:eastAsia="zh-CN"/>
                    </w:rPr>
                  </w:pPr>
                  <w:r>
                    <w:rPr>
                      <w:rFonts w:hint="default"/>
                      <w:b/>
                      <w:bCs/>
                      <w:color w:val="auto"/>
                      <w:sz w:val="21"/>
                      <w:szCs w:val="22"/>
                      <w:highlight w:val="none"/>
                    </w:rPr>
                    <w:t>水环境城镇生活污染重点管控区</w:t>
                  </w:r>
                  <w:r>
                    <w:rPr>
                      <w:rFonts w:hint="eastAsia"/>
                      <w:b/>
                      <w:bCs/>
                      <w:color w:val="auto"/>
                      <w:sz w:val="21"/>
                      <w:szCs w:val="22"/>
                      <w:highlight w:val="none"/>
                      <w:lang w:eastAsia="zh-CN"/>
                    </w:rPr>
                    <w:t>：</w:t>
                  </w:r>
                  <w:r>
                    <w:rPr>
                      <w:rFonts w:hint="eastAsia"/>
                      <w:color w:val="auto"/>
                      <w:sz w:val="21"/>
                      <w:szCs w:val="22"/>
                      <w:highlight w:val="none"/>
                      <w:lang w:val="en-US" w:eastAsia="zh-CN"/>
                    </w:rPr>
                    <w:t>1.本项目废水经地埋式污水处理设备进行处理后，经市政污水管网排入泾河新城第二污水处理厂进一步处理。</w:t>
                  </w:r>
                </w:p>
                <w:p w14:paraId="58016860">
                  <w:pPr>
                    <w:keepNext w:val="0"/>
                    <w:keepLines w:val="0"/>
                    <w:numPr>
                      <w:ilvl w:val="0"/>
                      <w:numId w:val="0"/>
                    </w:numPr>
                    <w:suppressLineNumbers w:val="0"/>
                    <w:spacing w:before="0" w:beforeAutospacing="0" w:after="0" w:afterAutospacing="0" w:line="240" w:lineRule="auto"/>
                    <w:ind w:left="0" w:leftChars="0" w:right="0" w:rightChars="0"/>
                    <w:rPr>
                      <w:rFonts w:hint="eastAsia"/>
                      <w:color w:val="auto"/>
                      <w:sz w:val="21"/>
                      <w:szCs w:val="22"/>
                      <w:highlight w:val="none"/>
                      <w:lang w:val="en-US" w:eastAsia="zh-CN"/>
                    </w:rPr>
                  </w:pPr>
                  <w:r>
                    <w:rPr>
                      <w:rFonts w:hint="eastAsia"/>
                      <w:color w:val="auto"/>
                      <w:sz w:val="21"/>
                      <w:szCs w:val="22"/>
                      <w:highlight w:val="none"/>
                      <w:lang w:val="en-US" w:eastAsia="zh-CN"/>
                    </w:rPr>
                    <w:t>2.本项目实行雨污分流，雨水经地面雨水沟汇集排入市政雨水管。</w:t>
                  </w:r>
                </w:p>
                <w:p w14:paraId="4FA6C4EF">
                  <w:pPr>
                    <w:keepNext w:val="0"/>
                    <w:keepLines w:val="0"/>
                    <w:numPr>
                      <w:ilvl w:val="0"/>
                      <w:numId w:val="0"/>
                    </w:numPr>
                    <w:suppressLineNumbers w:val="0"/>
                    <w:spacing w:before="0" w:beforeAutospacing="0" w:after="0" w:afterAutospacing="0" w:line="240" w:lineRule="auto"/>
                    <w:ind w:left="0" w:leftChars="0" w:right="0" w:rightChars="0"/>
                    <w:rPr>
                      <w:rFonts w:hint="default"/>
                      <w:color w:val="auto"/>
                      <w:highlight w:val="none"/>
                      <w:lang w:val="en-US" w:eastAsia="zh-CN"/>
                    </w:rPr>
                  </w:pPr>
                  <w:r>
                    <w:rPr>
                      <w:rFonts w:hint="eastAsia"/>
                      <w:color w:val="auto"/>
                      <w:sz w:val="21"/>
                      <w:szCs w:val="22"/>
                      <w:highlight w:val="none"/>
                      <w:lang w:val="en-US" w:eastAsia="zh-CN"/>
                    </w:rPr>
                    <w:t>3.不涉及。</w:t>
                  </w:r>
                </w:p>
                <w:p w14:paraId="3079C894">
                  <w:pPr>
                    <w:keepNext w:val="0"/>
                    <w:keepLines w:val="0"/>
                    <w:numPr>
                      <w:ilvl w:val="0"/>
                      <w:numId w:val="0"/>
                    </w:numPr>
                    <w:suppressLineNumbers w:val="0"/>
                    <w:spacing w:before="0" w:beforeAutospacing="0" w:after="0" w:afterAutospacing="0" w:line="240" w:lineRule="auto"/>
                    <w:ind w:left="0" w:leftChars="0" w:right="0" w:rightChars="0"/>
                    <w:rPr>
                      <w:rFonts w:hint="default"/>
                      <w:color w:val="auto"/>
                      <w:highlight w:val="none"/>
                      <w:lang w:val="en-US" w:eastAsia="zh-CN"/>
                    </w:rPr>
                  </w:pPr>
                  <w:r>
                    <w:rPr>
                      <w:rFonts w:hint="eastAsia"/>
                      <w:color w:val="auto"/>
                      <w:sz w:val="21"/>
                      <w:szCs w:val="22"/>
                      <w:highlight w:val="none"/>
                      <w:lang w:val="en-US" w:eastAsia="zh-CN"/>
                    </w:rPr>
                    <w:t>4.本项目污水经地埋式污水处理设备处理后经市政污水管排入泾河新城第二污水处理厂处理。</w:t>
                  </w:r>
                </w:p>
              </w:tc>
              <w:tc>
                <w:tcPr>
                  <w:tcW w:w="168" w:type="pct"/>
                  <w:tcBorders>
                    <w:tl2br w:val="nil"/>
                    <w:tr2bl w:val="nil"/>
                  </w:tcBorders>
                  <w:vAlign w:val="center"/>
                </w:tcPr>
                <w:p w14:paraId="20E2461B">
                  <w:pPr>
                    <w:keepNext w:val="0"/>
                    <w:keepLines w:val="0"/>
                    <w:suppressLineNumbers w:val="0"/>
                    <w:spacing w:before="0" w:beforeAutospacing="0" w:after="0" w:afterAutospacing="0" w:line="240" w:lineRule="auto"/>
                    <w:ind w:left="0" w:right="0" w:firstLine="0" w:firstLineChars="0"/>
                    <w:jc w:val="center"/>
                    <w:rPr>
                      <w:rFonts w:hint="eastAsia"/>
                      <w:color w:val="auto"/>
                      <w:sz w:val="21"/>
                      <w:szCs w:val="22"/>
                      <w:highlight w:val="none"/>
                    </w:rPr>
                  </w:pPr>
                  <w:r>
                    <w:rPr>
                      <w:rFonts w:hint="eastAsia"/>
                      <w:color w:val="auto"/>
                      <w:sz w:val="21"/>
                      <w:szCs w:val="22"/>
                      <w:highlight w:val="none"/>
                    </w:rPr>
                    <w:t>符合</w:t>
                  </w:r>
                </w:p>
              </w:tc>
            </w:tr>
            <w:tr w14:paraId="1907CD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2" w:type="pct"/>
                  <w:vMerge w:val="continue"/>
                  <w:tcBorders>
                    <w:tl2br w:val="nil"/>
                    <w:tr2bl w:val="nil"/>
                  </w:tcBorders>
                  <w:vAlign w:val="center"/>
                </w:tcPr>
                <w:p w14:paraId="65315B69">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2"/>
                      <w:highlight w:val="none"/>
                    </w:rPr>
                  </w:pPr>
                </w:p>
              </w:tc>
              <w:tc>
                <w:tcPr>
                  <w:tcW w:w="121" w:type="pct"/>
                  <w:vMerge w:val="continue"/>
                  <w:tcBorders>
                    <w:tl2br w:val="nil"/>
                    <w:tr2bl w:val="nil"/>
                  </w:tcBorders>
                  <w:vAlign w:val="center"/>
                </w:tcPr>
                <w:p w14:paraId="340C0D61">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2"/>
                      <w:highlight w:val="none"/>
                    </w:rPr>
                  </w:pPr>
                </w:p>
              </w:tc>
              <w:tc>
                <w:tcPr>
                  <w:tcW w:w="329" w:type="pct"/>
                  <w:vMerge w:val="continue"/>
                  <w:tcBorders>
                    <w:tl2br w:val="nil"/>
                    <w:tr2bl w:val="nil"/>
                  </w:tcBorders>
                  <w:vAlign w:val="center"/>
                </w:tcPr>
                <w:p w14:paraId="30004647">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2"/>
                      <w:highlight w:val="none"/>
                    </w:rPr>
                  </w:pPr>
                </w:p>
              </w:tc>
              <w:tc>
                <w:tcPr>
                  <w:tcW w:w="340" w:type="pct"/>
                  <w:vMerge w:val="continue"/>
                  <w:tcBorders>
                    <w:tl2br w:val="nil"/>
                    <w:tr2bl w:val="nil"/>
                  </w:tcBorders>
                  <w:vAlign w:val="center"/>
                </w:tcPr>
                <w:p w14:paraId="1D507239">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2"/>
                      <w:highlight w:val="none"/>
                    </w:rPr>
                  </w:pPr>
                </w:p>
              </w:tc>
              <w:tc>
                <w:tcPr>
                  <w:tcW w:w="346" w:type="pct"/>
                  <w:tcBorders>
                    <w:tl2br w:val="nil"/>
                    <w:tr2bl w:val="nil"/>
                  </w:tcBorders>
                  <w:vAlign w:val="center"/>
                </w:tcPr>
                <w:p w14:paraId="77D9BF6A">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2"/>
                      <w:highlight w:val="none"/>
                    </w:rPr>
                  </w:pPr>
                  <w:r>
                    <w:rPr>
                      <w:rFonts w:hint="eastAsia"/>
                      <w:color w:val="auto"/>
                      <w:sz w:val="21"/>
                      <w:szCs w:val="22"/>
                      <w:highlight w:val="none"/>
                    </w:rPr>
                    <w:t>资源开发效率要求</w:t>
                  </w:r>
                </w:p>
              </w:tc>
              <w:tc>
                <w:tcPr>
                  <w:tcW w:w="1650" w:type="pct"/>
                  <w:tcBorders>
                    <w:tl2br w:val="nil"/>
                    <w:tr2bl w:val="nil"/>
                  </w:tcBorders>
                  <w:vAlign w:val="center"/>
                </w:tcPr>
                <w:p w14:paraId="064F33EC">
                  <w:pPr>
                    <w:keepNext w:val="0"/>
                    <w:keepLines w:val="0"/>
                    <w:numPr>
                      <w:ilvl w:val="0"/>
                      <w:numId w:val="0"/>
                    </w:numPr>
                    <w:suppressLineNumbers w:val="0"/>
                    <w:spacing w:before="0" w:beforeAutospacing="0" w:after="0" w:afterAutospacing="0" w:line="240" w:lineRule="auto"/>
                    <w:ind w:left="0" w:leftChars="0" w:right="0" w:rightChars="0"/>
                    <w:rPr>
                      <w:rFonts w:hint="eastAsia" w:ascii="Times New Roman" w:hAnsi="Times New Roman" w:eastAsia="宋体" w:cs="Times New Roman"/>
                      <w:b/>
                      <w:bCs/>
                      <w:color w:val="auto"/>
                      <w:sz w:val="21"/>
                      <w:szCs w:val="22"/>
                      <w:highlight w:val="none"/>
                    </w:rPr>
                  </w:pPr>
                  <w:r>
                    <w:rPr>
                      <w:rFonts w:hint="eastAsia" w:ascii="Times New Roman" w:hAnsi="Times New Roman" w:eastAsia="宋体" w:cs="Times New Roman"/>
                      <w:b/>
                      <w:bCs/>
                      <w:color w:val="auto"/>
                      <w:sz w:val="21"/>
                      <w:szCs w:val="22"/>
                      <w:highlight w:val="none"/>
                    </w:rPr>
                    <w:t>高污染燃料禁燃区：</w:t>
                  </w:r>
                </w:p>
                <w:p w14:paraId="1CB4D8CA">
                  <w:pPr>
                    <w:keepNext w:val="0"/>
                    <w:keepLines w:val="0"/>
                    <w:numPr>
                      <w:ilvl w:val="0"/>
                      <w:numId w:val="0"/>
                    </w:numPr>
                    <w:suppressLineNumbers w:val="0"/>
                    <w:spacing w:before="0" w:beforeAutospacing="0" w:after="0" w:afterAutospacing="0" w:line="240" w:lineRule="auto"/>
                    <w:ind w:left="0" w:leftChars="0" w:right="0" w:rightChars="0"/>
                    <w:rPr>
                      <w:rFonts w:hint="eastAsia" w:eastAsia="宋体"/>
                      <w:color w:val="auto"/>
                      <w:sz w:val="21"/>
                      <w:szCs w:val="22"/>
                      <w:highlight w:val="none"/>
                      <w:lang w:eastAsia="zh-CN"/>
                    </w:rPr>
                  </w:pPr>
                  <w:r>
                    <w:rPr>
                      <w:rFonts w:hint="eastAsia" w:ascii="Times New Roman" w:hAnsi="Times New Roman" w:eastAsia="宋体" w:cs="Times New Roman"/>
                      <w:color w:val="auto"/>
                      <w:sz w:val="21"/>
                      <w:szCs w:val="22"/>
                      <w:highlight w:val="none"/>
                    </w:rPr>
                    <w:t>严格禁燃区管控。市区和南六县市全域及北五县市城镇周边划定为高污染燃料禁燃区，禁止销售、使用煤炭及其制品等高污染燃料（35 蒸吨及以上燃煤锅炉、火力发电企业、机组及水泥、砖瓦等原料煤使用企业除外）；各县市区全面退出禁燃区内洁净煤加工中心及配送网点，对配送网点及群众存量煤炭全部有偿回收。北五县市非禁燃区内可采用洁净煤或“生物质成型燃料+专用炉具”兜底。加强对直送、网络等方式销售散煤的监管，严厉打击违法销售行为，同时倒查上游企业责任，从源头杜绝散煤销售。</w:t>
                  </w:r>
                </w:p>
              </w:tc>
              <w:tc>
                <w:tcPr>
                  <w:tcW w:w="400" w:type="pct"/>
                  <w:vMerge w:val="continue"/>
                  <w:tcBorders>
                    <w:tl2br w:val="nil"/>
                    <w:tr2bl w:val="nil"/>
                  </w:tcBorders>
                  <w:vAlign w:val="center"/>
                </w:tcPr>
                <w:p w14:paraId="400FFEF8">
                  <w:pPr>
                    <w:keepNext w:val="0"/>
                    <w:keepLines w:val="0"/>
                    <w:numPr>
                      <w:ilvl w:val="0"/>
                      <w:numId w:val="0"/>
                    </w:numPr>
                    <w:suppressLineNumbers w:val="0"/>
                    <w:spacing w:before="0" w:beforeAutospacing="0" w:after="0" w:afterAutospacing="0" w:line="240" w:lineRule="auto"/>
                    <w:ind w:left="0" w:right="0"/>
                    <w:rPr>
                      <w:rFonts w:hint="eastAsia"/>
                      <w:color w:val="auto"/>
                      <w:sz w:val="21"/>
                      <w:szCs w:val="22"/>
                      <w:highlight w:val="none"/>
                    </w:rPr>
                  </w:pPr>
                </w:p>
              </w:tc>
              <w:tc>
                <w:tcPr>
                  <w:tcW w:w="1321" w:type="pct"/>
                  <w:tcBorders>
                    <w:tl2br w:val="nil"/>
                    <w:tr2bl w:val="nil"/>
                  </w:tcBorders>
                  <w:vAlign w:val="center"/>
                </w:tcPr>
                <w:p w14:paraId="54C125C0">
                  <w:pPr>
                    <w:keepNext w:val="0"/>
                    <w:keepLines w:val="0"/>
                    <w:suppressLineNumbers w:val="0"/>
                    <w:spacing w:before="0" w:beforeAutospacing="0" w:after="0" w:afterAutospacing="0" w:line="240" w:lineRule="auto"/>
                    <w:ind w:left="0" w:right="0" w:firstLine="0" w:firstLineChars="0"/>
                    <w:rPr>
                      <w:rFonts w:hint="default" w:eastAsia="宋体"/>
                      <w:color w:val="auto"/>
                      <w:sz w:val="21"/>
                      <w:szCs w:val="22"/>
                      <w:highlight w:val="none"/>
                      <w:lang w:val="en-US" w:eastAsia="zh-CN"/>
                    </w:rPr>
                  </w:pPr>
                  <w:r>
                    <w:rPr>
                      <w:rFonts w:hint="eastAsia"/>
                      <w:color w:val="auto"/>
                      <w:sz w:val="21"/>
                      <w:szCs w:val="22"/>
                      <w:highlight w:val="none"/>
                      <w:lang w:val="en-US" w:eastAsia="zh-CN"/>
                    </w:rPr>
                    <w:t>本项目生产生活耗能主要采用清洁能源电能，蒸制加工采用7台1吨/小时燃气锅炉供应热蒸汽，不涉及高污染燃料的使用或销售。</w:t>
                  </w:r>
                </w:p>
              </w:tc>
              <w:tc>
                <w:tcPr>
                  <w:tcW w:w="168" w:type="pct"/>
                  <w:tcBorders>
                    <w:tl2br w:val="nil"/>
                    <w:tr2bl w:val="nil"/>
                  </w:tcBorders>
                  <w:vAlign w:val="center"/>
                </w:tcPr>
                <w:p w14:paraId="0CF633ED">
                  <w:pPr>
                    <w:keepNext w:val="0"/>
                    <w:keepLines w:val="0"/>
                    <w:suppressLineNumbers w:val="0"/>
                    <w:spacing w:before="0" w:beforeAutospacing="0" w:after="0" w:afterAutospacing="0" w:line="240" w:lineRule="auto"/>
                    <w:ind w:left="0" w:right="0" w:firstLine="0" w:firstLineChars="0"/>
                    <w:jc w:val="center"/>
                    <w:rPr>
                      <w:rFonts w:hint="default"/>
                      <w:bCs/>
                      <w:color w:val="auto"/>
                      <w:sz w:val="21"/>
                      <w:szCs w:val="22"/>
                      <w:highlight w:val="none"/>
                    </w:rPr>
                  </w:pPr>
                  <w:r>
                    <w:rPr>
                      <w:rFonts w:hint="eastAsia"/>
                      <w:bCs/>
                      <w:color w:val="auto"/>
                      <w:sz w:val="21"/>
                      <w:szCs w:val="22"/>
                      <w:highlight w:val="none"/>
                    </w:rPr>
                    <w:t>符合</w:t>
                  </w:r>
                </w:p>
              </w:tc>
            </w:tr>
          </w:tbl>
          <w:p w14:paraId="51916156">
            <w:pPr>
              <w:pStyle w:val="3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eastAsia="宋体"/>
                <w:b w:val="0"/>
                <w:bCs w:val="0"/>
                <w:color w:val="auto"/>
                <w:lang w:val="en-US" w:eastAsia="zh-CN"/>
              </w:rPr>
            </w:pPr>
            <w:r>
              <w:rPr>
                <w:rFonts w:hint="eastAsia"/>
                <w:b w:val="0"/>
                <w:bCs w:val="0"/>
                <w:color w:val="auto"/>
                <w:sz w:val="24"/>
                <w:lang w:val="en-US" w:eastAsia="zh-CN"/>
              </w:rPr>
              <w:t>项目与《西咸新区直管区环境分区管控准入清单》符合性分析见下表：</w:t>
            </w:r>
          </w:p>
          <w:p w14:paraId="1A32A736">
            <w:pPr>
              <w:keepNext w:val="0"/>
              <w:keepLines w:val="0"/>
              <w:pageBreakBefore w:val="0"/>
              <w:widowControl/>
              <w:suppressLineNumbers w:val="0"/>
              <w:kinsoku/>
              <w:overflowPunct/>
              <w:topLinePunct w:val="0"/>
              <w:bidi w:val="0"/>
              <w:spacing w:before="0" w:beforeAutospacing="0" w:after="0" w:afterAutospacing="0" w:line="240" w:lineRule="auto"/>
              <w:ind w:left="0" w:right="0" w:firstLine="482" w:firstLineChars="200"/>
              <w:jc w:val="center"/>
              <w:textAlignment w:val="auto"/>
              <w:rPr>
                <w:rFonts w:hint="eastAsia" w:eastAsia="宋体"/>
                <w:color w:val="auto"/>
                <w:spacing w:val="2"/>
                <w:sz w:val="24"/>
                <w:szCs w:val="24"/>
                <w:lang w:eastAsia="zh-CN"/>
              </w:rPr>
            </w:pPr>
            <w:r>
              <w:rPr>
                <w:rFonts w:hint="eastAsia" w:ascii="Times New Roman" w:hAnsi="Times New Roman" w:eastAsia="宋体" w:cs="Times New Roman"/>
                <w:b/>
                <w:bCs/>
                <w:color w:val="auto"/>
                <w:sz w:val="24"/>
                <w:szCs w:val="24"/>
              </w:rPr>
              <w:t>表1-</w:t>
            </w:r>
            <w:r>
              <w:rPr>
                <w:rFonts w:hint="eastAsia"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b/>
                <w:bCs/>
                <w:color w:val="auto"/>
                <w:sz w:val="24"/>
                <w:szCs w:val="24"/>
              </w:rPr>
              <w:t xml:space="preserve">  与</w:t>
            </w:r>
            <w:r>
              <w:rPr>
                <w:rFonts w:hint="eastAsia" w:ascii="Times New Roman" w:hAnsi="Times New Roman" w:eastAsia="宋体" w:cs="Times New Roman"/>
                <w:b/>
                <w:bCs/>
                <w:color w:val="auto"/>
                <w:sz w:val="24"/>
                <w:szCs w:val="24"/>
                <w:lang w:val="en-US" w:eastAsia="zh-CN"/>
              </w:rPr>
              <w:t>西咸新区直管区环境分区管控准入清单符合性分析</w:t>
            </w:r>
          </w:p>
          <w:tbl>
            <w:tblPr>
              <w:tblStyle w:val="3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68"/>
              <w:gridCol w:w="709"/>
              <w:gridCol w:w="8509"/>
              <w:gridCol w:w="2669"/>
              <w:gridCol w:w="465"/>
            </w:tblGrid>
            <w:tr w14:paraId="2F6DDE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92" w:type="pct"/>
                  <w:noWrap w:val="0"/>
                  <w:vAlign w:val="center"/>
                </w:tcPr>
                <w:p w14:paraId="725DE7BC">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eastAsia="宋体"/>
                      <w:b/>
                      <w:bCs/>
                      <w:color w:val="auto"/>
                      <w:kern w:val="0"/>
                      <w:sz w:val="21"/>
                      <w:szCs w:val="21"/>
                      <w:lang w:val="en-US" w:eastAsia="zh-CN"/>
                    </w:rPr>
                  </w:pPr>
                  <w:r>
                    <w:rPr>
                      <w:rFonts w:hint="eastAsia"/>
                      <w:b/>
                      <w:bCs/>
                      <w:color w:val="auto"/>
                      <w:kern w:val="0"/>
                      <w:sz w:val="21"/>
                      <w:szCs w:val="21"/>
                      <w:lang w:val="en-US" w:eastAsia="zh-CN"/>
                    </w:rPr>
                    <w:t>行政区划</w:t>
                  </w:r>
                </w:p>
              </w:tc>
              <w:tc>
                <w:tcPr>
                  <w:tcW w:w="270" w:type="pct"/>
                  <w:noWrap w:val="0"/>
                  <w:vAlign w:val="center"/>
                </w:tcPr>
                <w:p w14:paraId="76EC09AF">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eastAsia="宋体"/>
                      <w:b/>
                      <w:bCs/>
                      <w:color w:val="auto"/>
                      <w:kern w:val="0"/>
                      <w:sz w:val="21"/>
                      <w:szCs w:val="21"/>
                      <w:lang w:val="en-US" w:eastAsia="zh-CN"/>
                    </w:rPr>
                  </w:pPr>
                  <w:r>
                    <w:rPr>
                      <w:rFonts w:hint="eastAsia"/>
                      <w:b/>
                      <w:bCs/>
                      <w:color w:val="auto"/>
                      <w:kern w:val="0"/>
                      <w:sz w:val="21"/>
                      <w:szCs w:val="21"/>
                      <w:lang w:val="en-US" w:eastAsia="zh-CN"/>
                    </w:rPr>
                    <w:t>管控纬度</w:t>
                  </w:r>
                </w:p>
              </w:tc>
              <w:tc>
                <w:tcPr>
                  <w:tcW w:w="3242" w:type="pct"/>
                  <w:noWrap w:val="0"/>
                  <w:vAlign w:val="center"/>
                </w:tcPr>
                <w:p w14:paraId="4FCC80D2">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eastAsia="宋体"/>
                      <w:b/>
                      <w:bCs/>
                      <w:color w:val="auto"/>
                      <w:kern w:val="0"/>
                      <w:sz w:val="21"/>
                      <w:szCs w:val="21"/>
                      <w:lang w:val="en-US" w:eastAsia="zh-CN"/>
                    </w:rPr>
                  </w:pPr>
                  <w:r>
                    <w:rPr>
                      <w:rFonts w:hint="eastAsia"/>
                      <w:b/>
                      <w:bCs/>
                      <w:color w:val="auto"/>
                      <w:kern w:val="0"/>
                      <w:sz w:val="21"/>
                      <w:szCs w:val="21"/>
                      <w:lang w:val="en-US" w:eastAsia="zh-CN"/>
                    </w:rPr>
                    <w:t>管控要求</w:t>
                  </w:r>
                </w:p>
              </w:tc>
              <w:tc>
                <w:tcPr>
                  <w:tcW w:w="1017" w:type="pct"/>
                  <w:noWrap w:val="0"/>
                  <w:vAlign w:val="center"/>
                </w:tcPr>
                <w:p w14:paraId="6B096100">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eastAsia="宋体"/>
                      <w:b/>
                      <w:bCs/>
                      <w:color w:val="auto"/>
                      <w:kern w:val="0"/>
                      <w:sz w:val="21"/>
                      <w:szCs w:val="21"/>
                      <w:lang w:val="en-US" w:eastAsia="zh-CN"/>
                    </w:rPr>
                  </w:pPr>
                  <w:r>
                    <w:rPr>
                      <w:rFonts w:hint="eastAsia"/>
                      <w:b/>
                      <w:bCs/>
                      <w:color w:val="auto"/>
                      <w:kern w:val="0"/>
                      <w:sz w:val="21"/>
                      <w:szCs w:val="21"/>
                      <w:lang w:val="en-US" w:eastAsia="zh-CN"/>
                    </w:rPr>
                    <w:t>项目情况</w:t>
                  </w:r>
                </w:p>
              </w:tc>
              <w:tc>
                <w:tcPr>
                  <w:tcW w:w="177" w:type="pct"/>
                  <w:noWrap w:val="0"/>
                  <w:vAlign w:val="center"/>
                </w:tcPr>
                <w:p w14:paraId="795D6C6F">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kern w:val="0"/>
                      <w:sz w:val="21"/>
                      <w:szCs w:val="21"/>
                    </w:rPr>
                  </w:pPr>
                  <w:r>
                    <w:rPr>
                      <w:rFonts w:hint="default"/>
                      <w:b/>
                      <w:bCs/>
                      <w:color w:val="auto"/>
                      <w:kern w:val="0"/>
                      <w:sz w:val="21"/>
                      <w:szCs w:val="21"/>
                    </w:rPr>
                    <w:t>符合性</w:t>
                  </w:r>
                </w:p>
              </w:tc>
            </w:tr>
            <w:tr w14:paraId="142585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92" w:type="pct"/>
                  <w:vMerge w:val="restart"/>
                  <w:noWrap w:val="0"/>
                  <w:vAlign w:val="center"/>
                </w:tcPr>
                <w:p w14:paraId="7698B7A2">
                  <w:pPr>
                    <w:keepNext w:val="0"/>
                    <w:keepLines w:val="0"/>
                    <w:pageBreakBefore w:val="0"/>
                    <w:widowControl w:val="0"/>
                    <w:suppressLineNumbers w:val="0"/>
                    <w:kinsoku/>
                    <w:wordWrap w:val="0"/>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西咸新区直管区</w:t>
                  </w:r>
                </w:p>
              </w:tc>
              <w:tc>
                <w:tcPr>
                  <w:tcW w:w="270" w:type="pct"/>
                  <w:noWrap w:val="0"/>
                  <w:vAlign w:val="center"/>
                </w:tcPr>
                <w:p w14:paraId="2953B988">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r>
                    <w:rPr>
                      <w:rFonts w:hint="eastAsia"/>
                      <w:color w:val="auto"/>
                      <w:sz w:val="21"/>
                      <w:szCs w:val="21"/>
                    </w:rPr>
                    <w:t>空间布局约束</w:t>
                  </w:r>
                </w:p>
              </w:tc>
              <w:tc>
                <w:tcPr>
                  <w:tcW w:w="3242" w:type="pct"/>
                  <w:noWrap w:val="0"/>
                  <w:vAlign w:val="center"/>
                </w:tcPr>
                <w:p w14:paraId="01E0C32F">
                  <w:pPr>
                    <w:keepNext w:val="0"/>
                    <w:keepLines w:val="0"/>
                    <w:pageBreakBefore w:val="0"/>
                    <w:widowControl w:val="0"/>
                    <w:numPr>
                      <w:ilvl w:val="0"/>
                      <w:numId w:val="0"/>
                    </w:numPr>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rPr>
                  </w:pPr>
                  <w:r>
                    <w:rPr>
                      <w:rFonts w:hint="eastAsia"/>
                      <w:color w:val="auto"/>
                      <w:kern w:val="21"/>
                      <w:sz w:val="21"/>
                      <w:szCs w:val="21"/>
                      <w:lang w:val="en-US" w:eastAsia="zh-CN"/>
                    </w:rPr>
                    <w:t>1.</w:t>
                  </w:r>
                  <w:r>
                    <w:rPr>
                      <w:rFonts w:hint="eastAsia"/>
                      <w:color w:val="auto"/>
                      <w:kern w:val="21"/>
                      <w:sz w:val="21"/>
                      <w:szCs w:val="21"/>
                    </w:rPr>
                    <w:t>未列入国家批准的相关规划的新建乙烯、对二甲苯</w:t>
                  </w:r>
                  <w:r>
                    <w:rPr>
                      <w:rFonts w:hint="eastAsia"/>
                      <w:color w:val="auto"/>
                      <w:kern w:val="21"/>
                      <w:sz w:val="21"/>
                      <w:szCs w:val="21"/>
                      <w:lang w:eastAsia="zh-CN"/>
                    </w:rPr>
                    <w:t>（</w:t>
                  </w:r>
                  <w:r>
                    <w:rPr>
                      <w:rFonts w:hint="eastAsia"/>
                      <w:color w:val="auto"/>
                      <w:kern w:val="21"/>
                      <w:sz w:val="21"/>
                      <w:szCs w:val="21"/>
                    </w:rPr>
                    <w:t>PX</w:t>
                  </w:r>
                  <w:r>
                    <w:rPr>
                      <w:rFonts w:hint="eastAsia"/>
                      <w:color w:val="auto"/>
                      <w:kern w:val="21"/>
                      <w:sz w:val="21"/>
                      <w:szCs w:val="21"/>
                      <w:lang w:eastAsia="zh-CN"/>
                    </w:rPr>
                    <w:t>）</w:t>
                  </w:r>
                  <w:r>
                    <w:rPr>
                      <w:rFonts w:hint="eastAsia"/>
                      <w:color w:val="auto"/>
                      <w:kern w:val="21"/>
                      <w:sz w:val="21"/>
                      <w:szCs w:val="21"/>
                    </w:rPr>
                    <w:t>、二苯基甲烷二异氰酸酯</w:t>
                  </w:r>
                  <w:r>
                    <w:rPr>
                      <w:rFonts w:hint="eastAsia"/>
                      <w:color w:val="auto"/>
                      <w:kern w:val="21"/>
                      <w:sz w:val="21"/>
                      <w:szCs w:val="21"/>
                      <w:lang w:eastAsia="zh-CN"/>
                    </w:rPr>
                    <w:t>（</w:t>
                  </w:r>
                  <w:r>
                    <w:rPr>
                      <w:rFonts w:hint="eastAsia"/>
                      <w:color w:val="auto"/>
                      <w:kern w:val="21"/>
                      <w:sz w:val="21"/>
                      <w:szCs w:val="21"/>
                    </w:rPr>
                    <w:t>MDI</w:t>
                  </w:r>
                  <w:r>
                    <w:rPr>
                      <w:rFonts w:hint="eastAsia"/>
                      <w:color w:val="auto"/>
                      <w:kern w:val="21"/>
                      <w:sz w:val="21"/>
                      <w:szCs w:val="21"/>
                      <w:lang w:eastAsia="zh-CN"/>
                    </w:rPr>
                    <w:t>）</w:t>
                  </w:r>
                  <w:r>
                    <w:rPr>
                      <w:rFonts w:hint="eastAsia"/>
                      <w:color w:val="auto"/>
                      <w:kern w:val="21"/>
                      <w:sz w:val="21"/>
                      <w:szCs w:val="21"/>
                    </w:rPr>
                    <w:t>项目，禁止建设。</w:t>
                  </w:r>
                </w:p>
                <w:p w14:paraId="75A3A9A1">
                  <w:pPr>
                    <w:keepNext w:val="0"/>
                    <w:keepLines w:val="0"/>
                    <w:pageBreakBefore w:val="0"/>
                    <w:widowControl w:val="0"/>
                    <w:numPr>
                      <w:ilvl w:val="0"/>
                      <w:numId w:val="0"/>
                    </w:numPr>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rPr>
                  </w:pPr>
                  <w:r>
                    <w:rPr>
                      <w:rFonts w:hint="eastAsia"/>
                      <w:color w:val="auto"/>
                      <w:kern w:val="21"/>
                      <w:sz w:val="21"/>
                      <w:szCs w:val="21"/>
                    </w:rPr>
                    <w:t>2.禁止新建化工园区</w:t>
                  </w:r>
                  <w:r>
                    <w:rPr>
                      <w:rFonts w:hint="eastAsia"/>
                      <w:color w:val="auto"/>
                      <w:kern w:val="21"/>
                      <w:sz w:val="21"/>
                      <w:szCs w:val="21"/>
                      <w:lang w:eastAsia="zh-CN"/>
                    </w:rPr>
                    <w:t>；</w:t>
                  </w:r>
                  <w:r>
                    <w:rPr>
                      <w:rFonts w:hint="eastAsia"/>
                      <w:color w:val="auto"/>
                      <w:kern w:val="21"/>
                      <w:sz w:val="21"/>
                      <w:szCs w:val="21"/>
                    </w:rPr>
                    <w:t>严禁高耗能、高排放产业入区</w:t>
                  </w:r>
                  <w:r>
                    <w:rPr>
                      <w:rFonts w:hint="eastAsia"/>
                      <w:color w:val="auto"/>
                      <w:kern w:val="21"/>
                      <w:sz w:val="21"/>
                      <w:szCs w:val="21"/>
                      <w:lang w:eastAsia="zh-CN"/>
                    </w:rPr>
                    <w:t>；</w:t>
                  </w:r>
                  <w:r>
                    <w:rPr>
                      <w:rFonts w:hint="eastAsia"/>
                      <w:color w:val="auto"/>
                      <w:kern w:val="21"/>
                      <w:sz w:val="21"/>
                      <w:szCs w:val="21"/>
                    </w:rPr>
                    <w:t>禁止新建、</w:t>
                  </w:r>
                  <w:r>
                    <w:rPr>
                      <w:rFonts w:hint="eastAsia"/>
                      <w:color w:val="auto"/>
                      <w:kern w:val="21"/>
                      <w:sz w:val="21"/>
                      <w:szCs w:val="21"/>
                      <w:lang w:eastAsia="zh-CN"/>
                    </w:rPr>
                    <w:t>扩建</w:t>
                  </w:r>
                  <w:r>
                    <w:rPr>
                      <w:rFonts w:hint="eastAsia"/>
                      <w:color w:val="auto"/>
                      <w:kern w:val="21"/>
                      <w:sz w:val="21"/>
                      <w:szCs w:val="21"/>
                    </w:rPr>
                    <w:t>、</w:t>
                  </w:r>
                  <w:r>
                    <w:rPr>
                      <w:rFonts w:hint="eastAsia"/>
                      <w:color w:val="auto"/>
                      <w:kern w:val="21"/>
                      <w:sz w:val="21"/>
                      <w:szCs w:val="21"/>
                      <w:lang w:eastAsia="zh-CN"/>
                    </w:rPr>
                    <w:t>扩建</w:t>
                  </w:r>
                  <w:r>
                    <w:rPr>
                      <w:rFonts w:hint="eastAsia"/>
                      <w:color w:val="auto"/>
                      <w:kern w:val="21"/>
                      <w:sz w:val="21"/>
                      <w:szCs w:val="21"/>
                    </w:rPr>
                    <w:t>任何涉煤和石油化工、煤化工等项目</w:t>
                  </w:r>
                  <w:r>
                    <w:rPr>
                      <w:rFonts w:hint="eastAsia"/>
                      <w:color w:val="auto"/>
                      <w:kern w:val="21"/>
                      <w:sz w:val="21"/>
                      <w:szCs w:val="21"/>
                      <w:lang w:eastAsia="zh-CN"/>
                    </w:rPr>
                    <w:t>；</w:t>
                  </w:r>
                  <w:r>
                    <w:rPr>
                      <w:rFonts w:hint="eastAsia"/>
                      <w:color w:val="auto"/>
                      <w:kern w:val="21"/>
                      <w:sz w:val="21"/>
                      <w:szCs w:val="21"/>
                    </w:rPr>
                    <w:t>严禁新增铸造、电解铝、平板玻璃等产能</w:t>
                  </w:r>
                  <w:r>
                    <w:rPr>
                      <w:rFonts w:hint="eastAsia"/>
                      <w:color w:val="auto"/>
                      <w:kern w:val="21"/>
                      <w:sz w:val="21"/>
                      <w:szCs w:val="21"/>
                      <w:lang w:eastAsia="zh-CN"/>
                    </w:rPr>
                    <w:t>；</w:t>
                  </w:r>
                  <w:r>
                    <w:rPr>
                      <w:rFonts w:hint="eastAsia"/>
                      <w:color w:val="auto"/>
                      <w:kern w:val="21"/>
                      <w:sz w:val="21"/>
                      <w:szCs w:val="21"/>
                    </w:rPr>
                    <w:t>禁止新建、</w:t>
                  </w:r>
                  <w:r>
                    <w:rPr>
                      <w:rFonts w:hint="eastAsia"/>
                      <w:color w:val="auto"/>
                      <w:kern w:val="21"/>
                      <w:sz w:val="21"/>
                      <w:szCs w:val="21"/>
                      <w:lang w:eastAsia="zh-CN"/>
                    </w:rPr>
                    <w:t>扩建</w:t>
                  </w:r>
                  <w:r>
                    <w:rPr>
                      <w:rFonts w:hint="eastAsia"/>
                      <w:color w:val="auto"/>
                      <w:kern w:val="21"/>
                      <w:sz w:val="21"/>
                      <w:szCs w:val="21"/>
                    </w:rPr>
                    <w:t>燃用高污染燃料的设施</w:t>
                  </w:r>
                  <w:r>
                    <w:rPr>
                      <w:rFonts w:hint="eastAsia"/>
                      <w:color w:val="auto"/>
                      <w:kern w:val="21"/>
                      <w:sz w:val="21"/>
                      <w:szCs w:val="21"/>
                      <w:lang w:eastAsia="zh-CN"/>
                    </w:rPr>
                    <w:t>；</w:t>
                  </w:r>
                  <w:r>
                    <w:rPr>
                      <w:rFonts w:hint="eastAsia"/>
                      <w:color w:val="auto"/>
                      <w:kern w:val="21"/>
                      <w:sz w:val="21"/>
                      <w:szCs w:val="21"/>
                    </w:rPr>
                    <w:t>禁止新建、</w:t>
                  </w:r>
                  <w:r>
                    <w:rPr>
                      <w:rFonts w:hint="eastAsia"/>
                      <w:color w:val="auto"/>
                      <w:kern w:val="21"/>
                      <w:sz w:val="21"/>
                      <w:szCs w:val="21"/>
                      <w:lang w:eastAsia="zh-CN"/>
                    </w:rPr>
                    <w:t>扩建</w:t>
                  </w:r>
                  <w:r>
                    <w:rPr>
                      <w:rFonts w:hint="eastAsia"/>
                      <w:color w:val="auto"/>
                      <w:kern w:val="21"/>
                      <w:sz w:val="21"/>
                      <w:szCs w:val="21"/>
                    </w:rPr>
                    <w:t>燃煤热电联产的燃煤集中供热项目</w:t>
                  </w:r>
                  <w:r>
                    <w:rPr>
                      <w:rFonts w:hint="eastAsia"/>
                      <w:color w:val="auto"/>
                      <w:kern w:val="21"/>
                      <w:sz w:val="21"/>
                      <w:szCs w:val="21"/>
                      <w:lang w:eastAsia="zh-CN"/>
                    </w:rPr>
                    <w:t>；</w:t>
                  </w:r>
                  <w:r>
                    <w:rPr>
                      <w:rFonts w:hint="eastAsia"/>
                      <w:color w:val="auto"/>
                      <w:kern w:val="21"/>
                      <w:sz w:val="21"/>
                      <w:szCs w:val="21"/>
                    </w:rPr>
                    <w:t>不得新建天然气热电联产和天然气化工项目。</w:t>
                  </w:r>
                </w:p>
                <w:p w14:paraId="29E6650A">
                  <w:pPr>
                    <w:keepNext w:val="0"/>
                    <w:keepLines w:val="0"/>
                    <w:pageBreakBefore w:val="0"/>
                    <w:widowControl w:val="0"/>
                    <w:numPr>
                      <w:ilvl w:val="0"/>
                      <w:numId w:val="0"/>
                    </w:numPr>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rPr>
                  </w:pPr>
                  <w:r>
                    <w:rPr>
                      <w:rFonts w:hint="eastAsia"/>
                      <w:color w:val="auto"/>
                      <w:kern w:val="21"/>
                      <w:sz w:val="21"/>
                      <w:szCs w:val="21"/>
                    </w:rPr>
                    <w:t>3.严格限制生态空间内破坏生物多样性的行为，禁止建设破坏生态功能和生态环境的工程项目。</w:t>
                  </w:r>
                </w:p>
                <w:p w14:paraId="5DCC0EB6">
                  <w:pPr>
                    <w:keepNext w:val="0"/>
                    <w:keepLines w:val="0"/>
                    <w:pageBreakBefore w:val="0"/>
                    <w:widowControl w:val="0"/>
                    <w:numPr>
                      <w:ilvl w:val="0"/>
                      <w:numId w:val="0"/>
                    </w:numPr>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rPr>
                  </w:pPr>
                  <w:r>
                    <w:rPr>
                      <w:rFonts w:hint="eastAsia"/>
                      <w:color w:val="auto"/>
                      <w:kern w:val="21"/>
                      <w:sz w:val="21"/>
                      <w:szCs w:val="21"/>
                    </w:rPr>
                    <w:t>4.全域内已征地</w:t>
                  </w:r>
                  <w:r>
                    <w:rPr>
                      <w:rFonts w:hint="eastAsia"/>
                      <w:color w:val="auto"/>
                      <w:kern w:val="21"/>
                      <w:sz w:val="21"/>
                      <w:szCs w:val="21"/>
                      <w:lang w:eastAsia="zh-CN"/>
                    </w:rPr>
                    <w:t>范围</w:t>
                  </w:r>
                  <w:r>
                    <w:rPr>
                      <w:rFonts w:hint="eastAsia"/>
                      <w:color w:val="auto"/>
                      <w:kern w:val="21"/>
                      <w:sz w:val="21"/>
                      <w:szCs w:val="21"/>
                    </w:rPr>
                    <w:t>为高</w:t>
                  </w:r>
                  <w:r>
                    <w:rPr>
                      <w:rFonts w:hint="eastAsia"/>
                      <w:color w:val="auto"/>
                      <w:kern w:val="21"/>
                      <w:sz w:val="21"/>
                      <w:szCs w:val="21"/>
                      <w:lang w:val="en-US" w:eastAsia="zh-CN"/>
                    </w:rPr>
                    <w:t>污染</w:t>
                  </w:r>
                  <w:r>
                    <w:rPr>
                      <w:rFonts w:hint="eastAsia"/>
                      <w:color w:val="auto"/>
                      <w:kern w:val="21"/>
                      <w:sz w:val="21"/>
                      <w:szCs w:val="21"/>
                    </w:rPr>
                    <w:t>燃料</w:t>
                  </w:r>
                  <w:r>
                    <w:rPr>
                      <w:rFonts w:hint="eastAsia"/>
                      <w:color w:val="auto"/>
                      <w:kern w:val="21"/>
                      <w:sz w:val="21"/>
                      <w:szCs w:val="21"/>
                      <w:lang w:val="en-US" w:eastAsia="zh-CN"/>
                    </w:rPr>
                    <w:t>禁燃区</w:t>
                  </w:r>
                  <w:r>
                    <w:rPr>
                      <w:rFonts w:hint="eastAsia"/>
                      <w:color w:val="auto"/>
                      <w:kern w:val="21"/>
                      <w:sz w:val="21"/>
                      <w:szCs w:val="21"/>
                    </w:rPr>
                    <w:t>，并动态更新。禁燃区内禁止新建、</w:t>
                  </w:r>
                  <w:r>
                    <w:rPr>
                      <w:rFonts w:hint="eastAsia"/>
                      <w:color w:val="auto"/>
                      <w:kern w:val="21"/>
                      <w:sz w:val="21"/>
                      <w:szCs w:val="21"/>
                      <w:lang w:eastAsia="zh-CN"/>
                    </w:rPr>
                    <w:t>扩建</w:t>
                  </w:r>
                  <w:r>
                    <w:rPr>
                      <w:rFonts w:hint="eastAsia"/>
                      <w:color w:val="auto"/>
                      <w:kern w:val="21"/>
                      <w:sz w:val="21"/>
                      <w:szCs w:val="21"/>
                    </w:rPr>
                    <w:t>燃用高</w:t>
                  </w:r>
                  <w:r>
                    <w:rPr>
                      <w:rFonts w:hint="eastAsia"/>
                      <w:color w:val="auto"/>
                      <w:kern w:val="21"/>
                      <w:sz w:val="21"/>
                      <w:szCs w:val="21"/>
                      <w:lang w:val="en-US" w:eastAsia="zh-CN"/>
                    </w:rPr>
                    <w:t>污染</w:t>
                  </w:r>
                  <w:r>
                    <w:rPr>
                      <w:rFonts w:hint="eastAsia"/>
                      <w:color w:val="auto"/>
                      <w:kern w:val="21"/>
                      <w:sz w:val="21"/>
                      <w:szCs w:val="21"/>
                    </w:rPr>
                    <w:t>燃料的设施。</w:t>
                  </w:r>
                </w:p>
                <w:p w14:paraId="679D9B40">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rPr>
                  </w:pPr>
                  <w:r>
                    <w:rPr>
                      <w:rFonts w:hint="eastAsia"/>
                      <w:color w:val="auto"/>
                      <w:kern w:val="21"/>
                      <w:sz w:val="21"/>
                      <w:szCs w:val="21"/>
                    </w:rPr>
                    <w:t>5.渭河流域禁止新建、</w:t>
                  </w:r>
                  <w:r>
                    <w:rPr>
                      <w:rFonts w:hint="eastAsia"/>
                      <w:color w:val="auto"/>
                      <w:kern w:val="21"/>
                      <w:sz w:val="21"/>
                      <w:szCs w:val="21"/>
                      <w:lang w:eastAsia="zh-CN"/>
                    </w:rPr>
                    <w:t>扩建</w:t>
                  </w:r>
                  <w:r>
                    <w:rPr>
                      <w:rFonts w:hint="eastAsia"/>
                      <w:color w:val="auto"/>
                      <w:kern w:val="21"/>
                      <w:sz w:val="21"/>
                      <w:szCs w:val="21"/>
                    </w:rPr>
                    <w:t>化学制浆造纸、化工、印染、果汁和淀粉加工等高耗水、高污染项目</w:t>
                  </w:r>
                  <w:r>
                    <w:rPr>
                      <w:rFonts w:hint="eastAsia"/>
                      <w:color w:val="auto"/>
                      <w:kern w:val="21"/>
                      <w:sz w:val="21"/>
                      <w:szCs w:val="21"/>
                      <w:lang w:eastAsia="zh-CN"/>
                    </w:rPr>
                    <w:t>，</w:t>
                  </w:r>
                  <w:r>
                    <w:rPr>
                      <w:rFonts w:hint="eastAsia"/>
                      <w:color w:val="auto"/>
                      <w:kern w:val="21"/>
                      <w:sz w:val="21"/>
                      <w:szCs w:val="21"/>
                    </w:rPr>
                    <w:t>渭河及其支流沿岸，要严格控制化学原料和化学制品制造、医药制造、化学纤维制造、</w:t>
                  </w:r>
                  <w:r>
                    <w:rPr>
                      <w:rFonts w:hint="eastAsia"/>
                      <w:color w:val="auto"/>
                      <w:kern w:val="21"/>
                      <w:sz w:val="21"/>
                      <w:szCs w:val="21"/>
                      <w:lang w:eastAsia="zh-CN"/>
                    </w:rPr>
                    <w:t>有色金属</w:t>
                  </w:r>
                  <w:r>
                    <w:rPr>
                      <w:rFonts w:hint="eastAsia"/>
                      <w:color w:val="auto"/>
                      <w:kern w:val="21"/>
                      <w:sz w:val="21"/>
                      <w:szCs w:val="21"/>
                    </w:rPr>
                    <w:t>冶炼等项目。</w:t>
                  </w:r>
                </w:p>
                <w:p w14:paraId="06A69390">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rPr>
                  </w:pPr>
                  <w:r>
                    <w:rPr>
                      <w:rFonts w:hint="eastAsia"/>
                      <w:color w:val="auto"/>
                      <w:kern w:val="21"/>
                      <w:sz w:val="21"/>
                      <w:szCs w:val="21"/>
                    </w:rPr>
                    <w:t>6.饮用水源地一级保护区内的入河排污口全部拆除关闭</w:t>
                  </w:r>
                  <w:r>
                    <w:rPr>
                      <w:rFonts w:hint="eastAsia"/>
                      <w:color w:val="auto"/>
                      <w:kern w:val="21"/>
                      <w:sz w:val="21"/>
                      <w:szCs w:val="21"/>
                      <w:lang w:eastAsia="zh-CN"/>
                    </w:rPr>
                    <w:t>；</w:t>
                  </w:r>
                  <w:r>
                    <w:rPr>
                      <w:rFonts w:hint="eastAsia"/>
                      <w:color w:val="auto"/>
                      <w:kern w:val="21"/>
                      <w:sz w:val="21"/>
                      <w:szCs w:val="21"/>
                    </w:rPr>
                    <w:t>集中式饮用水源供水水质达标率达到100</w:t>
                  </w:r>
                  <w:r>
                    <w:rPr>
                      <w:rFonts w:hint="eastAsia"/>
                      <w:color w:val="auto"/>
                      <w:kern w:val="21"/>
                      <w:sz w:val="21"/>
                      <w:szCs w:val="21"/>
                      <w:lang w:val="en-US" w:eastAsia="zh-CN"/>
                    </w:rPr>
                    <w:t>%</w:t>
                  </w:r>
                  <w:r>
                    <w:rPr>
                      <w:rFonts w:hint="eastAsia"/>
                      <w:color w:val="auto"/>
                      <w:kern w:val="21"/>
                      <w:sz w:val="21"/>
                      <w:szCs w:val="21"/>
                    </w:rPr>
                    <w:t>。加大渭河流域生态建设力度，严格划定禁采、禁伐区域。</w:t>
                  </w:r>
                </w:p>
                <w:p w14:paraId="24B34CF4">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default"/>
                      <w:color w:val="auto"/>
                      <w:kern w:val="0"/>
                      <w:sz w:val="21"/>
                      <w:szCs w:val="21"/>
                    </w:rPr>
                  </w:pPr>
                  <w:r>
                    <w:rPr>
                      <w:rFonts w:hint="eastAsia"/>
                      <w:color w:val="auto"/>
                      <w:kern w:val="21"/>
                      <w:sz w:val="21"/>
                      <w:szCs w:val="21"/>
                    </w:rPr>
                    <w:t>7.在地下水超采的单元内，新建、改</w:t>
                  </w:r>
                  <w:r>
                    <w:rPr>
                      <w:rFonts w:hint="eastAsia"/>
                      <w:color w:val="auto"/>
                      <w:kern w:val="21"/>
                      <w:sz w:val="21"/>
                      <w:szCs w:val="21"/>
                      <w:lang w:eastAsia="zh-CN"/>
                    </w:rPr>
                    <w:t>扩建</w:t>
                  </w:r>
                  <w:r>
                    <w:rPr>
                      <w:rFonts w:hint="eastAsia"/>
                      <w:color w:val="auto"/>
                      <w:kern w:val="21"/>
                      <w:sz w:val="21"/>
                      <w:szCs w:val="21"/>
                    </w:rPr>
                    <w:t>项目不得使用地下水作为</w:t>
                  </w:r>
                  <w:r>
                    <w:rPr>
                      <w:rFonts w:hint="eastAsia"/>
                      <w:color w:val="auto"/>
                      <w:kern w:val="21"/>
                      <w:sz w:val="21"/>
                      <w:szCs w:val="21"/>
                      <w:lang w:eastAsia="zh-CN"/>
                    </w:rPr>
                    <w:t>工程</w:t>
                  </w:r>
                  <w:r>
                    <w:rPr>
                      <w:rFonts w:hint="eastAsia"/>
                      <w:color w:val="auto"/>
                      <w:kern w:val="21"/>
                      <w:sz w:val="21"/>
                      <w:szCs w:val="21"/>
                    </w:rPr>
                    <w:t>水源</w:t>
                  </w:r>
                  <w:r>
                    <w:rPr>
                      <w:rFonts w:hint="eastAsia"/>
                      <w:color w:val="auto"/>
                      <w:kern w:val="21"/>
                      <w:sz w:val="21"/>
                      <w:szCs w:val="21"/>
                      <w:lang w:eastAsia="zh-CN"/>
                    </w:rPr>
                    <w:t>；</w:t>
                  </w:r>
                  <w:r>
                    <w:rPr>
                      <w:rFonts w:hint="eastAsia"/>
                      <w:color w:val="auto"/>
                      <w:kern w:val="21"/>
                      <w:sz w:val="21"/>
                      <w:szCs w:val="21"/>
                    </w:rPr>
                    <w:t>地下水降落漏斗范围内不得新增工业企业用水规模。</w:t>
                  </w:r>
                </w:p>
              </w:tc>
              <w:tc>
                <w:tcPr>
                  <w:tcW w:w="1017" w:type="pct"/>
                  <w:noWrap w:val="0"/>
                  <w:vAlign w:val="center"/>
                </w:tcPr>
                <w:p w14:paraId="6C792A5E">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0"/>
                      <w:sz w:val="21"/>
                      <w:szCs w:val="21"/>
                      <w:lang w:val="en-US" w:eastAsia="zh-CN"/>
                    </w:rPr>
                  </w:pPr>
                  <w:r>
                    <w:rPr>
                      <w:rFonts w:hint="eastAsia"/>
                      <w:color w:val="auto"/>
                      <w:kern w:val="0"/>
                      <w:sz w:val="21"/>
                      <w:szCs w:val="21"/>
                      <w:lang w:val="en-US" w:eastAsia="zh-CN"/>
                    </w:rPr>
                    <w:t>1.不涉及；</w:t>
                  </w:r>
                </w:p>
                <w:p w14:paraId="6B174E85">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21"/>
                      <w:sz w:val="21"/>
                      <w:szCs w:val="21"/>
                      <w:highlight w:val="none"/>
                      <w:lang w:eastAsia="zh-CN"/>
                    </w:rPr>
                  </w:pPr>
                  <w:r>
                    <w:rPr>
                      <w:rFonts w:hint="eastAsia"/>
                      <w:color w:val="auto"/>
                      <w:kern w:val="0"/>
                      <w:sz w:val="21"/>
                      <w:szCs w:val="21"/>
                      <w:lang w:val="en-US" w:eastAsia="zh-CN"/>
                    </w:rPr>
                    <w:t>2.</w:t>
                  </w:r>
                  <w:r>
                    <w:rPr>
                      <w:rFonts w:hint="eastAsia"/>
                      <w:color w:val="auto"/>
                      <w:kern w:val="0"/>
                      <w:sz w:val="21"/>
                      <w:szCs w:val="21"/>
                    </w:rPr>
                    <w:t>本项目</w:t>
                  </w:r>
                  <w:r>
                    <w:rPr>
                      <w:rFonts w:hint="eastAsia"/>
                      <w:color w:val="auto"/>
                      <w:kern w:val="0"/>
                      <w:sz w:val="21"/>
                      <w:szCs w:val="21"/>
                      <w:lang w:val="en-US" w:eastAsia="zh-CN"/>
                    </w:rPr>
                    <w:t>属于</w:t>
                  </w:r>
                  <w:r>
                    <w:rPr>
                      <w:rFonts w:hint="eastAsia"/>
                      <w:color w:val="auto"/>
                      <w:sz w:val="21"/>
                      <w:szCs w:val="21"/>
                      <w:lang w:val="en-US" w:eastAsia="zh-CN"/>
                    </w:rPr>
                    <w:t>食</w:t>
                  </w:r>
                  <w:r>
                    <w:rPr>
                      <w:rFonts w:hint="eastAsia"/>
                      <w:color w:val="auto"/>
                      <w:sz w:val="21"/>
                      <w:szCs w:val="21"/>
                      <w:highlight w:val="none"/>
                      <w:lang w:val="en-US" w:eastAsia="zh-CN"/>
                    </w:rPr>
                    <w:t>品制造行业</w:t>
                  </w:r>
                  <w:r>
                    <w:rPr>
                      <w:rFonts w:hint="eastAsia"/>
                      <w:color w:val="auto"/>
                      <w:sz w:val="21"/>
                      <w:szCs w:val="21"/>
                      <w:highlight w:val="none"/>
                      <w:lang w:eastAsia="zh-CN"/>
                    </w:rPr>
                    <w:t>，</w:t>
                  </w:r>
                  <w:r>
                    <w:rPr>
                      <w:rFonts w:hint="eastAsia"/>
                      <w:color w:val="auto"/>
                      <w:sz w:val="21"/>
                      <w:szCs w:val="21"/>
                      <w:highlight w:val="none"/>
                      <w:lang w:val="en-US" w:eastAsia="zh-CN"/>
                    </w:rPr>
                    <w:t>主要进行方便食品生产</w:t>
                  </w:r>
                  <w:r>
                    <w:rPr>
                      <w:rFonts w:hint="eastAsia"/>
                      <w:color w:val="auto"/>
                      <w:kern w:val="0"/>
                      <w:sz w:val="21"/>
                      <w:szCs w:val="21"/>
                      <w:highlight w:val="none"/>
                    </w:rPr>
                    <w:t>，不属于</w:t>
                  </w:r>
                  <w:r>
                    <w:rPr>
                      <w:rFonts w:hint="default"/>
                      <w:color w:val="auto"/>
                      <w:kern w:val="0"/>
                      <w:sz w:val="21"/>
                      <w:szCs w:val="21"/>
                      <w:highlight w:val="none"/>
                    </w:rPr>
                    <w:t>高耗能高排放项目</w:t>
                  </w:r>
                  <w:r>
                    <w:rPr>
                      <w:rFonts w:hint="eastAsia"/>
                      <w:color w:val="auto"/>
                      <w:kern w:val="0"/>
                      <w:sz w:val="21"/>
                      <w:szCs w:val="21"/>
                      <w:highlight w:val="none"/>
                      <w:lang w:eastAsia="zh-CN"/>
                    </w:rPr>
                    <w:t>；</w:t>
                  </w:r>
                  <w:r>
                    <w:rPr>
                      <w:rFonts w:hint="eastAsia"/>
                      <w:color w:val="auto"/>
                      <w:kern w:val="21"/>
                      <w:sz w:val="21"/>
                      <w:szCs w:val="21"/>
                      <w:highlight w:val="none"/>
                    </w:rPr>
                    <w:t>项目</w:t>
                  </w:r>
                  <w:r>
                    <w:rPr>
                      <w:rFonts w:hint="eastAsia"/>
                      <w:color w:val="auto"/>
                      <w:kern w:val="21"/>
                      <w:sz w:val="21"/>
                      <w:szCs w:val="21"/>
                      <w:highlight w:val="none"/>
                      <w:lang w:val="en-US" w:eastAsia="zh-CN"/>
                    </w:rPr>
                    <w:t>生产设备主要使用清洁能源为电能，燃气锅炉采用市政天然气管网供气</w:t>
                  </w:r>
                  <w:r>
                    <w:rPr>
                      <w:rFonts w:hint="eastAsia"/>
                      <w:color w:val="auto"/>
                      <w:kern w:val="21"/>
                      <w:sz w:val="21"/>
                      <w:szCs w:val="21"/>
                      <w:highlight w:val="none"/>
                      <w:lang w:eastAsia="zh-CN"/>
                    </w:rPr>
                    <w:t>，</w:t>
                  </w:r>
                  <w:r>
                    <w:rPr>
                      <w:rFonts w:hint="eastAsia"/>
                      <w:color w:val="auto"/>
                      <w:kern w:val="21"/>
                      <w:sz w:val="21"/>
                      <w:szCs w:val="21"/>
                      <w:highlight w:val="none"/>
                    </w:rPr>
                    <w:t>符合要求</w:t>
                  </w:r>
                  <w:r>
                    <w:rPr>
                      <w:rFonts w:hint="eastAsia"/>
                      <w:color w:val="auto"/>
                      <w:kern w:val="21"/>
                      <w:sz w:val="21"/>
                      <w:szCs w:val="21"/>
                      <w:highlight w:val="none"/>
                      <w:lang w:eastAsia="zh-CN"/>
                    </w:rPr>
                    <w:t>；</w:t>
                  </w:r>
                  <w:r>
                    <w:rPr>
                      <w:rFonts w:hint="eastAsia"/>
                      <w:color w:val="auto"/>
                      <w:kern w:val="21"/>
                      <w:sz w:val="21"/>
                      <w:szCs w:val="21"/>
                      <w:highlight w:val="none"/>
                      <w:lang w:val="en-US" w:eastAsia="zh-CN"/>
                    </w:rPr>
                    <w:t>项目用水来自市政供水，</w:t>
                  </w:r>
                  <w:r>
                    <w:rPr>
                      <w:rFonts w:hint="eastAsia"/>
                      <w:color w:val="auto"/>
                      <w:sz w:val="21"/>
                      <w:szCs w:val="21"/>
                      <w:highlight w:val="none"/>
                      <w:lang w:val="en-US" w:eastAsia="zh-CN"/>
                    </w:rPr>
                    <w:t>生活污水进化粪池，生产废水与生活污水一并排入地埋式污水处理设备处理，后经市政污水管网排入泾河新城第二污水处理厂处理</w:t>
                  </w:r>
                  <w:r>
                    <w:rPr>
                      <w:rFonts w:hint="eastAsia"/>
                      <w:color w:val="auto"/>
                      <w:kern w:val="21"/>
                      <w:sz w:val="21"/>
                      <w:szCs w:val="21"/>
                      <w:highlight w:val="none"/>
                      <w:lang w:eastAsia="zh-CN"/>
                    </w:rPr>
                    <w:t>。</w:t>
                  </w:r>
                </w:p>
                <w:p w14:paraId="102847DB">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21"/>
                      <w:sz w:val="21"/>
                      <w:szCs w:val="21"/>
                      <w:highlight w:val="none"/>
                      <w:lang w:val="en-US" w:eastAsia="zh-CN"/>
                    </w:rPr>
                  </w:pPr>
                  <w:r>
                    <w:rPr>
                      <w:rFonts w:hint="eastAsia"/>
                      <w:color w:val="auto"/>
                      <w:kern w:val="21"/>
                      <w:sz w:val="21"/>
                      <w:szCs w:val="21"/>
                      <w:highlight w:val="none"/>
                      <w:lang w:val="en-US" w:eastAsia="zh-CN"/>
                    </w:rPr>
                    <w:t>3.不涉及；</w:t>
                  </w:r>
                </w:p>
                <w:p w14:paraId="7D7187DA">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21"/>
                      <w:sz w:val="21"/>
                      <w:szCs w:val="21"/>
                      <w:highlight w:val="none"/>
                      <w:lang w:val="en-US" w:eastAsia="zh-CN"/>
                    </w:rPr>
                  </w:pPr>
                  <w:r>
                    <w:rPr>
                      <w:rFonts w:hint="eastAsia"/>
                      <w:color w:val="auto"/>
                      <w:kern w:val="21"/>
                      <w:sz w:val="21"/>
                      <w:szCs w:val="21"/>
                      <w:highlight w:val="none"/>
                      <w:lang w:val="en-US" w:eastAsia="zh-CN"/>
                    </w:rPr>
                    <w:t>4.不涉及；</w:t>
                  </w:r>
                </w:p>
                <w:p w14:paraId="0C7B8A23">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21"/>
                      <w:sz w:val="21"/>
                      <w:szCs w:val="21"/>
                      <w:highlight w:val="none"/>
                      <w:lang w:val="en-US" w:eastAsia="zh-CN"/>
                    </w:rPr>
                  </w:pPr>
                  <w:r>
                    <w:rPr>
                      <w:rFonts w:hint="eastAsia"/>
                      <w:color w:val="auto"/>
                      <w:kern w:val="21"/>
                      <w:sz w:val="21"/>
                      <w:szCs w:val="21"/>
                      <w:highlight w:val="none"/>
                      <w:lang w:val="en-US" w:eastAsia="zh-CN"/>
                    </w:rPr>
                    <w:t>5.不涉及；</w:t>
                  </w:r>
                </w:p>
                <w:p w14:paraId="670EA7F7">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21"/>
                      <w:sz w:val="21"/>
                      <w:szCs w:val="21"/>
                      <w:highlight w:val="none"/>
                      <w:lang w:val="en-US" w:eastAsia="zh-CN"/>
                    </w:rPr>
                  </w:pPr>
                  <w:r>
                    <w:rPr>
                      <w:rFonts w:hint="eastAsia"/>
                      <w:color w:val="auto"/>
                      <w:kern w:val="21"/>
                      <w:sz w:val="21"/>
                      <w:szCs w:val="21"/>
                      <w:highlight w:val="none"/>
                      <w:lang w:val="en-US" w:eastAsia="zh-CN"/>
                    </w:rPr>
                    <w:t>6.不涉及；</w:t>
                  </w:r>
                </w:p>
                <w:p w14:paraId="67EA506F">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default" w:eastAsia="宋体"/>
                      <w:color w:val="auto"/>
                      <w:kern w:val="0"/>
                      <w:sz w:val="21"/>
                      <w:szCs w:val="21"/>
                      <w:lang w:val="en-US" w:eastAsia="zh-CN"/>
                    </w:rPr>
                  </w:pPr>
                  <w:r>
                    <w:rPr>
                      <w:rFonts w:hint="eastAsia"/>
                      <w:color w:val="auto"/>
                      <w:kern w:val="21"/>
                      <w:sz w:val="21"/>
                      <w:szCs w:val="21"/>
                      <w:highlight w:val="none"/>
                      <w:lang w:val="en-US" w:eastAsia="zh-CN"/>
                    </w:rPr>
                    <w:t>7.不涉及。</w:t>
                  </w:r>
                </w:p>
              </w:tc>
              <w:tc>
                <w:tcPr>
                  <w:tcW w:w="177" w:type="pct"/>
                  <w:noWrap w:val="0"/>
                  <w:vAlign w:val="center"/>
                </w:tcPr>
                <w:p w14:paraId="7F811C04">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r>
                    <w:rPr>
                      <w:rFonts w:hint="eastAsia"/>
                      <w:color w:val="auto"/>
                      <w:kern w:val="0"/>
                      <w:sz w:val="21"/>
                      <w:szCs w:val="21"/>
                    </w:rPr>
                    <w:t>符合</w:t>
                  </w:r>
                </w:p>
              </w:tc>
            </w:tr>
            <w:tr w14:paraId="2DE190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92" w:type="pct"/>
                  <w:vMerge w:val="continue"/>
                  <w:noWrap w:val="0"/>
                  <w:vAlign w:val="center"/>
                </w:tcPr>
                <w:p w14:paraId="0800C631">
                  <w:pPr>
                    <w:keepNext w:val="0"/>
                    <w:keepLines w:val="0"/>
                    <w:pageBreakBefore w:val="0"/>
                    <w:widowControl w:val="0"/>
                    <w:suppressLineNumbers w:val="0"/>
                    <w:kinsoku/>
                    <w:wordWrap w:val="0"/>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lang w:val="en-US" w:eastAsia="zh-CN"/>
                    </w:rPr>
                  </w:pPr>
                </w:p>
              </w:tc>
              <w:tc>
                <w:tcPr>
                  <w:tcW w:w="270" w:type="pct"/>
                  <w:noWrap w:val="0"/>
                  <w:vAlign w:val="center"/>
                </w:tcPr>
                <w:p w14:paraId="2659EA3A">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rPr>
                  </w:pPr>
                  <w:r>
                    <w:rPr>
                      <w:rFonts w:hint="eastAsia"/>
                      <w:color w:val="auto"/>
                      <w:sz w:val="21"/>
                      <w:szCs w:val="21"/>
                    </w:rPr>
                    <w:t>污染物排放管控</w:t>
                  </w:r>
                </w:p>
              </w:tc>
              <w:tc>
                <w:tcPr>
                  <w:tcW w:w="3242" w:type="pct"/>
                  <w:noWrap w:val="0"/>
                  <w:vAlign w:val="center"/>
                </w:tcPr>
                <w:p w14:paraId="18732AEB">
                  <w:pPr>
                    <w:keepNext w:val="0"/>
                    <w:keepLines w:val="0"/>
                    <w:pageBreakBefore w:val="0"/>
                    <w:widowControl w:val="0"/>
                    <w:numPr>
                      <w:ilvl w:val="0"/>
                      <w:numId w:val="0"/>
                    </w:numPr>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highlight w:val="none"/>
                    </w:rPr>
                  </w:pPr>
                  <w:r>
                    <w:rPr>
                      <w:rFonts w:hint="eastAsia"/>
                      <w:color w:val="auto"/>
                      <w:kern w:val="21"/>
                      <w:sz w:val="21"/>
                      <w:szCs w:val="21"/>
                      <w:highlight w:val="none"/>
                      <w:lang w:val="en-US" w:eastAsia="zh-CN"/>
                    </w:rPr>
                    <w:t>1.</w:t>
                  </w:r>
                  <w:r>
                    <w:rPr>
                      <w:rFonts w:hint="eastAsia"/>
                      <w:color w:val="auto"/>
                      <w:kern w:val="21"/>
                      <w:sz w:val="21"/>
                      <w:szCs w:val="21"/>
                      <w:highlight w:val="none"/>
                    </w:rPr>
                    <w:t>建立覆盖所有固定污染源的企业排污许可制度，依证排</w:t>
                  </w:r>
                  <w:r>
                    <w:rPr>
                      <w:rFonts w:hint="eastAsia"/>
                      <w:color w:val="auto"/>
                      <w:kern w:val="21"/>
                      <w:sz w:val="21"/>
                      <w:szCs w:val="21"/>
                      <w:highlight w:val="none"/>
                      <w:lang w:val="en-US" w:eastAsia="zh-CN"/>
                    </w:rPr>
                    <w:t>污</w:t>
                  </w:r>
                  <w:r>
                    <w:rPr>
                      <w:rFonts w:hint="eastAsia"/>
                      <w:color w:val="auto"/>
                      <w:kern w:val="21"/>
                      <w:sz w:val="21"/>
                      <w:szCs w:val="21"/>
                      <w:highlight w:val="none"/>
                    </w:rPr>
                    <w:t>。</w:t>
                  </w:r>
                </w:p>
                <w:p w14:paraId="5A19E9F7">
                  <w:pPr>
                    <w:keepNext w:val="0"/>
                    <w:keepLines w:val="0"/>
                    <w:pageBreakBefore w:val="0"/>
                    <w:widowControl w:val="0"/>
                    <w:numPr>
                      <w:ilvl w:val="0"/>
                      <w:numId w:val="0"/>
                    </w:numPr>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highlight w:val="none"/>
                    </w:rPr>
                  </w:pPr>
                  <w:r>
                    <w:rPr>
                      <w:rFonts w:hint="eastAsia"/>
                      <w:color w:val="auto"/>
                      <w:kern w:val="21"/>
                      <w:sz w:val="21"/>
                      <w:szCs w:val="21"/>
                      <w:highlight w:val="none"/>
                    </w:rPr>
                    <w:t>2.淘汰35蒸吨以下燃煤锅炉及茶水炉、经营性炉灶、储粮烘干设备、煤气发生炉、热风炉、导热油炉，现有燃气锅炉实施低</w:t>
                  </w:r>
                  <w:r>
                    <w:rPr>
                      <w:rFonts w:hint="eastAsia"/>
                      <w:color w:val="auto"/>
                      <w:kern w:val="21"/>
                      <w:sz w:val="21"/>
                      <w:szCs w:val="21"/>
                      <w:highlight w:val="none"/>
                      <w:lang w:val="en-US" w:eastAsia="zh-CN"/>
                    </w:rPr>
                    <w:t>氮</w:t>
                  </w:r>
                  <w:r>
                    <w:rPr>
                      <w:rFonts w:hint="eastAsia"/>
                      <w:color w:val="auto"/>
                      <w:kern w:val="21"/>
                      <w:sz w:val="21"/>
                      <w:szCs w:val="21"/>
                      <w:highlight w:val="none"/>
                    </w:rPr>
                    <w:t>燃烧器改造。</w:t>
                  </w:r>
                </w:p>
                <w:p w14:paraId="75526BB7">
                  <w:pPr>
                    <w:keepNext w:val="0"/>
                    <w:keepLines w:val="0"/>
                    <w:pageBreakBefore w:val="0"/>
                    <w:widowControl w:val="0"/>
                    <w:numPr>
                      <w:ilvl w:val="0"/>
                      <w:numId w:val="0"/>
                    </w:numPr>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highlight w:val="none"/>
                    </w:rPr>
                  </w:pPr>
                  <w:r>
                    <w:rPr>
                      <w:rFonts w:hint="eastAsia"/>
                      <w:color w:val="auto"/>
                      <w:kern w:val="21"/>
                      <w:sz w:val="21"/>
                      <w:szCs w:val="21"/>
                      <w:highlight w:val="none"/>
                    </w:rPr>
                    <w:t>3.淘汰国三及以下营运老旧柴油车和燃气车辆</w:t>
                  </w:r>
                  <w:r>
                    <w:rPr>
                      <w:rFonts w:hint="eastAsia"/>
                      <w:color w:val="auto"/>
                      <w:kern w:val="21"/>
                      <w:sz w:val="21"/>
                      <w:szCs w:val="21"/>
                      <w:highlight w:val="none"/>
                      <w:lang w:eastAsia="zh-CN"/>
                    </w:rPr>
                    <w:t>；</w:t>
                  </w:r>
                  <w:r>
                    <w:rPr>
                      <w:rFonts w:hint="eastAsia"/>
                      <w:color w:val="auto"/>
                      <w:kern w:val="21"/>
                      <w:sz w:val="21"/>
                      <w:szCs w:val="21"/>
                      <w:highlight w:val="none"/>
                    </w:rPr>
                    <w:t>工程机械达不到《非道路柴油移动机械排气烟度限值及测量方法》</w:t>
                  </w:r>
                  <w:r>
                    <w:rPr>
                      <w:rFonts w:hint="eastAsia"/>
                      <w:color w:val="auto"/>
                      <w:kern w:val="21"/>
                      <w:sz w:val="21"/>
                      <w:szCs w:val="21"/>
                      <w:highlight w:val="none"/>
                      <w:lang w:eastAsia="zh-CN"/>
                    </w:rPr>
                    <w:t>（</w:t>
                  </w:r>
                  <w:r>
                    <w:rPr>
                      <w:rFonts w:hint="eastAsia"/>
                      <w:color w:val="auto"/>
                      <w:kern w:val="21"/>
                      <w:sz w:val="21"/>
                      <w:szCs w:val="21"/>
                      <w:highlight w:val="none"/>
                    </w:rPr>
                    <w:t>GB36886-2018</w:t>
                  </w:r>
                  <w:r>
                    <w:rPr>
                      <w:rFonts w:hint="eastAsia"/>
                      <w:color w:val="auto"/>
                      <w:kern w:val="21"/>
                      <w:sz w:val="21"/>
                      <w:szCs w:val="21"/>
                      <w:highlight w:val="none"/>
                      <w:lang w:eastAsia="zh-CN"/>
                    </w:rPr>
                    <w:t>）</w:t>
                  </w:r>
                  <w:r>
                    <w:rPr>
                      <w:rFonts w:hint="eastAsia"/>
                      <w:color w:val="auto"/>
                      <w:kern w:val="21"/>
                      <w:sz w:val="21"/>
                      <w:szCs w:val="21"/>
                      <w:highlight w:val="none"/>
                    </w:rPr>
                    <w:t>规定的</w:t>
                  </w:r>
                  <w:r>
                    <w:rPr>
                      <w:rFonts w:hint="eastAsia"/>
                      <w:color w:val="auto"/>
                      <w:kern w:val="21"/>
                      <w:sz w:val="21"/>
                      <w:szCs w:val="21"/>
                      <w:highlight w:val="none"/>
                      <w:lang w:val="en-US" w:eastAsia="zh-CN"/>
                    </w:rPr>
                    <w:t>III</w:t>
                  </w:r>
                  <w:r>
                    <w:rPr>
                      <w:rFonts w:hint="eastAsia"/>
                      <w:color w:val="auto"/>
                      <w:kern w:val="21"/>
                      <w:sz w:val="21"/>
                      <w:szCs w:val="21"/>
                      <w:highlight w:val="none"/>
                    </w:rPr>
                    <w:t>类限值标准的，禁止在新区范围内使用。坚决取缔</w:t>
                  </w:r>
                  <w:r>
                    <w:rPr>
                      <w:rFonts w:hint="eastAsia"/>
                      <w:color w:val="auto"/>
                      <w:kern w:val="21"/>
                      <w:sz w:val="21"/>
                      <w:szCs w:val="21"/>
                      <w:highlight w:val="none"/>
                      <w:lang w:val="en-US" w:eastAsia="zh-CN"/>
                    </w:rPr>
                    <w:t>黑加</w:t>
                  </w:r>
                  <w:r>
                    <w:rPr>
                      <w:rFonts w:hint="eastAsia"/>
                      <w:color w:val="auto"/>
                      <w:kern w:val="21"/>
                      <w:sz w:val="21"/>
                      <w:szCs w:val="21"/>
                      <w:highlight w:val="none"/>
                    </w:rPr>
                    <w:t>油站。</w:t>
                  </w:r>
                </w:p>
                <w:p w14:paraId="5CCB2265">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highlight w:val="none"/>
                    </w:rPr>
                  </w:pPr>
                  <w:r>
                    <w:rPr>
                      <w:rFonts w:hint="eastAsia"/>
                      <w:color w:val="auto"/>
                      <w:kern w:val="21"/>
                      <w:sz w:val="21"/>
                      <w:szCs w:val="21"/>
                      <w:highlight w:val="none"/>
                    </w:rPr>
                    <w:t>4.严格落实周边围挡、物料堆放覆盖、土方开挖湿法作业、路面硬化、出入车辆清洗、渣土车辆密闭运输“六个百分百”防尘措施</w:t>
                  </w:r>
                  <w:r>
                    <w:rPr>
                      <w:rFonts w:hint="eastAsia"/>
                      <w:color w:val="auto"/>
                      <w:kern w:val="21"/>
                      <w:sz w:val="21"/>
                      <w:szCs w:val="21"/>
                      <w:highlight w:val="none"/>
                      <w:lang w:eastAsia="zh-CN"/>
                    </w:rPr>
                    <w:t>；</w:t>
                  </w:r>
                  <w:r>
                    <w:rPr>
                      <w:rFonts w:hint="eastAsia"/>
                      <w:color w:val="auto"/>
                      <w:kern w:val="21"/>
                      <w:sz w:val="21"/>
                      <w:szCs w:val="21"/>
                      <w:highlight w:val="none"/>
                    </w:rPr>
                    <w:t>推进“阳光运输”，积极执行优化白天渣土清运制度。</w:t>
                  </w:r>
                </w:p>
                <w:p w14:paraId="651594B0">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highlight w:val="none"/>
                    </w:rPr>
                  </w:pPr>
                  <w:r>
                    <w:rPr>
                      <w:rFonts w:hint="eastAsia"/>
                      <w:color w:val="auto"/>
                      <w:kern w:val="21"/>
                      <w:sz w:val="21"/>
                      <w:szCs w:val="21"/>
                      <w:highlight w:val="none"/>
                    </w:rPr>
                    <w:t>5.将低VOCs含量产品优先纳入政府采购名录，并在</w:t>
                  </w:r>
                  <w:r>
                    <w:rPr>
                      <w:rFonts w:hint="eastAsia"/>
                      <w:color w:val="auto"/>
                      <w:kern w:val="21"/>
                      <w:sz w:val="21"/>
                      <w:szCs w:val="21"/>
                      <w:highlight w:val="none"/>
                      <w:lang w:val="en-US" w:eastAsia="zh-CN"/>
                    </w:rPr>
                    <w:t>各</w:t>
                  </w:r>
                  <w:r>
                    <w:rPr>
                      <w:rFonts w:hint="eastAsia"/>
                      <w:color w:val="auto"/>
                      <w:kern w:val="21"/>
                      <w:sz w:val="21"/>
                      <w:szCs w:val="21"/>
                      <w:highlight w:val="none"/>
                    </w:rPr>
                    <w:t>类市政工程中率先推广使用</w:t>
                  </w:r>
                  <w:r>
                    <w:rPr>
                      <w:rFonts w:hint="eastAsia"/>
                      <w:color w:val="auto"/>
                      <w:kern w:val="21"/>
                      <w:sz w:val="21"/>
                      <w:szCs w:val="21"/>
                      <w:highlight w:val="none"/>
                      <w:lang w:eastAsia="zh-CN"/>
                    </w:rPr>
                    <w:t>；</w:t>
                  </w:r>
                  <w:r>
                    <w:rPr>
                      <w:rFonts w:hint="eastAsia"/>
                      <w:color w:val="auto"/>
                      <w:kern w:val="21"/>
                      <w:sz w:val="21"/>
                      <w:szCs w:val="21"/>
                      <w:highlight w:val="none"/>
                    </w:rPr>
                    <w:t>加强含VOC.物料存储、转移和输送、设备与管线组件泄露、敞开液面逸散以及工艺过程等五类排放源管控</w:t>
                  </w:r>
                  <w:r>
                    <w:rPr>
                      <w:rFonts w:hint="eastAsia"/>
                      <w:color w:val="auto"/>
                      <w:kern w:val="21"/>
                      <w:sz w:val="21"/>
                      <w:szCs w:val="21"/>
                      <w:highlight w:val="none"/>
                      <w:lang w:eastAsia="zh-CN"/>
                    </w:rPr>
                    <w:t>，</w:t>
                  </w:r>
                  <w:r>
                    <w:rPr>
                      <w:rFonts w:hint="eastAsia"/>
                      <w:color w:val="auto"/>
                      <w:kern w:val="21"/>
                      <w:sz w:val="21"/>
                      <w:szCs w:val="21"/>
                      <w:highlight w:val="none"/>
                      <w:lang w:val="en-US" w:eastAsia="zh-CN"/>
                    </w:rPr>
                    <w:t>减</w:t>
                  </w:r>
                  <w:r>
                    <w:rPr>
                      <w:rFonts w:hint="eastAsia"/>
                      <w:color w:val="auto"/>
                      <w:kern w:val="21"/>
                      <w:sz w:val="21"/>
                      <w:szCs w:val="21"/>
                      <w:highlight w:val="none"/>
                    </w:rPr>
                    <w:t>少挥发性有机物排放。</w:t>
                  </w:r>
                </w:p>
                <w:p w14:paraId="557E7E5F">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highlight w:val="none"/>
                    </w:rPr>
                  </w:pPr>
                  <w:r>
                    <w:rPr>
                      <w:rFonts w:hint="eastAsia"/>
                      <w:color w:val="auto"/>
                      <w:kern w:val="21"/>
                      <w:sz w:val="21"/>
                      <w:szCs w:val="21"/>
                      <w:highlight w:val="none"/>
                    </w:rPr>
                    <w:t>6.全域禁止使用高排放非道路移动机械，落实机动车排放检测/维护</w:t>
                  </w:r>
                  <w:r>
                    <w:rPr>
                      <w:rFonts w:hint="eastAsia"/>
                      <w:color w:val="auto"/>
                      <w:kern w:val="21"/>
                      <w:sz w:val="21"/>
                      <w:szCs w:val="21"/>
                      <w:highlight w:val="none"/>
                      <w:lang w:eastAsia="zh-CN"/>
                    </w:rPr>
                    <w:t>（</w:t>
                  </w:r>
                  <w:r>
                    <w:rPr>
                      <w:rFonts w:hint="eastAsia"/>
                      <w:color w:val="auto"/>
                      <w:kern w:val="21"/>
                      <w:sz w:val="21"/>
                      <w:szCs w:val="21"/>
                      <w:highlight w:val="none"/>
                    </w:rPr>
                    <w:t>IM</w:t>
                  </w:r>
                  <w:r>
                    <w:rPr>
                      <w:rFonts w:hint="eastAsia"/>
                      <w:color w:val="auto"/>
                      <w:kern w:val="21"/>
                      <w:sz w:val="21"/>
                      <w:szCs w:val="21"/>
                      <w:highlight w:val="none"/>
                      <w:lang w:eastAsia="zh-CN"/>
                    </w:rPr>
                    <w:t>）</w:t>
                  </w:r>
                  <w:r>
                    <w:rPr>
                      <w:rFonts w:hint="eastAsia"/>
                      <w:color w:val="auto"/>
                      <w:kern w:val="21"/>
                      <w:sz w:val="21"/>
                      <w:szCs w:val="21"/>
                      <w:highlight w:val="none"/>
                    </w:rPr>
                    <w:t>制度，在用机动车排放超标的，强制维修。</w:t>
                  </w:r>
                </w:p>
                <w:p w14:paraId="5D7008EA">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highlight w:val="none"/>
                    </w:rPr>
                  </w:pPr>
                  <w:r>
                    <w:rPr>
                      <w:rFonts w:hint="eastAsia"/>
                      <w:color w:val="auto"/>
                      <w:kern w:val="21"/>
                      <w:sz w:val="21"/>
                      <w:szCs w:val="21"/>
                      <w:highlight w:val="none"/>
                    </w:rPr>
                    <w:t>7.全域禁止销售燃放烟花爆竹。</w:t>
                  </w:r>
                </w:p>
                <w:p w14:paraId="4BB729AC">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highlight w:val="none"/>
                    </w:rPr>
                  </w:pPr>
                  <w:r>
                    <w:rPr>
                      <w:rFonts w:hint="eastAsia"/>
                      <w:color w:val="auto"/>
                      <w:kern w:val="21"/>
                      <w:sz w:val="21"/>
                      <w:szCs w:val="21"/>
                      <w:highlight w:val="none"/>
                    </w:rPr>
                    <w:t>8.工业</w:t>
                  </w:r>
                  <w:r>
                    <w:rPr>
                      <w:rFonts w:hint="eastAsia"/>
                      <w:color w:val="auto"/>
                      <w:kern w:val="21"/>
                      <w:sz w:val="21"/>
                      <w:szCs w:val="21"/>
                      <w:highlight w:val="none"/>
                      <w:lang w:eastAsia="zh-CN"/>
                    </w:rPr>
                    <w:t>固体废物</w:t>
                  </w:r>
                  <w:r>
                    <w:rPr>
                      <w:rFonts w:hint="eastAsia"/>
                      <w:color w:val="auto"/>
                      <w:kern w:val="21"/>
                      <w:sz w:val="21"/>
                      <w:szCs w:val="21"/>
                      <w:highlight w:val="none"/>
                    </w:rPr>
                    <w:t>综合利用处置率为100%</w:t>
                  </w:r>
                  <w:r>
                    <w:rPr>
                      <w:rFonts w:hint="eastAsia"/>
                      <w:color w:val="auto"/>
                      <w:kern w:val="21"/>
                      <w:sz w:val="21"/>
                      <w:szCs w:val="21"/>
                      <w:highlight w:val="none"/>
                      <w:lang w:eastAsia="zh-CN"/>
                    </w:rPr>
                    <w:t>；</w:t>
                  </w:r>
                  <w:r>
                    <w:rPr>
                      <w:rFonts w:hint="eastAsia"/>
                      <w:color w:val="auto"/>
                      <w:kern w:val="21"/>
                      <w:sz w:val="21"/>
                      <w:szCs w:val="21"/>
                      <w:highlight w:val="none"/>
                    </w:rPr>
                    <w:t>危险</w:t>
                  </w:r>
                  <w:r>
                    <w:rPr>
                      <w:rFonts w:hint="eastAsia"/>
                      <w:color w:val="auto"/>
                      <w:kern w:val="21"/>
                      <w:sz w:val="21"/>
                      <w:szCs w:val="21"/>
                      <w:highlight w:val="none"/>
                      <w:lang w:val="en-US" w:eastAsia="zh-CN"/>
                    </w:rPr>
                    <w:t>废物</w:t>
                  </w:r>
                  <w:r>
                    <w:rPr>
                      <w:rFonts w:hint="eastAsia"/>
                      <w:color w:val="auto"/>
                      <w:kern w:val="21"/>
                      <w:sz w:val="21"/>
                      <w:szCs w:val="21"/>
                      <w:highlight w:val="none"/>
                    </w:rPr>
                    <w:t>安全处理</w:t>
                  </w:r>
                  <w:r>
                    <w:rPr>
                      <w:rFonts w:hint="eastAsia"/>
                      <w:color w:val="auto"/>
                      <w:kern w:val="21"/>
                      <w:sz w:val="21"/>
                      <w:szCs w:val="21"/>
                      <w:highlight w:val="none"/>
                      <w:lang w:eastAsia="zh-CN"/>
                    </w:rPr>
                    <w:t>处置</w:t>
                  </w:r>
                  <w:r>
                    <w:rPr>
                      <w:rFonts w:hint="eastAsia"/>
                      <w:color w:val="auto"/>
                      <w:kern w:val="21"/>
                      <w:sz w:val="21"/>
                      <w:szCs w:val="21"/>
                      <w:highlight w:val="none"/>
                    </w:rPr>
                    <w:t>率达100%，生活垃圾无害化</w:t>
                  </w:r>
                  <w:r>
                    <w:rPr>
                      <w:rFonts w:hint="eastAsia"/>
                      <w:color w:val="auto"/>
                      <w:kern w:val="21"/>
                      <w:sz w:val="21"/>
                      <w:szCs w:val="21"/>
                      <w:highlight w:val="none"/>
                      <w:lang w:val="en-US" w:eastAsia="zh-CN"/>
                    </w:rPr>
                    <w:t>处理</w:t>
                  </w:r>
                  <w:r>
                    <w:rPr>
                      <w:rFonts w:hint="eastAsia"/>
                      <w:color w:val="auto"/>
                      <w:kern w:val="21"/>
                      <w:sz w:val="21"/>
                      <w:szCs w:val="21"/>
                      <w:highlight w:val="none"/>
                    </w:rPr>
                    <w:t>率根据区域定制不同的管控指标。</w:t>
                  </w:r>
                </w:p>
                <w:p w14:paraId="4490DB59">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highlight w:val="none"/>
                    </w:rPr>
                  </w:pPr>
                  <w:r>
                    <w:rPr>
                      <w:rFonts w:hint="eastAsia"/>
                      <w:color w:val="auto"/>
                      <w:kern w:val="21"/>
                      <w:sz w:val="21"/>
                      <w:szCs w:val="21"/>
                      <w:highlight w:val="none"/>
                    </w:rPr>
                    <w:t>9.新、</w:t>
                  </w:r>
                  <w:r>
                    <w:rPr>
                      <w:rFonts w:hint="eastAsia"/>
                      <w:color w:val="auto"/>
                      <w:kern w:val="21"/>
                      <w:sz w:val="21"/>
                      <w:szCs w:val="21"/>
                      <w:highlight w:val="none"/>
                      <w:lang w:val="en-US" w:eastAsia="zh-CN"/>
                    </w:rPr>
                    <w:t>改</w:t>
                  </w:r>
                  <w:r>
                    <w:rPr>
                      <w:rFonts w:hint="eastAsia"/>
                      <w:color w:val="auto"/>
                      <w:kern w:val="21"/>
                      <w:sz w:val="21"/>
                      <w:szCs w:val="21"/>
                      <w:highlight w:val="none"/>
                    </w:rPr>
                    <w:t>、</w:t>
                  </w:r>
                  <w:r>
                    <w:rPr>
                      <w:rFonts w:hint="eastAsia"/>
                      <w:color w:val="auto"/>
                      <w:kern w:val="21"/>
                      <w:sz w:val="21"/>
                      <w:szCs w:val="21"/>
                      <w:highlight w:val="none"/>
                      <w:lang w:eastAsia="zh-CN"/>
                    </w:rPr>
                    <w:t>扩建</w:t>
                  </w:r>
                  <w:r>
                    <w:rPr>
                      <w:rFonts w:hint="eastAsia"/>
                      <w:color w:val="auto"/>
                      <w:kern w:val="21"/>
                      <w:sz w:val="21"/>
                      <w:szCs w:val="21"/>
                      <w:highlight w:val="none"/>
                    </w:rPr>
                    <w:t>项目必须实现同步规划和建设污水再生循环利用设施。新区建成区污水集中处理率达到95%以上，实现</w:t>
                  </w:r>
                  <w:r>
                    <w:rPr>
                      <w:rFonts w:hint="eastAsia"/>
                      <w:color w:val="auto"/>
                      <w:kern w:val="21"/>
                      <w:sz w:val="21"/>
                      <w:szCs w:val="21"/>
                      <w:highlight w:val="none"/>
                      <w:lang w:val="en-US" w:eastAsia="zh-CN"/>
                    </w:rPr>
                    <w:t>污泥</w:t>
                  </w:r>
                  <w:r>
                    <w:rPr>
                      <w:rFonts w:hint="eastAsia"/>
                      <w:color w:val="auto"/>
                      <w:kern w:val="21"/>
                      <w:sz w:val="21"/>
                      <w:szCs w:val="21"/>
                      <w:highlight w:val="none"/>
                    </w:rPr>
                    <w:t>无害化、资源化处置，</w:t>
                  </w:r>
                  <w:r>
                    <w:rPr>
                      <w:rFonts w:hint="eastAsia"/>
                      <w:color w:val="auto"/>
                      <w:kern w:val="21"/>
                      <w:sz w:val="21"/>
                      <w:szCs w:val="21"/>
                      <w:highlight w:val="none"/>
                      <w:lang w:val="en-US" w:eastAsia="zh-CN"/>
                    </w:rPr>
                    <w:t>污泥</w:t>
                  </w:r>
                  <w:r>
                    <w:rPr>
                      <w:rFonts w:hint="eastAsia"/>
                      <w:color w:val="auto"/>
                      <w:kern w:val="21"/>
                      <w:sz w:val="21"/>
                      <w:szCs w:val="21"/>
                      <w:highlight w:val="none"/>
                    </w:rPr>
                    <w:t>无害化处置率达 90%以上</w:t>
                  </w:r>
                  <w:r>
                    <w:rPr>
                      <w:rFonts w:hint="eastAsia"/>
                      <w:color w:val="auto"/>
                      <w:kern w:val="21"/>
                      <w:sz w:val="21"/>
                      <w:szCs w:val="21"/>
                      <w:highlight w:val="none"/>
                      <w:lang w:eastAsia="zh-CN"/>
                    </w:rPr>
                    <w:t>；</w:t>
                  </w:r>
                  <w:r>
                    <w:rPr>
                      <w:rFonts w:hint="eastAsia"/>
                      <w:color w:val="auto"/>
                      <w:kern w:val="21"/>
                      <w:sz w:val="21"/>
                      <w:szCs w:val="21"/>
                      <w:highlight w:val="none"/>
                    </w:rPr>
                    <w:t>禁止处理处置不达标的污泥进入耕地。</w:t>
                  </w:r>
                </w:p>
                <w:p w14:paraId="43B8CE89">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eastAsia="宋体"/>
                      <w:color w:val="auto"/>
                      <w:kern w:val="21"/>
                      <w:sz w:val="21"/>
                      <w:szCs w:val="21"/>
                      <w:highlight w:val="none"/>
                      <w:lang w:eastAsia="zh-CN"/>
                    </w:rPr>
                  </w:pPr>
                  <w:r>
                    <w:rPr>
                      <w:rFonts w:hint="eastAsia"/>
                      <w:color w:val="auto"/>
                      <w:kern w:val="21"/>
                      <w:sz w:val="21"/>
                      <w:szCs w:val="21"/>
                      <w:highlight w:val="none"/>
                    </w:rPr>
                    <w:t>10.</w:t>
                  </w:r>
                  <w:r>
                    <w:rPr>
                      <w:rFonts w:hint="eastAsia"/>
                      <w:color w:val="auto"/>
                      <w:kern w:val="21"/>
                      <w:sz w:val="21"/>
                      <w:szCs w:val="21"/>
                      <w:highlight w:val="none"/>
                      <w:lang w:val="en-US" w:eastAsia="zh-CN"/>
                    </w:rPr>
                    <w:t>做好</w:t>
                  </w:r>
                  <w:r>
                    <w:rPr>
                      <w:rFonts w:hint="eastAsia"/>
                      <w:color w:val="auto"/>
                      <w:kern w:val="21"/>
                      <w:sz w:val="21"/>
                      <w:szCs w:val="21"/>
                      <w:highlight w:val="none"/>
                    </w:rPr>
                    <w:t>土壤污染重点监管单位拆除设施、设备或者建筑物、构筑物的土壤污染防治工作方案备案</w:t>
                  </w:r>
                  <w:r>
                    <w:rPr>
                      <w:rFonts w:hint="eastAsia"/>
                      <w:color w:val="auto"/>
                      <w:kern w:val="21"/>
                      <w:sz w:val="21"/>
                      <w:szCs w:val="21"/>
                      <w:highlight w:val="none"/>
                      <w:lang w:eastAsia="zh-CN"/>
                    </w:rPr>
                    <w:t>。</w:t>
                  </w:r>
                </w:p>
              </w:tc>
              <w:tc>
                <w:tcPr>
                  <w:tcW w:w="1017" w:type="pct"/>
                  <w:noWrap w:val="0"/>
                  <w:vAlign w:val="center"/>
                </w:tcPr>
                <w:p w14:paraId="0E5EB02C">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0"/>
                      <w:sz w:val="21"/>
                      <w:szCs w:val="21"/>
                      <w:lang w:val="en-US" w:eastAsia="zh-CN"/>
                    </w:rPr>
                  </w:pPr>
                  <w:r>
                    <w:rPr>
                      <w:rFonts w:hint="eastAsia"/>
                      <w:color w:val="auto"/>
                      <w:kern w:val="0"/>
                      <w:sz w:val="21"/>
                      <w:szCs w:val="21"/>
                      <w:lang w:val="en-US" w:eastAsia="zh-CN"/>
                    </w:rPr>
                    <w:t>1.环评要求项目投入运营前应取得排污许可证；</w:t>
                  </w:r>
                </w:p>
                <w:p w14:paraId="4846B507">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0"/>
                      <w:sz w:val="21"/>
                      <w:szCs w:val="21"/>
                      <w:lang w:val="en-US" w:eastAsia="zh-CN"/>
                    </w:rPr>
                  </w:pPr>
                  <w:r>
                    <w:rPr>
                      <w:rFonts w:hint="eastAsia"/>
                      <w:color w:val="auto"/>
                      <w:kern w:val="0"/>
                      <w:sz w:val="21"/>
                      <w:szCs w:val="21"/>
                      <w:lang w:val="en-US" w:eastAsia="zh-CN"/>
                    </w:rPr>
                    <w:t>2.不涉及；</w:t>
                  </w:r>
                </w:p>
                <w:p w14:paraId="400A6FF8">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0"/>
                      <w:sz w:val="21"/>
                      <w:szCs w:val="21"/>
                      <w:lang w:val="en-US" w:eastAsia="zh-CN"/>
                    </w:rPr>
                  </w:pPr>
                  <w:r>
                    <w:rPr>
                      <w:rFonts w:hint="eastAsia"/>
                      <w:color w:val="auto"/>
                      <w:kern w:val="0"/>
                      <w:sz w:val="21"/>
                      <w:szCs w:val="21"/>
                      <w:lang w:val="en-US" w:eastAsia="zh-CN"/>
                    </w:rPr>
                    <w:t>3.不涉及；</w:t>
                  </w:r>
                </w:p>
                <w:p w14:paraId="1E350425">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0"/>
                      <w:sz w:val="21"/>
                      <w:szCs w:val="21"/>
                      <w:lang w:val="en-US" w:eastAsia="zh-CN"/>
                    </w:rPr>
                  </w:pPr>
                  <w:r>
                    <w:rPr>
                      <w:rFonts w:hint="eastAsia"/>
                      <w:color w:val="auto"/>
                      <w:kern w:val="0"/>
                      <w:sz w:val="21"/>
                      <w:szCs w:val="21"/>
                      <w:lang w:val="en-US" w:eastAsia="zh-CN"/>
                    </w:rPr>
                    <w:t>4.不涉及；</w:t>
                  </w:r>
                </w:p>
                <w:p w14:paraId="6E39FEAC">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0"/>
                      <w:sz w:val="21"/>
                      <w:szCs w:val="21"/>
                      <w:lang w:val="en-US" w:eastAsia="zh-CN"/>
                    </w:rPr>
                  </w:pPr>
                  <w:r>
                    <w:rPr>
                      <w:rFonts w:hint="eastAsia"/>
                      <w:color w:val="auto"/>
                      <w:kern w:val="0"/>
                      <w:sz w:val="21"/>
                      <w:szCs w:val="21"/>
                      <w:lang w:val="en-US" w:eastAsia="zh-CN"/>
                    </w:rPr>
                    <w:t>5.不涉及；</w:t>
                  </w:r>
                </w:p>
                <w:p w14:paraId="4ACADE5C">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0"/>
                      <w:sz w:val="21"/>
                      <w:szCs w:val="21"/>
                      <w:lang w:val="en-US" w:eastAsia="zh-CN"/>
                    </w:rPr>
                  </w:pPr>
                  <w:r>
                    <w:rPr>
                      <w:rFonts w:hint="eastAsia"/>
                      <w:color w:val="auto"/>
                      <w:kern w:val="0"/>
                      <w:sz w:val="21"/>
                      <w:szCs w:val="21"/>
                      <w:lang w:val="en-US" w:eastAsia="zh-CN"/>
                    </w:rPr>
                    <w:t>6.不涉及；</w:t>
                  </w:r>
                </w:p>
                <w:p w14:paraId="20A817F3">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0"/>
                      <w:sz w:val="21"/>
                      <w:szCs w:val="21"/>
                      <w:lang w:val="en-US" w:eastAsia="zh-CN"/>
                    </w:rPr>
                  </w:pPr>
                  <w:r>
                    <w:rPr>
                      <w:rFonts w:hint="eastAsia"/>
                      <w:color w:val="auto"/>
                      <w:kern w:val="0"/>
                      <w:sz w:val="21"/>
                      <w:szCs w:val="21"/>
                      <w:lang w:val="en-US" w:eastAsia="zh-CN"/>
                    </w:rPr>
                    <w:t>7.不涉及；</w:t>
                  </w:r>
                </w:p>
                <w:p w14:paraId="7E197B60">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0"/>
                      <w:sz w:val="21"/>
                      <w:szCs w:val="21"/>
                      <w:lang w:val="en-US" w:eastAsia="zh-CN"/>
                    </w:rPr>
                  </w:pPr>
                  <w:r>
                    <w:rPr>
                      <w:rFonts w:hint="eastAsia"/>
                      <w:color w:val="auto"/>
                      <w:kern w:val="0"/>
                      <w:sz w:val="21"/>
                      <w:szCs w:val="21"/>
                      <w:lang w:val="en-US" w:eastAsia="zh-CN"/>
                    </w:rPr>
                    <w:t>8.</w:t>
                  </w:r>
                  <w:r>
                    <w:rPr>
                      <w:rFonts w:hint="eastAsia"/>
                      <w:color w:val="auto"/>
                      <w:kern w:val="0"/>
                      <w:sz w:val="21"/>
                      <w:szCs w:val="21"/>
                    </w:rPr>
                    <w:t>运营期</w:t>
                  </w:r>
                  <w:r>
                    <w:rPr>
                      <w:rFonts w:hint="eastAsia"/>
                      <w:color w:val="auto"/>
                      <w:kern w:val="0"/>
                      <w:sz w:val="21"/>
                      <w:szCs w:val="21"/>
                      <w:lang w:val="en-US" w:eastAsia="zh-CN"/>
                    </w:rPr>
                    <w:t>产生的废包装收集后定期外售废品回收站综合利用</w:t>
                  </w:r>
                  <w:r>
                    <w:rPr>
                      <w:rFonts w:hint="eastAsia"/>
                      <w:color w:val="auto"/>
                      <w:kern w:val="0"/>
                      <w:sz w:val="21"/>
                      <w:szCs w:val="21"/>
                    </w:rPr>
                    <w:t>；生活垃圾收集后交由环卫部门</w:t>
                  </w:r>
                  <w:r>
                    <w:rPr>
                      <w:rFonts w:hint="eastAsia"/>
                      <w:color w:val="auto"/>
                      <w:kern w:val="0"/>
                      <w:sz w:val="21"/>
                      <w:szCs w:val="21"/>
                      <w:lang w:val="en-US" w:eastAsia="zh-CN"/>
                    </w:rPr>
                    <w:t>定期清运</w:t>
                  </w:r>
                  <w:r>
                    <w:rPr>
                      <w:rFonts w:hint="eastAsia"/>
                      <w:color w:val="auto"/>
                      <w:kern w:val="0"/>
                      <w:sz w:val="21"/>
                      <w:szCs w:val="21"/>
                    </w:rPr>
                    <w:t>；</w:t>
                  </w:r>
                  <w:r>
                    <w:rPr>
                      <w:rFonts w:hint="eastAsia"/>
                      <w:color w:val="auto"/>
                      <w:kern w:val="0"/>
                      <w:sz w:val="21"/>
                      <w:szCs w:val="21"/>
                      <w:lang w:val="en-US" w:eastAsia="zh-CN"/>
                    </w:rPr>
                    <w:t>污水处理设施产生污泥定期由吸污车清理处置；废树脂由厂家更换后清运处理，不在厂内储存。</w:t>
                  </w:r>
                </w:p>
                <w:p w14:paraId="0DB0E525">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0"/>
                      <w:sz w:val="21"/>
                      <w:szCs w:val="21"/>
                      <w:highlight w:val="none"/>
                      <w:lang w:val="en-US" w:eastAsia="zh-CN"/>
                    </w:rPr>
                  </w:pPr>
                  <w:r>
                    <w:rPr>
                      <w:rFonts w:hint="eastAsia"/>
                      <w:color w:val="auto"/>
                      <w:kern w:val="0"/>
                      <w:sz w:val="21"/>
                      <w:szCs w:val="21"/>
                      <w:highlight w:val="none"/>
                      <w:lang w:val="en-US" w:eastAsia="zh-CN"/>
                    </w:rPr>
                    <w:t>本项目生产设备维护保养定期委托设备维护公司检修和保养，产生的废机油和含油抹布手套一并带走处置，不在厂内储存。</w:t>
                  </w:r>
                </w:p>
                <w:p w14:paraId="4B588B17">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0"/>
                      <w:sz w:val="21"/>
                      <w:szCs w:val="21"/>
                      <w:lang w:val="en-US" w:eastAsia="zh-CN"/>
                    </w:rPr>
                  </w:pPr>
                  <w:r>
                    <w:rPr>
                      <w:rFonts w:hint="eastAsia"/>
                      <w:color w:val="auto"/>
                      <w:kern w:val="0"/>
                      <w:sz w:val="21"/>
                      <w:szCs w:val="21"/>
                      <w:lang w:val="en-US" w:eastAsia="zh-CN"/>
                    </w:rPr>
                    <w:t>9.不涉及；</w:t>
                  </w:r>
                </w:p>
                <w:p w14:paraId="0B7F5176">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eastAsia="宋体"/>
                      <w:color w:val="auto"/>
                      <w:kern w:val="0"/>
                      <w:sz w:val="21"/>
                      <w:szCs w:val="21"/>
                      <w:lang w:val="en-US" w:eastAsia="zh-CN"/>
                    </w:rPr>
                  </w:pPr>
                  <w:r>
                    <w:rPr>
                      <w:rFonts w:hint="eastAsia"/>
                      <w:color w:val="auto"/>
                      <w:kern w:val="0"/>
                      <w:sz w:val="21"/>
                      <w:szCs w:val="21"/>
                      <w:lang w:val="en-US" w:eastAsia="zh-CN"/>
                    </w:rPr>
                    <w:t>10.不涉及。</w:t>
                  </w:r>
                </w:p>
              </w:tc>
              <w:tc>
                <w:tcPr>
                  <w:tcW w:w="177" w:type="pct"/>
                  <w:noWrap w:val="0"/>
                  <w:vAlign w:val="center"/>
                </w:tcPr>
                <w:p w14:paraId="7FA0C235">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auto"/>
                      <w:kern w:val="0"/>
                      <w:sz w:val="21"/>
                      <w:szCs w:val="21"/>
                      <w:lang w:val="en-US" w:eastAsia="zh-CN"/>
                    </w:rPr>
                  </w:pPr>
                  <w:r>
                    <w:rPr>
                      <w:rFonts w:hint="eastAsia"/>
                      <w:color w:val="auto"/>
                      <w:kern w:val="0"/>
                      <w:sz w:val="21"/>
                      <w:szCs w:val="21"/>
                      <w:lang w:val="en-US" w:eastAsia="zh-CN"/>
                    </w:rPr>
                    <w:t>符合</w:t>
                  </w:r>
                </w:p>
              </w:tc>
            </w:tr>
            <w:tr w14:paraId="4E9502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92" w:type="pct"/>
                  <w:vMerge w:val="continue"/>
                  <w:noWrap w:val="0"/>
                  <w:vAlign w:val="center"/>
                </w:tcPr>
                <w:p w14:paraId="45FEE025">
                  <w:pPr>
                    <w:keepNext w:val="0"/>
                    <w:keepLines w:val="0"/>
                    <w:pageBreakBefore w:val="0"/>
                    <w:widowControl w:val="0"/>
                    <w:suppressLineNumbers w:val="0"/>
                    <w:kinsoku/>
                    <w:wordWrap w:val="0"/>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lang w:val="en-US" w:eastAsia="zh-CN"/>
                    </w:rPr>
                  </w:pPr>
                </w:p>
              </w:tc>
              <w:tc>
                <w:tcPr>
                  <w:tcW w:w="270" w:type="pct"/>
                  <w:noWrap w:val="0"/>
                  <w:vAlign w:val="center"/>
                </w:tcPr>
                <w:p w14:paraId="1657AA3C">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auto"/>
                      <w:sz w:val="21"/>
                      <w:szCs w:val="21"/>
                      <w:lang w:eastAsia="zh-CN"/>
                    </w:rPr>
                  </w:pPr>
                  <w:r>
                    <w:rPr>
                      <w:rFonts w:hint="eastAsia"/>
                      <w:color w:val="auto"/>
                      <w:sz w:val="21"/>
                      <w:szCs w:val="21"/>
                    </w:rPr>
                    <w:t>环境风险</w:t>
                  </w:r>
                  <w:r>
                    <w:rPr>
                      <w:rFonts w:hint="eastAsia"/>
                      <w:color w:val="auto"/>
                      <w:sz w:val="21"/>
                      <w:szCs w:val="21"/>
                      <w:lang w:val="en-US" w:eastAsia="zh-CN"/>
                    </w:rPr>
                    <w:t>防控</w:t>
                  </w:r>
                </w:p>
              </w:tc>
              <w:tc>
                <w:tcPr>
                  <w:tcW w:w="3242" w:type="pct"/>
                  <w:noWrap w:val="0"/>
                  <w:vAlign w:val="center"/>
                </w:tcPr>
                <w:p w14:paraId="5861D5BA">
                  <w:pPr>
                    <w:keepNext w:val="0"/>
                    <w:keepLines w:val="0"/>
                    <w:pageBreakBefore w:val="0"/>
                    <w:widowControl w:val="0"/>
                    <w:numPr>
                      <w:ilvl w:val="0"/>
                      <w:numId w:val="0"/>
                    </w:numPr>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rPr>
                  </w:pPr>
                  <w:r>
                    <w:rPr>
                      <w:rFonts w:hint="eastAsia"/>
                      <w:color w:val="auto"/>
                      <w:kern w:val="21"/>
                      <w:sz w:val="21"/>
                      <w:szCs w:val="21"/>
                      <w:lang w:val="en-US" w:eastAsia="zh-CN"/>
                    </w:rPr>
                    <w:t>1.</w:t>
                  </w:r>
                  <w:r>
                    <w:rPr>
                      <w:rFonts w:hint="eastAsia"/>
                      <w:color w:val="auto"/>
                      <w:kern w:val="21"/>
                      <w:sz w:val="21"/>
                      <w:szCs w:val="21"/>
                    </w:rPr>
                    <w:t>渭河干流沿岸要严格控制石油加工、化学原料和化学制品制造、医药制造、化学纤维制造、有色金属冶炼、纺织印染等项目，合理布局生产装置及危险化学品仓储等设施。</w:t>
                  </w:r>
                </w:p>
                <w:p w14:paraId="310FA62A">
                  <w:pPr>
                    <w:keepNext w:val="0"/>
                    <w:keepLines w:val="0"/>
                    <w:pageBreakBefore w:val="0"/>
                    <w:widowControl w:val="0"/>
                    <w:numPr>
                      <w:ilvl w:val="0"/>
                      <w:numId w:val="0"/>
                    </w:numPr>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rPr>
                  </w:pPr>
                  <w:r>
                    <w:rPr>
                      <w:rFonts w:hint="eastAsia"/>
                      <w:color w:val="auto"/>
                      <w:kern w:val="21"/>
                      <w:sz w:val="21"/>
                      <w:szCs w:val="21"/>
                    </w:rPr>
                    <w:t>2.定期评估辖区内渭河干流、沣河和新河流域工业企业、工业集聚区环境和健康风险，落实防控措施。</w:t>
                  </w:r>
                </w:p>
                <w:p w14:paraId="0A5601B2">
                  <w:pPr>
                    <w:keepNext w:val="0"/>
                    <w:keepLines w:val="0"/>
                    <w:pageBreakBefore w:val="0"/>
                    <w:widowControl w:val="0"/>
                    <w:numPr>
                      <w:ilvl w:val="0"/>
                      <w:numId w:val="0"/>
                    </w:numPr>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rPr>
                  </w:pPr>
                  <w:r>
                    <w:rPr>
                      <w:rFonts w:hint="eastAsia"/>
                      <w:color w:val="auto"/>
                      <w:kern w:val="21"/>
                      <w:sz w:val="21"/>
                      <w:szCs w:val="21"/>
                    </w:rPr>
                    <w:t>3.各类环境风险企业必须建立突发环境应急预案，强化内部管理和风险意识，落实事故污染的治理和</w:t>
                  </w:r>
                  <w:r>
                    <w:rPr>
                      <w:rFonts w:hint="eastAsia"/>
                      <w:color w:val="auto"/>
                      <w:kern w:val="21"/>
                      <w:sz w:val="21"/>
                      <w:szCs w:val="21"/>
                      <w:lang w:val="en-US" w:eastAsia="zh-CN"/>
                    </w:rPr>
                    <w:t>修复</w:t>
                  </w:r>
                  <w:r>
                    <w:rPr>
                      <w:rFonts w:hint="eastAsia"/>
                      <w:color w:val="auto"/>
                      <w:kern w:val="21"/>
                      <w:sz w:val="21"/>
                      <w:szCs w:val="21"/>
                    </w:rPr>
                    <w:t>责任。</w:t>
                  </w:r>
                </w:p>
                <w:p w14:paraId="6BC769DC">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color w:val="auto"/>
                      <w:kern w:val="21"/>
                      <w:sz w:val="21"/>
                      <w:szCs w:val="21"/>
                    </w:rPr>
                  </w:pPr>
                  <w:r>
                    <w:rPr>
                      <w:rFonts w:hint="eastAsia"/>
                      <w:color w:val="auto"/>
                      <w:kern w:val="21"/>
                      <w:sz w:val="21"/>
                      <w:szCs w:val="21"/>
                    </w:rPr>
                    <w:t>4.加强涉水涉重企业和危化品运输等环节风险源的管控治理，降低次生水污染突发事故发生风险</w:t>
                  </w:r>
                  <w:r>
                    <w:rPr>
                      <w:rFonts w:hint="eastAsia"/>
                      <w:color w:val="auto"/>
                      <w:kern w:val="21"/>
                      <w:sz w:val="21"/>
                      <w:szCs w:val="21"/>
                      <w:lang w:eastAsia="zh-CN"/>
                    </w:rPr>
                    <w:t>，</w:t>
                  </w:r>
                  <w:r>
                    <w:rPr>
                      <w:rFonts w:hint="eastAsia"/>
                      <w:color w:val="auto"/>
                      <w:kern w:val="21"/>
                      <w:sz w:val="21"/>
                      <w:szCs w:val="21"/>
                    </w:rPr>
                    <w:t>提高突发事故应急能力。各类环境风险企业必须建立突发环境应急预案，强化内部管理和风险意识，落实事故污染的治理和修复责任。</w:t>
                  </w:r>
                </w:p>
              </w:tc>
              <w:tc>
                <w:tcPr>
                  <w:tcW w:w="1017" w:type="pct"/>
                  <w:noWrap w:val="0"/>
                  <w:vAlign w:val="center"/>
                </w:tcPr>
                <w:p w14:paraId="5BFF8892">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0"/>
                      <w:sz w:val="21"/>
                      <w:szCs w:val="21"/>
                      <w:lang w:val="en-US" w:eastAsia="zh-CN"/>
                    </w:rPr>
                  </w:pPr>
                  <w:r>
                    <w:rPr>
                      <w:rFonts w:hint="eastAsia"/>
                      <w:color w:val="auto"/>
                      <w:kern w:val="0"/>
                      <w:sz w:val="21"/>
                      <w:szCs w:val="21"/>
                      <w:lang w:val="en-US" w:eastAsia="zh-CN"/>
                    </w:rPr>
                    <w:t>1.</w:t>
                  </w:r>
                  <w:r>
                    <w:rPr>
                      <w:rFonts w:hint="eastAsia"/>
                      <w:color w:val="auto"/>
                      <w:kern w:val="0"/>
                      <w:sz w:val="21"/>
                      <w:szCs w:val="21"/>
                    </w:rPr>
                    <w:t>本项目</w:t>
                  </w:r>
                  <w:r>
                    <w:rPr>
                      <w:rFonts w:hint="eastAsia"/>
                      <w:color w:val="auto"/>
                      <w:kern w:val="0"/>
                      <w:sz w:val="21"/>
                      <w:szCs w:val="21"/>
                      <w:lang w:val="en-US" w:eastAsia="zh-CN"/>
                    </w:rPr>
                    <w:t>属于</w:t>
                  </w:r>
                  <w:r>
                    <w:rPr>
                      <w:rFonts w:hint="eastAsia"/>
                      <w:color w:val="auto"/>
                      <w:sz w:val="21"/>
                      <w:szCs w:val="21"/>
                      <w:lang w:val="en-US" w:eastAsia="zh-CN"/>
                    </w:rPr>
                    <w:t>食品制造行业</w:t>
                  </w:r>
                  <w:r>
                    <w:rPr>
                      <w:rFonts w:hint="eastAsia"/>
                      <w:color w:val="auto"/>
                      <w:sz w:val="21"/>
                      <w:szCs w:val="21"/>
                      <w:lang w:eastAsia="zh-CN"/>
                    </w:rPr>
                    <w:t>，</w:t>
                  </w:r>
                  <w:r>
                    <w:rPr>
                      <w:rFonts w:hint="eastAsia"/>
                      <w:color w:val="auto"/>
                      <w:sz w:val="21"/>
                      <w:szCs w:val="21"/>
                      <w:lang w:val="en-US" w:eastAsia="zh-CN"/>
                    </w:rPr>
                    <w:t>主要进行方便食品生产</w:t>
                  </w:r>
                  <w:r>
                    <w:rPr>
                      <w:rFonts w:hint="eastAsia"/>
                      <w:color w:val="auto"/>
                      <w:kern w:val="0"/>
                      <w:sz w:val="21"/>
                      <w:szCs w:val="21"/>
                    </w:rPr>
                    <w:t>，</w:t>
                  </w:r>
                  <w:r>
                    <w:rPr>
                      <w:rFonts w:hint="eastAsia"/>
                      <w:color w:val="auto"/>
                      <w:kern w:val="0"/>
                      <w:sz w:val="21"/>
                      <w:szCs w:val="21"/>
                      <w:lang w:val="en-US" w:eastAsia="zh-CN"/>
                    </w:rPr>
                    <w:t>不属于石化、医药制造等高污染项目；</w:t>
                  </w:r>
                </w:p>
                <w:p w14:paraId="3908AB22">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0"/>
                      <w:sz w:val="21"/>
                      <w:szCs w:val="21"/>
                      <w:lang w:val="en-US" w:eastAsia="zh-CN"/>
                    </w:rPr>
                  </w:pPr>
                  <w:r>
                    <w:rPr>
                      <w:rFonts w:hint="eastAsia"/>
                      <w:color w:val="auto"/>
                      <w:kern w:val="0"/>
                      <w:sz w:val="21"/>
                      <w:szCs w:val="21"/>
                      <w:lang w:val="en-US" w:eastAsia="zh-CN"/>
                    </w:rPr>
                    <w:t>2.不涉及；</w:t>
                  </w:r>
                </w:p>
                <w:p w14:paraId="38F9C795">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0"/>
                      <w:sz w:val="21"/>
                      <w:szCs w:val="21"/>
                      <w:lang w:val="en-US" w:eastAsia="zh-CN"/>
                    </w:rPr>
                  </w:pPr>
                  <w:r>
                    <w:rPr>
                      <w:rFonts w:hint="eastAsia"/>
                      <w:color w:val="auto"/>
                      <w:kern w:val="0"/>
                      <w:sz w:val="21"/>
                      <w:szCs w:val="21"/>
                      <w:lang w:val="en-US" w:eastAsia="zh-CN"/>
                    </w:rPr>
                    <w:t>3.项目建成后根据厂区实际情况编制突发环境事件应急预案并进行备案，加强内部管理和风险意识，配备必要的危险品事故防范和应急技术装备。</w:t>
                  </w:r>
                </w:p>
                <w:p w14:paraId="7DAADEF1">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default" w:eastAsia="宋体"/>
                      <w:color w:val="auto"/>
                      <w:kern w:val="0"/>
                      <w:sz w:val="21"/>
                      <w:szCs w:val="21"/>
                      <w:lang w:val="en-US" w:eastAsia="zh-CN"/>
                    </w:rPr>
                  </w:pPr>
                  <w:r>
                    <w:rPr>
                      <w:rFonts w:hint="eastAsia"/>
                      <w:color w:val="auto"/>
                      <w:kern w:val="0"/>
                      <w:sz w:val="21"/>
                      <w:szCs w:val="21"/>
                      <w:lang w:val="en-US" w:eastAsia="zh-CN"/>
                    </w:rPr>
                    <w:t>4.不涉及。</w:t>
                  </w:r>
                </w:p>
              </w:tc>
              <w:tc>
                <w:tcPr>
                  <w:tcW w:w="177" w:type="pct"/>
                  <w:noWrap w:val="0"/>
                  <w:vAlign w:val="center"/>
                </w:tcPr>
                <w:p w14:paraId="63685A14">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符合</w:t>
                  </w:r>
                </w:p>
              </w:tc>
            </w:tr>
            <w:tr w14:paraId="29CDF6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92" w:type="pct"/>
                  <w:vMerge w:val="continue"/>
                  <w:noWrap w:val="0"/>
                  <w:vAlign w:val="center"/>
                </w:tcPr>
                <w:p w14:paraId="2BB0ACBD">
                  <w:pPr>
                    <w:keepNext w:val="0"/>
                    <w:keepLines w:val="0"/>
                    <w:pageBreakBefore w:val="0"/>
                    <w:widowControl w:val="0"/>
                    <w:suppressLineNumbers w:val="0"/>
                    <w:kinsoku/>
                    <w:wordWrap w:val="0"/>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lang w:val="en-US" w:eastAsia="zh-CN"/>
                    </w:rPr>
                  </w:pPr>
                </w:p>
              </w:tc>
              <w:tc>
                <w:tcPr>
                  <w:tcW w:w="270" w:type="pct"/>
                  <w:noWrap w:val="0"/>
                  <w:vAlign w:val="center"/>
                </w:tcPr>
                <w:p w14:paraId="2480871E">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rPr>
                  </w:pPr>
                  <w:r>
                    <w:rPr>
                      <w:rFonts w:hint="eastAsia"/>
                      <w:color w:val="auto"/>
                      <w:sz w:val="21"/>
                      <w:szCs w:val="21"/>
                    </w:rPr>
                    <w:t>资源开发效率要求</w:t>
                  </w:r>
                </w:p>
              </w:tc>
              <w:tc>
                <w:tcPr>
                  <w:tcW w:w="3242" w:type="pct"/>
                  <w:noWrap w:val="0"/>
                  <w:vAlign w:val="center"/>
                </w:tcPr>
                <w:p w14:paraId="2BBFEEFC">
                  <w:pPr>
                    <w:keepNext w:val="0"/>
                    <w:keepLines w:val="0"/>
                    <w:pageBreakBefore w:val="0"/>
                    <w:widowControl w:val="0"/>
                    <w:numPr>
                      <w:ilvl w:val="0"/>
                      <w:numId w:val="0"/>
                    </w:numPr>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ascii="Times New Roman" w:hAnsi="Times New Roman" w:eastAsia="宋体" w:cs="Times New Roman"/>
                      <w:color w:val="auto"/>
                      <w:kern w:val="21"/>
                      <w:sz w:val="21"/>
                      <w:szCs w:val="21"/>
                      <w:lang w:val="en-US" w:eastAsia="zh-CN"/>
                    </w:rPr>
                  </w:pPr>
                  <w:r>
                    <w:rPr>
                      <w:rFonts w:hint="eastAsia" w:ascii="Times New Roman" w:hAnsi="Times New Roman" w:eastAsia="宋体" w:cs="Times New Roman"/>
                      <w:color w:val="auto"/>
                      <w:kern w:val="21"/>
                      <w:sz w:val="21"/>
                      <w:szCs w:val="21"/>
                      <w:lang w:val="en-US" w:eastAsia="zh-CN"/>
                    </w:rPr>
                    <w:t>1.提高工业废水回用率，火电、煤炭等行业废水全部回用，达到零排放。</w:t>
                  </w:r>
                </w:p>
                <w:p w14:paraId="5E9A2BBD">
                  <w:pPr>
                    <w:keepNext w:val="0"/>
                    <w:keepLines w:val="0"/>
                    <w:pageBreakBefore w:val="0"/>
                    <w:widowControl w:val="0"/>
                    <w:numPr>
                      <w:ilvl w:val="0"/>
                      <w:numId w:val="0"/>
                    </w:numPr>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ascii="Times New Roman" w:hAnsi="Times New Roman" w:eastAsia="宋体" w:cs="Times New Roman"/>
                      <w:color w:val="auto"/>
                      <w:kern w:val="21"/>
                      <w:sz w:val="21"/>
                      <w:szCs w:val="21"/>
                      <w:lang w:val="en-US" w:eastAsia="zh-CN"/>
                    </w:rPr>
                  </w:pPr>
                  <w:r>
                    <w:rPr>
                      <w:rFonts w:hint="eastAsia" w:ascii="Times New Roman" w:hAnsi="Times New Roman" w:eastAsia="宋体" w:cs="Times New Roman"/>
                      <w:color w:val="auto"/>
                      <w:kern w:val="21"/>
                      <w:sz w:val="21"/>
                      <w:szCs w:val="21"/>
                      <w:lang w:val="en-US" w:eastAsia="zh-CN"/>
                    </w:rPr>
                    <w:t>2.大力推广应用中深层无干扰地热供热技术，具备条件的新建建筑全部优先采用无干扰地热供热。</w:t>
                  </w:r>
                </w:p>
                <w:p w14:paraId="5F9900B1">
                  <w:pPr>
                    <w:keepNext w:val="0"/>
                    <w:keepLines w:val="0"/>
                    <w:pageBreakBefore w:val="0"/>
                    <w:widowControl w:val="0"/>
                    <w:numPr>
                      <w:ilvl w:val="0"/>
                      <w:numId w:val="0"/>
                    </w:numPr>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eastAsia" w:ascii="Times New Roman" w:hAnsi="Times New Roman" w:eastAsia="宋体" w:cs="Times New Roman"/>
                      <w:color w:val="auto"/>
                      <w:kern w:val="21"/>
                      <w:sz w:val="21"/>
                      <w:szCs w:val="21"/>
                      <w:lang w:val="en-US" w:eastAsia="zh-CN"/>
                    </w:rPr>
                  </w:pPr>
                  <w:r>
                    <w:rPr>
                      <w:rFonts w:hint="eastAsia" w:ascii="Times New Roman" w:hAnsi="Times New Roman" w:eastAsia="宋体" w:cs="Times New Roman"/>
                      <w:color w:val="auto"/>
                      <w:kern w:val="21"/>
                      <w:sz w:val="21"/>
                      <w:szCs w:val="21"/>
                      <w:lang w:val="en-US" w:eastAsia="zh-CN"/>
                    </w:rPr>
                    <w:t>3.推进电力、纺织、石油石化、化工、食品发酵等高耗水行业20%的企业达到先进定额标准。提高水资源利用水平，再生水利用率达到20%以上。</w:t>
                  </w:r>
                </w:p>
              </w:tc>
              <w:tc>
                <w:tcPr>
                  <w:tcW w:w="1017" w:type="pct"/>
                  <w:noWrap w:val="0"/>
                  <w:vAlign w:val="center"/>
                </w:tcPr>
                <w:p w14:paraId="44AEB0CA">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0"/>
                      <w:sz w:val="21"/>
                      <w:szCs w:val="21"/>
                      <w:lang w:val="en-US" w:eastAsia="zh-CN"/>
                    </w:rPr>
                  </w:pPr>
                  <w:r>
                    <w:rPr>
                      <w:rFonts w:hint="eastAsia"/>
                      <w:color w:val="auto"/>
                      <w:kern w:val="0"/>
                      <w:sz w:val="21"/>
                      <w:szCs w:val="21"/>
                      <w:lang w:val="en-US" w:eastAsia="zh-CN"/>
                    </w:rPr>
                    <w:t>1.不涉及；</w:t>
                  </w:r>
                </w:p>
                <w:p w14:paraId="0F7EDE83">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both"/>
                    <w:textAlignment w:val="auto"/>
                    <w:rPr>
                      <w:rFonts w:hint="eastAsia"/>
                      <w:color w:val="auto"/>
                      <w:kern w:val="0"/>
                      <w:sz w:val="21"/>
                      <w:szCs w:val="21"/>
                      <w:lang w:val="en-US" w:eastAsia="zh-CN"/>
                    </w:rPr>
                  </w:pPr>
                  <w:r>
                    <w:rPr>
                      <w:rFonts w:hint="eastAsia"/>
                      <w:color w:val="auto"/>
                      <w:kern w:val="0"/>
                      <w:sz w:val="21"/>
                      <w:szCs w:val="21"/>
                      <w:lang w:val="en-US" w:eastAsia="zh-CN"/>
                    </w:rPr>
                    <w:t>2.不涉及；</w:t>
                  </w:r>
                </w:p>
                <w:p w14:paraId="464094E3">
                  <w:pPr>
                    <w:keepNext w:val="0"/>
                    <w:keepLines w:val="0"/>
                    <w:pageBreakBefore w:val="0"/>
                    <w:widowControl w:val="0"/>
                    <w:numPr>
                      <w:ilvl w:val="0"/>
                      <w:numId w:val="0"/>
                    </w:numPr>
                    <w:suppressLineNumbers w:val="0"/>
                    <w:kinsoku/>
                    <w:overflowPunct/>
                    <w:topLinePunct w:val="0"/>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color w:val="auto"/>
                      <w:kern w:val="21"/>
                      <w:sz w:val="21"/>
                      <w:szCs w:val="21"/>
                      <w:lang w:val="en-US" w:eastAsia="zh-CN"/>
                    </w:rPr>
                  </w:pPr>
                  <w:r>
                    <w:rPr>
                      <w:rFonts w:hint="eastAsia" w:cs="Times New Roman"/>
                      <w:color w:val="auto"/>
                      <w:kern w:val="21"/>
                      <w:sz w:val="21"/>
                      <w:szCs w:val="21"/>
                      <w:lang w:val="en-US" w:eastAsia="zh-CN"/>
                    </w:rPr>
                    <w:t>3.</w:t>
                  </w:r>
                  <w:r>
                    <w:rPr>
                      <w:rFonts w:hint="eastAsia" w:ascii="Times New Roman" w:hAnsi="Times New Roman" w:eastAsia="宋体" w:cs="Times New Roman"/>
                      <w:color w:val="auto"/>
                      <w:kern w:val="21"/>
                      <w:sz w:val="21"/>
                      <w:szCs w:val="21"/>
                      <w:lang w:val="en-US" w:eastAsia="zh-CN"/>
                    </w:rPr>
                    <w:t>本项目生活污水</w:t>
                  </w:r>
                  <w:r>
                    <w:rPr>
                      <w:rFonts w:hint="eastAsia" w:cs="Times New Roman"/>
                      <w:color w:val="auto"/>
                      <w:kern w:val="21"/>
                      <w:sz w:val="21"/>
                      <w:szCs w:val="21"/>
                      <w:lang w:val="en-US" w:eastAsia="zh-CN"/>
                    </w:rPr>
                    <w:t>进化粪池处理后，与生产</w:t>
                  </w:r>
                  <w:r>
                    <w:rPr>
                      <w:rFonts w:hint="eastAsia" w:cs="Times New Roman"/>
                      <w:color w:val="auto"/>
                      <w:kern w:val="21"/>
                      <w:sz w:val="21"/>
                      <w:szCs w:val="21"/>
                      <w:highlight w:val="none"/>
                      <w:lang w:val="en-US" w:eastAsia="zh-CN"/>
                    </w:rPr>
                    <w:t>废水</w:t>
                  </w:r>
                  <w:r>
                    <w:rPr>
                      <w:rFonts w:hint="eastAsia" w:ascii="Times New Roman" w:hAnsi="Times New Roman" w:eastAsia="宋体" w:cs="Times New Roman"/>
                      <w:color w:val="auto"/>
                      <w:kern w:val="21"/>
                      <w:sz w:val="21"/>
                      <w:szCs w:val="21"/>
                      <w:highlight w:val="none"/>
                      <w:lang w:val="en-US" w:eastAsia="zh-CN"/>
                    </w:rPr>
                    <w:t>经</w:t>
                  </w:r>
                  <w:r>
                    <w:rPr>
                      <w:rFonts w:hint="eastAsia" w:cs="Times New Roman"/>
                      <w:color w:val="auto"/>
                      <w:kern w:val="21"/>
                      <w:sz w:val="21"/>
                      <w:szCs w:val="21"/>
                      <w:highlight w:val="none"/>
                      <w:lang w:val="en-US" w:eastAsia="zh-CN"/>
                    </w:rPr>
                    <w:t>地埋式污水处理设备</w:t>
                  </w:r>
                  <w:r>
                    <w:rPr>
                      <w:rFonts w:hint="eastAsia" w:ascii="Times New Roman" w:hAnsi="Times New Roman" w:eastAsia="宋体" w:cs="Times New Roman"/>
                      <w:color w:val="auto"/>
                      <w:kern w:val="21"/>
                      <w:sz w:val="21"/>
                      <w:szCs w:val="21"/>
                      <w:highlight w:val="none"/>
                      <w:lang w:val="en-US" w:eastAsia="zh-CN"/>
                    </w:rPr>
                    <w:t>处理后</w:t>
                  </w:r>
                  <w:r>
                    <w:rPr>
                      <w:rFonts w:hint="eastAsia" w:cs="Times New Roman"/>
                      <w:color w:val="auto"/>
                      <w:kern w:val="21"/>
                      <w:sz w:val="21"/>
                      <w:szCs w:val="21"/>
                      <w:highlight w:val="none"/>
                      <w:lang w:val="en-US" w:eastAsia="zh-CN"/>
                    </w:rPr>
                    <w:t>排入</w:t>
                  </w:r>
                  <w:r>
                    <w:rPr>
                      <w:rFonts w:hint="eastAsia" w:ascii="Times New Roman" w:hAnsi="Times New Roman" w:eastAsia="宋体" w:cs="Times New Roman"/>
                      <w:color w:val="auto"/>
                      <w:kern w:val="21"/>
                      <w:sz w:val="21"/>
                      <w:szCs w:val="21"/>
                      <w:highlight w:val="none"/>
                      <w:lang w:val="en-US" w:eastAsia="zh-CN"/>
                    </w:rPr>
                    <w:t>市政管网</w:t>
                  </w:r>
                  <w:r>
                    <w:rPr>
                      <w:rFonts w:hint="eastAsia" w:cs="Times New Roman"/>
                      <w:color w:val="auto"/>
                      <w:kern w:val="21"/>
                      <w:sz w:val="21"/>
                      <w:szCs w:val="21"/>
                      <w:highlight w:val="none"/>
                      <w:lang w:val="en-US" w:eastAsia="zh-CN"/>
                    </w:rPr>
                    <w:t>最终进</w:t>
                  </w:r>
                  <w:r>
                    <w:rPr>
                      <w:rFonts w:hint="eastAsia" w:ascii="Times New Roman" w:hAnsi="Times New Roman" w:eastAsia="宋体" w:cs="Times New Roman"/>
                      <w:color w:val="auto"/>
                      <w:kern w:val="21"/>
                      <w:sz w:val="21"/>
                      <w:szCs w:val="21"/>
                      <w:highlight w:val="none"/>
                      <w:lang w:val="en-US" w:eastAsia="zh-CN"/>
                    </w:rPr>
                    <w:t>泾河新城第二污水处理厂</w:t>
                  </w:r>
                  <w:r>
                    <w:rPr>
                      <w:rFonts w:hint="eastAsia" w:cs="Times New Roman"/>
                      <w:color w:val="auto"/>
                      <w:kern w:val="21"/>
                      <w:sz w:val="21"/>
                      <w:szCs w:val="21"/>
                      <w:highlight w:val="none"/>
                      <w:lang w:val="en-US" w:eastAsia="zh-CN"/>
                    </w:rPr>
                    <w:t>进一步处理。</w:t>
                  </w:r>
                </w:p>
              </w:tc>
              <w:tc>
                <w:tcPr>
                  <w:tcW w:w="177" w:type="pct"/>
                  <w:noWrap w:val="0"/>
                  <w:vAlign w:val="center"/>
                </w:tcPr>
                <w:p w14:paraId="24524C98">
                  <w:pPr>
                    <w:keepNext w:val="0"/>
                    <w:keepLines w:val="0"/>
                    <w:pageBreakBefore w:val="0"/>
                    <w:widowControl w:val="0"/>
                    <w:suppressLineNumbers w:val="0"/>
                    <w:kinsoku/>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auto"/>
                      <w:kern w:val="0"/>
                      <w:sz w:val="21"/>
                      <w:szCs w:val="21"/>
                      <w:lang w:val="en-US" w:eastAsia="zh-CN"/>
                    </w:rPr>
                  </w:pPr>
                  <w:r>
                    <w:rPr>
                      <w:rFonts w:hint="eastAsia"/>
                      <w:color w:val="auto"/>
                      <w:kern w:val="0"/>
                      <w:sz w:val="21"/>
                      <w:szCs w:val="21"/>
                      <w:lang w:val="en-US" w:eastAsia="zh-CN"/>
                    </w:rPr>
                    <w:t>符合</w:t>
                  </w:r>
                </w:p>
              </w:tc>
            </w:tr>
          </w:tbl>
          <w:p w14:paraId="0C36AC50">
            <w:pPr>
              <w:pStyle w:val="188"/>
              <w:keepNext w:val="0"/>
              <w:keepLines w:val="0"/>
              <w:suppressLineNumbers w:val="0"/>
              <w:spacing w:before="0" w:beforeAutospacing="0" w:after="0" w:afterAutospacing="0" w:line="360" w:lineRule="auto"/>
              <w:ind w:left="0" w:right="0" w:firstLine="488"/>
              <w:rPr>
                <w:rFonts w:hint="default"/>
                <w:color w:val="auto"/>
                <w:highlight w:val="none"/>
              </w:rPr>
            </w:pPr>
          </w:p>
        </w:tc>
      </w:tr>
    </w:tbl>
    <w:p w14:paraId="325A7337">
      <w:pPr>
        <w:ind w:firstLine="482"/>
        <w:jc w:val="center"/>
        <w:rPr>
          <w:b/>
          <w:color w:val="auto"/>
          <w:szCs w:val="22"/>
          <w:highlight w:val="none"/>
        </w:rPr>
      </w:pPr>
    </w:p>
    <w:p w14:paraId="1091D370">
      <w:pPr>
        <w:pStyle w:val="80"/>
        <w:jc w:val="both"/>
        <w:rPr>
          <w:color w:val="auto"/>
          <w:szCs w:val="21"/>
          <w:highlight w:val="none"/>
        </w:rPr>
        <w:sectPr>
          <w:pgSz w:w="16838" w:h="11906" w:orient="landscape"/>
          <w:pgMar w:top="1531" w:right="1701" w:bottom="1531" w:left="1701" w:header="851" w:footer="1077" w:gutter="0"/>
          <w:pgBorders>
            <w:top w:val="none" w:sz="0" w:space="0"/>
            <w:left w:val="none" w:sz="0" w:space="0"/>
            <w:bottom w:val="none" w:sz="0" w:space="0"/>
            <w:right w:val="none" w:sz="0" w:space="0"/>
          </w:pgBorders>
          <w:pgNumType w:fmt="numberInDash"/>
          <w:cols w:space="720" w:num="1"/>
          <w:docGrid w:linePitch="312" w:charSpace="0"/>
        </w:sectPr>
      </w:pPr>
    </w:p>
    <w:p w14:paraId="6D369577">
      <w:pPr>
        <w:pStyle w:val="80"/>
        <w:jc w:val="both"/>
        <w:rPr>
          <w:color w:val="auto"/>
          <w:szCs w:val="21"/>
          <w:highlight w:val="none"/>
        </w:rPr>
      </w:pPr>
    </w:p>
    <w:tbl>
      <w:tblPr>
        <w:tblStyle w:val="37"/>
        <w:tblW w:w="887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autofit"/>
        <w:tblCellMar>
          <w:top w:w="0" w:type="dxa"/>
          <w:left w:w="0" w:type="dxa"/>
          <w:bottom w:w="0" w:type="dxa"/>
          <w:right w:w="0" w:type="dxa"/>
        </w:tblCellMar>
      </w:tblPr>
      <w:tblGrid>
        <w:gridCol w:w="554"/>
        <w:gridCol w:w="8316"/>
      </w:tblGrid>
      <w:tr w14:paraId="1D685F90">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0" w:type="dxa"/>
            <w:bottom w:w="0" w:type="dxa"/>
            <w:right w:w="0" w:type="dxa"/>
          </w:tblCellMar>
        </w:tblPrEx>
        <w:trPr>
          <w:trHeight w:val="2818" w:hRule="atLeast"/>
          <w:jc w:val="center"/>
        </w:trPr>
        <w:tc>
          <w:tcPr>
            <w:tcW w:w="554" w:type="dxa"/>
            <w:tcBorders>
              <w:tl2br w:val="nil"/>
              <w:tr2bl w:val="nil"/>
            </w:tcBorders>
            <w:vAlign w:val="center"/>
          </w:tcPr>
          <w:p w14:paraId="1F51B4AF">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default"/>
                <w:color w:val="auto"/>
                <w:szCs w:val="20"/>
                <w:highlight w:val="none"/>
              </w:rPr>
              <w:t>其他符合性分析</w:t>
            </w:r>
          </w:p>
        </w:tc>
        <w:tc>
          <w:tcPr>
            <w:tcW w:w="8316" w:type="dxa"/>
            <w:tcBorders>
              <w:tl2br w:val="nil"/>
              <w:tr2bl w:val="nil"/>
            </w:tcBorders>
            <w:vAlign w:val="center"/>
          </w:tcPr>
          <w:p w14:paraId="060A380A">
            <w:pPr>
              <w:pStyle w:val="188"/>
              <w:keepNext w:val="0"/>
              <w:keepLines w:val="0"/>
              <w:suppressLineNumbers w:val="0"/>
              <w:spacing w:before="120" w:beforeLines="50" w:beforeAutospacing="0" w:after="0" w:afterAutospacing="0" w:line="360" w:lineRule="auto"/>
              <w:ind w:left="0" w:right="0" w:firstLine="488"/>
              <w:rPr>
                <w:rFonts w:hint="default" w:hAnsi="Times New Roman"/>
                <w:color w:val="auto"/>
                <w:spacing w:val="2"/>
                <w:highlight w:val="none"/>
              </w:rPr>
            </w:pPr>
            <w:r>
              <w:rPr>
                <w:rFonts w:hint="eastAsia" w:hAnsi="Times New Roman"/>
                <w:color w:val="auto"/>
                <w:spacing w:val="2"/>
                <w:highlight w:val="none"/>
              </w:rPr>
              <w:t>（</w:t>
            </w:r>
            <w:r>
              <w:rPr>
                <w:rFonts w:hint="default" w:hAnsi="Times New Roman"/>
                <w:color w:val="auto"/>
                <w:spacing w:val="2"/>
                <w:highlight w:val="none"/>
              </w:rPr>
              <w:t>3</w:t>
            </w:r>
            <w:r>
              <w:rPr>
                <w:rFonts w:hint="eastAsia" w:hAnsi="Times New Roman"/>
                <w:color w:val="auto"/>
                <w:spacing w:val="2"/>
                <w:highlight w:val="none"/>
              </w:rPr>
              <w:t>）“一说明”</w:t>
            </w:r>
          </w:p>
          <w:p w14:paraId="3898E56F">
            <w:pPr>
              <w:pStyle w:val="188"/>
              <w:keepNext w:val="0"/>
              <w:keepLines w:val="0"/>
              <w:suppressLineNumbers w:val="0"/>
              <w:spacing w:before="0" w:beforeAutospacing="0" w:after="0" w:afterAutospacing="0" w:line="360" w:lineRule="auto"/>
              <w:ind w:left="0" w:right="0" w:firstLine="488"/>
              <w:rPr>
                <w:rFonts w:hint="default" w:hAnsi="Times New Roman"/>
                <w:color w:val="auto"/>
                <w:spacing w:val="2"/>
                <w:highlight w:val="none"/>
              </w:rPr>
            </w:pPr>
            <w:r>
              <w:rPr>
                <w:rFonts w:hint="eastAsia" w:hAnsi="Times New Roman"/>
                <w:color w:val="auto"/>
                <w:spacing w:val="2"/>
                <w:highlight w:val="none"/>
              </w:rPr>
              <w:t>本项目位于陕西省西咸新区</w:t>
            </w:r>
            <w:r>
              <w:rPr>
                <w:rFonts w:hint="eastAsia" w:hAnsi="Times New Roman"/>
                <w:color w:val="auto"/>
                <w:spacing w:val="2"/>
                <w:highlight w:val="none"/>
                <w:lang w:eastAsia="zh-CN"/>
              </w:rPr>
              <w:t>泾河新城泾干街道泾晨路西</w:t>
            </w:r>
            <w:r>
              <w:rPr>
                <w:rFonts w:hint="eastAsia" w:hAnsi="Times New Roman"/>
                <w:color w:val="auto"/>
                <w:spacing w:val="2"/>
                <w:highlight w:val="none"/>
              </w:rPr>
              <w:t>，项目用地</w:t>
            </w:r>
            <w:r>
              <w:rPr>
                <w:rFonts w:hint="eastAsia" w:hAnsi="Times New Roman"/>
                <w:color w:val="auto"/>
                <w:spacing w:val="2"/>
                <w:highlight w:val="none"/>
                <w:lang w:val="en-US" w:eastAsia="zh-CN"/>
              </w:rPr>
              <w:t>性质</w:t>
            </w:r>
            <w:r>
              <w:rPr>
                <w:rFonts w:hint="eastAsia" w:hAnsi="Times New Roman"/>
                <w:color w:val="auto"/>
                <w:spacing w:val="2"/>
                <w:highlight w:val="none"/>
              </w:rPr>
              <w:t>为工业用地，本项目主要使用清洁能源电能</w:t>
            </w:r>
            <w:r>
              <w:rPr>
                <w:rFonts w:hint="eastAsia" w:hAnsi="Times New Roman"/>
                <w:color w:val="auto"/>
                <w:spacing w:val="2"/>
                <w:highlight w:val="none"/>
                <w:lang w:val="en-US" w:eastAsia="zh-CN"/>
              </w:rPr>
              <w:t>和天然气</w:t>
            </w:r>
            <w:r>
              <w:rPr>
                <w:rFonts w:hint="eastAsia" w:hAnsi="Times New Roman"/>
                <w:color w:val="auto"/>
                <w:spacing w:val="2"/>
                <w:highlight w:val="none"/>
              </w:rPr>
              <w:t>，不属于“两高”项目；项目生活污水</w:t>
            </w:r>
            <w:r>
              <w:rPr>
                <w:rFonts w:hint="eastAsia" w:hAnsi="Times New Roman"/>
                <w:color w:val="auto"/>
                <w:spacing w:val="2"/>
                <w:highlight w:val="none"/>
                <w:lang w:val="en-US" w:eastAsia="zh-CN"/>
              </w:rPr>
              <w:t>经化粪池处理后与生产废水利用地埋式污水处理设施</w:t>
            </w:r>
            <w:r>
              <w:rPr>
                <w:rFonts w:hint="eastAsia" w:hAnsi="Times New Roman"/>
                <w:color w:val="auto"/>
                <w:spacing w:val="2"/>
                <w:highlight w:val="none"/>
              </w:rPr>
              <w:t>处理</w:t>
            </w:r>
            <w:r>
              <w:rPr>
                <w:rFonts w:hint="eastAsia" w:hAnsi="Times New Roman"/>
                <w:color w:val="auto"/>
                <w:spacing w:val="2"/>
                <w:highlight w:val="none"/>
                <w:lang w:val="en-US" w:eastAsia="zh-CN"/>
              </w:rPr>
              <w:t>排入</w:t>
            </w:r>
            <w:r>
              <w:rPr>
                <w:rFonts w:hint="eastAsia" w:hAnsi="Times New Roman"/>
                <w:color w:val="auto"/>
                <w:spacing w:val="2"/>
                <w:highlight w:val="none"/>
              </w:rPr>
              <w:t>市政污水管网，</w:t>
            </w:r>
            <w:r>
              <w:rPr>
                <w:rFonts w:hint="eastAsia"/>
                <w:color w:val="auto"/>
                <w:szCs w:val="21"/>
                <w:highlight w:val="none"/>
              </w:rPr>
              <w:t>最终进</w:t>
            </w:r>
            <w:r>
              <w:rPr>
                <w:rFonts w:hint="eastAsia"/>
                <w:color w:val="auto"/>
                <w:highlight w:val="none"/>
              </w:rPr>
              <w:t>入泾河新城第二污水处理厂</w:t>
            </w:r>
            <w:r>
              <w:rPr>
                <w:rFonts w:hint="eastAsia"/>
                <w:color w:val="auto"/>
                <w:highlight w:val="none"/>
                <w:lang w:val="en-US" w:eastAsia="zh-CN"/>
              </w:rPr>
              <w:t>进一步</w:t>
            </w:r>
            <w:r>
              <w:rPr>
                <w:rFonts w:hint="eastAsia"/>
                <w:color w:val="auto"/>
                <w:highlight w:val="none"/>
              </w:rPr>
              <w:t>处理</w:t>
            </w:r>
            <w:r>
              <w:rPr>
                <w:rFonts w:hint="eastAsia" w:hAnsi="Times New Roman"/>
                <w:color w:val="auto"/>
                <w:spacing w:val="2"/>
                <w:highlight w:val="none"/>
              </w:rPr>
              <w:t>。</w:t>
            </w:r>
          </w:p>
          <w:p w14:paraId="2EE8B7E5">
            <w:pPr>
              <w:pStyle w:val="188"/>
              <w:keepNext w:val="0"/>
              <w:keepLines w:val="0"/>
              <w:suppressLineNumbers w:val="0"/>
              <w:spacing w:before="0" w:beforeAutospacing="0" w:after="0" w:afterAutospacing="0" w:line="360" w:lineRule="auto"/>
              <w:ind w:left="0" w:right="0" w:firstLine="488"/>
              <w:rPr>
                <w:rFonts w:hint="default" w:hAnsi="Times New Roman"/>
                <w:color w:val="auto"/>
                <w:spacing w:val="2"/>
                <w:highlight w:val="none"/>
              </w:rPr>
            </w:pPr>
            <w:r>
              <w:rPr>
                <w:rFonts w:hint="eastAsia" w:hAnsi="Times New Roman"/>
                <w:color w:val="auto"/>
                <w:spacing w:val="2"/>
                <w:highlight w:val="none"/>
              </w:rPr>
              <w:t>综上所述，本项目符合《西安市生态环境分区管控准入清单》之中的各项要求。</w:t>
            </w:r>
          </w:p>
          <w:p w14:paraId="47E25FEC">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rPr>
              <w:t>2、</w:t>
            </w:r>
            <w:r>
              <w:rPr>
                <w:rFonts w:hint="default"/>
                <w:b/>
                <w:color w:val="auto"/>
                <w:highlight w:val="none"/>
              </w:rPr>
              <w:t>产业政策符合性</w:t>
            </w:r>
          </w:p>
          <w:p w14:paraId="2CFDFD31">
            <w:pPr>
              <w:keepNext w:val="0"/>
              <w:keepLines w:val="0"/>
              <w:suppressLineNumbers w:val="0"/>
              <w:spacing w:before="0" w:beforeAutospacing="0" w:after="0" w:afterAutospacing="0"/>
              <w:ind w:left="0" w:right="0" w:firstLine="482"/>
              <w:rPr>
                <w:rFonts w:hint="eastAsia" w:hAnsi="Times New Roman"/>
                <w:color w:val="auto"/>
                <w:spacing w:val="2"/>
                <w:highlight w:val="none"/>
                <w:lang w:val="zh-CN"/>
              </w:rPr>
            </w:pPr>
            <w:r>
              <w:rPr>
                <w:rFonts w:hint="eastAsia" w:hAnsi="Times New Roman"/>
                <w:color w:val="auto"/>
                <w:spacing w:val="2"/>
                <w:highlight w:val="none"/>
              </w:rPr>
              <w:t>本项目属于</w:t>
            </w:r>
            <w:r>
              <w:rPr>
                <w:rFonts w:hint="eastAsia"/>
                <w:color w:val="auto"/>
                <w:spacing w:val="2"/>
                <w:highlight w:val="none"/>
                <w:lang w:eastAsia="zh-CN"/>
              </w:rPr>
              <w:t>食品制造行业</w:t>
            </w:r>
            <w:r>
              <w:rPr>
                <w:rFonts w:hint="eastAsia" w:hAnsi="Times New Roman"/>
                <w:color w:val="auto"/>
                <w:spacing w:val="2"/>
                <w:highlight w:val="none"/>
              </w:rPr>
              <w:t>，根据中华人民共和国国家发展和改革委员会令2024年第7号《产业结构调整指导目录（2024年本）》，本项目</w:t>
            </w:r>
            <w:r>
              <w:rPr>
                <w:rFonts w:hint="default" w:ascii="Times New Roman" w:hAnsi="Times New Roman" w:cs="Times New Roman"/>
                <w:snapToGrid w:val="0"/>
                <w:color w:val="auto"/>
                <w:sz w:val="24"/>
                <w:lang w:val="en-US" w:eastAsia="zh-CN"/>
              </w:rPr>
              <w:t>属于其中鼓励类</w:t>
            </w:r>
            <w:r>
              <w:rPr>
                <w:rFonts w:hint="eastAsia" w:ascii="Times New Roman" w:hAnsi="Times New Roman" w:cs="Times New Roman"/>
                <w:snapToGrid w:val="0"/>
                <w:color w:val="auto"/>
                <w:sz w:val="24"/>
                <w:lang w:val="en-US" w:eastAsia="zh-CN"/>
              </w:rPr>
              <w:t>“</w:t>
            </w:r>
            <w:r>
              <w:rPr>
                <w:rFonts w:hint="default" w:ascii="Times New Roman" w:hAnsi="Times New Roman" w:cs="Times New Roman"/>
                <w:snapToGrid w:val="0"/>
                <w:color w:val="auto"/>
                <w:sz w:val="24"/>
                <w:lang w:val="en-US" w:eastAsia="zh-CN"/>
              </w:rPr>
              <w:t>十九、轻工27传统主食工业化生产</w:t>
            </w:r>
            <w:r>
              <w:rPr>
                <w:rFonts w:hint="eastAsia" w:ascii="Times New Roman" w:hAnsi="Times New Roman" w:cs="Times New Roman"/>
                <w:snapToGrid w:val="0"/>
                <w:color w:val="auto"/>
                <w:sz w:val="24"/>
                <w:lang w:val="en-US" w:eastAsia="zh-CN"/>
              </w:rPr>
              <w:t>”</w:t>
            </w:r>
            <w:r>
              <w:rPr>
                <w:rFonts w:hint="eastAsia" w:hAnsi="Times New Roman"/>
                <w:color w:val="auto"/>
                <w:spacing w:val="2"/>
                <w:highlight w:val="none"/>
              </w:rPr>
              <w:t>。同时对照国家发改委和商务部发布的《市场准入负面清单（2022年版）》</w:t>
            </w:r>
            <w:r>
              <w:rPr>
                <w:rFonts w:hint="eastAsia"/>
                <w:color w:val="auto"/>
                <w:spacing w:val="2"/>
                <w:highlight w:val="none"/>
                <w:lang w:eastAsia="zh-CN"/>
              </w:rPr>
              <w:t>（</w:t>
            </w:r>
            <w:r>
              <w:rPr>
                <w:rFonts w:hint="eastAsia" w:hAnsi="Times New Roman"/>
                <w:color w:val="auto"/>
                <w:spacing w:val="2"/>
                <w:highlight w:val="none"/>
              </w:rPr>
              <w:t>发改体改规〔2022〕397号</w:t>
            </w:r>
            <w:r>
              <w:rPr>
                <w:rFonts w:hint="eastAsia"/>
                <w:color w:val="auto"/>
                <w:spacing w:val="2"/>
                <w:highlight w:val="none"/>
                <w:lang w:eastAsia="zh-CN"/>
              </w:rPr>
              <w:t>）</w:t>
            </w:r>
            <w:r>
              <w:rPr>
                <w:rFonts w:hint="eastAsia" w:hAnsi="Times New Roman"/>
                <w:color w:val="auto"/>
                <w:spacing w:val="2"/>
                <w:highlight w:val="none"/>
              </w:rPr>
              <w:t>，项目不属于禁止准入类和许可准入类</w:t>
            </w:r>
            <w:r>
              <w:rPr>
                <w:rFonts w:hint="eastAsia" w:hAnsi="Times New Roman"/>
                <w:color w:val="auto"/>
                <w:spacing w:val="2"/>
                <w:highlight w:val="none"/>
                <w:lang w:val="zh-CN"/>
              </w:rPr>
              <w:t>。</w:t>
            </w:r>
          </w:p>
          <w:p w14:paraId="46D77A28">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rPr>
              <w:t>3、</w:t>
            </w:r>
            <w:r>
              <w:rPr>
                <w:rFonts w:hint="default"/>
                <w:b/>
                <w:color w:val="auto"/>
                <w:highlight w:val="none"/>
              </w:rPr>
              <w:t>相关</w:t>
            </w:r>
            <w:r>
              <w:rPr>
                <w:rFonts w:hint="eastAsia"/>
                <w:b/>
                <w:color w:val="auto"/>
                <w:highlight w:val="none"/>
                <w:lang w:val="en-US" w:eastAsia="zh-CN"/>
              </w:rPr>
              <w:t>环保</w:t>
            </w:r>
            <w:r>
              <w:rPr>
                <w:rFonts w:hint="default"/>
                <w:b/>
                <w:color w:val="auto"/>
                <w:highlight w:val="none"/>
              </w:rPr>
              <w:t>政策的符合性</w:t>
            </w:r>
          </w:p>
          <w:p w14:paraId="37B220E8">
            <w:pPr>
              <w:pStyle w:val="77"/>
              <w:keepNext w:val="0"/>
              <w:keepLines w:val="0"/>
              <w:widowControl/>
              <w:suppressLineNumbers w:val="0"/>
              <w:spacing w:before="0" w:beforeLines="0" w:beforeAutospacing="0" w:after="0" w:afterAutospacing="0" w:line="240" w:lineRule="auto"/>
              <w:ind w:left="0" w:right="0"/>
              <w:rPr>
                <w:rFonts w:hint="default" w:eastAsia="宋体"/>
                <w:b/>
                <w:color w:val="auto"/>
                <w:kern w:val="0"/>
                <w:szCs w:val="21"/>
                <w:highlight w:val="none"/>
              </w:rPr>
            </w:pPr>
            <w:r>
              <w:rPr>
                <w:rFonts w:hint="eastAsia" w:eastAsia="宋体"/>
                <w:b/>
                <w:color w:val="auto"/>
                <w:kern w:val="0"/>
                <w:szCs w:val="21"/>
                <w:highlight w:val="none"/>
              </w:rPr>
              <w:t>表1-</w:t>
            </w:r>
            <w:r>
              <w:rPr>
                <w:rFonts w:hint="eastAsia" w:eastAsia="宋体"/>
                <w:b/>
                <w:color w:val="auto"/>
                <w:kern w:val="0"/>
                <w:szCs w:val="21"/>
                <w:highlight w:val="none"/>
                <w:lang w:val="en-US" w:eastAsia="zh-CN"/>
              </w:rPr>
              <w:t>4</w:t>
            </w:r>
            <w:r>
              <w:rPr>
                <w:rFonts w:hint="eastAsia" w:eastAsia="宋体"/>
                <w:b/>
                <w:color w:val="auto"/>
                <w:kern w:val="0"/>
                <w:szCs w:val="21"/>
                <w:highlight w:val="none"/>
              </w:rPr>
              <w:t xml:space="preserve">  相关</w:t>
            </w:r>
            <w:r>
              <w:rPr>
                <w:rFonts w:hint="eastAsia" w:eastAsia="宋体"/>
                <w:b/>
                <w:color w:val="auto"/>
                <w:kern w:val="0"/>
                <w:szCs w:val="21"/>
                <w:highlight w:val="none"/>
                <w:lang w:val="en-US" w:eastAsia="zh-CN"/>
              </w:rPr>
              <w:t>环保</w:t>
            </w:r>
            <w:r>
              <w:rPr>
                <w:rFonts w:hint="eastAsia" w:eastAsia="宋体"/>
                <w:b/>
                <w:color w:val="auto"/>
                <w:kern w:val="0"/>
                <w:szCs w:val="21"/>
                <w:highlight w:val="none"/>
              </w:rPr>
              <w:t>政策相符性分析</w:t>
            </w:r>
          </w:p>
          <w:tbl>
            <w:tblPr>
              <w:tblStyle w:val="3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108" w:type="dxa"/>
                <w:bottom w:w="28" w:type="dxa"/>
                <w:right w:w="108" w:type="dxa"/>
              </w:tblCellMar>
            </w:tblPr>
            <w:tblGrid>
              <w:gridCol w:w="1884"/>
              <w:gridCol w:w="3127"/>
              <w:gridCol w:w="2757"/>
              <w:gridCol w:w="528"/>
            </w:tblGrid>
            <w:tr w14:paraId="312E40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jc w:val="center"/>
              </w:trPr>
              <w:tc>
                <w:tcPr>
                  <w:tcW w:w="1136" w:type="pct"/>
                  <w:tcBorders>
                    <w:tl2br w:val="nil"/>
                    <w:tr2bl w:val="nil"/>
                  </w:tcBorders>
                  <w:vAlign w:val="center"/>
                </w:tcPr>
                <w:p w14:paraId="7ACA4598">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文件</w:t>
                  </w:r>
                </w:p>
              </w:tc>
              <w:tc>
                <w:tcPr>
                  <w:tcW w:w="1884" w:type="pct"/>
                  <w:tcBorders>
                    <w:tl2br w:val="nil"/>
                    <w:tr2bl w:val="nil"/>
                  </w:tcBorders>
                  <w:vAlign w:val="center"/>
                </w:tcPr>
                <w:p w14:paraId="6F6786ED">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政策要求</w:t>
                  </w:r>
                </w:p>
              </w:tc>
              <w:tc>
                <w:tcPr>
                  <w:tcW w:w="1661" w:type="pct"/>
                  <w:tcBorders>
                    <w:tl2br w:val="nil"/>
                    <w:tr2bl w:val="nil"/>
                  </w:tcBorders>
                  <w:vAlign w:val="center"/>
                </w:tcPr>
                <w:p w14:paraId="5C515A85">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拟采取措施</w:t>
                  </w:r>
                </w:p>
              </w:tc>
              <w:tc>
                <w:tcPr>
                  <w:tcW w:w="318" w:type="pct"/>
                  <w:tcBorders>
                    <w:tl2br w:val="nil"/>
                    <w:tr2bl w:val="nil"/>
                  </w:tcBorders>
                  <w:vAlign w:val="center"/>
                </w:tcPr>
                <w:p w14:paraId="26AD8599">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符合</w:t>
                  </w:r>
                  <w:r>
                    <w:rPr>
                      <w:rFonts w:hint="default"/>
                      <w:color w:val="auto"/>
                      <w:szCs w:val="20"/>
                      <w:highlight w:val="none"/>
                    </w:rPr>
                    <w:t>性</w:t>
                  </w:r>
                </w:p>
              </w:tc>
            </w:tr>
            <w:tr w14:paraId="658568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jc w:val="center"/>
              </w:trPr>
              <w:tc>
                <w:tcPr>
                  <w:tcW w:w="1136" w:type="pct"/>
                  <w:tcBorders>
                    <w:tl2br w:val="nil"/>
                    <w:tr2bl w:val="nil"/>
                  </w:tcBorders>
                  <w:vAlign w:val="center"/>
                </w:tcPr>
                <w:p w14:paraId="04A2AB77">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bCs/>
                      <w:color w:val="auto"/>
                      <w:szCs w:val="20"/>
                      <w:highlight w:val="none"/>
                    </w:rPr>
                    <w:t>《空气质量持续改善行动计划》（国发[2023]24 号）</w:t>
                  </w:r>
                </w:p>
              </w:tc>
              <w:tc>
                <w:tcPr>
                  <w:tcW w:w="1884" w:type="pct"/>
                  <w:tcBorders>
                    <w:tl2br w:val="nil"/>
                    <w:tr2bl w:val="nil"/>
                  </w:tcBorders>
                  <w:vAlign w:val="center"/>
                </w:tcPr>
                <w:p w14:paraId="062E57D7">
                  <w:pPr>
                    <w:pStyle w:val="32"/>
                    <w:keepNext w:val="0"/>
                    <w:keepLines w:val="0"/>
                    <w:suppressLineNumbers w:val="0"/>
                    <w:adjustRightInd w:val="0"/>
                    <w:snapToGrid w:val="0"/>
                    <w:spacing w:line="240" w:lineRule="auto"/>
                    <w:ind w:left="0" w:right="0" w:firstLine="420"/>
                    <w:rPr>
                      <w:rFonts w:hint="default" w:ascii="Times New Roman" w:hAnsi="Times New Roman"/>
                      <w:color w:val="auto"/>
                      <w:sz w:val="21"/>
                      <w:szCs w:val="21"/>
                      <w:highlight w:val="none"/>
                    </w:rPr>
                  </w:pPr>
                  <w:r>
                    <w:rPr>
                      <w:rFonts w:hint="eastAsia" w:ascii="Times New Roman" w:hAnsi="Times New Roman"/>
                      <w:color w:val="auto"/>
                      <w:sz w:val="21"/>
                      <w:szCs w:val="21"/>
                      <w:highlight w:val="none"/>
                    </w:rPr>
                    <w:t>新改扩建项目严格落实国家产业规划、产业政策、生态环境分区管控方案、规划环评、项目环评、节能审查、产能置换、重点污染物总量控制、污染物排放区域削减、碳排放达峰目标等相关要求，原则上采用清洁运输方式。</w:t>
                  </w:r>
                </w:p>
              </w:tc>
              <w:tc>
                <w:tcPr>
                  <w:tcW w:w="1661" w:type="pct"/>
                  <w:tcBorders>
                    <w:tl2br w:val="nil"/>
                    <w:tr2bl w:val="nil"/>
                  </w:tcBorders>
                  <w:vAlign w:val="center"/>
                </w:tcPr>
                <w:p w14:paraId="5760F292">
                  <w:pPr>
                    <w:pStyle w:val="32"/>
                    <w:keepNext w:val="0"/>
                    <w:keepLines w:val="0"/>
                    <w:suppressLineNumbers w:val="0"/>
                    <w:adjustRightInd w:val="0"/>
                    <w:snapToGrid w:val="0"/>
                    <w:spacing w:line="240" w:lineRule="auto"/>
                    <w:ind w:left="0" w:right="0" w:firstLine="420"/>
                    <w:rPr>
                      <w:rFonts w:hint="default" w:ascii="Times New Roman" w:hAnsi="Times New Roman"/>
                      <w:color w:val="auto"/>
                      <w:sz w:val="21"/>
                      <w:szCs w:val="21"/>
                      <w:highlight w:val="none"/>
                    </w:rPr>
                  </w:pPr>
                  <w:r>
                    <w:rPr>
                      <w:rFonts w:hint="eastAsia" w:ascii="Times New Roman" w:hAnsi="Times New Roman"/>
                      <w:color w:val="auto"/>
                      <w:sz w:val="21"/>
                      <w:szCs w:val="21"/>
                      <w:highlight w:val="none"/>
                    </w:rPr>
                    <w:t>本项目</w:t>
                  </w:r>
                  <w:r>
                    <w:rPr>
                      <w:rFonts w:hint="eastAsia"/>
                      <w:color w:val="auto"/>
                      <w:sz w:val="21"/>
                      <w:szCs w:val="21"/>
                      <w:highlight w:val="none"/>
                    </w:rPr>
                    <w:t>为新建项目，位于西咸新区</w:t>
                  </w:r>
                  <w:r>
                    <w:rPr>
                      <w:rFonts w:hint="eastAsia"/>
                      <w:color w:val="auto"/>
                      <w:sz w:val="21"/>
                      <w:szCs w:val="21"/>
                      <w:highlight w:val="none"/>
                      <w:lang w:eastAsia="zh-CN"/>
                    </w:rPr>
                    <w:t>泾河新城泾干街道泾晨路西</w:t>
                  </w:r>
                  <w:r>
                    <w:rPr>
                      <w:rFonts w:hint="eastAsia"/>
                      <w:color w:val="auto"/>
                      <w:sz w:val="21"/>
                      <w:szCs w:val="21"/>
                      <w:highlight w:val="none"/>
                    </w:rPr>
                    <w:t>，切实严格落实相关要求；项目符合产业政策、符合</w:t>
                  </w:r>
                  <w:r>
                    <w:rPr>
                      <w:rFonts w:hint="default"/>
                      <w:color w:val="auto"/>
                      <w:sz w:val="21"/>
                      <w:szCs w:val="21"/>
                      <w:highlight w:val="none"/>
                    </w:rPr>
                    <w:t>《西咸新区泾河</w:t>
                  </w:r>
                  <w:r>
                    <w:rPr>
                      <w:rFonts w:hint="default" w:ascii="Times New Roman" w:hAnsi="Times New Roman"/>
                      <w:color w:val="auto"/>
                      <w:sz w:val="21"/>
                      <w:szCs w:val="21"/>
                      <w:highlight w:val="none"/>
                    </w:rPr>
                    <w:t>新城分区规划（2016-2035）</w:t>
                  </w:r>
                  <w:r>
                    <w:rPr>
                      <w:rFonts w:hint="default"/>
                      <w:color w:val="auto"/>
                      <w:sz w:val="21"/>
                      <w:szCs w:val="21"/>
                      <w:highlight w:val="none"/>
                    </w:rPr>
                    <w:t>环境影响报告书》</w:t>
                  </w:r>
                  <w:r>
                    <w:rPr>
                      <w:rFonts w:hint="eastAsia"/>
                      <w:color w:val="auto"/>
                      <w:sz w:val="21"/>
                      <w:szCs w:val="21"/>
                      <w:highlight w:val="none"/>
                    </w:rPr>
                    <w:t>要求，项目在落实环评提出的各项污染防治措施后，污染物可达标排放。</w:t>
                  </w:r>
                </w:p>
              </w:tc>
              <w:tc>
                <w:tcPr>
                  <w:tcW w:w="318" w:type="pct"/>
                  <w:tcBorders>
                    <w:tl2br w:val="nil"/>
                    <w:tr2bl w:val="nil"/>
                  </w:tcBorders>
                  <w:vAlign w:val="center"/>
                </w:tcPr>
                <w:p w14:paraId="3B70AC7C">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符合</w:t>
                  </w:r>
                </w:p>
              </w:tc>
            </w:tr>
            <w:tr w14:paraId="291231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366" w:hRule="atLeast"/>
                <w:jc w:val="center"/>
              </w:trPr>
              <w:tc>
                <w:tcPr>
                  <w:tcW w:w="1136" w:type="pct"/>
                  <w:vMerge w:val="restart"/>
                  <w:tcBorders>
                    <w:tl2br w:val="nil"/>
                    <w:tr2bl w:val="nil"/>
                  </w:tcBorders>
                  <w:vAlign w:val="center"/>
                </w:tcPr>
                <w:p w14:paraId="01DDDF5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《陕西省大气污染治理专项行动方案（2023-2027年）》（陕发[2023]4号）</w:t>
                  </w:r>
                </w:p>
              </w:tc>
              <w:tc>
                <w:tcPr>
                  <w:tcW w:w="1884" w:type="pct"/>
                  <w:tcBorders>
                    <w:tl2br w:val="nil"/>
                    <w:tr2bl w:val="nil"/>
                  </w:tcBorders>
                  <w:vAlign w:val="center"/>
                </w:tcPr>
                <w:p w14:paraId="3DB30B83">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eastAsia="zh-CN"/>
                    </w:rPr>
                    <w:t>产业发展结构调整。关中地区严禁新增钢铁、焦化、水泥熟料、平板玻璃、电解铝、氧化铝、煤化工产能，合理控制煤制油气产能规模，严控新增炼油产能。</w:t>
                  </w:r>
                </w:p>
              </w:tc>
              <w:tc>
                <w:tcPr>
                  <w:tcW w:w="1661" w:type="pct"/>
                  <w:tcBorders>
                    <w:tl2br w:val="nil"/>
                    <w:tr2bl w:val="nil"/>
                  </w:tcBorders>
                  <w:vAlign w:val="center"/>
                </w:tcPr>
                <w:p w14:paraId="6BFB1A27">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eastAsia="zh-CN"/>
                    </w:rPr>
                    <w:t>项目位于</w:t>
                  </w:r>
                  <w:r>
                    <w:rPr>
                      <w:rFonts w:hint="eastAsia" w:ascii="Times New Roman" w:hAnsi="Times New Roman" w:eastAsia="宋体" w:cs="Times New Roman"/>
                      <w:color w:val="auto"/>
                      <w:szCs w:val="21"/>
                      <w:highlight w:val="none"/>
                      <w:lang w:val="en-US" w:eastAsia="zh-CN"/>
                    </w:rPr>
                    <w:t>陕西省西咸新区泾河新城</w:t>
                  </w:r>
                  <w:r>
                    <w:rPr>
                      <w:rFonts w:hint="eastAsia" w:ascii="Times New Roman" w:hAnsi="Times New Roman" w:eastAsia="宋体" w:cs="Times New Roman"/>
                      <w:color w:val="auto"/>
                      <w:szCs w:val="21"/>
                      <w:highlight w:val="none"/>
                      <w:lang w:eastAsia="zh-CN"/>
                    </w:rPr>
                    <w:t>属于关中地区，不涉及新增钢铁、焦化、水泥熟料、平板玻璃、电解铝、氧化铝、煤化工等产能。</w:t>
                  </w:r>
                </w:p>
              </w:tc>
              <w:tc>
                <w:tcPr>
                  <w:tcW w:w="318" w:type="pct"/>
                  <w:tcBorders>
                    <w:tl2br w:val="nil"/>
                    <w:tr2bl w:val="nil"/>
                  </w:tcBorders>
                  <w:vAlign w:val="center"/>
                </w:tcPr>
                <w:p w14:paraId="4380554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符合</w:t>
                  </w:r>
                </w:p>
              </w:tc>
            </w:tr>
            <w:tr w14:paraId="001892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321" w:hRule="atLeast"/>
                <w:jc w:val="center"/>
              </w:trPr>
              <w:tc>
                <w:tcPr>
                  <w:tcW w:w="1136" w:type="pct"/>
                  <w:vMerge w:val="continue"/>
                  <w:tcBorders>
                    <w:tl2br w:val="nil"/>
                    <w:tr2bl w:val="nil"/>
                  </w:tcBorders>
                  <w:vAlign w:val="center"/>
                </w:tcPr>
                <w:p w14:paraId="1F7A0DFE">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884" w:type="pct"/>
                  <w:tcBorders>
                    <w:tl2br w:val="nil"/>
                    <w:tr2bl w:val="nil"/>
                  </w:tcBorders>
                  <w:vAlign w:val="center"/>
                </w:tcPr>
                <w:p w14:paraId="09A6EF8C">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2025年底前，关中地区完成陶瓷、玻璃、石灰、耐火材料、有色、无机化工、矿物棉、铸造、砖瓦窑等行业炉窑清洁能源替代。</w:t>
                  </w:r>
                </w:p>
              </w:tc>
              <w:tc>
                <w:tcPr>
                  <w:tcW w:w="1661" w:type="pct"/>
                  <w:tcBorders>
                    <w:tl2br w:val="nil"/>
                    <w:tr2bl w:val="nil"/>
                  </w:tcBorders>
                  <w:vAlign w:val="center"/>
                </w:tcPr>
                <w:p w14:paraId="0690F772">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eastAsia="zh-CN"/>
                    </w:rPr>
                    <w:t>项目位于</w:t>
                  </w:r>
                  <w:r>
                    <w:rPr>
                      <w:rFonts w:hint="eastAsia" w:ascii="Times New Roman" w:hAnsi="Times New Roman" w:eastAsia="宋体" w:cs="Times New Roman"/>
                      <w:color w:val="auto"/>
                      <w:szCs w:val="21"/>
                      <w:highlight w:val="none"/>
                      <w:lang w:val="en-US" w:eastAsia="zh-CN"/>
                    </w:rPr>
                    <w:t>陕西省西咸新区泾河新城</w:t>
                  </w:r>
                  <w:r>
                    <w:rPr>
                      <w:rFonts w:hint="eastAsia" w:ascii="Times New Roman" w:hAnsi="Times New Roman" w:eastAsia="宋体" w:cs="Times New Roman"/>
                      <w:color w:val="auto"/>
                      <w:szCs w:val="21"/>
                      <w:highlight w:val="none"/>
                      <w:lang w:eastAsia="zh-CN"/>
                    </w:rPr>
                    <w:t>属于关中地区，不涉及</w:t>
                  </w:r>
                  <w:r>
                    <w:rPr>
                      <w:rFonts w:hint="eastAsia" w:ascii="Times New Roman" w:hAnsi="Times New Roman" w:eastAsia="宋体" w:cs="Times New Roman"/>
                      <w:color w:val="auto"/>
                      <w:szCs w:val="21"/>
                      <w:highlight w:val="none"/>
                      <w:lang w:val="en-US" w:eastAsia="zh-CN"/>
                    </w:rPr>
                    <w:t>行业炉窑</w:t>
                  </w:r>
                  <w:r>
                    <w:rPr>
                      <w:rFonts w:hint="eastAsia" w:ascii="Times New Roman" w:hAnsi="Times New Roman" w:eastAsia="宋体" w:cs="Times New Roman"/>
                      <w:color w:val="auto"/>
                      <w:szCs w:val="21"/>
                      <w:highlight w:val="none"/>
                      <w:lang w:eastAsia="zh-CN"/>
                    </w:rPr>
                    <w:t>。</w:t>
                  </w:r>
                </w:p>
              </w:tc>
              <w:tc>
                <w:tcPr>
                  <w:tcW w:w="318" w:type="pct"/>
                  <w:tcBorders>
                    <w:tl2br w:val="nil"/>
                    <w:tr2bl w:val="nil"/>
                  </w:tcBorders>
                  <w:vAlign w:val="center"/>
                </w:tcPr>
                <w:p w14:paraId="0851BB9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符合</w:t>
                  </w:r>
                </w:p>
              </w:tc>
            </w:tr>
            <w:tr w14:paraId="2DE44E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680" w:hRule="atLeast"/>
                <w:jc w:val="center"/>
              </w:trPr>
              <w:tc>
                <w:tcPr>
                  <w:tcW w:w="1136" w:type="pct"/>
                  <w:vMerge w:val="restart"/>
                  <w:tcBorders>
                    <w:tl2br w:val="nil"/>
                    <w:tr2bl w:val="nil"/>
                  </w:tcBorders>
                  <w:vAlign w:val="center"/>
                </w:tcPr>
                <w:p w14:paraId="0CF64F05">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kern w:val="2"/>
                      <w:szCs w:val="24"/>
                      <w:highlight w:val="none"/>
                    </w:rPr>
                    <w:t>《</w:t>
                  </w:r>
                  <w:r>
                    <w:rPr>
                      <w:rFonts w:hint="eastAsia"/>
                      <w:color w:val="auto"/>
                      <w:kern w:val="2"/>
                      <w:szCs w:val="24"/>
                      <w:highlight w:val="none"/>
                    </w:rPr>
                    <w:t>西咸新区</w:t>
                  </w:r>
                  <w:r>
                    <w:rPr>
                      <w:rFonts w:hint="default"/>
                      <w:color w:val="auto"/>
                      <w:kern w:val="2"/>
                      <w:szCs w:val="24"/>
                      <w:highlight w:val="none"/>
                    </w:rPr>
                    <w:t>大气污染治理专项行动</w:t>
                  </w:r>
                  <w:r>
                    <w:rPr>
                      <w:rFonts w:hint="eastAsia"/>
                      <w:color w:val="auto"/>
                      <w:kern w:val="2"/>
                      <w:szCs w:val="24"/>
                      <w:highlight w:val="none"/>
                      <w:lang w:val="en-US" w:eastAsia="zh-CN"/>
                    </w:rPr>
                    <w:t>2024</w:t>
                  </w:r>
                  <w:r>
                    <w:rPr>
                      <w:rFonts w:hint="default"/>
                      <w:color w:val="auto"/>
                      <w:kern w:val="2"/>
                      <w:szCs w:val="24"/>
                      <w:highlight w:val="none"/>
                    </w:rPr>
                    <w:t>年</w:t>
                  </w:r>
                  <w:r>
                    <w:rPr>
                      <w:rFonts w:hint="eastAsia"/>
                      <w:color w:val="auto"/>
                      <w:kern w:val="2"/>
                      <w:szCs w:val="24"/>
                      <w:highlight w:val="none"/>
                      <w:lang w:val="en-US" w:eastAsia="zh-CN"/>
                    </w:rPr>
                    <w:t>工作方案</w:t>
                  </w:r>
                  <w:r>
                    <w:rPr>
                      <w:rFonts w:hint="default"/>
                      <w:color w:val="auto"/>
                      <w:szCs w:val="20"/>
                      <w:highlight w:val="none"/>
                      <w:lang w:val="en-US" w:eastAsia="zh-CN"/>
                    </w:rPr>
                    <w:t>》</w:t>
                  </w:r>
                </w:p>
              </w:tc>
              <w:tc>
                <w:tcPr>
                  <w:tcW w:w="1884" w:type="pct"/>
                  <w:tcBorders>
                    <w:tl2br w:val="nil"/>
                    <w:tr2bl w:val="nil"/>
                  </w:tcBorders>
                  <w:vAlign w:val="center"/>
                </w:tcPr>
                <w:p w14:paraId="1752A734">
                  <w:pPr>
                    <w:pStyle w:val="80"/>
                    <w:keepNext w:val="0"/>
                    <w:keepLines w:val="0"/>
                    <w:widowControl/>
                    <w:suppressLineNumbers w:val="0"/>
                    <w:spacing w:before="0" w:beforeAutospacing="0" w:after="0" w:afterAutospacing="0"/>
                    <w:ind w:left="0" w:leftChars="0" w:right="0" w:rightChars="0"/>
                    <w:jc w:val="left"/>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Cs w:val="21"/>
                      <w:highlight w:val="none"/>
                      <w:lang w:val="en-US" w:eastAsia="en-US"/>
                    </w:rPr>
                    <w:t>强化源头管控。严格落实国家、省、市、新区及新城产业规划、产业政策、“三线一单”、规划环评等要求，配合新区开展区域空间生态环境评价工作，积极推行区域、规划环境影响评价，新、改、扩建化工、石化、建材、有色等项目的环境影响评价应满足区域、规划环评要求。</w:t>
                  </w:r>
                </w:p>
              </w:tc>
              <w:tc>
                <w:tcPr>
                  <w:tcW w:w="1661" w:type="pct"/>
                  <w:tcBorders>
                    <w:tl2br w:val="nil"/>
                    <w:tr2bl w:val="nil"/>
                  </w:tcBorders>
                  <w:vAlign w:val="center"/>
                </w:tcPr>
                <w:p w14:paraId="2AE11BDB">
                  <w:pPr>
                    <w:pStyle w:val="80"/>
                    <w:keepNext w:val="0"/>
                    <w:keepLines w:val="0"/>
                    <w:widowControl/>
                    <w:suppressLineNumbers w:val="0"/>
                    <w:spacing w:before="0" w:beforeAutospacing="0" w:after="0" w:afterAutospacing="0"/>
                    <w:ind w:left="0" w:leftChars="0" w:right="0" w:rightChars="0"/>
                    <w:jc w:val="left"/>
                    <w:rPr>
                      <w:rFonts w:hint="default" w:ascii="Times New Roman" w:hAnsi="Times New Roman" w:eastAsia="宋体" w:cs="Times New Roman"/>
                      <w:color w:val="auto"/>
                      <w:sz w:val="21"/>
                      <w:szCs w:val="21"/>
                      <w:highlight w:val="none"/>
                      <w:lang w:val="en-US" w:eastAsia="zh-CN" w:bidi="ar-SA"/>
                    </w:rPr>
                  </w:pPr>
                  <w:r>
                    <w:rPr>
                      <w:rFonts w:hint="eastAsia" w:cs="Times New Roman"/>
                      <w:color w:val="auto"/>
                      <w:szCs w:val="21"/>
                      <w:highlight w:val="none"/>
                      <w:lang w:val="en-US" w:eastAsia="zh-CN"/>
                    </w:rPr>
                    <w:t>本项目</w:t>
                  </w:r>
                  <w:r>
                    <w:rPr>
                      <w:rFonts w:hint="eastAsia"/>
                      <w:color w:val="auto"/>
                      <w:sz w:val="21"/>
                      <w:szCs w:val="21"/>
                      <w:highlight w:val="none"/>
                    </w:rPr>
                    <w:t>位于西咸新区</w:t>
                  </w:r>
                  <w:r>
                    <w:rPr>
                      <w:rFonts w:hint="eastAsia"/>
                      <w:color w:val="auto"/>
                      <w:sz w:val="21"/>
                      <w:szCs w:val="21"/>
                      <w:highlight w:val="none"/>
                      <w:lang w:eastAsia="zh-CN"/>
                    </w:rPr>
                    <w:t>泾河新城泾干街道泾晨路西</w:t>
                  </w:r>
                  <w:r>
                    <w:rPr>
                      <w:rFonts w:hint="eastAsia"/>
                      <w:color w:val="auto"/>
                      <w:sz w:val="21"/>
                      <w:szCs w:val="21"/>
                      <w:highlight w:val="none"/>
                    </w:rPr>
                    <w:t>，</w:t>
                  </w:r>
                  <w:r>
                    <w:rPr>
                      <w:rFonts w:hint="eastAsia"/>
                      <w:color w:val="auto"/>
                      <w:sz w:val="21"/>
                      <w:szCs w:val="21"/>
                      <w:highlight w:val="none"/>
                      <w:lang w:val="en-US" w:eastAsia="zh-CN"/>
                    </w:rPr>
                    <w:t>已按要求对照分析了泾河新城</w:t>
                  </w:r>
                  <w:r>
                    <w:rPr>
                      <w:rFonts w:hint="eastAsia" w:ascii="Times New Roman" w:hAnsi="Times New Roman" w:eastAsia="宋体" w:cs="Times New Roman"/>
                      <w:color w:val="auto"/>
                      <w:szCs w:val="21"/>
                      <w:highlight w:val="none"/>
                      <w:lang w:val="en-US" w:eastAsia="en-US"/>
                    </w:rPr>
                    <w:t>产业规划、产业政策、“三线一单”、规划环评</w:t>
                  </w:r>
                  <w:r>
                    <w:rPr>
                      <w:rFonts w:hint="eastAsia" w:cs="Times New Roman"/>
                      <w:color w:val="auto"/>
                      <w:szCs w:val="21"/>
                      <w:highlight w:val="none"/>
                      <w:lang w:val="en-US" w:eastAsia="zh-CN"/>
                    </w:rPr>
                    <w:t>的符合性，本项目</w:t>
                  </w:r>
                  <w:r>
                    <w:rPr>
                      <w:rFonts w:hint="eastAsia" w:ascii="Times New Roman" w:hAnsi="Times New Roman" w:eastAsia="宋体" w:cs="Times New Roman"/>
                      <w:color w:val="auto"/>
                      <w:szCs w:val="21"/>
                      <w:highlight w:val="none"/>
                      <w:lang w:val="en-US" w:eastAsia="en-US"/>
                    </w:rPr>
                    <w:t>的环境影响评价满足区域</w:t>
                  </w:r>
                  <w:r>
                    <w:rPr>
                      <w:rFonts w:hint="eastAsia" w:cs="Times New Roman"/>
                      <w:color w:val="auto"/>
                      <w:szCs w:val="21"/>
                      <w:highlight w:val="none"/>
                      <w:lang w:val="en-US" w:eastAsia="zh-CN"/>
                    </w:rPr>
                    <w:t>及</w:t>
                  </w:r>
                  <w:r>
                    <w:rPr>
                      <w:rFonts w:hint="eastAsia" w:ascii="Times New Roman" w:hAnsi="Times New Roman" w:eastAsia="宋体" w:cs="Times New Roman"/>
                      <w:color w:val="auto"/>
                      <w:szCs w:val="21"/>
                      <w:highlight w:val="none"/>
                      <w:lang w:val="en-US" w:eastAsia="en-US"/>
                    </w:rPr>
                    <w:t>规划环评要求</w:t>
                  </w:r>
                  <w:r>
                    <w:rPr>
                      <w:rFonts w:hint="eastAsia" w:cs="Times New Roman"/>
                      <w:color w:val="auto"/>
                      <w:szCs w:val="21"/>
                      <w:highlight w:val="none"/>
                      <w:lang w:val="en-US" w:eastAsia="zh-CN"/>
                    </w:rPr>
                    <w:t>。</w:t>
                  </w:r>
                </w:p>
              </w:tc>
              <w:tc>
                <w:tcPr>
                  <w:tcW w:w="318" w:type="pct"/>
                  <w:tcBorders>
                    <w:tl2br w:val="nil"/>
                    <w:tr2bl w:val="nil"/>
                  </w:tcBorders>
                  <w:vAlign w:val="center"/>
                </w:tcPr>
                <w:p w14:paraId="429BFA60">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rPr>
                    <w:t>符合</w:t>
                  </w:r>
                </w:p>
              </w:tc>
            </w:tr>
            <w:tr w14:paraId="181E17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361" w:hRule="atLeast"/>
                <w:jc w:val="center"/>
              </w:trPr>
              <w:tc>
                <w:tcPr>
                  <w:tcW w:w="1136" w:type="pct"/>
                  <w:vMerge w:val="continue"/>
                  <w:tcBorders>
                    <w:tl2br w:val="nil"/>
                    <w:tr2bl w:val="nil"/>
                  </w:tcBorders>
                  <w:vAlign w:val="center"/>
                </w:tcPr>
                <w:p w14:paraId="0EB32AF7">
                  <w:pPr>
                    <w:pStyle w:val="80"/>
                    <w:keepNext w:val="0"/>
                    <w:keepLines w:val="0"/>
                    <w:widowControl/>
                    <w:suppressLineNumbers w:val="0"/>
                    <w:spacing w:before="0" w:beforeAutospacing="0" w:after="0" w:afterAutospacing="0"/>
                    <w:ind w:left="0" w:right="0"/>
                    <w:rPr>
                      <w:rFonts w:hint="default"/>
                      <w:color w:val="auto"/>
                      <w:kern w:val="2"/>
                      <w:szCs w:val="24"/>
                      <w:highlight w:val="none"/>
                    </w:rPr>
                  </w:pPr>
                </w:p>
              </w:tc>
              <w:tc>
                <w:tcPr>
                  <w:tcW w:w="1884" w:type="pct"/>
                  <w:tcBorders>
                    <w:tl2br w:val="nil"/>
                    <w:tr2bl w:val="nil"/>
                  </w:tcBorders>
                  <w:vAlign w:val="center"/>
                </w:tcPr>
                <w:p w14:paraId="6B2DEC63">
                  <w:pPr>
                    <w:pStyle w:val="80"/>
                    <w:keepNext w:val="0"/>
                    <w:keepLines w:val="0"/>
                    <w:widowControl/>
                    <w:suppressLineNumbers w:val="0"/>
                    <w:spacing w:before="0" w:beforeAutospacing="0" w:after="0" w:afterAutospacing="0"/>
                    <w:ind w:left="0" w:leftChars="0" w:right="0" w:rightChars="0"/>
                    <w:jc w:val="left"/>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en-US"/>
                    </w:rPr>
                    <w:t>推动燃气锅炉实施低氮燃烧深度改造。全域推进燃气锅炉低氮燃烧深度改造，氮氧化物排放浓度控制在30 毫克/立方米以内。重点区域3公里范围内燃气锅炉全部完成低氮燃烧深度改造。</w:t>
                  </w:r>
                </w:p>
              </w:tc>
              <w:tc>
                <w:tcPr>
                  <w:tcW w:w="1661" w:type="pct"/>
                  <w:tcBorders>
                    <w:tl2br w:val="nil"/>
                    <w:tr2bl w:val="nil"/>
                  </w:tcBorders>
                  <w:vAlign w:val="center"/>
                </w:tcPr>
                <w:p w14:paraId="18C0EC6E">
                  <w:pPr>
                    <w:pStyle w:val="80"/>
                    <w:keepNext w:val="0"/>
                    <w:keepLines w:val="0"/>
                    <w:widowControl/>
                    <w:suppressLineNumbers w:val="0"/>
                    <w:spacing w:before="0" w:beforeAutospacing="0" w:after="0" w:afterAutospacing="0"/>
                    <w:ind w:left="0" w:leftChars="0" w:right="0" w:rightChars="0"/>
                    <w:jc w:val="left"/>
                    <w:rPr>
                      <w:rFonts w:hint="eastAsia"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本项目共设7台1吨/h燃气蒸汽锅炉，均配套安装低氮燃烧器，</w:t>
                  </w:r>
                  <w:r>
                    <w:rPr>
                      <w:rFonts w:hint="eastAsia" w:ascii="Times New Roman" w:hAnsi="Times New Roman" w:eastAsia="宋体" w:cs="Times New Roman"/>
                      <w:color w:val="auto"/>
                      <w:szCs w:val="21"/>
                      <w:highlight w:val="none"/>
                      <w:lang w:val="en-US" w:eastAsia="en-US"/>
                    </w:rPr>
                    <w:t>氮氧化物排放浓度</w:t>
                  </w:r>
                  <w:r>
                    <w:rPr>
                      <w:rFonts w:hint="eastAsia" w:cs="Times New Roman"/>
                      <w:color w:val="auto"/>
                      <w:szCs w:val="21"/>
                      <w:highlight w:val="none"/>
                      <w:lang w:val="en-US" w:eastAsia="zh-CN"/>
                    </w:rPr>
                    <w:t>按要求</w:t>
                  </w:r>
                  <w:r>
                    <w:rPr>
                      <w:rFonts w:hint="eastAsia" w:ascii="Times New Roman" w:hAnsi="Times New Roman" w:eastAsia="宋体" w:cs="Times New Roman"/>
                      <w:color w:val="auto"/>
                      <w:szCs w:val="21"/>
                      <w:highlight w:val="none"/>
                      <w:lang w:val="en-US" w:eastAsia="en-US"/>
                    </w:rPr>
                    <w:t>控制在30毫克/立方米</w:t>
                  </w:r>
                  <w:r>
                    <w:rPr>
                      <w:rFonts w:hint="eastAsia" w:cs="Times New Roman"/>
                      <w:color w:val="auto"/>
                      <w:szCs w:val="21"/>
                      <w:highlight w:val="none"/>
                      <w:lang w:val="en-US" w:eastAsia="zh-CN"/>
                    </w:rPr>
                    <w:t>。</w:t>
                  </w:r>
                </w:p>
              </w:tc>
              <w:tc>
                <w:tcPr>
                  <w:tcW w:w="318" w:type="pct"/>
                  <w:tcBorders>
                    <w:tl2br w:val="nil"/>
                    <w:tr2bl w:val="nil"/>
                  </w:tcBorders>
                  <w:vAlign w:val="center"/>
                </w:tcPr>
                <w:p w14:paraId="2305000B">
                  <w:pPr>
                    <w:pStyle w:val="80"/>
                    <w:keepNext w:val="0"/>
                    <w:keepLines w:val="0"/>
                    <w:widowControl/>
                    <w:suppressLineNumbers w:val="0"/>
                    <w:spacing w:before="0" w:beforeAutospacing="0" w:after="0" w:afterAutospacing="0"/>
                    <w:ind w:left="0" w:right="0"/>
                    <w:rPr>
                      <w:rFonts w:hint="eastAsia"/>
                      <w:color w:val="auto"/>
                      <w:szCs w:val="20"/>
                      <w:highlight w:val="none"/>
                    </w:rPr>
                  </w:pPr>
                  <w:r>
                    <w:rPr>
                      <w:rFonts w:hint="eastAsia"/>
                      <w:color w:val="auto"/>
                      <w:szCs w:val="20"/>
                      <w:highlight w:val="none"/>
                    </w:rPr>
                    <w:t>符合</w:t>
                  </w:r>
                </w:p>
              </w:tc>
            </w:tr>
            <w:tr w14:paraId="757E8F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1039" w:hRule="atLeast"/>
                <w:jc w:val="center"/>
              </w:trPr>
              <w:tc>
                <w:tcPr>
                  <w:tcW w:w="1136" w:type="pct"/>
                  <w:tcBorders>
                    <w:tl2br w:val="nil"/>
                    <w:tr2bl w:val="nil"/>
                  </w:tcBorders>
                  <w:vAlign w:val="center"/>
                </w:tcPr>
                <w:p w14:paraId="29C0BFE9">
                  <w:pPr>
                    <w:pStyle w:val="80"/>
                    <w:keepNext w:val="0"/>
                    <w:keepLines w:val="0"/>
                    <w:widowControl/>
                    <w:suppressLineNumbers w:val="0"/>
                    <w:spacing w:before="0" w:beforeAutospacing="0" w:after="0" w:afterAutospacing="0"/>
                    <w:ind w:left="0" w:right="0"/>
                    <w:jc w:val="both"/>
                    <w:rPr>
                      <w:rFonts w:hint="default"/>
                      <w:color w:val="auto"/>
                      <w:szCs w:val="20"/>
                      <w:highlight w:val="none"/>
                    </w:rPr>
                  </w:pPr>
                  <w:r>
                    <w:rPr>
                      <w:rFonts w:hint="default"/>
                      <w:color w:val="auto"/>
                      <w:kern w:val="2"/>
                      <w:szCs w:val="24"/>
                      <w:highlight w:val="none"/>
                    </w:rPr>
                    <w:t>《</w:t>
                  </w:r>
                  <w:r>
                    <w:rPr>
                      <w:rFonts w:hint="eastAsia"/>
                      <w:color w:val="auto"/>
                      <w:kern w:val="2"/>
                      <w:szCs w:val="24"/>
                      <w:highlight w:val="none"/>
                    </w:rPr>
                    <w:t>泾河新城</w:t>
                  </w:r>
                  <w:r>
                    <w:rPr>
                      <w:rFonts w:hint="default"/>
                      <w:color w:val="auto"/>
                      <w:kern w:val="2"/>
                      <w:szCs w:val="24"/>
                      <w:highlight w:val="none"/>
                    </w:rPr>
                    <w:t>大气污染治理专项行动方案（2023-2027年）</w:t>
                  </w:r>
                  <w:r>
                    <w:rPr>
                      <w:rFonts w:hint="default"/>
                      <w:color w:val="auto"/>
                      <w:szCs w:val="20"/>
                      <w:highlight w:val="none"/>
                      <w:lang w:val="en-US" w:eastAsia="zh-CN"/>
                    </w:rPr>
                    <w:t>》</w:t>
                  </w:r>
                  <w:r>
                    <w:rPr>
                      <w:rFonts w:hint="eastAsia"/>
                      <w:color w:val="auto"/>
                      <w:kern w:val="2"/>
                      <w:szCs w:val="24"/>
                      <w:highlight w:val="none"/>
                    </w:rPr>
                    <w:t>（陕泾河发[2023]22号）</w:t>
                  </w:r>
                </w:p>
              </w:tc>
              <w:tc>
                <w:tcPr>
                  <w:tcW w:w="1884" w:type="pct"/>
                  <w:tcBorders>
                    <w:tl2br w:val="nil"/>
                    <w:tr2bl w:val="nil"/>
                  </w:tcBorders>
                  <w:vAlign w:val="center"/>
                </w:tcPr>
                <w:p w14:paraId="53A1DE12">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en-US"/>
                    </w:rPr>
                    <w:t>强化源头管控。严格落实国家、省、市、新区及新城产业规划、产业政策、“三线一单”、规划环评等要求，配合新区开展区域空间生态环境评价工作，积极推行区域、规划环境影响评价，新、改、扩建化工、石化、建材、有色等项目的环境影响评价应满足区域、规划环评要求。</w:t>
                  </w:r>
                </w:p>
              </w:tc>
              <w:tc>
                <w:tcPr>
                  <w:tcW w:w="1661" w:type="pct"/>
                  <w:tcBorders>
                    <w:tl2br w:val="nil"/>
                    <w:tr2bl w:val="nil"/>
                  </w:tcBorders>
                  <w:vAlign w:val="center"/>
                </w:tcPr>
                <w:p w14:paraId="2DB8572C">
                  <w:pPr>
                    <w:pStyle w:val="80"/>
                    <w:keepNext w:val="0"/>
                    <w:keepLines w:val="0"/>
                    <w:widowControl/>
                    <w:suppressLineNumbers w:val="0"/>
                    <w:spacing w:before="0" w:beforeAutospacing="0" w:after="0" w:afterAutospacing="0"/>
                    <w:ind w:left="0" w:right="0"/>
                    <w:jc w:val="both"/>
                    <w:rPr>
                      <w:rFonts w:hint="eastAsia"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本项目</w:t>
                  </w:r>
                  <w:r>
                    <w:rPr>
                      <w:rFonts w:hint="eastAsia"/>
                      <w:color w:val="auto"/>
                      <w:sz w:val="21"/>
                      <w:szCs w:val="21"/>
                      <w:highlight w:val="none"/>
                    </w:rPr>
                    <w:t>位于西咸新区</w:t>
                  </w:r>
                  <w:r>
                    <w:rPr>
                      <w:rFonts w:hint="eastAsia"/>
                      <w:color w:val="auto"/>
                      <w:sz w:val="21"/>
                      <w:szCs w:val="21"/>
                      <w:highlight w:val="none"/>
                      <w:lang w:eastAsia="zh-CN"/>
                    </w:rPr>
                    <w:t>泾河新城泾干街道泾晨路西</w:t>
                  </w:r>
                  <w:r>
                    <w:rPr>
                      <w:rFonts w:hint="eastAsia"/>
                      <w:color w:val="auto"/>
                      <w:sz w:val="21"/>
                      <w:szCs w:val="21"/>
                      <w:highlight w:val="none"/>
                    </w:rPr>
                    <w:t>，</w:t>
                  </w:r>
                  <w:r>
                    <w:rPr>
                      <w:rFonts w:hint="eastAsia"/>
                      <w:color w:val="auto"/>
                      <w:sz w:val="21"/>
                      <w:szCs w:val="21"/>
                      <w:highlight w:val="none"/>
                      <w:lang w:val="en-US" w:eastAsia="zh-CN"/>
                    </w:rPr>
                    <w:t>已按要求对照分析了泾河新城</w:t>
                  </w:r>
                  <w:r>
                    <w:rPr>
                      <w:rFonts w:hint="eastAsia" w:ascii="Times New Roman" w:hAnsi="Times New Roman" w:eastAsia="宋体" w:cs="Times New Roman"/>
                      <w:color w:val="auto"/>
                      <w:szCs w:val="21"/>
                      <w:highlight w:val="none"/>
                      <w:lang w:val="en-US" w:eastAsia="en-US"/>
                    </w:rPr>
                    <w:t>产业规划、产业政策、“三线一单”、规划环评</w:t>
                  </w:r>
                  <w:r>
                    <w:rPr>
                      <w:rFonts w:hint="eastAsia" w:cs="Times New Roman"/>
                      <w:color w:val="auto"/>
                      <w:szCs w:val="21"/>
                      <w:highlight w:val="none"/>
                      <w:lang w:val="en-US" w:eastAsia="zh-CN"/>
                    </w:rPr>
                    <w:t>的符合性，本项目</w:t>
                  </w:r>
                  <w:r>
                    <w:rPr>
                      <w:rFonts w:hint="eastAsia" w:ascii="Times New Roman" w:hAnsi="Times New Roman" w:eastAsia="宋体" w:cs="Times New Roman"/>
                      <w:color w:val="auto"/>
                      <w:szCs w:val="21"/>
                      <w:highlight w:val="none"/>
                      <w:lang w:val="en-US" w:eastAsia="en-US"/>
                    </w:rPr>
                    <w:t>的环境影响评价满足区域</w:t>
                  </w:r>
                  <w:r>
                    <w:rPr>
                      <w:rFonts w:hint="eastAsia" w:cs="Times New Roman"/>
                      <w:color w:val="auto"/>
                      <w:szCs w:val="21"/>
                      <w:highlight w:val="none"/>
                      <w:lang w:val="en-US" w:eastAsia="zh-CN"/>
                    </w:rPr>
                    <w:t>及</w:t>
                  </w:r>
                  <w:r>
                    <w:rPr>
                      <w:rFonts w:hint="eastAsia" w:ascii="Times New Roman" w:hAnsi="Times New Roman" w:eastAsia="宋体" w:cs="Times New Roman"/>
                      <w:color w:val="auto"/>
                      <w:szCs w:val="21"/>
                      <w:highlight w:val="none"/>
                      <w:lang w:val="en-US" w:eastAsia="en-US"/>
                    </w:rPr>
                    <w:t>规划环评要求</w:t>
                  </w:r>
                  <w:r>
                    <w:rPr>
                      <w:rFonts w:hint="eastAsia" w:cs="Times New Roman"/>
                      <w:color w:val="auto"/>
                      <w:szCs w:val="21"/>
                      <w:highlight w:val="none"/>
                      <w:lang w:val="en-US" w:eastAsia="zh-CN"/>
                    </w:rPr>
                    <w:t>。</w:t>
                  </w:r>
                </w:p>
              </w:tc>
              <w:tc>
                <w:tcPr>
                  <w:tcW w:w="318" w:type="pct"/>
                  <w:tcBorders>
                    <w:tl2br w:val="nil"/>
                    <w:tr2bl w:val="nil"/>
                  </w:tcBorders>
                  <w:vAlign w:val="center"/>
                </w:tcPr>
                <w:p w14:paraId="3DC25EFE">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符合</w:t>
                  </w:r>
                </w:p>
              </w:tc>
            </w:tr>
          </w:tbl>
          <w:p w14:paraId="2CC35AFB">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lang w:val="en-US" w:eastAsia="zh-CN"/>
              </w:rPr>
              <w:t>4</w:t>
            </w:r>
            <w:r>
              <w:rPr>
                <w:rFonts w:hint="eastAsia"/>
                <w:b/>
                <w:color w:val="auto"/>
                <w:highlight w:val="none"/>
              </w:rPr>
              <w:t>、</w:t>
            </w:r>
            <w:r>
              <w:rPr>
                <w:rFonts w:hint="default"/>
                <w:b/>
                <w:color w:val="auto"/>
                <w:highlight w:val="none"/>
              </w:rPr>
              <w:t>相关</w:t>
            </w:r>
            <w:r>
              <w:rPr>
                <w:rFonts w:hint="eastAsia"/>
                <w:b/>
                <w:color w:val="auto"/>
                <w:highlight w:val="none"/>
                <w:lang w:val="en-US" w:eastAsia="zh-CN"/>
              </w:rPr>
              <w:t>行业规范</w:t>
            </w:r>
            <w:r>
              <w:rPr>
                <w:rFonts w:hint="default"/>
                <w:b/>
                <w:color w:val="auto"/>
                <w:highlight w:val="none"/>
              </w:rPr>
              <w:t>的符合性</w:t>
            </w:r>
          </w:p>
          <w:p w14:paraId="0F00FB57">
            <w:pPr>
              <w:pStyle w:val="77"/>
              <w:keepNext w:val="0"/>
              <w:keepLines w:val="0"/>
              <w:widowControl/>
              <w:suppressLineNumbers w:val="0"/>
              <w:spacing w:before="0" w:beforeLines="0" w:beforeAutospacing="0" w:after="0" w:afterAutospacing="0" w:line="240" w:lineRule="auto"/>
              <w:ind w:left="0" w:right="0"/>
              <w:rPr>
                <w:rFonts w:hint="default" w:eastAsia="宋体"/>
                <w:b/>
                <w:color w:val="auto"/>
                <w:kern w:val="0"/>
                <w:szCs w:val="21"/>
                <w:highlight w:val="none"/>
              </w:rPr>
            </w:pPr>
            <w:r>
              <w:rPr>
                <w:rFonts w:hint="eastAsia" w:eastAsia="宋体"/>
                <w:b/>
                <w:color w:val="auto"/>
                <w:kern w:val="0"/>
                <w:szCs w:val="21"/>
                <w:highlight w:val="none"/>
              </w:rPr>
              <w:t>表1-</w:t>
            </w:r>
            <w:r>
              <w:rPr>
                <w:rFonts w:hint="eastAsia" w:eastAsia="宋体"/>
                <w:b/>
                <w:color w:val="auto"/>
                <w:kern w:val="0"/>
                <w:szCs w:val="21"/>
                <w:highlight w:val="none"/>
                <w:lang w:val="en-US" w:eastAsia="zh-CN"/>
              </w:rPr>
              <w:t>5</w:t>
            </w:r>
            <w:r>
              <w:rPr>
                <w:rFonts w:hint="eastAsia" w:eastAsia="宋体"/>
                <w:b/>
                <w:color w:val="auto"/>
                <w:kern w:val="0"/>
                <w:szCs w:val="21"/>
                <w:highlight w:val="none"/>
              </w:rPr>
              <w:t xml:space="preserve">  </w:t>
            </w:r>
            <w:r>
              <w:rPr>
                <w:rFonts w:hint="eastAsia" w:ascii="Times New Roman" w:hAnsi="Times New Roman" w:eastAsia="宋体" w:cs="Times New Roman"/>
                <w:b/>
                <w:color w:val="auto"/>
                <w:kern w:val="0"/>
                <w:szCs w:val="21"/>
                <w:highlight w:val="none"/>
                <w:lang w:val="zh-CN" w:eastAsia="zh-CN"/>
              </w:rPr>
              <w:t>项目与《食品生产通用卫生规范》（GB14881-2013）符合性</w:t>
            </w:r>
            <w:r>
              <w:rPr>
                <w:rFonts w:hint="eastAsia" w:ascii="Times New Roman" w:hAnsi="Times New Roman" w:eastAsia="宋体" w:cs="Times New Roman"/>
                <w:b/>
                <w:color w:val="auto"/>
                <w:kern w:val="0"/>
                <w:szCs w:val="21"/>
                <w:highlight w:val="none"/>
              </w:rPr>
              <w:t>分</w:t>
            </w:r>
            <w:r>
              <w:rPr>
                <w:rFonts w:hint="eastAsia" w:eastAsia="宋体"/>
                <w:b/>
                <w:color w:val="auto"/>
                <w:kern w:val="0"/>
                <w:szCs w:val="21"/>
                <w:highlight w:val="none"/>
              </w:rPr>
              <w:t>析</w:t>
            </w:r>
          </w:p>
          <w:tbl>
            <w:tblPr>
              <w:tblStyle w:val="3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108" w:type="dxa"/>
                <w:bottom w:w="28" w:type="dxa"/>
                <w:right w:w="108" w:type="dxa"/>
              </w:tblCellMar>
            </w:tblPr>
            <w:tblGrid>
              <w:gridCol w:w="1943"/>
              <w:gridCol w:w="2803"/>
              <w:gridCol w:w="2913"/>
              <w:gridCol w:w="637"/>
            </w:tblGrid>
            <w:tr w14:paraId="6867C0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153" w:hRule="atLeast"/>
                <w:jc w:val="center"/>
              </w:trPr>
              <w:tc>
                <w:tcPr>
                  <w:tcW w:w="1092" w:type="dxa"/>
                  <w:tcBorders>
                    <w:tl2br w:val="nil"/>
                    <w:tr2bl w:val="nil"/>
                  </w:tcBorders>
                  <w:vAlign w:val="center"/>
                </w:tcPr>
                <w:p w14:paraId="60C1B6BF">
                  <w:pPr>
                    <w:pStyle w:val="80"/>
                    <w:keepNext w:val="0"/>
                    <w:keepLines w:val="0"/>
                    <w:widowControl/>
                    <w:suppressLineNumbers w:val="0"/>
                    <w:spacing w:before="0" w:beforeAutospacing="0" w:after="0" w:afterAutospacing="0"/>
                    <w:ind w:left="0" w:leftChars="0" w:right="0" w:rightChars="0"/>
                    <w:rPr>
                      <w:rFonts w:hint="default"/>
                      <w:color w:val="auto"/>
                      <w:szCs w:val="20"/>
                      <w:highlight w:val="none"/>
                      <w:lang w:val="en-US" w:eastAsia="zh-CN"/>
                    </w:rPr>
                  </w:pPr>
                  <w:r>
                    <w:rPr>
                      <w:rFonts w:hint="default"/>
                      <w:color w:val="auto"/>
                      <w:szCs w:val="20"/>
                      <w:highlight w:val="none"/>
                    </w:rPr>
                    <w:t>文件</w:t>
                  </w:r>
                </w:p>
              </w:tc>
              <w:tc>
                <w:tcPr>
                  <w:tcW w:w="3200" w:type="dxa"/>
                  <w:tcBorders>
                    <w:tl2br w:val="nil"/>
                    <w:tr2bl w:val="nil"/>
                  </w:tcBorders>
                  <w:vAlign w:val="center"/>
                </w:tcPr>
                <w:p w14:paraId="02A2F488">
                  <w:pPr>
                    <w:pStyle w:val="80"/>
                    <w:keepNext w:val="0"/>
                    <w:keepLines w:val="0"/>
                    <w:widowControl/>
                    <w:suppressLineNumbers w:val="0"/>
                    <w:spacing w:before="0" w:beforeAutospacing="0" w:after="0" w:afterAutospacing="0"/>
                    <w:ind w:left="0" w:leftChars="0" w:right="0" w:rightChars="0"/>
                    <w:rPr>
                      <w:rFonts w:hint="default" w:ascii="Times New Roman" w:hAnsi="Times New Roman" w:cs="Times New Roman"/>
                      <w:color w:val="auto"/>
                      <w:kern w:val="2"/>
                      <w:sz w:val="21"/>
                      <w:szCs w:val="21"/>
                    </w:rPr>
                  </w:pPr>
                  <w:r>
                    <w:rPr>
                      <w:rFonts w:hint="default"/>
                      <w:color w:val="auto"/>
                      <w:szCs w:val="20"/>
                      <w:highlight w:val="none"/>
                    </w:rPr>
                    <w:t>政策要求</w:t>
                  </w:r>
                </w:p>
              </w:tc>
              <w:tc>
                <w:tcPr>
                  <w:tcW w:w="3329" w:type="dxa"/>
                  <w:tcBorders>
                    <w:tl2br w:val="nil"/>
                    <w:tr2bl w:val="nil"/>
                  </w:tcBorders>
                  <w:vAlign w:val="center"/>
                </w:tcPr>
                <w:p w14:paraId="0A29E91F">
                  <w:pPr>
                    <w:pStyle w:val="80"/>
                    <w:keepNext w:val="0"/>
                    <w:keepLines w:val="0"/>
                    <w:widowControl/>
                    <w:suppressLineNumbers w:val="0"/>
                    <w:spacing w:before="0" w:beforeAutospacing="0" w:after="0" w:afterAutospacing="0"/>
                    <w:ind w:left="0" w:leftChars="0" w:right="0" w:rightChars="0"/>
                    <w:rPr>
                      <w:rFonts w:hint="default" w:ascii="Times New Roman" w:hAnsi="Times New Roman" w:cs="Times New Roman"/>
                      <w:color w:val="auto"/>
                      <w:sz w:val="21"/>
                      <w:szCs w:val="21"/>
                      <w:highlight w:val="none"/>
                      <w:lang w:val="en-US" w:eastAsia="zh-CN"/>
                    </w:rPr>
                  </w:pPr>
                  <w:r>
                    <w:rPr>
                      <w:rFonts w:hint="default"/>
                      <w:color w:val="auto"/>
                      <w:szCs w:val="20"/>
                      <w:highlight w:val="none"/>
                    </w:rPr>
                    <w:t>拟采取措施</w:t>
                  </w:r>
                </w:p>
              </w:tc>
              <w:tc>
                <w:tcPr>
                  <w:tcW w:w="675" w:type="dxa"/>
                  <w:tcBorders>
                    <w:tl2br w:val="nil"/>
                    <w:tr2bl w:val="nil"/>
                  </w:tcBorders>
                  <w:vAlign w:val="center"/>
                </w:tcPr>
                <w:p w14:paraId="46FB0AA2">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rPr>
                  </w:pPr>
                  <w:r>
                    <w:rPr>
                      <w:rFonts w:hint="eastAsia"/>
                      <w:color w:val="auto"/>
                      <w:szCs w:val="20"/>
                      <w:highlight w:val="none"/>
                    </w:rPr>
                    <w:t>符合</w:t>
                  </w:r>
                  <w:r>
                    <w:rPr>
                      <w:rFonts w:hint="default"/>
                      <w:color w:val="auto"/>
                      <w:szCs w:val="20"/>
                      <w:highlight w:val="none"/>
                    </w:rPr>
                    <w:t>性</w:t>
                  </w:r>
                </w:p>
              </w:tc>
            </w:tr>
            <w:tr w14:paraId="5EC276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153" w:hRule="atLeast"/>
                <w:jc w:val="center"/>
              </w:trPr>
              <w:tc>
                <w:tcPr>
                  <w:tcW w:w="1092" w:type="dxa"/>
                  <w:vMerge w:val="restart"/>
                  <w:tcBorders>
                    <w:tl2br w:val="nil"/>
                    <w:tr2bl w:val="nil"/>
                  </w:tcBorders>
                  <w:vAlign w:val="center"/>
                </w:tcPr>
                <w:p w14:paraId="6048AD2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lang w:val="en-US" w:eastAsia="zh-CN"/>
                    </w:rPr>
                    <w:t>《食品生产通用卫生规范》（GB14881-2013）</w:t>
                  </w:r>
                </w:p>
              </w:tc>
              <w:tc>
                <w:tcPr>
                  <w:tcW w:w="3200" w:type="dxa"/>
                  <w:tcBorders>
                    <w:tl2br w:val="nil"/>
                    <w:tr2bl w:val="nil"/>
                  </w:tcBorders>
                  <w:vAlign w:val="center"/>
                </w:tcPr>
                <w:p w14:paraId="7A6851D9">
                  <w:pPr>
                    <w:pStyle w:val="32"/>
                    <w:keepNext/>
                    <w:keepLines/>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textAlignment w:val="auto"/>
                    <w:outlineLvl w:val="1"/>
                    <w:rPr>
                      <w:rFonts w:hint="eastAsia"/>
                      <w:color w:val="auto"/>
                      <w:szCs w:val="20"/>
                      <w:highlight w:val="none"/>
                    </w:rPr>
                  </w:pPr>
                  <w:r>
                    <w:rPr>
                      <w:rFonts w:hint="default" w:ascii="Times New Roman" w:hAnsi="Times New Roman" w:cs="Times New Roman"/>
                      <w:color w:val="auto"/>
                      <w:kern w:val="2"/>
                      <w:sz w:val="21"/>
                      <w:szCs w:val="21"/>
                    </w:rPr>
                    <w:t>厂区不应选择对食品有显著污染的区域。如某地对食品安全和食品宜食用性存在明显的不利影响，且无法通过采取措施加以改善，应避免在该地址建厂。</w:t>
                  </w:r>
                </w:p>
              </w:tc>
              <w:tc>
                <w:tcPr>
                  <w:tcW w:w="3329" w:type="dxa"/>
                  <w:tcBorders>
                    <w:tl2br w:val="nil"/>
                    <w:tr2bl w:val="nil"/>
                  </w:tcBorders>
                  <w:vAlign w:val="center"/>
                </w:tcPr>
                <w:p w14:paraId="783B1702">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textAlignment w:val="auto"/>
                    <w:rPr>
                      <w:rFonts w:hint="default"/>
                      <w:color w:val="auto"/>
                      <w:szCs w:val="20"/>
                      <w:highlight w:val="none"/>
                      <w:lang w:val="en-US"/>
                    </w:rPr>
                  </w:pPr>
                  <w:r>
                    <w:rPr>
                      <w:rFonts w:hint="default" w:ascii="Times New Roman" w:hAnsi="Times New Roman" w:cs="Times New Roman"/>
                      <w:color w:val="auto"/>
                      <w:sz w:val="21"/>
                      <w:szCs w:val="21"/>
                      <w:highlight w:val="none"/>
                      <w:lang w:val="en-US" w:eastAsia="zh-CN"/>
                    </w:rPr>
                    <w:t>根据现场调查，</w:t>
                  </w:r>
                  <w:r>
                    <w:rPr>
                      <w:rFonts w:hint="default" w:ascii="Times New Roman" w:hAnsi="Times New Roman" w:cs="Times New Roman"/>
                      <w:color w:val="auto"/>
                      <w:sz w:val="21"/>
                      <w:szCs w:val="21"/>
                      <w:highlight w:val="none"/>
                    </w:rPr>
                    <w:t>项</w:t>
                  </w:r>
                  <w:r>
                    <w:rPr>
                      <w:rFonts w:hint="default" w:ascii="Times New Roman" w:hAnsi="Times New Roman" w:cs="Times New Roman"/>
                      <w:color w:val="auto"/>
                      <w:sz w:val="21"/>
                      <w:szCs w:val="21"/>
                      <w:highlight w:val="none"/>
                      <w:lang w:val="en-US" w:eastAsia="zh-CN"/>
                    </w:rPr>
                    <w:t>目周边</w:t>
                  </w:r>
                  <w:r>
                    <w:rPr>
                      <w:rFonts w:hint="eastAsia" w:ascii="Times New Roman" w:hAnsi="Times New Roman" w:cs="Times New Roman"/>
                      <w:color w:val="auto"/>
                      <w:sz w:val="21"/>
                      <w:szCs w:val="21"/>
                      <w:highlight w:val="none"/>
                      <w:lang w:val="en-US" w:eastAsia="zh-CN"/>
                    </w:rPr>
                    <w:t>企业均为设备制造企业，</w:t>
                  </w:r>
                  <w:r>
                    <w:rPr>
                      <w:rFonts w:hint="eastAsia" w:cs="Times New Roman"/>
                      <w:color w:val="auto"/>
                      <w:sz w:val="21"/>
                      <w:szCs w:val="21"/>
                      <w:highlight w:val="none"/>
                      <w:lang w:val="en-US" w:eastAsia="zh-CN"/>
                    </w:rPr>
                    <w:t>运行期不会对食品生产有显著污染。</w:t>
                  </w:r>
                </w:p>
              </w:tc>
              <w:tc>
                <w:tcPr>
                  <w:tcW w:w="675" w:type="dxa"/>
                  <w:tcBorders>
                    <w:tl2br w:val="nil"/>
                    <w:tr2bl w:val="nil"/>
                  </w:tcBorders>
                  <w:vAlign w:val="center"/>
                </w:tcPr>
                <w:p w14:paraId="55603D86">
                  <w:pPr>
                    <w:pStyle w:val="80"/>
                    <w:keepNext w:val="0"/>
                    <w:keepLines w:val="0"/>
                    <w:widowControl/>
                    <w:suppressLineNumbers w:val="0"/>
                    <w:spacing w:before="0" w:beforeAutospacing="0" w:after="0" w:afterAutospacing="0"/>
                    <w:ind w:left="0" w:right="0"/>
                    <w:rPr>
                      <w:rFonts w:hint="eastAsia"/>
                      <w:color w:val="auto"/>
                      <w:szCs w:val="20"/>
                      <w:highlight w:val="none"/>
                    </w:rPr>
                  </w:pPr>
                  <w:r>
                    <w:rPr>
                      <w:rFonts w:hint="eastAsia"/>
                      <w:color w:val="auto"/>
                      <w:szCs w:val="20"/>
                      <w:highlight w:val="none"/>
                    </w:rPr>
                    <w:t>符合</w:t>
                  </w:r>
                </w:p>
              </w:tc>
            </w:tr>
            <w:tr w14:paraId="153DF7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153" w:hRule="atLeast"/>
                <w:jc w:val="center"/>
              </w:trPr>
              <w:tc>
                <w:tcPr>
                  <w:tcW w:w="1092" w:type="dxa"/>
                  <w:vMerge w:val="continue"/>
                  <w:tcBorders>
                    <w:tl2br w:val="nil"/>
                    <w:tr2bl w:val="nil"/>
                  </w:tcBorders>
                  <w:vAlign w:val="center"/>
                </w:tcPr>
                <w:p w14:paraId="151AB82E">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p>
              </w:tc>
              <w:tc>
                <w:tcPr>
                  <w:tcW w:w="3200" w:type="dxa"/>
                  <w:tcBorders>
                    <w:tl2br w:val="nil"/>
                    <w:tr2bl w:val="nil"/>
                  </w:tcBorders>
                  <w:vAlign w:val="center"/>
                </w:tcPr>
                <w:p w14:paraId="6BA4638D">
                  <w:pPr>
                    <w:pStyle w:val="32"/>
                    <w:keepNext/>
                    <w:keepLines/>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textAlignment w:val="auto"/>
                    <w:outlineLvl w:val="1"/>
                    <w:rPr>
                      <w:rFonts w:hint="eastAsia"/>
                      <w:color w:val="auto"/>
                      <w:szCs w:val="20"/>
                      <w:highlight w:val="none"/>
                    </w:rPr>
                  </w:pPr>
                  <w:r>
                    <w:rPr>
                      <w:rFonts w:hint="default" w:ascii="Times New Roman" w:hAnsi="Times New Roman" w:cs="Times New Roman"/>
                      <w:color w:val="auto"/>
                      <w:kern w:val="2"/>
                      <w:sz w:val="21"/>
                      <w:szCs w:val="21"/>
                    </w:rPr>
                    <w:t>厂区不应选择有害废弃物以及粉尘、有害气体、放射性物质和其他扩散性污染源不能有效清除的地址。</w:t>
                  </w:r>
                </w:p>
              </w:tc>
              <w:tc>
                <w:tcPr>
                  <w:tcW w:w="3329" w:type="dxa"/>
                  <w:tcBorders>
                    <w:tl2br w:val="nil"/>
                    <w:tr2bl w:val="nil"/>
                  </w:tcBorders>
                  <w:vAlign w:val="center"/>
                </w:tcPr>
                <w:p w14:paraId="61B37438">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textAlignment w:val="auto"/>
                    <w:rPr>
                      <w:rFonts w:hint="eastAsia"/>
                      <w:color w:val="auto"/>
                      <w:szCs w:val="20"/>
                      <w:highlight w:val="none"/>
                    </w:rPr>
                  </w:pPr>
                  <w:r>
                    <w:rPr>
                      <w:rFonts w:hint="default" w:ascii="Times New Roman" w:hAnsi="Times New Roman" w:cs="Times New Roman"/>
                      <w:color w:val="auto"/>
                      <w:sz w:val="21"/>
                      <w:szCs w:val="21"/>
                      <w:highlight w:val="none"/>
                      <w:lang w:val="en-US" w:eastAsia="zh-CN"/>
                    </w:rPr>
                    <w:t>本项目建设所在地用地历史一直为空地，无有害废弃物以及粉尘、有害气体、放射性物质和其他扩散性污染源。</w:t>
                  </w:r>
                </w:p>
              </w:tc>
              <w:tc>
                <w:tcPr>
                  <w:tcW w:w="675" w:type="dxa"/>
                  <w:tcBorders>
                    <w:tl2br w:val="nil"/>
                    <w:tr2bl w:val="nil"/>
                  </w:tcBorders>
                  <w:vAlign w:val="center"/>
                </w:tcPr>
                <w:p w14:paraId="0D710BDD">
                  <w:pPr>
                    <w:pStyle w:val="80"/>
                    <w:keepNext w:val="0"/>
                    <w:keepLines w:val="0"/>
                    <w:widowControl/>
                    <w:suppressLineNumbers w:val="0"/>
                    <w:spacing w:before="0" w:beforeAutospacing="0" w:after="0" w:afterAutospacing="0"/>
                    <w:ind w:left="0" w:right="0"/>
                    <w:rPr>
                      <w:rFonts w:hint="eastAsia"/>
                      <w:color w:val="auto"/>
                      <w:szCs w:val="20"/>
                      <w:highlight w:val="none"/>
                    </w:rPr>
                  </w:pPr>
                  <w:r>
                    <w:rPr>
                      <w:rFonts w:hint="eastAsia"/>
                      <w:color w:val="auto"/>
                      <w:szCs w:val="20"/>
                      <w:highlight w:val="none"/>
                    </w:rPr>
                    <w:t>符合</w:t>
                  </w:r>
                </w:p>
              </w:tc>
            </w:tr>
            <w:tr w14:paraId="4C7A11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153" w:hRule="atLeast"/>
                <w:jc w:val="center"/>
              </w:trPr>
              <w:tc>
                <w:tcPr>
                  <w:tcW w:w="1092" w:type="dxa"/>
                  <w:vMerge w:val="continue"/>
                  <w:tcBorders>
                    <w:tl2br w:val="nil"/>
                    <w:tr2bl w:val="nil"/>
                  </w:tcBorders>
                  <w:vAlign w:val="center"/>
                </w:tcPr>
                <w:p w14:paraId="4B6349AC">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p>
              </w:tc>
              <w:tc>
                <w:tcPr>
                  <w:tcW w:w="3200" w:type="dxa"/>
                  <w:tcBorders>
                    <w:tl2br w:val="nil"/>
                    <w:tr2bl w:val="nil"/>
                  </w:tcBorders>
                  <w:vAlign w:val="center"/>
                </w:tcPr>
                <w:p w14:paraId="22E6B31A">
                  <w:pPr>
                    <w:pStyle w:val="32"/>
                    <w:keepNext/>
                    <w:keepLines/>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textAlignment w:val="auto"/>
                    <w:outlineLvl w:val="1"/>
                    <w:rPr>
                      <w:rFonts w:hint="eastAsia"/>
                      <w:color w:val="auto"/>
                      <w:szCs w:val="20"/>
                      <w:highlight w:val="none"/>
                    </w:rPr>
                  </w:pPr>
                  <w:r>
                    <w:rPr>
                      <w:rFonts w:hint="default" w:ascii="Times New Roman" w:hAnsi="Times New Roman" w:cs="Times New Roman"/>
                      <w:color w:val="auto"/>
                      <w:kern w:val="2"/>
                      <w:sz w:val="21"/>
                      <w:szCs w:val="21"/>
                    </w:rPr>
                    <w:t>厂区不宜择易发生洪涝灾害的地区，难以避开时应设计必要的防范措施。</w:t>
                  </w:r>
                </w:p>
              </w:tc>
              <w:tc>
                <w:tcPr>
                  <w:tcW w:w="3329" w:type="dxa"/>
                  <w:tcBorders>
                    <w:tl2br w:val="nil"/>
                    <w:tr2bl w:val="nil"/>
                  </w:tcBorders>
                  <w:vAlign w:val="center"/>
                </w:tcPr>
                <w:p w14:paraId="677AB9E6">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textAlignment w:val="auto"/>
                    <w:rPr>
                      <w:rFonts w:hint="eastAsia"/>
                      <w:color w:val="auto"/>
                      <w:szCs w:val="20"/>
                      <w:highlight w:val="none"/>
                    </w:rPr>
                  </w:pPr>
                  <w:r>
                    <w:rPr>
                      <w:rFonts w:hint="default" w:ascii="Times New Roman" w:hAnsi="Times New Roman" w:cs="Times New Roman"/>
                      <w:color w:val="auto"/>
                      <w:kern w:val="0"/>
                      <w:sz w:val="21"/>
                      <w:szCs w:val="21"/>
                      <w:highlight w:val="none"/>
                      <w:lang w:val="en-US" w:eastAsia="zh-CN"/>
                    </w:rPr>
                    <w:t>项目地远离河流，</w:t>
                  </w:r>
                  <w:r>
                    <w:rPr>
                      <w:rFonts w:hint="default" w:ascii="Times New Roman" w:hAnsi="Times New Roman" w:cs="Times New Roman"/>
                      <w:color w:val="auto"/>
                      <w:kern w:val="0"/>
                      <w:sz w:val="21"/>
                      <w:szCs w:val="21"/>
                      <w:highlight w:val="none"/>
                    </w:rPr>
                    <w:t>不属于易发生洪涝灾害地区</w:t>
                  </w:r>
                  <w:r>
                    <w:rPr>
                      <w:rFonts w:hint="default" w:ascii="Times New Roman" w:hAnsi="Times New Roman" w:cs="Times New Roman"/>
                      <w:color w:val="auto"/>
                      <w:sz w:val="21"/>
                      <w:szCs w:val="21"/>
                      <w:highlight w:val="none"/>
                    </w:rPr>
                    <w:t>。</w:t>
                  </w:r>
                </w:p>
              </w:tc>
              <w:tc>
                <w:tcPr>
                  <w:tcW w:w="675" w:type="dxa"/>
                  <w:tcBorders>
                    <w:tl2br w:val="nil"/>
                    <w:tr2bl w:val="nil"/>
                  </w:tcBorders>
                  <w:vAlign w:val="center"/>
                </w:tcPr>
                <w:p w14:paraId="5234F4F2">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符合</w:t>
                  </w:r>
                </w:p>
              </w:tc>
            </w:tr>
            <w:tr w14:paraId="109DAE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153" w:hRule="atLeast"/>
                <w:jc w:val="center"/>
              </w:trPr>
              <w:tc>
                <w:tcPr>
                  <w:tcW w:w="1092" w:type="dxa"/>
                  <w:vMerge w:val="continue"/>
                  <w:tcBorders>
                    <w:tl2br w:val="nil"/>
                    <w:tr2bl w:val="nil"/>
                  </w:tcBorders>
                  <w:vAlign w:val="center"/>
                </w:tcPr>
                <w:p w14:paraId="46792914">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200" w:type="dxa"/>
                  <w:tcBorders>
                    <w:tl2br w:val="nil"/>
                    <w:tr2bl w:val="nil"/>
                  </w:tcBorders>
                  <w:vAlign w:val="center"/>
                </w:tcPr>
                <w:p w14:paraId="28F3419F">
                  <w:pPr>
                    <w:pStyle w:val="32"/>
                    <w:keepNext/>
                    <w:keepLines/>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textAlignment w:val="auto"/>
                    <w:outlineLvl w:val="1"/>
                    <w:rPr>
                      <w:rFonts w:hint="eastAsia"/>
                      <w:color w:val="auto"/>
                      <w:szCs w:val="20"/>
                      <w:highlight w:val="none"/>
                    </w:rPr>
                  </w:pPr>
                  <w:r>
                    <w:rPr>
                      <w:rFonts w:hint="default" w:ascii="Times New Roman" w:hAnsi="Times New Roman" w:cs="Times New Roman"/>
                      <w:color w:val="auto"/>
                      <w:kern w:val="2"/>
                      <w:sz w:val="21"/>
                      <w:szCs w:val="21"/>
                    </w:rPr>
                    <w:t>厂区周围不宜有虫害大量孳生的潜在场所，难以避开时应设计必要的防范措施。</w:t>
                  </w:r>
                </w:p>
              </w:tc>
              <w:tc>
                <w:tcPr>
                  <w:tcW w:w="3329" w:type="dxa"/>
                  <w:tcBorders>
                    <w:tl2br w:val="nil"/>
                    <w:tr2bl w:val="nil"/>
                  </w:tcBorders>
                  <w:vAlign w:val="center"/>
                </w:tcPr>
                <w:p w14:paraId="59FA4836">
                  <w:pPr>
                    <w:keepNext w:val="0"/>
                    <w:keepLines w:val="0"/>
                    <w:pageBreakBefore w:val="0"/>
                    <w:widowControl w:val="0"/>
                    <w:suppressLineNumbers w:val="0"/>
                    <w:kinsoku/>
                    <w:wordWrap/>
                    <w:overflowPunct/>
                    <w:topLinePunct w:val="0"/>
                    <w:autoSpaceDN/>
                    <w:bidi w:val="0"/>
                    <w:adjustRightInd w:val="0"/>
                    <w:snapToGrid w:val="0"/>
                    <w:spacing w:before="0" w:beforeAutospacing="0" w:after="0" w:afterAutospacing="0" w:line="240" w:lineRule="auto"/>
                    <w:ind w:left="0" w:right="0" w:firstLine="0" w:firstLineChars="0"/>
                    <w:textAlignment w:val="auto"/>
                    <w:rPr>
                      <w:rFonts w:hint="eastAsia"/>
                      <w:color w:val="auto"/>
                      <w:szCs w:val="20"/>
                      <w:highlight w:val="none"/>
                    </w:rPr>
                  </w:pPr>
                  <w:r>
                    <w:rPr>
                      <w:rFonts w:hint="default" w:ascii="Times New Roman" w:hAnsi="Times New Roman" w:cs="Times New Roman"/>
                      <w:color w:val="auto"/>
                      <w:sz w:val="21"/>
                      <w:szCs w:val="21"/>
                      <w:highlight w:val="none"/>
                    </w:rPr>
                    <w:t>本项目周边均为</w:t>
                  </w:r>
                  <w:r>
                    <w:rPr>
                      <w:rFonts w:hint="eastAsia" w:cs="Times New Roman"/>
                      <w:color w:val="auto"/>
                      <w:sz w:val="21"/>
                      <w:szCs w:val="21"/>
                      <w:highlight w:val="none"/>
                      <w:lang w:val="en-US" w:eastAsia="zh-CN"/>
                    </w:rPr>
                    <w:t>企业及</w:t>
                  </w:r>
                  <w:r>
                    <w:rPr>
                      <w:rFonts w:hint="default" w:ascii="Times New Roman" w:hAnsi="Times New Roman" w:cs="Times New Roman"/>
                      <w:color w:val="auto"/>
                      <w:sz w:val="21"/>
                      <w:szCs w:val="21"/>
                      <w:highlight w:val="none"/>
                      <w:lang w:val="en-US" w:eastAsia="zh-CN"/>
                    </w:rPr>
                    <w:t>居民</w:t>
                  </w:r>
                  <w:r>
                    <w:rPr>
                      <w:rFonts w:hint="default" w:ascii="Times New Roman" w:hAnsi="Times New Roman" w:cs="Times New Roman"/>
                      <w:color w:val="auto"/>
                      <w:sz w:val="21"/>
                      <w:szCs w:val="21"/>
                      <w:highlight w:val="none"/>
                    </w:rPr>
                    <w:t>，不存在虫害大量孳生的潜在场所。</w:t>
                  </w:r>
                </w:p>
              </w:tc>
              <w:tc>
                <w:tcPr>
                  <w:tcW w:w="675" w:type="dxa"/>
                  <w:tcBorders>
                    <w:tl2br w:val="nil"/>
                    <w:tr2bl w:val="nil"/>
                  </w:tcBorders>
                  <w:vAlign w:val="center"/>
                </w:tcPr>
                <w:p w14:paraId="49F0A8A6">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符合</w:t>
                  </w:r>
                </w:p>
              </w:tc>
            </w:tr>
          </w:tbl>
          <w:p w14:paraId="1D8E11C9">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lang w:val="en-US" w:eastAsia="zh-CN"/>
              </w:rPr>
              <w:t>5</w:t>
            </w:r>
            <w:r>
              <w:rPr>
                <w:rFonts w:hint="eastAsia"/>
                <w:b/>
                <w:color w:val="auto"/>
                <w:highlight w:val="none"/>
              </w:rPr>
              <w:t>、</w:t>
            </w:r>
            <w:r>
              <w:rPr>
                <w:rFonts w:hint="eastAsia"/>
                <w:b/>
                <w:color w:val="auto"/>
                <w:highlight w:val="none"/>
                <w:lang w:val="en-US" w:eastAsia="zh-CN"/>
              </w:rPr>
              <w:t>项目涉及其他相关要求</w:t>
            </w:r>
            <w:r>
              <w:rPr>
                <w:rFonts w:hint="default"/>
                <w:b/>
                <w:color w:val="auto"/>
                <w:highlight w:val="none"/>
              </w:rPr>
              <w:t>的符合性</w:t>
            </w:r>
          </w:p>
          <w:p w14:paraId="507C1C05">
            <w:pPr>
              <w:pStyle w:val="77"/>
              <w:keepNext w:val="0"/>
              <w:keepLines w:val="0"/>
              <w:widowControl/>
              <w:suppressLineNumbers w:val="0"/>
              <w:spacing w:before="0" w:beforeLines="0" w:beforeAutospacing="0" w:after="0" w:afterAutospacing="0" w:line="240" w:lineRule="auto"/>
              <w:ind w:left="0" w:right="0"/>
              <w:rPr>
                <w:rFonts w:hint="default" w:eastAsia="宋体"/>
                <w:b/>
                <w:color w:val="auto"/>
                <w:kern w:val="0"/>
                <w:szCs w:val="21"/>
                <w:highlight w:val="none"/>
              </w:rPr>
            </w:pPr>
            <w:r>
              <w:rPr>
                <w:rFonts w:hint="eastAsia" w:eastAsia="宋体"/>
                <w:b/>
                <w:color w:val="auto"/>
                <w:kern w:val="0"/>
                <w:szCs w:val="21"/>
                <w:highlight w:val="none"/>
              </w:rPr>
              <w:t>表1-</w:t>
            </w:r>
            <w:r>
              <w:rPr>
                <w:rFonts w:hint="eastAsia" w:eastAsia="宋体"/>
                <w:b/>
                <w:color w:val="auto"/>
                <w:kern w:val="0"/>
                <w:szCs w:val="21"/>
                <w:highlight w:val="none"/>
                <w:lang w:val="en-US" w:eastAsia="zh-CN"/>
              </w:rPr>
              <w:t>6</w:t>
            </w:r>
            <w:r>
              <w:rPr>
                <w:rFonts w:hint="eastAsia" w:eastAsia="宋体"/>
                <w:b/>
                <w:color w:val="auto"/>
                <w:kern w:val="0"/>
                <w:szCs w:val="21"/>
                <w:highlight w:val="none"/>
              </w:rPr>
              <w:t xml:space="preserve">  </w:t>
            </w:r>
            <w:r>
              <w:rPr>
                <w:rFonts w:hint="eastAsia" w:asciiTheme="minorEastAsia" w:hAnsiTheme="minorEastAsia" w:eastAsiaTheme="minorEastAsia" w:cstheme="minorEastAsia"/>
                <w:b/>
                <w:bCs w:val="0"/>
                <w:color w:val="auto"/>
                <w:kern w:val="0"/>
                <w:szCs w:val="21"/>
                <w:highlight w:val="none"/>
                <w:lang w:val="zh-CN" w:eastAsia="zh-CN"/>
              </w:rPr>
              <w:t>项目与</w:t>
            </w:r>
            <w:r>
              <w:rPr>
                <w:rFonts w:hint="eastAsia" w:asciiTheme="minorEastAsia" w:hAnsiTheme="minorEastAsia" w:eastAsiaTheme="minorEastAsia" w:cstheme="minorEastAsia"/>
                <w:b/>
                <w:bCs w:val="0"/>
                <w:color w:val="auto"/>
                <w:sz w:val="24"/>
                <w:shd w:val="clear" w:color="auto" w:fill="FFFFFF"/>
              </w:rPr>
              <w:t>《关于生产和使用消耗臭氧层物质</w:t>
            </w:r>
            <w:r>
              <w:rPr>
                <w:rFonts w:hint="default" w:ascii="Times New Roman" w:hAnsi="Times New Roman" w:cs="Times New Roman" w:eastAsiaTheme="minorEastAsia"/>
                <w:b/>
                <w:bCs w:val="0"/>
                <w:color w:val="auto"/>
                <w:sz w:val="24"/>
                <w:shd w:val="clear" w:color="auto" w:fill="FFFFFF"/>
              </w:rPr>
              <w:t>建设项目管理有关工作的通知》（环大气〔2018〕5号）</w:t>
            </w:r>
            <w:r>
              <w:rPr>
                <w:rFonts w:hint="default" w:ascii="Times New Roman" w:hAnsi="Times New Roman" w:cs="Times New Roman" w:eastAsiaTheme="minorEastAsia"/>
                <w:b/>
                <w:bCs w:val="0"/>
                <w:color w:val="auto"/>
                <w:kern w:val="0"/>
                <w:szCs w:val="21"/>
                <w:highlight w:val="none"/>
                <w:lang w:val="zh-CN" w:eastAsia="zh-CN"/>
              </w:rPr>
              <w:t>符合</w:t>
            </w:r>
            <w:r>
              <w:rPr>
                <w:rFonts w:hint="eastAsia" w:ascii="Times New Roman" w:hAnsi="Times New Roman" w:eastAsia="宋体" w:cs="Times New Roman"/>
                <w:b/>
                <w:color w:val="auto"/>
                <w:kern w:val="0"/>
                <w:szCs w:val="21"/>
                <w:highlight w:val="none"/>
                <w:lang w:val="zh-CN" w:eastAsia="zh-CN"/>
              </w:rPr>
              <w:t>性</w:t>
            </w:r>
            <w:r>
              <w:rPr>
                <w:rFonts w:hint="eastAsia" w:ascii="Times New Roman" w:hAnsi="Times New Roman" w:eastAsia="宋体" w:cs="Times New Roman"/>
                <w:b/>
                <w:color w:val="auto"/>
                <w:kern w:val="0"/>
                <w:szCs w:val="21"/>
                <w:highlight w:val="none"/>
              </w:rPr>
              <w:t>分</w:t>
            </w:r>
            <w:r>
              <w:rPr>
                <w:rFonts w:hint="eastAsia" w:eastAsia="宋体"/>
                <w:b/>
                <w:color w:val="auto"/>
                <w:kern w:val="0"/>
                <w:szCs w:val="21"/>
                <w:highlight w:val="none"/>
              </w:rPr>
              <w:t>析</w:t>
            </w:r>
          </w:p>
          <w:tbl>
            <w:tblPr>
              <w:tblStyle w:val="3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108" w:type="dxa"/>
                <w:bottom w:w="28" w:type="dxa"/>
                <w:right w:w="108" w:type="dxa"/>
              </w:tblCellMar>
            </w:tblPr>
            <w:tblGrid>
              <w:gridCol w:w="1092"/>
              <w:gridCol w:w="3200"/>
              <w:gridCol w:w="3329"/>
              <w:gridCol w:w="675"/>
            </w:tblGrid>
            <w:tr w14:paraId="4A2D8F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153" w:hRule="atLeast"/>
                <w:jc w:val="center"/>
              </w:trPr>
              <w:tc>
                <w:tcPr>
                  <w:tcW w:w="1092" w:type="dxa"/>
                  <w:tcBorders>
                    <w:tl2br w:val="nil"/>
                    <w:tr2bl w:val="nil"/>
                  </w:tcBorders>
                  <w:vAlign w:val="center"/>
                </w:tcPr>
                <w:p w14:paraId="0FE3541E">
                  <w:pPr>
                    <w:pStyle w:val="32"/>
                    <w:keepNext/>
                    <w:keepLines/>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outlineLvl w:val="1"/>
                    <w:rPr>
                      <w:rFonts w:hint="default" w:ascii="Times New Roman" w:hAnsi="Times New Roman" w:cs="Times New Roman"/>
                      <w:color w:val="auto"/>
                      <w:kern w:val="2"/>
                      <w:sz w:val="21"/>
                      <w:szCs w:val="21"/>
                      <w:lang w:val="en-US" w:eastAsia="zh-CN"/>
                    </w:rPr>
                  </w:pPr>
                  <w:r>
                    <w:rPr>
                      <w:rFonts w:hint="default" w:ascii="Times New Roman" w:hAnsi="Times New Roman" w:cs="Times New Roman"/>
                      <w:color w:val="auto"/>
                      <w:kern w:val="2"/>
                      <w:sz w:val="21"/>
                      <w:szCs w:val="21"/>
                    </w:rPr>
                    <w:t>文件</w:t>
                  </w:r>
                </w:p>
              </w:tc>
              <w:tc>
                <w:tcPr>
                  <w:tcW w:w="3200" w:type="dxa"/>
                  <w:tcBorders>
                    <w:tl2br w:val="nil"/>
                    <w:tr2bl w:val="nil"/>
                  </w:tcBorders>
                  <w:vAlign w:val="center"/>
                </w:tcPr>
                <w:p w14:paraId="2B67B905">
                  <w:pPr>
                    <w:pStyle w:val="80"/>
                    <w:keepNext w:val="0"/>
                    <w:keepLines w:val="0"/>
                    <w:widowControl/>
                    <w:suppressLineNumbers w:val="0"/>
                    <w:spacing w:before="0" w:beforeAutospacing="0" w:after="0" w:afterAutospacing="0"/>
                    <w:ind w:left="0" w:leftChars="0" w:right="0" w:rightChars="0"/>
                    <w:rPr>
                      <w:rFonts w:hint="default" w:ascii="Times New Roman" w:hAnsi="Times New Roman" w:cs="Times New Roman"/>
                      <w:color w:val="auto"/>
                      <w:kern w:val="2"/>
                      <w:sz w:val="21"/>
                      <w:szCs w:val="21"/>
                    </w:rPr>
                  </w:pPr>
                  <w:r>
                    <w:rPr>
                      <w:rFonts w:hint="default"/>
                      <w:color w:val="auto"/>
                      <w:szCs w:val="20"/>
                      <w:highlight w:val="none"/>
                    </w:rPr>
                    <w:t>政策要求</w:t>
                  </w:r>
                </w:p>
              </w:tc>
              <w:tc>
                <w:tcPr>
                  <w:tcW w:w="3329" w:type="dxa"/>
                  <w:tcBorders>
                    <w:tl2br w:val="nil"/>
                    <w:tr2bl w:val="nil"/>
                  </w:tcBorders>
                  <w:vAlign w:val="center"/>
                </w:tcPr>
                <w:p w14:paraId="448342CA">
                  <w:pPr>
                    <w:pStyle w:val="80"/>
                    <w:keepNext w:val="0"/>
                    <w:keepLines w:val="0"/>
                    <w:widowControl/>
                    <w:suppressLineNumbers w:val="0"/>
                    <w:spacing w:before="0" w:beforeAutospacing="0" w:after="0" w:afterAutospacing="0"/>
                    <w:ind w:left="0" w:leftChars="0" w:right="0" w:rightChars="0"/>
                    <w:rPr>
                      <w:rFonts w:hint="default" w:ascii="Times New Roman" w:hAnsi="Times New Roman" w:cs="Times New Roman"/>
                      <w:color w:val="auto"/>
                      <w:sz w:val="21"/>
                      <w:szCs w:val="21"/>
                      <w:highlight w:val="none"/>
                      <w:lang w:val="en-US" w:eastAsia="zh-CN"/>
                    </w:rPr>
                  </w:pPr>
                  <w:r>
                    <w:rPr>
                      <w:rFonts w:hint="default"/>
                      <w:color w:val="auto"/>
                      <w:szCs w:val="20"/>
                      <w:highlight w:val="none"/>
                    </w:rPr>
                    <w:t>拟采取措施</w:t>
                  </w:r>
                </w:p>
              </w:tc>
              <w:tc>
                <w:tcPr>
                  <w:tcW w:w="675" w:type="dxa"/>
                  <w:tcBorders>
                    <w:tl2br w:val="nil"/>
                    <w:tr2bl w:val="nil"/>
                  </w:tcBorders>
                  <w:vAlign w:val="center"/>
                </w:tcPr>
                <w:p w14:paraId="4D7F91CE">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rPr>
                  </w:pPr>
                  <w:r>
                    <w:rPr>
                      <w:rFonts w:hint="eastAsia"/>
                      <w:color w:val="auto"/>
                      <w:szCs w:val="20"/>
                      <w:highlight w:val="none"/>
                    </w:rPr>
                    <w:t>符合</w:t>
                  </w:r>
                  <w:r>
                    <w:rPr>
                      <w:rFonts w:hint="default"/>
                      <w:color w:val="auto"/>
                      <w:szCs w:val="20"/>
                      <w:highlight w:val="none"/>
                    </w:rPr>
                    <w:t>性</w:t>
                  </w:r>
                </w:p>
              </w:tc>
            </w:tr>
            <w:tr w14:paraId="57EC8B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153" w:hRule="atLeast"/>
                <w:jc w:val="center"/>
              </w:trPr>
              <w:tc>
                <w:tcPr>
                  <w:tcW w:w="1092" w:type="dxa"/>
                  <w:tcBorders>
                    <w:tl2br w:val="nil"/>
                    <w:tr2bl w:val="nil"/>
                  </w:tcBorders>
                  <w:vAlign w:val="center"/>
                </w:tcPr>
                <w:p w14:paraId="7EAEA986">
                  <w:pPr>
                    <w:pStyle w:val="32"/>
                    <w:keepNext/>
                    <w:keepLines/>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outlineLvl w:val="1"/>
                    <w:rPr>
                      <w:rFonts w:hint="default" w:ascii="Times New Roman" w:hAnsi="Times New Roman" w:cs="Times New Roman"/>
                      <w:color w:val="auto"/>
                      <w:kern w:val="2"/>
                      <w:sz w:val="21"/>
                      <w:szCs w:val="21"/>
                    </w:rPr>
                  </w:pPr>
                  <w:r>
                    <w:rPr>
                      <w:rFonts w:hint="eastAsia" w:ascii="Times New Roman" w:hAnsi="Times New Roman" w:cs="Times New Roman"/>
                      <w:color w:val="auto"/>
                      <w:kern w:val="2"/>
                      <w:sz w:val="21"/>
                      <w:szCs w:val="21"/>
                    </w:rPr>
                    <w:t>《关于生产和使用消耗臭氧层物质</w:t>
                  </w:r>
                  <w:r>
                    <w:rPr>
                      <w:rFonts w:hint="default" w:ascii="Times New Roman" w:hAnsi="Times New Roman" w:cs="Times New Roman"/>
                      <w:color w:val="auto"/>
                      <w:kern w:val="2"/>
                      <w:sz w:val="21"/>
                      <w:szCs w:val="21"/>
                    </w:rPr>
                    <w:t>建设项目管理有关工作的通知》（环大气〔2018〕5号）</w:t>
                  </w:r>
                </w:p>
              </w:tc>
              <w:tc>
                <w:tcPr>
                  <w:tcW w:w="3200" w:type="dxa"/>
                  <w:tcBorders>
                    <w:tl2br w:val="nil"/>
                    <w:tr2bl w:val="nil"/>
                  </w:tcBorders>
                  <w:vAlign w:val="center"/>
                </w:tcPr>
                <w:p w14:paraId="016F3D7E">
                  <w:pPr>
                    <w:pStyle w:val="32"/>
                    <w:keepNext/>
                    <w:keepLines/>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outlineLvl w:val="1"/>
                    <w:rPr>
                      <w:rFonts w:hint="eastAsia" w:ascii="Times New Roman" w:hAnsi="Times New Roman" w:cs="Times New Roman"/>
                      <w:color w:val="auto"/>
                      <w:kern w:val="2"/>
                      <w:sz w:val="21"/>
                      <w:szCs w:val="21"/>
                    </w:rPr>
                  </w:pPr>
                  <w:r>
                    <w:rPr>
                      <w:rFonts w:hint="eastAsia" w:ascii="Times New Roman" w:hAnsi="Times New Roman" w:cs="Times New Roman"/>
                      <w:color w:val="auto"/>
                      <w:kern w:val="2"/>
                      <w:sz w:val="21"/>
                      <w:szCs w:val="21"/>
                    </w:rPr>
                    <w:t>禁止新建、扩建生产和使用作为制冷剂、发泡剂、灭火剂、溶剂、清洗剂、加工助剂、气雾剂、土壤熏蒸剂等受控用途的消耗臭氧层物质的建设项目</w:t>
                  </w:r>
                </w:p>
              </w:tc>
              <w:tc>
                <w:tcPr>
                  <w:tcW w:w="3329" w:type="dxa"/>
                  <w:tcBorders>
                    <w:tl2br w:val="nil"/>
                    <w:tr2bl w:val="nil"/>
                  </w:tcBorders>
                  <w:vAlign w:val="center"/>
                </w:tcPr>
                <w:p w14:paraId="72CD5403">
                  <w:pPr>
                    <w:pStyle w:val="32"/>
                    <w:keepNext/>
                    <w:keepLines/>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firstLineChars="0"/>
                    <w:jc w:val="center"/>
                    <w:textAlignment w:val="auto"/>
                    <w:outlineLvl w:val="1"/>
                    <w:rPr>
                      <w:rFonts w:hint="eastAsia" w:ascii="Times New Roman" w:hAnsi="Times New Roman" w:eastAsia="宋体" w:cs="Times New Roman"/>
                      <w:color w:val="auto"/>
                      <w:kern w:val="2"/>
                      <w:sz w:val="21"/>
                      <w:szCs w:val="21"/>
                      <w:lang w:val="en-US" w:eastAsia="zh-CN"/>
                    </w:rPr>
                  </w:pPr>
                  <w:r>
                    <w:rPr>
                      <w:rFonts w:hint="eastAsia" w:ascii="Times New Roman" w:hAnsi="Times New Roman" w:cs="Times New Roman"/>
                      <w:color w:val="auto"/>
                      <w:kern w:val="2"/>
                      <w:sz w:val="21"/>
                      <w:szCs w:val="21"/>
                    </w:rPr>
                    <w:t>消耗臭氧层物质清单由《关于发布中国受控消耗臭氧层物质清单的公告》（公告2010年第72号）文件中提供，本项目使用制冷剂类型为R404A（五氟乙烷、三氟乙烷、四氟乙烷的混合物），不属于以上文件中的消耗臭氧层物质</w:t>
                  </w:r>
                  <w:r>
                    <w:rPr>
                      <w:rFonts w:hint="eastAsia" w:ascii="Times New Roman" w:hAnsi="Times New Roman" w:cs="Times New Roman"/>
                      <w:color w:val="auto"/>
                      <w:kern w:val="2"/>
                      <w:sz w:val="21"/>
                      <w:szCs w:val="21"/>
                      <w:lang w:eastAsia="zh-CN"/>
                    </w:rPr>
                    <w:t>。</w:t>
                  </w:r>
                </w:p>
              </w:tc>
              <w:tc>
                <w:tcPr>
                  <w:tcW w:w="675" w:type="dxa"/>
                  <w:tcBorders>
                    <w:tl2br w:val="nil"/>
                    <w:tr2bl w:val="nil"/>
                  </w:tcBorders>
                  <w:vAlign w:val="center"/>
                </w:tcPr>
                <w:p w14:paraId="058A93B5">
                  <w:pPr>
                    <w:pStyle w:val="80"/>
                    <w:keepNext w:val="0"/>
                    <w:keepLines w:val="0"/>
                    <w:widowControl/>
                    <w:suppressLineNumbers w:val="0"/>
                    <w:spacing w:before="0" w:beforeAutospacing="0" w:after="0" w:afterAutospacing="0"/>
                    <w:ind w:left="0" w:right="0"/>
                    <w:rPr>
                      <w:rFonts w:hint="eastAsia"/>
                      <w:color w:val="auto"/>
                      <w:szCs w:val="20"/>
                      <w:highlight w:val="none"/>
                    </w:rPr>
                  </w:pPr>
                  <w:r>
                    <w:rPr>
                      <w:rFonts w:hint="eastAsia"/>
                      <w:color w:val="auto"/>
                      <w:szCs w:val="20"/>
                      <w:highlight w:val="none"/>
                    </w:rPr>
                    <w:t>符合</w:t>
                  </w:r>
                </w:p>
              </w:tc>
            </w:tr>
          </w:tbl>
          <w:p w14:paraId="29993F25">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lang w:val="en-US" w:eastAsia="zh-CN"/>
              </w:rPr>
              <w:t>6</w:t>
            </w:r>
            <w:r>
              <w:rPr>
                <w:rFonts w:hint="eastAsia"/>
                <w:b/>
                <w:color w:val="auto"/>
                <w:highlight w:val="none"/>
              </w:rPr>
              <w:t>、</w:t>
            </w:r>
            <w:r>
              <w:rPr>
                <w:rFonts w:hint="default"/>
                <w:b/>
                <w:color w:val="auto"/>
                <w:highlight w:val="none"/>
              </w:rPr>
              <w:t>选址合理性分析</w:t>
            </w:r>
          </w:p>
          <w:p w14:paraId="755AEA2B">
            <w:pPr>
              <w:keepNext w:val="0"/>
              <w:keepLines w:val="0"/>
              <w:suppressLineNumbers w:val="0"/>
              <w:spacing w:before="0" w:beforeAutospacing="0" w:after="0" w:afterAutospacing="0"/>
              <w:ind w:left="0" w:right="0" w:firstLine="480"/>
              <w:rPr>
                <w:rFonts w:hint="eastAsia" w:ascii="Times New Roman" w:hAnsi="Times New Roman" w:eastAsia="宋体" w:cs="Times New Roman"/>
                <w:color w:val="auto"/>
                <w:sz w:val="24"/>
                <w:szCs w:val="28"/>
                <w:highlight w:val="none"/>
                <w:lang w:val="en-US" w:eastAsia="zh-CN"/>
              </w:rPr>
            </w:pPr>
            <w:r>
              <w:rPr>
                <w:rFonts w:hint="eastAsia" w:ascii="Times New Roman" w:hAnsi="Times New Roman" w:eastAsia="宋体" w:cs="Times New Roman"/>
                <w:color w:val="auto"/>
                <w:sz w:val="24"/>
                <w:szCs w:val="28"/>
                <w:highlight w:val="none"/>
                <w:lang w:val="en-US" w:eastAsia="zh-CN"/>
              </w:rPr>
              <w:t>本项目位于陕西省西咸新区泾河新城泾干街道泾晨路西，根据不动产权登记证书（陕2021西咸新区不动产权第0013288号、附件3），项目用地性质为工业用地</w:t>
            </w:r>
            <w:r>
              <w:rPr>
                <w:rFonts w:hint="default" w:ascii="Times New Roman" w:hAnsi="Times New Roman" w:eastAsia="宋体" w:cs="Times New Roman"/>
                <w:color w:val="auto"/>
                <w:sz w:val="24"/>
                <w:szCs w:val="28"/>
                <w:highlight w:val="none"/>
                <w:lang w:val="en-US" w:eastAsia="zh-CN"/>
              </w:rPr>
              <w:t>；</w:t>
            </w:r>
            <w:r>
              <w:rPr>
                <w:rFonts w:hint="eastAsia" w:ascii="Times New Roman" w:hAnsi="Times New Roman" w:eastAsia="宋体" w:cs="Times New Roman"/>
                <w:color w:val="auto"/>
                <w:sz w:val="24"/>
                <w:szCs w:val="28"/>
                <w:highlight w:val="none"/>
                <w:lang w:val="en-US" w:eastAsia="zh-CN"/>
              </w:rPr>
              <w:t>根据《西咸新区泾河新城控制性详细规划》，项目所在地规划用地性质为二类工业用地。</w:t>
            </w:r>
          </w:p>
          <w:p w14:paraId="26A65AFB">
            <w:pPr>
              <w:keepNext w:val="0"/>
              <w:keepLines w:val="0"/>
              <w:suppressLineNumbers w:val="0"/>
              <w:spacing w:before="0" w:beforeAutospacing="0" w:after="0" w:afterAutospacing="0"/>
              <w:ind w:left="0" w:right="0" w:firstLine="480"/>
              <w:rPr>
                <w:rFonts w:hint="default" w:ascii="Times New Roman" w:hAnsi="Times New Roman" w:eastAsia="宋体" w:cs="Times New Roman"/>
                <w:color w:val="auto"/>
                <w:sz w:val="24"/>
                <w:szCs w:val="28"/>
                <w:highlight w:val="none"/>
                <w:lang w:val="en-US" w:eastAsia="zh-CN"/>
              </w:rPr>
            </w:pPr>
            <w:r>
              <w:rPr>
                <w:rFonts w:hint="default" w:ascii="Times New Roman" w:hAnsi="Times New Roman" w:eastAsia="宋体" w:cs="Times New Roman"/>
                <w:color w:val="auto"/>
                <w:sz w:val="24"/>
                <w:szCs w:val="28"/>
                <w:highlight w:val="none"/>
                <w:lang w:val="en-US" w:eastAsia="zh-CN"/>
              </w:rPr>
              <w:t>项目选址不在当地自然保护区、风景名胜区、世界文化和自然遗产地、饮用水水源保护区范围内。</w:t>
            </w:r>
          </w:p>
          <w:p w14:paraId="02E9256F">
            <w:pPr>
              <w:keepNext w:val="0"/>
              <w:keepLines w:val="0"/>
              <w:suppressLineNumbers w:val="0"/>
              <w:spacing w:before="0" w:beforeAutospacing="0" w:after="0" w:afterAutospacing="0"/>
              <w:ind w:left="0" w:right="0" w:firstLine="480"/>
              <w:rPr>
                <w:rFonts w:hint="default" w:ascii="Times New Roman" w:hAnsi="Times New Roman" w:eastAsia="宋体" w:cs="Times New Roman"/>
                <w:color w:val="auto"/>
                <w:sz w:val="24"/>
                <w:szCs w:val="28"/>
                <w:highlight w:val="none"/>
                <w:lang w:val="en-US" w:eastAsia="zh-CN"/>
              </w:rPr>
            </w:pPr>
            <w:r>
              <w:rPr>
                <w:rFonts w:hint="eastAsia" w:ascii="Times New Roman" w:hAnsi="Times New Roman" w:eastAsia="宋体" w:cs="Times New Roman"/>
                <w:color w:val="auto"/>
                <w:sz w:val="24"/>
                <w:szCs w:val="28"/>
                <w:highlight w:val="none"/>
                <w:lang w:val="en-US" w:eastAsia="zh-CN"/>
              </w:rPr>
              <w:t>物料运输利用现有道路</w:t>
            </w:r>
            <w:r>
              <w:rPr>
                <w:rFonts w:hint="default" w:ascii="Times New Roman" w:hAnsi="Times New Roman" w:eastAsia="宋体" w:cs="Times New Roman"/>
                <w:color w:val="auto"/>
                <w:sz w:val="24"/>
                <w:szCs w:val="28"/>
                <w:highlight w:val="none"/>
                <w:lang w:val="en-US" w:eastAsia="zh-CN"/>
              </w:rPr>
              <w:t>、交通便利</w:t>
            </w:r>
            <w:r>
              <w:rPr>
                <w:rFonts w:hint="eastAsia" w:ascii="Times New Roman" w:hAnsi="Times New Roman" w:eastAsia="宋体" w:cs="Times New Roman"/>
                <w:color w:val="auto"/>
                <w:sz w:val="24"/>
                <w:szCs w:val="28"/>
                <w:highlight w:val="none"/>
                <w:lang w:val="en-US" w:eastAsia="zh-CN"/>
              </w:rPr>
              <w:t>，且</w:t>
            </w:r>
            <w:r>
              <w:rPr>
                <w:rFonts w:hint="default" w:ascii="Times New Roman" w:hAnsi="Times New Roman" w:eastAsia="宋体" w:cs="Times New Roman"/>
                <w:color w:val="auto"/>
                <w:sz w:val="24"/>
                <w:szCs w:val="28"/>
                <w:highlight w:val="none"/>
                <w:lang w:val="en-US" w:eastAsia="zh-CN"/>
              </w:rPr>
              <w:t>给水、供电、排水等基础设施完善，能满足本项目需求。</w:t>
            </w:r>
          </w:p>
          <w:p w14:paraId="105F9B56">
            <w:pPr>
              <w:keepNext w:val="0"/>
              <w:keepLines w:val="0"/>
              <w:suppressLineNumbers w:val="0"/>
              <w:spacing w:before="0" w:beforeAutospacing="0" w:after="0" w:afterAutospacing="0"/>
              <w:ind w:left="0" w:right="0" w:firstLine="480"/>
              <w:rPr>
                <w:rFonts w:hint="default" w:ascii="Times New Roman" w:hAnsi="Times New Roman" w:eastAsia="宋体" w:cs="Times New Roman"/>
                <w:color w:val="auto"/>
                <w:sz w:val="24"/>
                <w:szCs w:val="28"/>
                <w:highlight w:val="none"/>
                <w:lang w:val="en-US" w:eastAsia="zh-CN"/>
              </w:rPr>
            </w:pPr>
            <w:r>
              <w:rPr>
                <w:rFonts w:hint="eastAsia" w:ascii="Times New Roman" w:hAnsi="Times New Roman" w:eastAsia="宋体" w:cs="Times New Roman"/>
                <w:color w:val="auto"/>
                <w:sz w:val="24"/>
                <w:szCs w:val="28"/>
                <w:highlight w:val="none"/>
                <w:lang w:val="en-US" w:eastAsia="zh-CN"/>
              </w:rPr>
              <w:t>项目所在地西侧为陕西天正恒盛机电制造有限公司和陕西天科机电设备有限公司；北侧为泾河新城管理委员会城市管理综合执法局，东北为陕西省西咸新区泾河新城土地储备中心、东南为陕西西耐防腐设备有限公司；</w:t>
            </w:r>
            <w:r>
              <w:rPr>
                <w:rFonts w:hint="default" w:ascii="Times New Roman" w:hAnsi="Times New Roman" w:eastAsia="宋体" w:cs="Times New Roman"/>
                <w:color w:val="auto"/>
                <w:sz w:val="24"/>
                <w:szCs w:val="28"/>
                <w:highlight w:val="none"/>
                <w:lang w:val="en-US" w:eastAsia="zh-CN"/>
              </w:rPr>
              <w:t>东侧</w:t>
            </w:r>
            <w:r>
              <w:rPr>
                <w:rFonts w:hint="eastAsia" w:ascii="Times New Roman" w:hAnsi="Times New Roman" w:eastAsia="宋体" w:cs="Times New Roman"/>
                <w:color w:val="auto"/>
                <w:sz w:val="24"/>
                <w:szCs w:val="28"/>
                <w:highlight w:val="none"/>
                <w:lang w:val="en-US" w:eastAsia="zh-CN"/>
              </w:rPr>
              <w:t>为泾晨路，南侧为空地；在正常工况下，本项目与周边企业不会产生环境影响。</w:t>
            </w:r>
            <w:r>
              <w:rPr>
                <w:rFonts w:hint="default" w:ascii="Times New Roman" w:hAnsi="Times New Roman" w:eastAsia="宋体" w:cs="Times New Roman"/>
                <w:color w:val="auto"/>
                <w:sz w:val="24"/>
                <w:szCs w:val="28"/>
                <w:highlight w:val="none"/>
                <w:lang w:val="en-US" w:eastAsia="zh-CN"/>
              </w:rPr>
              <w:t>满足选址要求</w:t>
            </w:r>
            <w:r>
              <w:rPr>
                <w:rFonts w:hint="eastAsia" w:ascii="Times New Roman" w:hAnsi="Times New Roman" w:eastAsia="宋体" w:cs="Times New Roman"/>
                <w:color w:val="auto"/>
                <w:sz w:val="24"/>
                <w:szCs w:val="28"/>
                <w:highlight w:val="none"/>
                <w:lang w:val="en-US" w:eastAsia="zh-CN"/>
              </w:rPr>
              <w:t>。</w:t>
            </w:r>
          </w:p>
          <w:p w14:paraId="5633DEB7">
            <w:pPr>
              <w:keepNext w:val="0"/>
              <w:keepLines w:val="0"/>
              <w:suppressLineNumbers w:val="0"/>
              <w:spacing w:before="0" w:beforeAutospacing="0" w:after="0" w:afterAutospacing="0"/>
              <w:ind w:left="0" w:right="0" w:firstLine="480"/>
              <w:rPr>
                <w:rFonts w:hint="default" w:ascii="Times New Roman" w:hAnsi="Times New Roman" w:eastAsia="宋体" w:cs="Times New Roman"/>
                <w:color w:val="auto"/>
                <w:sz w:val="24"/>
                <w:szCs w:val="28"/>
                <w:highlight w:val="none"/>
                <w:lang w:val="en-US" w:eastAsia="zh-CN"/>
              </w:rPr>
            </w:pPr>
            <w:r>
              <w:rPr>
                <w:rFonts w:hint="eastAsia" w:ascii="Times New Roman" w:hAnsi="Times New Roman" w:eastAsia="宋体" w:cs="Times New Roman"/>
                <w:color w:val="auto"/>
                <w:sz w:val="24"/>
                <w:szCs w:val="28"/>
                <w:highlight w:val="none"/>
                <w:lang w:val="en-US" w:eastAsia="zh-CN"/>
              </w:rPr>
              <w:t>因此，项目选址可行</w:t>
            </w:r>
            <w:r>
              <w:rPr>
                <w:rFonts w:hint="default" w:ascii="Times New Roman" w:hAnsi="Times New Roman" w:eastAsia="宋体" w:cs="Times New Roman"/>
                <w:color w:val="auto"/>
                <w:sz w:val="24"/>
                <w:szCs w:val="28"/>
                <w:highlight w:val="none"/>
                <w:lang w:val="en-US" w:eastAsia="zh-CN"/>
              </w:rPr>
              <w:t>。</w:t>
            </w:r>
          </w:p>
          <w:p w14:paraId="3F4638E7">
            <w:pPr>
              <w:keepNext w:val="0"/>
              <w:keepLines w:val="0"/>
              <w:suppressLineNumbers w:val="0"/>
              <w:spacing w:before="0" w:beforeAutospacing="0" w:after="0" w:afterAutospacing="0"/>
              <w:ind w:left="0" w:right="0" w:firstLine="480"/>
              <w:rPr>
                <w:rFonts w:hint="default"/>
                <w:color w:val="auto"/>
                <w:highlight w:val="none"/>
              </w:rPr>
            </w:pPr>
          </w:p>
        </w:tc>
      </w:tr>
    </w:tbl>
    <w:p w14:paraId="42EEC656">
      <w:pPr>
        <w:ind w:firstLine="600"/>
        <w:outlineLvl w:val="0"/>
        <w:rPr>
          <w:rFonts w:eastAsia="黑体"/>
          <w:color w:val="auto"/>
          <w:sz w:val="30"/>
          <w:highlight w:val="none"/>
        </w:rPr>
        <w:sectPr>
          <w:pgSz w:w="11906" w:h="16838"/>
          <w:pgMar w:top="1701" w:right="1531" w:bottom="1701" w:left="1531" w:header="851" w:footer="1077" w:gutter="0"/>
          <w:pgBorders>
            <w:top w:val="none" w:sz="0" w:space="0"/>
            <w:left w:val="none" w:sz="0" w:space="0"/>
            <w:bottom w:val="none" w:sz="0" w:space="0"/>
            <w:right w:val="none" w:sz="0" w:space="0"/>
          </w:pgBorders>
          <w:pgNumType w:fmt="numberInDash"/>
          <w:cols w:space="720" w:num="1"/>
          <w:docGrid w:linePitch="312" w:charSpace="0"/>
        </w:sectPr>
      </w:pPr>
    </w:p>
    <w:p w14:paraId="290586D7">
      <w:pPr>
        <w:pStyle w:val="32"/>
        <w:spacing w:line="240" w:lineRule="auto"/>
        <w:ind w:firstLine="0" w:firstLineChars="0"/>
        <w:jc w:val="center"/>
        <w:outlineLvl w:val="0"/>
        <w:rPr>
          <w:rFonts w:ascii="Times New Roman" w:hAnsi="Times New Roman" w:eastAsia="黑体"/>
          <w:snapToGrid w:val="0"/>
          <w:color w:val="auto"/>
          <w:sz w:val="30"/>
          <w:szCs w:val="30"/>
          <w:highlight w:val="none"/>
        </w:rPr>
      </w:pPr>
      <w:r>
        <w:rPr>
          <w:rFonts w:ascii="Times New Roman" w:hAnsi="Times New Roman" w:eastAsia="黑体"/>
          <w:snapToGrid w:val="0"/>
          <w:color w:val="auto"/>
          <w:sz w:val="30"/>
          <w:szCs w:val="30"/>
          <w:highlight w:val="none"/>
        </w:rPr>
        <w:t>二、建设项目工程分析</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8664"/>
      </w:tblGrid>
      <w:tr w14:paraId="669F3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817" w:type="dxa"/>
          </w:tcPr>
          <w:p w14:paraId="312FEEB9">
            <w:pPr>
              <w:pStyle w:val="80"/>
              <w:keepNext w:val="0"/>
              <w:keepLines w:val="0"/>
              <w:widowControl/>
              <w:suppressLineNumbers w:val="0"/>
              <w:spacing w:before="0" w:beforeAutospacing="0" w:after="0" w:afterAutospacing="0"/>
              <w:ind w:left="0" w:right="0"/>
              <w:rPr>
                <w:rFonts w:hint="default"/>
                <w:color w:val="auto"/>
                <w:sz w:val="24"/>
                <w:szCs w:val="21"/>
                <w:highlight w:val="none"/>
              </w:rPr>
            </w:pPr>
            <w:r>
              <w:rPr>
                <w:rFonts w:hint="default"/>
                <w:color w:val="auto"/>
                <w:sz w:val="24"/>
                <w:szCs w:val="20"/>
                <w:highlight w:val="none"/>
              </w:rPr>
              <w:t>建设内容</w:t>
            </w:r>
          </w:p>
        </w:tc>
        <w:tc>
          <w:tcPr>
            <w:tcW w:w="8300" w:type="dxa"/>
          </w:tcPr>
          <w:p w14:paraId="6B0B7CFC">
            <w:pPr>
              <w:keepNext w:val="0"/>
              <w:keepLines w:val="0"/>
              <w:suppressLineNumbers w:val="0"/>
              <w:spacing w:before="120" w:beforeLines="50" w:beforeAutospacing="0" w:after="0" w:afterAutospacing="0"/>
              <w:ind w:left="0" w:right="0" w:firstLine="482"/>
              <w:rPr>
                <w:rFonts w:hint="default"/>
                <w:b/>
                <w:bCs/>
                <w:color w:val="auto"/>
                <w:highlight w:val="none"/>
              </w:rPr>
            </w:pPr>
            <w:r>
              <w:rPr>
                <w:rFonts w:hint="eastAsia"/>
                <w:b/>
                <w:bCs/>
                <w:color w:val="auto"/>
                <w:highlight w:val="none"/>
              </w:rPr>
              <w:t>一</w:t>
            </w:r>
            <w:r>
              <w:rPr>
                <w:rFonts w:hint="default"/>
                <w:b/>
                <w:bCs/>
                <w:color w:val="auto"/>
                <w:highlight w:val="none"/>
              </w:rPr>
              <w:t>、项目</w:t>
            </w:r>
            <w:r>
              <w:rPr>
                <w:rFonts w:hint="eastAsia"/>
                <w:b/>
                <w:bCs/>
                <w:color w:val="auto"/>
                <w:highlight w:val="none"/>
              </w:rPr>
              <w:t>依据</w:t>
            </w:r>
          </w:p>
          <w:p w14:paraId="31FB29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8"/>
              </w:rPr>
            </w:pPr>
            <w:r>
              <w:rPr>
                <w:rFonts w:hint="eastAsia"/>
                <w:color w:val="auto"/>
                <w:highlight w:val="none"/>
                <w:lang w:eastAsia="zh-CN"/>
              </w:rPr>
              <w:t>西咸新区膳韵餐饮管理有限公司</w:t>
            </w:r>
            <w:r>
              <w:rPr>
                <w:rFonts w:hint="default" w:ascii="Times New Roman" w:hAnsi="Times New Roman" w:eastAsia="宋体" w:cs="Times New Roman"/>
                <w:color w:val="auto"/>
                <w:sz w:val="24"/>
                <w:szCs w:val="24"/>
                <w:lang w:val="en-US" w:eastAsia="zh-CN"/>
              </w:rPr>
              <w:t>成立于201</w:t>
            </w:r>
            <w:r>
              <w:rPr>
                <w:rFonts w:hint="eastAsia" w:cs="Times New Roman"/>
                <w:color w:val="auto"/>
                <w:sz w:val="24"/>
                <w:szCs w:val="24"/>
                <w:lang w:val="en-US" w:eastAsia="zh-CN"/>
              </w:rPr>
              <w:t>9</w:t>
            </w:r>
            <w:r>
              <w:rPr>
                <w:rFonts w:hint="default" w:ascii="Times New Roman" w:hAnsi="Times New Roman" w:eastAsia="宋体" w:cs="Times New Roman"/>
                <w:color w:val="auto"/>
                <w:sz w:val="24"/>
                <w:szCs w:val="24"/>
                <w:lang w:val="en-US" w:eastAsia="zh-CN"/>
              </w:rPr>
              <w:t>年</w:t>
            </w:r>
            <w:r>
              <w:rPr>
                <w:rFonts w:hint="eastAsia" w:cs="Times New Roman"/>
                <w:color w:val="auto"/>
                <w:sz w:val="24"/>
                <w:szCs w:val="24"/>
                <w:lang w:val="en-US" w:eastAsia="zh-CN"/>
              </w:rPr>
              <w:t>10</w:t>
            </w:r>
            <w:r>
              <w:rPr>
                <w:rFonts w:hint="default" w:ascii="Times New Roman" w:hAnsi="Times New Roman" w:eastAsia="宋体" w:cs="Times New Roman"/>
                <w:color w:val="auto"/>
                <w:sz w:val="24"/>
                <w:szCs w:val="24"/>
                <w:lang w:val="en-US" w:eastAsia="zh-CN"/>
              </w:rPr>
              <w:t>月</w:t>
            </w:r>
            <w:r>
              <w:rPr>
                <w:rFonts w:hint="eastAsia" w:cs="Times New Roman"/>
                <w:color w:val="auto"/>
                <w:sz w:val="24"/>
                <w:szCs w:val="24"/>
                <w:lang w:val="en-US" w:eastAsia="zh-CN"/>
              </w:rPr>
              <w:t>16</w:t>
            </w:r>
            <w:r>
              <w:rPr>
                <w:rFonts w:hint="default" w:ascii="Times New Roman" w:hAnsi="Times New Roman" w:eastAsia="宋体" w:cs="Times New Roman"/>
                <w:color w:val="auto"/>
                <w:sz w:val="24"/>
                <w:szCs w:val="24"/>
                <w:lang w:val="en-US" w:eastAsia="zh-CN"/>
              </w:rPr>
              <w:t>日，</w:t>
            </w:r>
            <w:r>
              <w:rPr>
                <w:rFonts w:hint="eastAsia" w:ascii="宋体" w:hAnsi="宋体" w:eastAsia="宋体" w:cs="宋体"/>
                <w:b w:val="0"/>
                <w:bCs w:val="0"/>
                <w:color w:val="auto"/>
                <w:sz w:val="24"/>
                <w:szCs w:val="24"/>
                <w:lang w:val="en-US" w:eastAsia="zh-CN"/>
              </w:rPr>
              <w:t>是一家经</w:t>
            </w:r>
            <w:r>
              <w:rPr>
                <w:rFonts w:hint="eastAsia" w:ascii="宋体" w:hAnsi="宋体" w:eastAsia="宋体" w:cs="宋体"/>
                <w:i w:val="0"/>
                <w:caps w:val="0"/>
                <w:color w:val="auto"/>
                <w:spacing w:val="0"/>
                <w:sz w:val="24"/>
                <w:szCs w:val="24"/>
                <w:u w:val="none"/>
                <w:shd w:val="clear" w:color="auto" w:fill="FFFFFF"/>
              </w:rPr>
              <w:t>国家工商、卫生、劳动部门核准注册</w:t>
            </w:r>
            <w:r>
              <w:rPr>
                <w:rFonts w:hint="eastAsia" w:ascii="宋体" w:hAnsi="宋体" w:eastAsia="宋体" w:cs="宋体"/>
                <w:i w:val="0"/>
                <w:caps w:val="0"/>
                <w:color w:val="auto"/>
                <w:spacing w:val="0"/>
                <w:sz w:val="24"/>
                <w:szCs w:val="24"/>
                <w:u w:val="none"/>
                <w:shd w:val="clear" w:color="auto" w:fill="FFFFFF"/>
                <w:lang w:eastAsia="zh-CN"/>
              </w:rPr>
              <w:t>，</w:t>
            </w:r>
            <w:r>
              <w:rPr>
                <w:rFonts w:hint="eastAsia" w:ascii="宋体" w:hAnsi="宋体" w:eastAsia="宋体" w:cs="宋体"/>
                <w:b w:val="0"/>
                <w:bCs w:val="0"/>
                <w:color w:val="auto"/>
                <w:sz w:val="24"/>
                <w:szCs w:val="24"/>
                <w:lang w:val="en-US" w:eastAsia="zh-CN"/>
              </w:rPr>
              <w:t>引进先进中央厨房生产设备、检测设备，生产包子、馒头、</w:t>
            </w:r>
            <w:r>
              <w:rPr>
                <w:rFonts w:hint="eastAsia" w:ascii="宋体" w:hAnsi="宋体" w:cs="宋体"/>
                <w:b w:val="0"/>
                <w:bCs w:val="0"/>
                <w:color w:val="auto"/>
                <w:sz w:val="24"/>
                <w:szCs w:val="24"/>
                <w:lang w:val="en-US" w:eastAsia="zh-CN"/>
              </w:rPr>
              <w:t>营养粥</w:t>
            </w:r>
            <w:r>
              <w:rPr>
                <w:rFonts w:hint="eastAsia" w:ascii="宋体" w:hAnsi="宋体" w:eastAsia="宋体" w:cs="宋体"/>
                <w:b w:val="0"/>
                <w:bCs w:val="0"/>
                <w:color w:val="auto"/>
                <w:sz w:val="24"/>
                <w:szCs w:val="24"/>
                <w:lang w:val="en-US" w:eastAsia="zh-CN"/>
              </w:rPr>
              <w:t>、炒菜、米饭及膳韵特有的卤制品加工、企事业团餐的定制以及净菜加工企业。因业务发展公司决定在</w:t>
            </w:r>
            <w:r>
              <w:rPr>
                <w:rFonts w:hint="eastAsia"/>
                <w:color w:val="auto"/>
                <w:highlight w:val="none"/>
              </w:rPr>
              <w:t>西咸新区</w:t>
            </w:r>
            <w:r>
              <w:rPr>
                <w:rFonts w:hint="eastAsia"/>
                <w:color w:val="auto"/>
                <w:highlight w:val="none"/>
                <w:lang w:eastAsia="zh-CN"/>
              </w:rPr>
              <w:t>泾河新城泾干街道泾晨路西</w:t>
            </w:r>
            <w:r>
              <w:rPr>
                <w:rFonts w:hint="eastAsia"/>
                <w:color w:val="auto"/>
                <w:highlight w:val="none"/>
                <w:lang w:val="en-US" w:eastAsia="zh-CN"/>
              </w:rPr>
              <w:t>建设</w:t>
            </w:r>
            <w:r>
              <w:rPr>
                <w:rFonts w:hint="eastAsia"/>
                <w:color w:val="auto"/>
                <w:highlight w:val="none"/>
                <w:lang w:eastAsia="zh-CN"/>
              </w:rPr>
              <w:t>西咸新区膳韵餐饮管理有限公司食品产业园项目，</w:t>
            </w:r>
            <w:r>
              <w:rPr>
                <w:rFonts w:hint="eastAsia"/>
                <w:color w:val="auto"/>
                <w:highlight w:val="none"/>
                <w:lang w:val="en-US" w:eastAsia="zh-CN"/>
              </w:rPr>
              <w:t>总占地面积26906.06m</w:t>
            </w:r>
            <w:r>
              <w:rPr>
                <w:rFonts w:hint="eastAsia"/>
                <w:color w:val="auto"/>
                <w:highlight w:val="none"/>
                <w:vertAlign w:val="superscript"/>
                <w:lang w:val="en-US" w:eastAsia="zh-CN"/>
              </w:rPr>
              <w:t>2</w:t>
            </w:r>
            <w:r>
              <w:rPr>
                <w:rFonts w:hint="eastAsia"/>
                <w:color w:val="auto"/>
                <w:highlight w:val="none"/>
                <w:lang w:val="en-US" w:eastAsia="zh-CN"/>
              </w:rPr>
              <w:t>，其中</w:t>
            </w:r>
            <w:r>
              <w:rPr>
                <w:rFonts w:hint="eastAsia" w:ascii="Times New Roman" w:hAnsi="Times New Roman" w:eastAsia="宋体" w:cs="Times New Roman"/>
                <w:color w:val="auto"/>
                <w:highlight w:val="none"/>
                <w:lang w:val="en-US" w:eastAsia="zh-CN"/>
              </w:rPr>
              <w:t>厂房4000平方米，配套3000平方米，并购置6条食品生产线设备。年生产凉皮100吨、面条200吨、馒头</w:t>
            </w:r>
            <w:r>
              <w:rPr>
                <w:rFonts w:hint="eastAsia" w:cs="Times New Roman"/>
                <w:color w:val="auto"/>
                <w:highlight w:val="none"/>
                <w:lang w:val="en-US" w:eastAsia="zh-CN"/>
              </w:rPr>
              <w:t>1</w:t>
            </w:r>
            <w:r>
              <w:rPr>
                <w:rFonts w:hint="eastAsia" w:ascii="Times New Roman" w:hAnsi="Times New Roman" w:eastAsia="宋体" w:cs="Times New Roman"/>
                <w:color w:val="auto"/>
                <w:highlight w:val="none"/>
                <w:lang w:val="en-US" w:eastAsia="zh-CN"/>
              </w:rPr>
              <w:t>000万个、</w:t>
            </w:r>
            <w:r>
              <w:rPr>
                <w:rFonts w:hint="eastAsia" w:cs="Times New Roman"/>
                <w:color w:val="auto"/>
                <w:highlight w:val="none"/>
                <w:lang w:val="en-US" w:eastAsia="zh-CN"/>
              </w:rPr>
              <w:t>包子1</w:t>
            </w:r>
            <w:r>
              <w:rPr>
                <w:rFonts w:hint="eastAsia" w:ascii="Times New Roman" w:hAnsi="Times New Roman" w:eastAsia="宋体" w:cs="Times New Roman"/>
                <w:color w:val="auto"/>
                <w:highlight w:val="none"/>
                <w:lang w:val="en-US" w:eastAsia="zh-CN"/>
              </w:rPr>
              <w:t>000万个、稀饭2000万杯、盒饭10万盒、蛋糕2000万个、面包1800万个、酥饼1800万个、净菜390吨</w:t>
            </w:r>
            <w:r>
              <w:rPr>
                <w:rFonts w:hint="default" w:ascii="Times New Roman" w:hAnsi="Times New Roman" w:cs="Times New Roman"/>
                <w:color w:val="auto"/>
                <w:sz w:val="24"/>
                <w:szCs w:val="28"/>
              </w:rPr>
              <w:t>。</w:t>
            </w:r>
          </w:p>
          <w:p w14:paraId="339AE067">
            <w:pPr>
              <w:keepNext w:val="0"/>
              <w:keepLines w:val="0"/>
              <w:suppressLineNumbers w:val="0"/>
              <w:spacing w:before="0" w:beforeAutospacing="0" w:after="0" w:afterAutospacing="0"/>
              <w:ind w:left="0" w:right="0" w:firstLine="480"/>
              <w:rPr>
                <w:rFonts w:hint="default"/>
                <w:bCs/>
                <w:iCs/>
                <w:color w:val="auto"/>
                <w:highlight w:val="none"/>
                <w:lang w:val="zh-CN"/>
              </w:rPr>
            </w:pPr>
            <w:r>
              <w:rPr>
                <w:rFonts w:hint="default"/>
                <w:bCs/>
                <w:iCs/>
                <w:color w:val="auto"/>
                <w:highlight w:val="none"/>
                <w:lang w:val="zh-CN"/>
              </w:rPr>
              <w:t>根据《中华人民共和国环境影响评价法》（2018年12月29日修正）、《建设项目环境保护管理条例》（国务院令第682号2017年10月1日）和《建设项目环境影响评价分类管理名录》（部令第</w:t>
            </w:r>
            <w:r>
              <w:rPr>
                <w:rFonts w:hint="default"/>
                <w:bCs/>
                <w:iCs/>
                <w:color w:val="auto"/>
                <w:highlight w:val="none"/>
              </w:rPr>
              <w:t>16号</w:t>
            </w:r>
            <w:r>
              <w:rPr>
                <w:rFonts w:hint="default"/>
                <w:bCs/>
                <w:iCs/>
                <w:color w:val="auto"/>
                <w:highlight w:val="none"/>
                <w:lang w:val="zh-CN"/>
              </w:rPr>
              <w:t>）相关规定，本项目属于</w:t>
            </w:r>
            <w:r>
              <w:rPr>
                <w:rFonts w:hint="eastAsia"/>
                <w:bCs/>
                <w:iCs/>
                <w:color w:val="auto"/>
                <w:highlight w:val="none"/>
                <w:lang w:val="zh-CN"/>
              </w:rPr>
              <w:t>“十</w:t>
            </w:r>
            <w:r>
              <w:rPr>
                <w:rFonts w:hint="eastAsia"/>
                <w:bCs/>
                <w:iCs/>
                <w:color w:val="auto"/>
                <w:highlight w:val="none"/>
                <w:lang w:val="en-US" w:eastAsia="zh-CN"/>
              </w:rPr>
              <w:t>一</w:t>
            </w:r>
            <w:r>
              <w:rPr>
                <w:rFonts w:hint="default"/>
                <w:bCs/>
                <w:iCs/>
                <w:color w:val="auto"/>
                <w:highlight w:val="none"/>
                <w:lang w:val="zh-CN"/>
              </w:rPr>
              <w:t>、</w:t>
            </w:r>
            <w:r>
              <w:rPr>
                <w:rFonts w:hint="eastAsia"/>
                <w:bCs/>
                <w:iCs/>
                <w:color w:val="auto"/>
                <w:highlight w:val="none"/>
                <w:lang w:val="en-US" w:eastAsia="zh-CN"/>
              </w:rPr>
              <w:t>食品制造</w:t>
            </w:r>
            <w:r>
              <w:rPr>
                <w:rFonts w:hint="eastAsia"/>
                <w:bCs/>
                <w:iCs/>
                <w:color w:val="auto"/>
                <w:highlight w:val="none"/>
              </w:rPr>
              <w:t>业</w:t>
            </w:r>
            <w:r>
              <w:rPr>
                <w:rFonts w:hint="eastAsia"/>
                <w:bCs/>
                <w:iCs/>
                <w:color w:val="auto"/>
                <w:highlight w:val="none"/>
                <w:lang w:val="en-US" w:eastAsia="zh-CN"/>
              </w:rPr>
              <w:t>14</w:t>
            </w:r>
            <w:r>
              <w:rPr>
                <w:rFonts w:hint="eastAsia"/>
                <w:bCs/>
                <w:iCs/>
                <w:color w:val="auto"/>
                <w:highlight w:val="none"/>
                <w:lang w:val="zh-CN"/>
              </w:rPr>
              <w:t>”</w:t>
            </w:r>
            <w:r>
              <w:rPr>
                <w:rFonts w:hint="default"/>
                <w:bCs/>
                <w:iCs/>
                <w:color w:val="auto"/>
                <w:highlight w:val="none"/>
                <w:lang w:val="zh-CN"/>
              </w:rPr>
              <w:t>中</w:t>
            </w:r>
            <w:r>
              <w:rPr>
                <w:rFonts w:hint="eastAsia"/>
                <w:bCs/>
                <w:iCs/>
                <w:color w:val="auto"/>
                <w:highlight w:val="none"/>
                <w:lang w:val="zh-CN"/>
              </w:rPr>
              <w:t>“</w:t>
            </w:r>
            <w:r>
              <w:rPr>
                <w:rFonts w:hint="eastAsia"/>
                <w:bCs/>
                <w:iCs/>
                <w:color w:val="auto"/>
                <w:highlight w:val="none"/>
                <w:lang w:val="en-US" w:eastAsia="zh-CN"/>
              </w:rPr>
              <w:t>21</w:t>
            </w:r>
            <w:r>
              <w:rPr>
                <w:rFonts w:hint="eastAsia"/>
                <w:bCs/>
                <w:iCs/>
                <w:color w:val="auto"/>
                <w:highlight w:val="none"/>
              </w:rPr>
              <w:t>、</w:t>
            </w:r>
            <w:r>
              <w:rPr>
                <w:rFonts w:hint="eastAsia"/>
                <w:bCs/>
                <w:iCs/>
                <w:color w:val="auto"/>
                <w:highlight w:val="none"/>
                <w:lang w:val="en-US" w:eastAsia="zh-CN"/>
              </w:rPr>
              <w:t>方便食品制造143</w:t>
            </w:r>
            <w:r>
              <w:rPr>
                <w:rFonts w:hint="eastAsia"/>
                <w:bCs/>
                <w:iCs/>
                <w:color w:val="auto"/>
                <w:highlight w:val="none"/>
                <w:lang w:val="zh-CN"/>
              </w:rPr>
              <w:t>”、“</w:t>
            </w:r>
            <w:r>
              <w:rPr>
                <w:rFonts w:hint="eastAsia"/>
                <w:bCs/>
                <w:iCs/>
                <w:color w:val="auto"/>
                <w:highlight w:val="none"/>
                <w:lang w:val="en-US" w:eastAsia="zh-CN"/>
              </w:rPr>
              <w:t>24、其他食品制造</w:t>
            </w:r>
            <w:r>
              <w:rPr>
                <w:rFonts w:hint="eastAsia"/>
                <w:bCs/>
                <w:iCs/>
                <w:color w:val="auto"/>
                <w:highlight w:val="none"/>
                <w:lang w:val="zh-CN"/>
              </w:rPr>
              <w:t>”，</w:t>
            </w:r>
            <w:r>
              <w:rPr>
                <w:rFonts w:hint="default"/>
                <w:bCs/>
                <w:iCs/>
                <w:color w:val="auto"/>
                <w:highlight w:val="none"/>
                <w:lang w:val="zh-CN"/>
              </w:rPr>
              <w:t>应当编制环境影响报告表</w:t>
            </w:r>
            <w:r>
              <w:rPr>
                <w:rFonts w:hint="eastAsia"/>
                <w:bCs/>
                <w:iCs/>
                <w:color w:val="auto"/>
                <w:highlight w:val="none"/>
                <w:lang w:val="zh-CN"/>
              </w:rPr>
              <w:t>。</w:t>
            </w:r>
          </w:p>
          <w:p w14:paraId="276D8BCC">
            <w:pPr>
              <w:keepNext w:val="0"/>
              <w:keepLines w:val="0"/>
              <w:suppressLineNumbers w:val="0"/>
              <w:spacing w:before="0" w:beforeAutospacing="0" w:after="0" w:afterAutospacing="0"/>
              <w:ind w:left="0" w:right="0" w:firstLine="482"/>
              <w:rPr>
                <w:rFonts w:hint="default"/>
                <w:b/>
                <w:bCs/>
                <w:color w:val="auto"/>
                <w:highlight w:val="none"/>
              </w:rPr>
            </w:pPr>
            <w:r>
              <w:rPr>
                <w:rFonts w:hint="eastAsia"/>
                <w:b/>
                <w:bCs/>
                <w:color w:val="auto"/>
                <w:highlight w:val="none"/>
              </w:rPr>
              <w:t>二</w:t>
            </w:r>
            <w:r>
              <w:rPr>
                <w:rFonts w:hint="default"/>
                <w:b/>
                <w:bCs/>
                <w:color w:val="auto"/>
                <w:highlight w:val="none"/>
              </w:rPr>
              <w:t>、项目概况</w:t>
            </w:r>
          </w:p>
          <w:p w14:paraId="4D48A3BC">
            <w:pPr>
              <w:keepNext w:val="0"/>
              <w:keepLines w:val="0"/>
              <w:suppressLineNumbers w:val="0"/>
              <w:spacing w:before="0" w:beforeAutospacing="0" w:after="0" w:afterAutospacing="0"/>
              <w:ind w:left="1752" w:leftChars="228" w:right="0" w:hanging="1205" w:hangingChars="500"/>
              <w:rPr>
                <w:rFonts w:hint="default"/>
                <w:b/>
                <w:color w:val="auto"/>
                <w:highlight w:val="none"/>
              </w:rPr>
            </w:pPr>
            <w:r>
              <w:rPr>
                <w:rFonts w:hint="eastAsia"/>
                <w:b/>
                <w:color w:val="auto"/>
                <w:highlight w:val="none"/>
              </w:rPr>
              <w:t>1、项目基本情况</w:t>
            </w:r>
          </w:p>
          <w:p w14:paraId="65B6EB71">
            <w:pPr>
              <w:keepNext w:val="0"/>
              <w:keepLines w:val="0"/>
              <w:suppressLineNumbers w:val="0"/>
              <w:spacing w:before="0" w:beforeAutospacing="0" w:after="0" w:afterAutospacing="0"/>
              <w:ind w:left="0" w:right="0" w:firstLine="480"/>
              <w:rPr>
                <w:rFonts w:hint="eastAsia" w:eastAsia="宋体"/>
                <w:color w:val="auto"/>
                <w:highlight w:val="none"/>
                <w:lang w:eastAsia="zh-CN"/>
              </w:rPr>
            </w:pPr>
            <w:r>
              <w:rPr>
                <w:rFonts w:hint="default"/>
                <w:color w:val="auto"/>
                <w:highlight w:val="none"/>
              </w:rPr>
              <w:t>项目名称：</w:t>
            </w:r>
            <w:r>
              <w:rPr>
                <w:rFonts w:hint="eastAsia"/>
                <w:color w:val="auto"/>
                <w:highlight w:val="none"/>
                <w:lang w:eastAsia="zh-CN"/>
              </w:rPr>
              <w:t>西咸新区膳韵餐饮管理有限公司食品产业园项目</w:t>
            </w:r>
          </w:p>
          <w:p w14:paraId="0A4124A2">
            <w:pPr>
              <w:keepNext w:val="0"/>
              <w:keepLines w:val="0"/>
              <w:suppressLineNumbers w:val="0"/>
              <w:spacing w:before="0" w:beforeAutospacing="0" w:after="0" w:afterAutospacing="0"/>
              <w:ind w:left="0" w:right="0" w:firstLine="480"/>
              <w:rPr>
                <w:rFonts w:hint="eastAsia" w:eastAsia="宋体"/>
                <w:color w:val="auto"/>
                <w:highlight w:val="none"/>
                <w:lang w:eastAsia="zh-CN"/>
              </w:rPr>
            </w:pPr>
            <w:r>
              <w:rPr>
                <w:rFonts w:hint="default"/>
                <w:color w:val="auto"/>
                <w:highlight w:val="none"/>
              </w:rPr>
              <w:t>建设单位：</w:t>
            </w:r>
            <w:r>
              <w:rPr>
                <w:rFonts w:hint="eastAsia"/>
                <w:color w:val="auto"/>
                <w:highlight w:val="none"/>
                <w:lang w:eastAsia="zh-CN"/>
              </w:rPr>
              <w:t>西咸新区膳韵餐饮管理有限公司</w:t>
            </w:r>
          </w:p>
          <w:p w14:paraId="6812673A">
            <w:pPr>
              <w:keepNext w:val="0"/>
              <w:keepLines w:val="0"/>
              <w:suppressLineNumbers w:val="0"/>
              <w:spacing w:before="0" w:beforeAutospacing="0" w:after="0" w:afterAutospacing="0"/>
              <w:ind w:left="0" w:right="0" w:firstLine="480"/>
              <w:rPr>
                <w:rFonts w:hint="eastAsia" w:eastAsia="宋体"/>
                <w:color w:val="auto"/>
                <w:highlight w:val="none"/>
                <w:lang w:eastAsia="zh-CN"/>
              </w:rPr>
            </w:pPr>
            <w:r>
              <w:rPr>
                <w:rFonts w:hint="default"/>
                <w:color w:val="auto"/>
                <w:highlight w:val="none"/>
              </w:rPr>
              <w:t>建设性质：</w:t>
            </w:r>
            <w:r>
              <w:rPr>
                <w:rFonts w:hint="eastAsia"/>
                <w:color w:val="auto"/>
                <w:highlight w:val="none"/>
                <w:lang w:val="en-US" w:eastAsia="zh-CN"/>
              </w:rPr>
              <w:t>新建</w:t>
            </w:r>
          </w:p>
          <w:p w14:paraId="5B3D0F6A">
            <w:pPr>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项目投资：项目总投资为</w:t>
            </w:r>
            <w:r>
              <w:rPr>
                <w:rFonts w:hint="eastAsia"/>
                <w:color w:val="auto"/>
                <w:highlight w:val="none"/>
                <w:lang w:val="en-US" w:eastAsia="zh-CN"/>
              </w:rPr>
              <w:t>2622</w:t>
            </w:r>
            <w:r>
              <w:rPr>
                <w:rFonts w:hint="eastAsia"/>
                <w:color w:val="auto"/>
                <w:highlight w:val="none"/>
                <w:lang w:eastAsia="zh-CN"/>
              </w:rPr>
              <w:t>万元</w:t>
            </w:r>
            <w:r>
              <w:rPr>
                <w:rFonts w:hint="default"/>
                <w:color w:val="auto"/>
                <w:highlight w:val="none"/>
              </w:rPr>
              <w:t>，环保投资为</w:t>
            </w:r>
            <w:r>
              <w:rPr>
                <w:rFonts w:hint="eastAsia"/>
                <w:color w:val="auto"/>
                <w:highlight w:val="none"/>
                <w:lang w:val="en-US" w:eastAsia="zh-CN"/>
              </w:rPr>
              <w:t>48.2</w:t>
            </w:r>
            <w:r>
              <w:rPr>
                <w:rFonts w:hint="default"/>
                <w:color w:val="auto"/>
                <w:highlight w:val="none"/>
              </w:rPr>
              <w:t>万元，占总投资的</w:t>
            </w:r>
            <w:r>
              <w:rPr>
                <w:rFonts w:hint="eastAsia"/>
                <w:color w:val="auto"/>
                <w:highlight w:val="none"/>
                <w:lang w:val="en-US" w:eastAsia="zh-CN"/>
              </w:rPr>
              <w:t>1.84</w:t>
            </w:r>
            <w:r>
              <w:rPr>
                <w:rFonts w:hint="eastAsia"/>
                <w:color w:val="auto"/>
                <w:highlight w:val="none"/>
                <w:lang w:eastAsia="zh-CN"/>
              </w:rPr>
              <w:t>%</w:t>
            </w:r>
            <w:r>
              <w:rPr>
                <w:rFonts w:hint="eastAsia"/>
                <w:color w:val="auto"/>
                <w:highlight w:val="none"/>
              </w:rPr>
              <w:t>，</w:t>
            </w:r>
            <w:r>
              <w:rPr>
                <w:rFonts w:hint="default"/>
                <w:color w:val="auto"/>
                <w:highlight w:val="none"/>
              </w:rPr>
              <w:t>资金来源于企业自筹。</w:t>
            </w:r>
          </w:p>
          <w:p w14:paraId="61B3D6E0">
            <w:pPr>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建设地点：</w:t>
            </w:r>
            <w:r>
              <w:rPr>
                <w:rFonts w:hint="eastAsia"/>
                <w:color w:val="auto"/>
                <w:highlight w:val="none"/>
              </w:rPr>
              <w:t>陕西省西咸新区</w:t>
            </w:r>
            <w:r>
              <w:rPr>
                <w:rFonts w:hint="eastAsia"/>
                <w:color w:val="auto"/>
                <w:highlight w:val="none"/>
                <w:lang w:eastAsia="zh-CN"/>
              </w:rPr>
              <w:t>泾河新城泾干街道泾晨路西</w:t>
            </w:r>
            <w:r>
              <w:rPr>
                <w:rFonts w:hint="default"/>
                <w:color w:val="auto"/>
                <w:highlight w:val="none"/>
              </w:rPr>
              <w:t>，中心地理坐标为东经10</w:t>
            </w:r>
            <w:r>
              <w:rPr>
                <w:rFonts w:hint="eastAsia"/>
                <w:color w:val="auto"/>
                <w:highlight w:val="none"/>
              </w:rPr>
              <w:t>8</w:t>
            </w:r>
            <w:r>
              <w:rPr>
                <w:rFonts w:hint="default"/>
                <w:color w:val="auto"/>
                <w:highlight w:val="none"/>
              </w:rPr>
              <w:t>度</w:t>
            </w:r>
            <w:r>
              <w:rPr>
                <w:rFonts w:hint="eastAsia"/>
                <w:color w:val="auto"/>
                <w:highlight w:val="none"/>
              </w:rPr>
              <w:t>5</w:t>
            </w:r>
            <w:r>
              <w:rPr>
                <w:rFonts w:hint="eastAsia"/>
                <w:color w:val="auto"/>
                <w:highlight w:val="none"/>
                <w:lang w:val="en-US" w:eastAsia="zh-CN"/>
              </w:rPr>
              <w:t>4</w:t>
            </w:r>
            <w:r>
              <w:rPr>
                <w:rFonts w:hint="default"/>
                <w:color w:val="auto"/>
                <w:highlight w:val="none"/>
              </w:rPr>
              <w:t>分</w:t>
            </w:r>
            <w:r>
              <w:rPr>
                <w:rFonts w:hint="eastAsia"/>
                <w:color w:val="auto"/>
                <w:highlight w:val="none"/>
                <w:lang w:val="en-US" w:eastAsia="zh-CN"/>
              </w:rPr>
              <w:t>12.256</w:t>
            </w:r>
            <w:r>
              <w:rPr>
                <w:rFonts w:hint="default"/>
                <w:color w:val="auto"/>
                <w:highlight w:val="none"/>
              </w:rPr>
              <w:t>秒，北纬34度</w:t>
            </w:r>
            <w:r>
              <w:rPr>
                <w:rFonts w:hint="eastAsia"/>
                <w:color w:val="auto"/>
                <w:highlight w:val="none"/>
              </w:rPr>
              <w:t>3</w:t>
            </w:r>
            <w:r>
              <w:rPr>
                <w:rFonts w:hint="eastAsia"/>
                <w:color w:val="auto"/>
                <w:highlight w:val="none"/>
                <w:lang w:val="en-US" w:eastAsia="zh-CN"/>
              </w:rPr>
              <w:t>2</w:t>
            </w:r>
            <w:r>
              <w:rPr>
                <w:rFonts w:hint="default"/>
                <w:color w:val="auto"/>
                <w:highlight w:val="none"/>
              </w:rPr>
              <w:t>分</w:t>
            </w:r>
            <w:r>
              <w:rPr>
                <w:rFonts w:hint="eastAsia"/>
                <w:color w:val="auto"/>
                <w:highlight w:val="none"/>
                <w:lang w:val="en-US" w:eastAsia="zh-CN"/>
              </w:rPr>
              <w:t>18.355</w:t>
            </w:r>
            <w:r>
              <w:rPr>
                <w:rFonts w:hint="default"/>
                <w:color w:val="auto"/>
                <w:highlight w:val="none"/>
              </w:rPr>
              <w:t>秒</w:t>
            </w:r>
            <w:r>
              <w:rPr>
                <w:rFonts w:hint="eastAsia"/>
                <w:color w:val="auto"/>
                <w:highlight w:val="none"/>
              </w:rPr>
              <w:t>，</w:t>
            </w:r>
            <w:r>
              <w:rPr>
                <w:rFonts w:hint="default"/>
                <w:color w:val="auto"/>
                <w:highlight w:val="none"/>
              </w:rPr>
              <w:t>详见附图</w:t>
            </w:r>
            <w:r>
              <w:rPr>
                <w:rFonts w:hint="eastAsia"/>
                <w:color w:val="auto"/>
                <w:highlight w:val="none"/>
              </w:rPr>
              <w:t>1</w:t>
            </w:r>
            <w:r>
              <w:rPr>
                <w:rFonts w:hint="default"/>
                <w:color w:val="auto"/>
                <w:highlight w:val="none"/>
              </w:rPr>
              <w:t>地理位置图。</w:t>
            </w:r>
          </w:p>
          <w:p w14:paraId="20B3D68F">
            <w:pPr>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四邻关系：</w:t>
            </w:r>
            <w:r>
              <w:rPr>
                <w:rFonts w:hint="eastAsia"/>
                <w:color w:val="auto"/>
                <w:highlight w:val="none"/>
                <w:lang w:val="en-US" w:eastAsia="zh-CN"/>
              </w:rPr>
              <w:t>本</w:t>
            </w:r>
            <w:r>
              <w:rPr>
                <w:rFonts w:hint="eastAsia"/>
                <w:color w:val="auto"/>
                <w:highlight w:val="none"/>
              </w:rPr>
              <w:t>项目</w:t>
            </w:r>
            <w:r>
              <w:rPr>
                <w:rFonts w:hint="default"/>
                <w:color w:val="auto"/>
                <w:highlight w:val="none"/>
              </w:rPr>
              <w:t>东侧</w:t>
            </w:r>
            <w:r>
              <w:rPr>
                <w:rFonts w:hint="eastAsia"/>
                <w:color w:val="auto"/>
                <w:highlight w:val="none"/>
                <w:lang w:val="en-US" w:eastAsia="zh-CN"/>
              </w:rPr>
              <w:t>邻泾</w:t>
            </w:r>
            <w:r>
              <w:rPr>
                <w:rFonts w:hint="eastAsia" w:ascii="Times New Roman" w:hAnsi="Times New Roman" w:eastAsia="宋体" w:cs="Times New Roman"/>
                <w:color w:val="auto"/>
                <w:highlight w:val="none"/>
                <w:lang w:val="en-US" w:eastAsia="zh-CN"/>
              </w:rPr>
              <w:t>晨路，南侧为</w:t>
            </w:r>
            <w:r>
              <w:rPr>
                <w:rFonts w:hint="eastAsia" w:cs="Times New Roman"/>
                <w:color w:val="auto"/>
                <w:highlight w:val="none"/>
                <w:lang w:val="en-US" w:eastAsia="zh-CN"/>
              </w:rPr>
              <w:t>空地</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西侧为陕西天正恒盛机电制造</w:t>
            </w:r>
            <w:r>
              <w:rPr>
                <w:rFonts w:hint="eastAsia" w:cs="Times New Roman"/>
                <w:color w:val="auto"/>
                <w:highlight w:val="none"/>
                <w:lang w:val="en-US" w:eastAsia="zh-CN"/>
              </w:rPr>
              <w:t>有限公司</w:t>
            </w:r>
            <w:r>
              <w:rPr>
                <w:rFonts w:hint="eastAsia" w:ascii="Times New Roman" w:hAnsi="Times New Roman" w:eastAsia="宋体" w:cs="Times New Roman"/>
                <w:color w:val="auto"/>
                <w:highlight w:val="none"/>
                <w:lang w:val="en-US" w:eastAsia="zh-CN"/>
              </w:rPr>
              <w:t>和陕西天科机电设备有限公司，北侧为</w:t>
            </w:r>
            <w:r>
              <w:rPr>
                <w:rFonts w:hint="eastAsia" w:cs="Times New Roman"/>
                <w:color w:val="auto"/>
                <w:highlight w:val="none"/>
                <w:lang w:val="en-US" w:eastAsia="zh-CN"/>
              </w:rPr>
              <w:t>泾河新城管理委员会城市管理综合执法局，东北</w:t>
            </w:r>
            <w:r>
              <w:rPr>
                <w:rFonts w:hint="eastAsia" w:ascii="Times New Roman" w:hAnsi="Times New Roman" w:eastAsia="宋体" w:cs="Times New Roman"/>
                <w:color w:val="auto"/>
                <w:highlight w:val="none"/>
                <w:lang w:val="en-US" w:eastAsia="zh-CN"/>
              </w:rPr>
              <w:t>为</w:t>
            </w:r>
            <w:r>
              <w:rPr>
                <w:rFonts w:hint="eastAsia" w:cs="Times New Roman"/>
                <w:color w:val="auto"/>
                <w:highlight w:val="none"/>
                <w:lang w:val="en-US" w:eastAsia="zh-CN"/>
              </w:rPr>
              <w:t>陕西省西咸新区</w:t>
            </w:r>
            <w:r>
              <w:rPr>
                <w:rFonts w:hint="eastAsia" w:ascii="Times New Roman" w:hAnsi="Times New Roman" w:eastAsia="宋体" w:cs="Times New Roman"/>
                <w:color w:val="auto"/>
                <w:highlight w:val="none"/>
                <w:lang w:val="en-US" w:eastAsia="zh-CN"/>
              </w:rPr>
              <w:t>泾河</w:t>
            </w:r>
            <w:r>
              <w:rPr>
                <w:rFonts w:hint="eastAsia"/>
                <w:color w:val="auto"/>
                <w:highlight w:val="none"/>
                <w:lang w:val="en-US" w:eastAsia="zh-CN"/>
              </w:rPr>
              <w:t>新城土地储备中心、东南为陕西西耐防腐设备有限公司</w:t>
            </w:r>
            <w:r>
              <w:rPr>
                <w:rFonts w:hint="eastAsia"/>
                <w:color w:val="auto"/>
                <w:highlight w:val="none"/>
              </w:rPr>
              <w:t>；</w:t>
            </w:r>
            <w:r>
              <w:rPr>
                <w:rFonts w:hint="default"/>
                <w:color w:val="auto"/>
                <w:highlight w:val="none"/>
              </w:rPr>
              <w:t>详见附图</w:t>
            </w:r>
            <w:r>
              <w:rPr>
                <w:rFonts w:hint="eastAsia"/>
                <w:color w:val="auto"/>
                <w:highlight w:val="none"/>
              </w:rPr>
              <w:t>2</w:t>
            </w:r>
            <w:r>
              <w:rPr>
                <w:rFonts w:hint="default"/>
                <w:color w:val="auto"/>
                <w:highlight w:val="none"/>
              </w:rPr>
              <w:t>四邻关系图。</w:t>
            </w:r>
          </w:p>
          <w:p w14:paraId="41C27131">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rPr>
              <w:t>2</w:t>
            </w:r>
            <w:r>
              <w:rPr>
                <w:rFonts w:hint="default"/>
                <w:b/>
                <w:color w:val="auto"/>
                <w:highlight w:val="none"/>
              </w:rPr>
              <w:t>、建设规模及建设内容</w:t>
            </w:r>
          </w:p>
          <w:p w14:paraId="67FF9029">
            <w:pPr>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项目</w:t>
            </w:r>
            <w:r>
              <w:rPr>
                <w:rFonts w:hint="eastAsia"/>
                <w:color w:val="auto"/>
                <w:highlight w:val="none"/>
              </w:rPr>
              <w:t>占地面积</w:t>
            </w:r>
            <w:r>
              <w:rPr>
                <w:rFonts w:hint="eastAsia"/>
                <w:color w:val="auto"/>
                <w:highlight w:val="none"/>
                <w:lang w:val="en-US" w:eastAsia="zh-CN"/>
              </w:rPr>
              <w:t>26906.06</w:t>
            </w:r>
            <w:r>
              <w:rPr>
                <w:rFonts w:hint="default"/>
                <w:color w:val="auto"/>
                <w:highlight w:val="none"/>
              </w:rPr>
              <w:t>m</w:t>
            </w:r>
            <w:r>
              <w:rPr>
                <w:rFonts w:hint="default"/>
                <w:color w:val="auto"/>
                <w:highlight w:val="none"/>
                <w:vertAlign w:val="superscript"/>
              </w:rPr>
              <w:t>2</w:t>
            </w:r>
            <w:r>
              <w:rPr>
                <w:rFonts w:hint="default"/>
                <w:color w:val="auto"/>
                <w:highlight w:val="none"/>
              </w:rPr>
              <w:t>，</w:t>
            </w:r>
            <w:r>
              <w:rPr>
                <w:rFonts w:hint="eastAsia"/>
                <w:color w:val="auto"/>
                <w:highlight w:val="none"/>
              </w:rPr>
              <w:t>主要建设</w:t>
            </w:r>
            <w:r>
              <w:rPr>
                <w:rFonts w:hint="eastAsia"/>
                <w:color w:val="auto"/>
                <w:highlight w:val="none"/>
                <w:lang w:val="en-US" w:eastAsia="zh-CN"/>
              </w:rPr>
              <w:t>食品</w:t>
            </w:r>
            <w:r>
              <w:rPr>
                <w:rFonts w:hint="default"/>
                <w:color w:val="auto"/>
                <w:highlight w:val="none"/>
              </w:rPr>
              <w:t>生产线</w:t>
            </w:r>
            <w:r>
              <w:rPr>
                <w:rFonts w:hint="eastAsia"/>
                <w:color w:val="auto"/>
                <w:highlight w:val="none"/>
                <w:lang w:val="en-US" w:eastAsia="zh-CN"/>
              </w:rPr>
              <w:t>6条</w:t>
            </w:r>
            <w:r>
              <w:rPr>
                <w:rFonts w:hint="eastAsia"/>
                <w:color w:val="auto"/>
                <w:highlight w:val="none"/>
                <w:lang w:eastAsia="zh-CN"/>
              </w:rPr>
              <w:t>，</w:t>
            </w:r>
            <w:r>
              <w:rPr>
                <w:rFonts w:hint="eastAsia"/>
                <w:color w:val="auto"/>
                <w:highlight w:val="none"/>
                <w:lang w:val="en-US" w:eastAsia="zh-CN"/>
              </w:rPr>
              <w:t>并配套购置生产设备及环保设施</w:t>
            </w:r>
            <w:r>
              <w:rPr>
                <w:rFonts w:hint="default"/>
                <w:color w:val="auto"/>
                <w:highlight w:val="none"/>
              </w:rPr>
              <w:t>。</w:t>
            </w:r>
          </w:p>
          <w:p w14:paraId="19AD879B">
            <w:pPr>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项目组成</w:t>
            </w:r>
            <w:r>
              <w:rPr>
                <w:rFonts w:hint="eastAsia"/>
                <w:color w:val="auto"/>
                <w:highlight w:val="none"/>
              </w:rPr>
              <w:t>具体</w:t>
            </w:r>
            <w:r>
              <w:rPr>
                <w:rFonts w:hint="default"/>
                <w:color w:val="auto"/>
                <w:highlight w:val="none"/>
              </w:rPr>
              <w:t>见表</w:t>
            </w:r>
            <w:r>
              <w:rPr>
                <w:rFonts w:hint="eastAsia"/>
                <w:color w:val="auto"/>
                <w:highlight w:val="none"/>
              </w:rPr>
              <w:t>2-1</w:t>
            </w:r>
            <w:r>
              <w:rPr>
                <w:rFonts w:hint="default"/>
                <w:color w:val="auto"/>
                <w:highlight w:val="none"/>
              </w:rPr>
              <w:t>。</w:t>
            </w:r>
          </w:p>
          <w:p w14:paraId="20AE1301">
            <w:pPr>
              <w:pStyle w:val="77"/>
              <w:keepNext w:val="0"/>
              <w:keepLines w:val="0"/>
              <w:widowControl/>
              <w:suppressLineNumbers w:val="0"/>
              <w:spacing w:before="0" w:beforeLines="0" w:beforeAutospacing="0" w:after="0" w:afterAutospacing="0" w:line="240" w:lineRule="auto"/>
              <w:ind w:left="0" w:right="0"/>
              <w:rPr>
                <w:rFonts w:hint="default" w:eastAsia="宋体"/>
                <w:b/>
                <w:color w:val="auto"/>
                <w:kern w:val="0"/>
                <w:szCs w:val="21"/>
                <w:highlight w:val="none"/>
              </w:rPr>
            </w:pPr>
            <w:r>
              <w:rPr>
                <w:rFonts w:hint="eastAsia" w:eastAsia="宋体"/>
                <w:b/>
                <w:color w:val="auto"/>
                <w:kern w:val="0"/>
                <w:szCs w:val="21"/>
                <w:highlight w:val="none"/>
              </w:rPr>
              <w:t>表2-1  建设项目组成表</w:t>
            </w:r>
          </w:p>
          <w:tbl>
            <w:tblPr>
              <w:tblStyle w:val="3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autofit"/>
              <w:tblCellMar>
                <w:top w:w="0" w:type="dxa"/>
                <w:left w:w="28" w:type="dxa"/>
                <w:bottom w:w="0" w:type="dxa"/>
                <w:right w:w="28" w:type="dxa"/>
              </w:tblCellMar>
            </w:tblPr>
            <w:tblGrid>
              <w:gridCol w:w="562"/>
              <w:gridCol w:w="551"/>
              <w:gridCol w:w="79"/>
              <w:gridCol w:w="1350"/>
              <w:gridCol w:w="5903"/>
            </w:tblGrid>
            <w:tr w14:paraId="6813BE9B">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tcBorders>
                    <w:tl2br w:val="nil"/>
                    <w:tr2bl w:val="nil"/>
                  </w:tcBorders>
                  <w:vAlign w:val="center"/>
                </w:tcPr>
                <w:p w14:paraId="01A110C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类别</w:t>
                  </w:r>
                </w:p>
              </w:tc>
              <w:tc>
                <w:tcPr>
                  <w:tcW w:w="1172" w:type="pct"/>
                  <w:gridSpan w:val="3"/>
                  <w:tcBorders>
                    <w:tl2br w:val="nil"/>
                    <w:tr2bl w:val="nil"/>
                  </w:tcBorders>
                  <w:vAlign w:val="center"/>
                </w:tcPr>
                <w:p w14:paraId="7DC65BF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工程名称</w:t>
                  </w:r>
                </w:p>
              </w:tc>
              <w:tc>
                <w:tcPr>
                  <w:tcW w:w="3494" w:type="pct"/>
                  <w:tcBorders>
                    <w:tl2br w:val="nil"/>
                    <w:tr2bl w:val="nil"/>
                  </w:tcBorders>
                  <w:vAlign w:val="center"/>
                </w:tcPr>
                <w:p w14:paraId="0DFA912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主要建设内容及规模</w:t>
                  </w:r>
                </w:p>
              </w:tc>
            </w:tr>
            <w:tr w14:paraId="145021ED">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restart"/>
                  <w:tcBorders>
                    <w:tl2br w:val="nil"/>
                    <w:tr2bl w:val="nil"/>
                  </w:tcBorders>
                  <w:vAlign w:val="center"/>
                </w:tcPr>
                <w:p w14:paraId="4CF6D7E6">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主体工程</w:t>
                  </w:r>
                </w:p>
              </w:tc>
              <w:tc>
                <w:tcPr>
                  <w:tcW w:w="1172" w:type="pct"/>
                  <w:gridSpan w:val="3"/>
                  <w:tcBorders>
                    <w:tl2br w:val="nil"/>
                    <w:tr2bl w:val="nil"/>
                  </w:tcBorders>
                  <w:vAlign w:val="center"/>
                </w:tcPr>
                <w:p w14:paraId="0B726294">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凉皮生产车间</w:t>
                  </w:r>
                </w:p>
              </w:tc>
              <w:tc>
                <w:tcPr>
                  <w:tcW w:w="3494" w:type="pct"/>
                  <w:tcBorders>
                    <w:tl2br w:val="nil"/>
                    <w:tr2bl w:val="nil"/>
                  </w:tcBorders>
                  <w:vAlign w:val="center"/>
                </w:tcPr>
                <w:p w14:paraId="212C4EE5">
                  <w:pPr>
                    <w:pStyle w:val="80"/>
                    <w:keepNext w:val="0"/>
                    <w:keepLines w:val="0"/>
                    <w:widowControl/>
                    <w:suppressLineNumbers w:val="0"/>
                    <w:spacing w:before="0" w:beforeAutospacing="0" w:after="0" w:afterAutospacing="0"/>
                    <w:ind w:left="0" w:right="0"/>
                    <w:jc w:val="both"/>
                    <w:rPr>
                      <w:rFonts w:hint="default" w:eastAsia="宋体"/>
                      <w:color w:val="auto"/>
                      <w:szCs w:val="20"/>
                      <w:highlight w:val="none"/>
                      <w:lang w:val="en-US" w:eastAsia="zh-CN"/>
                    </w:rPr>
                  </w:pPr>
                  <w:r>
                    <w:rPr>
                      <w:rFonts w:hint="eastAsia"/>
                      <w:color w:val="auto"/>
                      <w:szCs w:val="20"/>
                      <w:highlight w:val="none"/>
                      <w:lang w:val="en-US" w:eastAsia="zh-CN"/>
                    </w:rPr>
                    <w:t>位于厂区北部，共2层，层高4.5m，占地</w:t>
                  </w:r>
                  <w:r>
                    <w:rPr>
                      <w:rFonts w:hint="default"/>
                      <w:color w:val="auto"/>
                      <w:szCs w:val="20"/>
                      <w:highlight w:val="none"/>
                    </w:rPr>
                    <w:t>面积</w:t>
                  </w:r>
                  <w:r>
                    <w:rPr>
                      <w:rFonts w:hint="eastAsia"/>
                      <w:color w:val="auto"/>
                      <w:szCs w:val="20"/>
                      <w:highlight w:val="none"/>
                      <w:lang w:val="en-US" w:eastAsia="zh-CN"/>
                    </w:rPr>
                    <w:t>2000</w:t>
                  </w:r>
                  <w:r>
                    <w:rPr>
                      <w:rFonts w:hint="default"/>
                      <w:color w:val="auto"/>
                      <w:szCs w:val="20"/>
                      <w:highlight w:val="none"/>
                    </w:rPr>
                    <w:t>m</w:t>
                  </w:r>
                  <w:r>
                    <w:rPr>
                      <w:rFonts w:hint="default"/>
                      <w:color w:val="auto"/>
                      <w:szCs w:val="20"/>
                      <w:highlight w:val="none"/>
                      <w:vertAlign w:val="superscript"/>
                    </w:rPr>
                    <w:t>2</w:t>
                  </w:r>
                  <w:r>
                    <w:rPr>
                      <w:rFonts w:hint="default"/>
                      <w:color w:val="auto"/>
                      <w:szCs w:val="20"/>
                      <w:highlight w:val="none"/>
                    </w:rPr>
                    <w:t>，</w:t>
                  </w:r>
                  <w:r>
                    <w:rPr>
                      <w:rFonts w:hint="eastAsia"/>
                      <w:color w:val="auto"/>
                      <w:szCs w:val="20"/>
                      <w:highlight w:val="none"/>
                    </w:rPr>
                    <w:t>钢混结构。</w:t>
                  </w:r>
                  <w:r>
                    <w:rPr>
                      <w:rFonts w:hint="eastAsia"/>
                      <w:color w:val="auto"/>
                      <w:szCs w:val="20"/>
                      <w:highlight w:val="none"/>
                      <w:lang w:val="en-US" w:eastAsia="zh-CN"/>
                    </w:rPr>
                    <w:t>主要分布和面区、蒸制区、冷却区、压面区、打包生产线、洗手区、更衣室、打浆间及成品库，并配备和面机、压面机、蒸箱、冷却塔、燃气锅炉等设备；用于凉皮、面条生产。其中冷却区为洁净车间，洁净度为十万级，主要进行产品的冷却。</w:t>
                  </w:r>
                </w:p>
              </w:tc>
            </w:tr>
            <w:tr w14:paraId="3EB50A9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0140D40E">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172" w:type="pct"/>
                  <w:gridSpan w:val="3"/>
                  <w:tcBorders>
                    <w:tl2br w:val="nil"/>
                    <w:tr2bl w:val="nil"/>
                  </w:tcBorders>
                  <w:vAlign w:val="center"/>
                </w:tcPr>
                <w:p w14:paraId="03AE8349">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中央厨房</w:t>
                  </w:r>
                </w:p>
              </w:tc>
              <w:tc>
                <w:tcPr>
                  <w:tcW w:w="3494" w:type="pct"/>
                  <w:tcBorders>
                    <w:tl2br w:val="nil"/>
                    <w:tr2bl w:val="nil"/>
                  </w:tcBorders>
                  <w:vAlign w:val="center"/>
                </w:tcPr>
                <w:p w14:paraId="0139F328">
                  <w:pPr>
                    <w:pStyle w:val="80"/>
                    <w:keepNext w:val="0"/>
                    <w:keepLines w:val="0"/>
                    <w:widowControl/>
                    <w:suppressLineNumbers w:val="0"/>
                    <w:spacing w:before="0" w:beforeAutospacing="0" w:after="0" w:afterAutospacing="0"/>
                    <w:ind w:left="0" w:right="0"/>
                    <w:jc w:val="both"/>
                    <w:rPr>
                      <w:rFonts w:hint="eastAsia"/>
                      <w:color w:val="auto"/>
                      <w:szCs w:val="20"/>
                      <w:highlight w:val="none"/>
                      <w:lang w:val="en-US" w:eastAsia="zh-CN"/>
                    </w:rPr>
                  </w:pPr>
                  <w:r>
                    <w:rPr>
                      <w:rFonts w:hint="eastAsia"/>
                      <w:color w:val="auto"/>
                      <w:szCs w:val="20"/>
                      <w:highlight w:val="none"/>
                      <w:lang w:val="en-US" w:eastAsia="zh-CN"/>
                    </w:rPr>
                    <w:t>位于厂区西北部，共4层，层高6m，总高24m，占地</w:t>
                  </w:r>
                  <w:r>
                    <w:rPr>
                      <w:rFonts w:hint="default"/>
                      <w:color w:val="auto"/>
                      <w:szCs w:val="20"/>
                      <w:highlight w:val="none"/>
                    </w:rPr>
                    <w:t>面积</w:t>
                  </w:r>
                  <w:r>
                    <w:rPr>
                      <w:rFonts w:hint="eastAsia"/>
                      <w:color w:val="auto"/>
                      <w:szCs w:val="20"/>
                      <w:highlight w:val="none"/>
                      <w:lang w:val="en-US" w:eastAsia="zh-CN"/>
                    </w:rPr>
                    <w:t>1244</w:t>
                  </w:r>
                  <w:r>
                    <w:rPr>
                      <w:rFonts w:hint="default"/>
                      <w:color w:val="auto"/>
                      <w:szCs w:val="20"/>
                      <w:highlight w:val="none"/>
                    </w:rPr>
                    <w:t>m</w:t>
                  </w:r>
                  <w:r>
                    <w:rPr>
                      <w:rFonts w:hint="default"/>
                      <w:color w:val="auto"/>
                      <w:szCs w:val="20"/>
                      <w:highlight w:val="none"/>
                      <w:vertAlign w:val="superscript"/>
                    </w:rPr>
                    <w:t>2</w:t>
                  </w:r>
                  <w:r>
                    <w:rPr>
                      <w:rFonts w:hint="default"/>
                      <w:color w:val="auto"/>
                      <w:szCs w:val="20"/>
                      <w:highlight w:val="none"/>
                    </w:rPr>
                    <w:t>，</w:t>
                  </w:r>
                  <w:r>
                    <w:rPr>
                      <w:rFonts w:hint="eastAsia"/>
                      <w:color w:val="auto"/>
                      <w:szCs w:val="20"/>
                      <w:highlight w:val="none"/>
                    </w:rPr>
                    <w:t>钢混结构。</w:t>
                  </w:r>
                </w:p>
              </w:tc>
            </w:tr>
            <w:tr w14:paraId="4749DB3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4B90F40F">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73" w:type="pct"/>
                  <w:gridSpan w:val="2"/>
                  <w:vMerge w:val="restart"/>
                  <w:tcBorders>
                    <w:right w:val="single" w:color="auto" w:sz="4" w:space="0"/>
                    <w:tl2br w:val="nil"/>
                    <w:tr2bl w:val="nil"/>
                  </w:tcBorders>
                  <w:vAlign w:val="center"/>
                </w:tcPr>
                <w:p w14:paraId="762C7E6E">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其中</w:t>
                  </w:r>
                </w:p>
              </w:tc>
              <w:tc>
                <w:tcPr>
                  <w:tcW w:w="799" w:type="pct"/>
                  <w:tcBorders>
                    <w:left w:val="single" w:color="auto" w:sz="4" w:space="0"/>
                    <w:tl2br w:val="nil"/>
                    <w:tr2bl w:val="nil"/>
                  </w:tcBorders>
                  <w:vAlign w:val="center"/>
                </w:tcPr>
                <w:p w14:paraId="64023FED">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一楼（盒饭、净菜加工）</w:t>
                  </w:r>
                </w:p>
              </w:tc>
              <w:tc>
                <w:tcPr>
                  <w:tcW w:w="3494" w:type="pct"/>
                  <w:tcBorders>
                    <w:tl2br w:val="nil"/>
                    <w:tr2bl w:val="nil"/>
                  </w:tcBorders>
                  <w:vAlign w:val="center"/>
                </w:tcPr>
                <w:p w14:paraId="67285A37">
                  <w:pPr>
                    <w:pStyle w:val="80"/>
                    <w:keepNext w:val="0"/>
                    <w:keepLines w:val="0"/>
                    <w:widowControl/>
                    <w:suppressLineNumbers w:val="0"/>
                    <w:spacing w:before="0" w:beforeAutospacing="0" w:after="0" w:afterAutospacing="0"/>
                    <w:ind w:left="0" w:right="0"/>
                    <w:jc w:val="both"/>
                    <w:rPr>
                      <w:rFonts w:hint="eastAsia"/>
                      <w:color w:val="auto"/>
                      <w:szCs w:val="20"/>
                      <w:highlight w:val="none"/>
                      <w:lang w:val="en-US" w:eastAsia="zh-CN"/>
                    </w:rPr>
                  </w:pPr>
                  <w:r>
                    <w:rPr>
                      <w:rFonts w:hint="eastAsia"/>
                      <w:color w:val="auto"/>
                      <w:szCs w:val="20"/>
                      <w:highlight w:val="none"/>
                      <w:lang w:val="en-US" w:eastAsia="zh-CN"/>
                    </w:rPr>
                    <w:t>主要分布餐具清洗区、消毒间、检验室、更衣间、净菜加工区、炒制加工区、盒饭制作区、原料仓库、成品暂存区、消防间及卫生间等，主要从事盒饭、净菜的生产加工</w:t>
                  </w:r>
                </w:p>
              </w:tc>
            </w:tr>
            <w:tr w14:paraId="59B3ED3D">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067406B1">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73" w:type="pct"/>
                  <w:gridSpan w:val="2"/>
                  <w:vMerge w:val="continue"/>
                  <w:tcBorders>
                    <w:right w:val="single" w:color="auto" w:sz="4" w:space="0"/>
                    <w:tl2br w:val="nil"/>
                    <w:tr2bl w:val="nil"/>
                  </w:tcBorders>
                  <w:vAlign w:val="center"/>
                </w:tcPr>
                <w:p w14:paraId="5C711F5C">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799" w:type="pct"/>
                  <w:tcBorders>
                    <w:left w:val="single" w:color="auto" w:sz="4" w:space="0"/>
                    <w:tl2br w:val="nil"/>
                    <w:tr2bl w:val="nil"/>
                  </w:tcBorders>
                  <w:vAlign w:val="center"/>
                </w:tcPr>
                <w:p w14:paraId="21F53B9A">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二楼（蛋糕、面包、酥饼加工）</w:t>
                  </w:r>
                </w:p>
              </w:tc>
              <w:tc>
                <w:tcPr>
                  <w:tcW w:w="3494" w:type="pct"/>
                  <w:tcBorders>
                    <w:tl2br w:val="nil"/>
                    <w:tr2bl w:val="nil"/>
                  </w:tcBorders>
                  <w:vAlign w:val="center"/>
                </w:tcPr>
                <w:p w14:paraId="06D8CDD9">
                  <w:pPr>
                    <w:pStyle w:val="80"/>
                    <w:keepNext w:val="0"/>
                    <w:keepLines w:val="0"/>
                    <w:widowControl/>
                    <w:suppressLineNumbers w:val="0"/>
                    <w:spacing w:before="0" w:beforeAutospacing="0" w:after="0" w:afterAutospacing="0"/>
                    <w:ind w:left="0" w:right="0"/>
                    <w:jc w:val="both"/>
                    <w:rPr>
                      <w:rFonts w:hint="eastAsia"/>
                      <w:color w:val="auto"/>
                      <w:szCs w:val="20"/>
                      <w:highlight w:val="none"/>
                      <w:lang w:val="en-US" w:eastAsia="zh-CN"/>
                    </w:rPr>
                  </w:pPr>
                  <w:r>
                    <w:rPr>
                      <w:rFonts w:hint="eastAsia"/>
                      <w:color w:val="auto"/>
                      <w:szCs w:val="20"/>
                      <w:highlight w:val="none"/>
                      <w:lang w:val="en-US" w:eastAsia="zh-CN"/>
                    </w:rPr>
                    <w:t>主要分布清洗间、更衣间、打发间、加工成型区、脱模间、人工烘烤间、冷却间、内包间、外包间、成品暂存区、消防间及卫生间等，主要用于蛋糕、面包、酥饼的生产加工；其中冷却间、内包间为洁净车间，洁净度为十万级。</w:t>
                  </w:r>
                </w:p>
              </w:tc>
            </w:tr>
            <w:tr w14:paraId="2A4630FF">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0B9D8308">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73" w:type="pct"/>
                  <w:gridSpan w:val="2"/>
                  <w:vMerge w:val="continue"/>
                  <w:tcBorders>
                    <w:right w:val="single" w:color="auto" w:sz="4" w:space="0"/>
                    <w:tl2br w:val="nil"/>
                    <w:tr2bl w:val="nil"/>
                  </w:tcBorders>
                  <w:vAlign w:val="center"/>
                </w:tcPr>
                <w:p w14:paraId="6E131258">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799" w:type="pct"/>
                  <w:tcBorders>
                    <w:left w:val="single" w:color="auto" w:sz="4" w:space="0"/>
                    <w:tl2br w:val="nil"/>
                    <w:tr2bl w:val="nil"/>
                  </w:tcBorders>
                  <w:vAlign w:val="center"/>
                </w:tcPr>
                <w:p w14:paraId="6EC38C0A">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三楼（馒头、稀饭加工）</w:t>
                  </w:r>
                </w:p>
              </w:tc>
              <w:tc>
                <w:tcPr>
                  <w:tcW w:w="3494" w:type="pct"/>
                  <w:tcBorders>
                    <w:tl2br w:val="nil"/>
                    <w:tr2bl w:val="nil"/>
                  </w:tcBorders>
                  <w:vAlign w:val="center"/>
                </w:tcPr>
                <w:p w14:paraId="7B24A741">
                  <w:pPr>
                    <w:pStyle w:val="80"/>
                    <w:keepNext w:val="0"/>
                    <w:keepLines w:val="0"/>
                    <w:widowControl/>
                    <w:suppressLineNumbers w:val="0"/>
                    <w:spacing w:before="0" w:beforeAutospacing="0" w:after="0" w:afterAutospacing="0"/>
                    <w:ind w:left="0" w:right="0"/>
                    <w:jc w:val="both"/>
                    <w:rPr>
                      <w:rFonts w:hint="default"/>
                      <w:color w:val="auto"/>
                      <w:szCs w:val="20"/>
                      <w:highlight w:val="none"/>
                      <w:lang w:val="en-US" w:eastAsia="zh-CN"/>
                    </w:rPr>
                  </w:pPr>
                  <w:r>
                    <w:rPr>
                      <w:rFonts w:hint="eastAsia"/>
                      <w:color w:val="auto"/>
                      <w:szCs w:val="20"/>
                      <w:highlight w:val="none"/>
                      <w:lang w:val="en-US" w:eastAsia="zh-CN"/>
                    </w:rPr>
                    <w:t>主要分布工具间、更衣间、成型间、搅拌间、配料间、拆包间、筛分间、冷冻间、冷藏间、原料仓库、消防间及卫生间等，主要用于馒头、稀饭的生产加工；其中配料间、拆包间为洁净车间，洁净度为十万级。</w:t>
                  </w:r>
                </w:p>
              </w:tc>
            </w:tr>
            <w:tr w14:paraId="4576113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04933AB2">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73" w:type="pct"/>
                  <w:gridSpan w:val="2"/>
                  <w:vMerge w:val="continue"/>
                  <w:tcBorders>
                    <w:right w:val="single" w:color="auto" w:sz="4" w:space="0"/>
                    <w:tl2br w:val="nil"/>
                    <w:tr2bl w:val="nil"/>
                  </w:tcBorders>
                  <w:vAlign w:val="center"/>
                </w:tcPr>
                <w:p w14:paraId="7946CDC6">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799" w:type="pct"/>
                  <w:tcBorders>
                    <w:left w:val="single" w:color="auto" w:sz="4" w:space="0"/>
                    <w:tl2br w:val="nil"/>
                    <w:tr2bl w:val="nil"/>
                  </w:tcBorders>
                  <w:vAlign w:val="center"/>
                </w:tcPr>
                <w:p w14:paraId="11C724BB">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四楼（馒头、稀饭加工）</w:t>
                  </w:r>
                </w:p>
              </w:tc>
              <w:tc>
                <w:tcPr>
                  <w:tcW w:w="3494" w:type="pct"/>
                  <w:tcBorders>
                    <w:tl2br w:val="nil"/>
                    <w:tr2bl w:val="nil"/>
                  </w:tcBorders>
                  <w:vAlign w:val="center"/>
                </w:tcPr>
                <w:p w14:paraId="5100A0E4">
                  <w:pPr>
                    <w:pStyle w:val="80"/>
                    <w:keepNext w:val="0"/>
                    <w:keepLines w:val="0"/>
                    <w:widowControl/>
                    <w:suppressLineNumbers w:val="0"/>
                    <w:spacing w:before="0" w:beforeAutospacing="0" w:after="0" w:afterAutospacing="0"/>
                    <w:ind w:left="0" w:right="0"/>
                    <w:jc w:val="both"/>
                    <w:rPr>
                      <w:rFonts w:hint="eastAsia"/>
                      <w:color w:val="auto"/>
                      <w:szCs w:val="20"/>
                      <w:highlight w:val="none"/>
                      <w:lang w:val="en-US" w:eastAsia="zh-CN"/>
                    </w:rPr>
                  </w:pPr>
                  <w:r>
                    <w:rPr>
                      <w:rFonts w:hint="eastAsia"/>
                      <w:color w:val="auto"/>
                      <w:szCs w:val="20"/>
                      <w:highlight w:val="none"/>
                      <w:lang w:val="en-US" w:eastAsia="zh-CN"/>
                    </w:rPr>
                    <w:t>主要分布工具间、更衣间、馒头包子生产区、稀饭制作区、原料仓库、消防间及卫生间等，主要用于馒头、稀饭的生产加工</w:t>
                  </w:r>
                </w:p>
              </w:tc>
            </w:tr>
            <w:tr w14:paraId="0098D73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restart"/>
                  <w:tcBorders>
                    <w:tl2br w:val="nil"/>
                    <w:tr2bl w:val="nil"/>
                  </w:tcBorders>
                  <w:vAlign w:val="center"/>
                </w:tcPr>
                <w:p w14:paraId="0BF80796">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辅助工程</w:t>
                  </w:r>
                </w:p>
              </w:tc>
              <w:tc>
                <w:tcPr>
                  <w:tcW w:w="1172" w:type="pct"/>
                  <w:gridSpan w:val="3"/>
                  <w:tcBorders>
                    <w:tl2br w:val="nil"/>
                    <w:tr2bl w:val="nil"/>
                  </w:tcBorders>
                  <w:vAlign w:val="center"/>
                </w:tcPr>
                <w:p w14:paraId="3D1C99D3">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rPr>
                    <w:t>办公</w:t>
                  </w:r>
                  <w:r>
                    <w:rPr>
                      <w:rFonts w:hint="eastAsia"/>
                      <w:color w:val="auto"/>
                      <w:szCs w:val="20"/>
                      <w:highlight w:val="none"/>
                      <w:lang w:val="en-US" w:eastAsia="zh-CN"/>
                    </w:rPr>
                    <w:t>区域</w:t>
                  </w:r>
                </w:p>
              </w:tc>
              <w:tc>
                <w:tcPr>
                  <w:tcW w:w="3494" w:type="pct"/>
                  <w:tcBorders>
                    <w:tl2br w:val="nil"/>
                    <w:tr2bl w:val="nil"/>
                  </w:tcBorders>
                  <w:vAlign w:val="center"/>
                </w:tcPr>
                <w:p w14:paraId="2D1CF90B">
                  <w:pPr>
                    <w:pStyle w:val="80"/>
                    <w:keepNext w:val="0"/>
                    <w:keepLines w:val="0"/>
                    <w:widowControl/>
                    <w:suppressLineNumbers w:val="0"/>
                    <w:spacing w:before="0" w:beforeAutospacing="0" w:after="0" w:afterAutospacing="0"/>
                    <w:ind w:left="0" w:right="0"/>
                    <w:jc w:val="both"/>
                    <w:rPr>
                      <w:rFonts w:hint="default"/>
                      <w:color w:val="auto"/>
                      <w:szCs w:val="20"/>
                      <w:highlight w:val="none"/>
                    </w:rPr>
                  </w:pPr>
                  <w:r>
                    <w:rPr>
                      <w:rFonts w:hint="eastAsia"/>
                      <w:color w:val="auto"/>
                      <w:szCs w:val="20"/>
                      <w:highlight w:val="none"/>
                      <w:lang w:val="en-US" w:eastAsia="zh-CN"/>
                    </w:rPr>
                    <w:t>共1层，</w:t>
                  </w:r>
                  <w:r>
                    <w:rPr>
                      <w:rFonts w:hint="eastAsia"/>
                      <w:color w:val="auto"/>
                      <w:szCs w:val="20"/>
                      <w:highlight w:val="none"/>
                    </w:rPr>
                    <w:t>位于</w:t>
                  </w:r>
                  <w:r>
                    <w:rPr>
                      <w:rFonts w:hint="eastAsia"/>
                      <w:color w:val="auto"/>
                      <w:szCs w:val="20"/>
                      <w:highlight w:val="none"/>
                      <w:lang w:val="en-US" w:eastAsia="zh-CN"/>
                    </w:rPr>
                    <w:t>凉皮加工车间南侧</w:t>
                  </w:r>
                  <w:r>
                    <w:rPr>
                      <w:rFonts w:hint="eastAsia"/>
                      <w:color w:val="auto"/>
                      <w:szCs w:val="20"/>
                      <w:highlight w:val="none"/>
                    </w:rPr>
                    <w:t>，</w:t>
                  </w:r>
                  <w:r>
                    <w:rPr>
                      <w:rFonts w:hint="eastAsia"/>
                      <w:color w:val="auto"/>
                      <w:szCs w:val="20"/>
                      <w:highlight w:val="none"/>
                      <w:lang w:val="en-US" w:eastAsia="zh-CN"/>
                    </w:rPr>
                    <w:t>占地</w:t>
                  </w:r>
                  <w:r>
                    <w:rPr>
                      <w:rFonts w:hint="eastAsia"/>
                      <w:color w:val="auto"/>
                      <w:szCs w:val="20"/>
                      <w:highlight w:val="none"/>
                    </w:rPr>
                    <w:t>面积</w:t>
                  </w:r>
                  <w:r>
                    <w:rPr>
                      <w:rFonts w:hint="eastAsia"/>
                      <w:color w:val="auto"/>
                      <w:szCs w:val="20"/>
                      <w:highlight w:val="none"/>
                      <w:lang w:val="en-US" w:eastAsia="zh-CN"/>
                    </w:rPr>
                    <w:t>5</w:t>
                  </w:r>
                  <w:r>
                    <w:rPr>
                      <w:rFonts w:hint="eastAsia"/>
                      <w:color w:val="auto"/>
                      <w:szCs w:val="20"/>
                      <w:highlight w:val="none"/>
                    </w:rPr>
                    <w:t>00</w:t>
                  </w:r>
                  <w:r>
                    <w:rPr>
                      <w:rFonts w:hint="default"/>
                      <w:color w:val="auto"/>
                      <w:szCs w:val="20"/>
                      <w:highlight w:val="none"/>
                    </w:rPr>
                    <w:t>m</w:t>
                  </w:r>
                  <w:r>
                    <w:rPr>
                      <w:rFonts w:hint="default"/>
                      <w:color w:val="auto"/>
                      <w:szCs w:val="20"/>
                      <w:highlight w:val="none"/>
                      <w:vertAlign w:val="superscript"/>
                    </w:rPr>
                    <w:t>2</w:t>
                  </w:r>
                  <w:r>
                    <w:rPr>
                      <w:rFonts w:hint="eastAsia"/>
                      <w:color w:val="auto"/>
                      <w:szCs w:val="20"/>
                      <w:highlight w:val="none"/>
                    </w:rPr>
                    <w:t>；</w:t>
                  </w:r>
                  <w:r>
                    <w:rPr>
                      <w:rFonts w:hint="eastAsia"/>
                      <w:color w:val="auto"/>
                      <w:szCs w:val="20"/>
                      <w:highlight w:val="none"/>
                      <w:lang w:val="en-US" w:eastAsia="zh-CN"/>
                    </w:rPr>
                    <w:t>层高3m，</w:t>
                  </w:r>
                  <w:r>
                    <w:rPr>
                      <w:rFonts w:hint="eastAsia"/>
                      <w:color w:val="auto"/>
                      <w:szCs w:val="20"/>
                      <w:highlight w:val="none"/>
                    </w:rPr>
                    <w:t>用于员工办公</w:t>
                  </w:r>
                </w:p>
              </w:tc>
            </w:tr>
            <w:tr w14:paraId="3B58187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1FD2281A">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1172" w:type="pct"/>
                  <w:gridSpan w:val="3"/>
                  <w:tcBorders>
                    <w:tl2br w:val="nil"/>
                    <w:tr2bl w:val="nil"/>
                  </w:tcBorders>
                  <w:vAlign w:val="center"/>
                </w:tcPr>
                <w:p w14:paraId="25C5B43E">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1#锅炉房</w:t>
                  </w:r>
                </w:p>
              </w:tc>
              <w:tc>
                <w:tcPr>
                  <w:tcW w:w="3494" w:type="pct"/>
                  <w:tcBorders>
                    <w:tl2br w:val="nil"/>
                    <w:tr2bl w:val="nil"/>
                  </w:tcBorders>
                  <w:vAlign w:val="center"/>
                </w:tcPr>
                <w:p w14:paraId="612A78C8">
                  <w:pPr>
                    <w:pStyle w:val="80"/>
                    <w:keepNext w:val="0"/>
                    <w:keepLines w:val="0"/>
                    <w:widowControl/>
                    <w:suppressLineNumbers w:val="0"/>
                    <w:spacing w:before="0" w:beforeAutospacing="0" w:after="0" w:afterAutospacing="0"/>
                    <w:ind w:left="0" w:right="0"/>
                    <w:jc w:val="both"/>
                    <w:rPr>
                      <w:rFonts w:hint="eastAsia"/>
                      <w:color w:val="auto"/>
                      <w:szCs w:val="20"/>
                      <w:highlight w:val="none"/>
                      <w:lang w:val="en-US" w:eastAsia="zh-CN"/>
                    </w:rPr>
                  </w:pPr>
                  <w:r>
                    <w:rPr>
                      <w:rFonts w:hint="eastAsia"/>
                      <w:color w:val="auto"/>
                      <w:szCs w:val="20"/>
                      <w:highlight w:val="none"/>
                      <w:lang w:val="en-US" w:eastAsia="zh-CN"/>
                    </w:rPr>
                    <w:t>位于凉皮加工车间1楼东侧</w:t>
                  </w:r>
                  <w:r>
                    <w:rPr>
                      <w:rFonts w:hint="eastAsia"/>
                      <w:color w:val="auto"/>
                      <w:szCs w:val="20"/>
                      <w:highlight w:val="none"/>
                    </w:rPr>
                    <w:t>，</w:t>
                  </w:r>
                  <w:r>
                    <w:rPr>
                      <w:rFonts w:hint="eastAsia"/>
                      <w:color w:val="auto"/>
                      <w:szCs w:val="20"/>
                      <w:highlight w:val="none"/>
                      <w:lang w:val="en-US" w:eastAsia="zh-CN"/>
                    </w:rPr>
                    <w:t>占地</w:t>
                  </w:r>
                  <w:r>
                    <w:rPr>
                      <w:rFonts w:hint="eastAsia"/>
                      <w:color w:val="auto"/>
                      <w:szCs w:val="20"/>
                      <w:highlight w:val="none"/>
                    </w:rPr>
                    <w:t>面积</w:t>
                  </w:r>
                  <w:r>
                    <w:rPr>
                      <w:rFonts w:hint="eastAsia"/>
                      <w:color w:val="auto"/>
                      <w:szCs w:val="20"/>
                      <w:highlight w:val="none"/>
                      <w:lang w:val="en-US" w:eastAsia="zh-CN"/>
                    </w:rPr>
                    <w:t>约70</w:t>
                  </w:r>
                  <w:r>
                    <w:rPr>
                      <w:rFonts w:hint="default"/>
                      <w:color w:val="auto"/>
                      <w:szCs w:val="20"/>
                      <w:highlight w:val="none"/>
                    </w:rPr>
                    <w:t>m</w:t>
                  </w:r>
                  <w:r>
                    <w:rPr>
                      <w:rFonts w:hint="default"/>
                      <w:color w:val="auto"/>
                      <w:szCs w:val="20"/>
                      <w:highlight w:val="none"/>
                      <w:vertAlign w:val="superscript"/>
                    </w:rPr>
                    <w:t>2</w:t>
                  </w:r>
                  <w:r>
                    <w:rPr>
                      <w:rFonts w:hint="eastAsia"/>
                      <w:color w:val="auto"/>
                      <w:szCs w:val="20"/>
                      <w:highlight w:val="none"/>
                    </w:rPr>
                    <w:t>，</w:t>
                  </w:r>
                  <w:r>
                    <w:rPr>
                      <w:rFonts w:hint="eastAsia"/>
                      <w:color w:val="auto"/>
                      <w:szCs w:val="20"/>
                      <w:highlight w:val="none"/>
                      <w:lang w:val="en-US" w:eastAsia="zh-CN"/>
                    </w:rPr>
                    <w:t>高3m，设置3台1吨/小时燃气锅炉，</w:t>
                  </w:r>
                  <w:r>
                    <w:rPr>
                      <w:rFonts w:hint="eastAsia"/>
                      <w:color w:val="auto"/>
                      <w:szCs w:val="20"/>
                      <w:highlight w:val="none"/>
                    </w:rPr>
                    <w:t>用于</w:t>
                  </w:r>
                  <w:r>
                    <w:rPr>
                      <w:rFonts w:hint="eastAsia"/>
                      <w:color w:val="auto"/>
                      <w:szCs w:val="20"/>
                      <w:highlight w:val="none"/>
                      <w:lang w:val="en-US" w:eastAsia="zh-CN"/>
                    </w:rPr>
                    <w:t>凉皮蒸制加工时蒸汽供应</w:t>
                  </w:r>
                </w:p>
              </w:tc>
            </w:tr>
            <w:tr w14:paraId="69676E5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5F54567A">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1172" w:type="pct"/>
                  <w:gridSpan w:val="3"/>
                  <w:tcBorders>
                    <w:tl2br w:val="nil"/>
                    <w:tr2bl w:val="nil"/>
                  </w:tcBorders>
                  <w:vAlign w:val="center"/>
                </w:tcPr>
                <w:p w14:paraId="043F8DFC">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lang w:val="en-US" w:eastAsia="zh-CN"/>
                    </w:rPr>
                  </w:pPr>
                  <w:r>
                    <w:rPr>
                      <w:rFonts w:hint="eastAsia"/>
                      <w:color w:val="auto"/>
                      <w:szCs w:val="20"/>
                      <w:highlight w:val="none"/>
                      <w:lang w:val="en-US" w:eastAsia="zh-CN"/>
                    </w:rPr>
                    <w:t>2#锅炉房</w:t>
                  </w:r>
                </w:p>
              </w:tc>
              <w:tc>
                <w:tcPr>
                  <w:tcW w:w="3494" w:type="pct"/>
                  <w:tcBorders>
                    <w:tl2br w:val="nil"/>
                    <w:tr2bl w:val="nil"/>
                  </w:tcBorders>
                  <w:vAlign w:val="center"/>
                </w:tcPr>
                <w:p w14:paraId="381E6B9B">
                  <w:pPr>
                    <w:pStyle w:val="80"/>
                    <w:keepNext w:val="0"/>
                    <w:keepLines w:val="0"/>
                    <w:widowControl/>
                    <w:suppressLineNumbers w:val="0"/>
                    <w:spacing w:before="0" w:beforeAutospacing="0" w:after="0" w:afterAutospacing="0"/>
                    <w:ind w:left="0" w:leftChars="0" w:right="0" w:rightChars="0"/>
                    <w:jc w:val="both"/>
                    <w:rPr>
                      <w:rFonts w:hint="eastAsia"/>
                      <w:color w:val="auto"/>
                      <w:szCs w:val="20"/>
                      <w:highlight w:val="none"/>
                      <w:lang w:val="en-US" w:eastAsia="zh-CN"/>
                    </w:rPr>
                  </w:pPr>
                  <w:r>
                    <w:rPr>
                      <w:rFonts w:hint="eastAsia"/>
                      <w:color w:val="auto"/>
                      <w:szCs w:val="20"/>
                      <w:highlight w:val="none"/>
                      <w:lang w:val="en-US" w:eastAsia="zh-CN"/>
                    </w:rPr>
                    <w:t>位于中央厨房1楼南侧</w:t>
                  </w:r>
                  <w:r>
                    <w:rPr>
                      <w:rFonts w:hint="eastAsia"/>
                      <w:color w:val="auto"/>
                      <w:szCs w:val="20"/>
                      <w:highlight w:val="none"/>
                    </w:rPr>
                    <w:t>，</w:t>
                  </w:r>
                  <w:r>
                    <w:rPr>
                      <w:rFonts w:hint="eastAsia"/>
                      <w:color w:val="auto"/>
                      <w:szCs w:val="20"/>
                      <w:highlight w:val="none"/>
                      <w:lang w:val="en-US" w:eastAsia="zh-CN"/>
                    </w:rPr>
                    <w:t>占地</w:t>
                  </w:r>
                  <w:r>
                    <w:rPr>
                      <w:rFonts w:hint="eastAsia"/>
                      <w:color w:val="auto"/>
                      <w:szCs w:val="20"/>
                      <w:highlight w:val="none"/>
                    </w:rPr>
                    <w:t>面积</w:t>
                  </w:r>
                  <w:r>
                    <w:rPr>
                      <w:rFonts w:hint="eastAsia"/>
                      <w:color w:val="auto"/>
                      <w:szCs w:val="20"/>
                      <w:highlight w:val="none"/>
                      <w:lang w:val="en-US" w:eastAsia="zh-CN"/>
                    </w:rPr>
                    <w:t>约120</w:t>
                  </w:r>
                  <w:r>
                    <w:rPr>
                      <w:rFonts w:hint="default"/>
                      <w:color w:val="auto"/>
                      <w:szCs w:val="20"/>
                      <w:highlight w:val="none"/>
                    </w:rPr>
                    <w:t>m</w:t>
                  </w:r>
                  <w:r>
                    <w:rPr>
                      <w:rFonts w:hint="default"/>
                      <w:color w:val="auto"/>
                      <w:szCs w:val="20"/>
                      <w:highlight w:val="none"/>
                      <w:vertAlign w:val="superscript"/>
                    </w:rPr>
                    <w:t>2</w:t>
                  </w:r>
                  <w:r>
                    <w:rPr>
                      <w:rFonts w:hint="eastAsia"/>
                      <w:color w:val="auto"/>
                      <w:szCs w:val="20"/>
                      <w:highlight w:val="none"/>
                    </w:rPr>
                    <w:t>，</w:t>
                  </w:r>
                  <w:r>
                    <w:rPr>
                      <w:rFonts w:hint="eastAsia"/>
                      <w:color w:val="auto"/>
                      <w:szCs w:val="20"/>
                      <w:highlight w:val="none"/>
                      <w:lang w:val="en-US" w:eastAsia="zh-CN"/>
                    </w:rPr>
                    <w:t>高10m，设置4台1吨/小时燃气锅炉，</w:t>
                  </w:r>
                  <w:r>
                    <w:rPr>
                      <w:rFonts w:hint="eastAsia"/>
                      <w:color w:val="auto"/>
                      <w:szCs w:val="20"/>
                      <w:highlight w:val="none"/>
                    </w:rPr>
                    <w:t>用于</w:t>
                  </w:r>
                  <w:r>
                    <w:rPr>
                      <w:rFonts w:hint="eastAsia"/>
                      <w:color w:val="auto"/>
                      <w:szCs w:val="20"/>
                      <w:highlight w:val="none"/>
                      <w:lang w:val="en-US" w:eastAsia="zh-CN"/>
                    </w:rPr>
                    <w:t>中央厨房食品蒸制加热加工时蒸汽供应</w:t>
                  </w:r>
                </w:p>
              </w:tc>
            </w:tr>
            <w:tr w14:paraId="566A437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5274E4DC">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1172" w:type="pct"/>
                  <w:gridSpan w:val="3"/>
                  <w:tcBorders>
                    <w:tl2br w:val="nil"/>
                    <w:tr2bl w:val="nil"/>
                  </w:tcBorders>
                  <w:vAlign w:val="center"/>
                </w:tcPr>
                <w:p w14:paraId="1DE03B47">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Cs w:val="20"/>
                      <w:highlight w:val="none"/>
                      <w:lang w:val="en-US" w:eastAsia="zh-CN"/>
                    </w:rPr>
                  </w:pPr>
                  <w:r>
                    <w:rPr>
                      <w:rFonts w:hint="eastAsia" w:ascii="Times New Roman" w:hAnsi="Times New Roman" w:eastAsia="宋体" w:cs="Times New Roman"/>
                      <w:color w:val="auto"/>
                      <w:szCs w:val="20"/>
                      <w:highlight w:val="none"/>
                      <w:lang w:val="en-US" w:eastAsia="zh-CN"/>
                    </w:rPr>
                    <w:t>地埋式</w:t>
                  </w:r>
                  <w:r>
                    <w:rPr>
                      <w:rFonts w:hint="default" w:ascii="Times New Roman" w:hAnsi="Times New Roman" w:eastAsia="宋体" w:cs="Times New Roman"/>
                      <w:color w:val="auto"/>
                      <w:szCs w:val="20"/>
                      <w:highlight w:val="none"/>
                      <w:lang w:val="en-US" w:eastAsia="zh-CN"/>
                    </w:rPr>
                    <w:t>污水处理</w:t>
                  </w:r>
                  <w:r>
                    <w:rPr>
                      <w:rFonts w:hint="eastAsia" w:ascii="Times New Roman" w:hAnsi="Times New Roman" w:eastAsia="宋体" w:cs="Times New Roman"/>
                      <w:color w:val="auto"/>
                      <w:szCs w:val="20"/>
                      <w:highlight w:val="none"/>
                      <w:lang w:val="en-US" w:eastAsia="zh-CN"/>
                    </w:rPr>
                    <w:t>设施</w:t>
                  </w:r>
                </w:p>
              </w:tc>
              <w:tc>
                <w:tcPr>
                  <w:tcW w:w="3494" w:type="pct"/>
                  <w:tcBorders>
                    <w:tl2br w:val="nil"/>
                    <w:tr2bl w:val="nil"/>
                  </w:tcBorders>
                  <w:vAlign w:val="center"/>
                </w:tcPr>
                <w:p w14:paraId="2084171D">
                  <w:pPr>
                    <w:pStyle w:val="80"/>
                    <w:keepNext w:val="0"/>
                    <w:keepLines w:val="0"/>
                    <w:widowControl/>
                    <w:suppressLineNumbers w:val="0"/>
                    <w:spacing w:before="0" w:beforeAutospacing="0" w:after="0" w:afterAutospacing="0"/>
                    <w:ind w:left="0" w:leftChars="0" w:right="0" w:rightChars="0"/>
                    <w:jc w:val="both"/>
                    <w:rPr>
                      <w:rFonts w:hint="eastAsia" w:ascii="Times New Roman" w:hAnsi="Times New Roman" w:eastAsia="宋体" w:cs="Times New Roman"/>
                      <w:color w:val="auto"/>
                      <w:szCs w:val="20"/>
                      <w:highlight w:val="none"/>
                      <w:lang w:val="en-US" w:eastAsia="zh-CN"/>
                    </w:rPr>
                  </w:pPr>
                  <w:r>
                    <w:rPr>
                      <w:rFonts w:hint="default" w:ascii="Times New Roman" w:hAnsi="Times New Roman" w:eastAsia="宋体" w:cs="Times New Roman"/>
                      <w:color w:val="auto"/>
                      <w:szCs w:val="20"/>
                      <w:highlight w:val="none"/>
                      <w:lang w:val="en-US" w:eastAsia="zh-CN"/>
                    </w:rPr>
                    <w:t>位于</w:t>
                  </w:r>
                  <w:r>
                    <w:rPr>
                      <w:rFonts w:hint="eastAsia" w:cs="Times New Roman"/>
                      <w:color w:val="auto"/>
                      <w:szCs w:val="20"/>
                      <w:highlight w:val="none"/>
                      <w:lang w:val="en-US" w:eastAsia="zh-CN"/>
                    </w:rPr>
                    <w:t>1#锅炉房南侧</w:t>
                  </w:r>
                  <w:r>
                    <w:rPr>
                      <w:rFonts w:hint="default" w:ascii="Times New Roman" w:hAnsi="Times New Roman" w:eastAsia="宋体" w:cs="Times New Roman"/>
                      <w:color w:val="auto"/>
                      <w:szCs w:val="20"/>
                      <w:highlight w:val="none"/>
                      <w:lang w:val="en-US" w:eastAsia="zh-CN"/>
                    </w:rPr>
                    <w:t>，占地面积</w:t>
                  </w:r>
                  <w:r>
                    <w:rPr>
                      <w:rFonts w:hint="eastAsia" w:cs="Times New Roman"/>
                      <w:color w:val="auto"/>
                      <w:szCs w:val="20"/>
                      <w:highlight w:val="none"/>
                      <w:lang w:val="en-US" w:eastAsia="zh-CN"/>
                    </w:rPr>
                    <w:t>8</w:t>
                  </w:r>
                  <w:r>
                    <w:rPr>
                      <w:rFonts w:hint="default" w:ascii="Times New Roman" w:hAnsi="Times New Roman" w:eastAsia="宋体" w:cs="Times New Roman"/>
                      <w:color w:val="auto"/>
                      <w:szCs w:val="20"/>
                      <w:highlight w:val="none"/>
                      <w:lang w:val="en-US" w:eastAsia="zh-CN"/>
                    </w:rPr>
                    <w:t>0m</w:t>
                  </w:r>
                  <w:r>
                    <w:rPr>
                      <w:rFonts w:hint="default" w:ascii="Times New Roman" w:hAnsi="Times New Roman" w:eastAsia="宋体" w:cs="Times New Roman"/>
                      <w:color w:val="auto"/>
                      <w:szCs w:val="20"/>
                      <w:highlight w:val="none"/>
                      <w:vertAlign w:val="superscript"/>
                      <w:lang w:val="en-US" w:eastAsia="zh-CN"/>
                    </w:rPr>
                    <w:t>2</w:t>
                  </w:r>
                  <w:r>
                    <w:rPr>
                      <w:rFonts w:hint="default" w:ascii="Times New Roman" w:hAnsi="Times New Roman" w:eastAsia="宋体" w:cs="Times New Roman"/>
                      <w:color w:val="auto"/>
                      <w:szCs w:val="20"/>
                      <w:highlight w:val="none"/>
                      <w:lang w:val="en-US" w:eastAsia="zh-CN"/>
                    </w:rPr>
                    <w:t>，设计处理量为50m</w:t>
                  </w:r>
                  <w:r>
                    <w:rPr>
                      <w:rFonts w:hint="default" w:ascii="Times New Roman" w:hAnsi="Times New Roman" w:eastAsia="宋体" w:cs="Times New Roman"/>
                      <w:color w:val="auto"/>
                      <w:szCs w:val="20"/>
                      <w:highlight w:val="none"/>
                      <w:vertAlign w:val="superscript"/>
                      <w:lang w:val="en-US" w:eastAsia="zh-CN"/>
                    </w:rPr>
                    <w:t>3</w:t>
                  </w:r>
                  <w:r>
                    <w:rPr>
                      <w:rFonts w:hint="default" w:ascii="Times New Roman" w:hAnsi="Times New Roman" w:eastAsia="宋体" w:cs="Times New Roman"/>
                      <w:color w:val="auto"/>
                      <w:szCs w:val="20"/>
                      <w:highlight w:val="none"/>
                      <w:lang w:val="en-US" w:eastAsia="zh-CN"/>
                    </w:rPr>
                    <w:t>/d，采用</w:t>
                  </w:r>
                  <w:r>
                    <w:rPr>
                      <w:rFonts w:hint="eastAsia" w:cs="Times New Roman"/>
                      <w:color w:val="auto"/>
                      <w:szCs w:val="20"/>
                      <w:highlight w:val="none"/>
                      <w:lang w:val="en-US" w:eastAsia="zh-CN"/>
                    </w:rPr>
                    <w:t>AO</w:t>
                  </w:r>
                  <w:r>
                    <w:rPr>
                      <w:rFonts w:hint="default" w:ascii="Times New Roman" w:hAnsi="Times New Roman" w:eastAsia="宋体" w:cs="Times New Roman"/>
                      <w:color w:val="auto"/>
                      <w:szCs w:val="20"/>
                      <w:highlight w:val="none"/>
                      <w:lang w:val="en-US" w:eastAsia="zh-CN"/>
                    </w:rPr>
                    <w:t>处理工艺</w:t>
                  </w:r>
                </w:p>
              </w:tc>
            </w:tr>
            <w:tr w14:paraId="1B5C283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1329" w:hRule="atLeast"/>
                <w:jc w:val="center"/>
              </w:trPr>
              <w:tc>
                <w:tcPr>
                  <w:tcW w:w="333" w:type="pct"/>
                  <w:vMerge w:val="continue"/>
                  <w:tcBorders>
                    <w:tl2br w:val="nil"/>
                    <w:tr2bl w:val="nil"/>
                  </w:tcBorders>
                  <w:vAlign w:val="center"/>
                </w:tcPr>
                <w:p w14:paraId="1A436EB9">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1172" w:type="pct"/>
                  <w:gridSpan w:val="3"/>
                  <w:tcBorders>
                    <w:tl2br w:val="nil"/>
                    <w:tr2bl w:val="nil"/>
                  </w:tcBorders>
                  <w:vAlign w:val="center"/>
                </w:tcPr>
                <w:p w14:paraId="4AD3FC2F">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Cs w:val="20"/>
                      <w:highlight w:val="none"/>
                      <w:lang w:val="en-US" w:eastAsia="zh-CN"/>
                    </w:rPr>
                  </w:pPr>
                  <w:r>
                    <w:rPr>
                      <w:rFonts w:hint="default" w:ascii="Times New Roman" w:hAnsi="Times New Roman" w:eastAsia="宋体" w:cs="Times New Roman"/>
                      <w:color w:val="auto"/>
                      <w:szCs w:val="20"/>
                      <w:highlight w:val="none"/>
                      <w:lang w:val="en-US" w:eastAsia="zh-CN"/>
                    </w:rPr>
                    <w:t>检验室</w:t>
                  </w:r>
                </w:p>
              </w:tc>
              <w:tc>
                <w:tcPr>
                  <w:tcW w:w="3494" w:type="pct"/>
                  <w:tcBorders>
                    <w:tl2br w:val="nil"/>
                    <w:tr2bl w:val="nil"/>
                  </w:tcBorders>
                  <w:vAlign w:val="center"/>
                </w:tcPr>
                <w:p w14:paraId="075FF808">
                  <w:pPr>
                    <w:pStyle w:val="80"/>
                    <w:keepNext w:val="0"/>
                    <w:keepLines w:val="0"/>
                    <w:widowControl/>
                    <w:suppressLineNumbers w:val="0"/>
                    <w:spacing w:before="0" w:beforeAutospacing="0" w:after="0" w:afterAutospacing="0"/>
                    <w:ind w:left="0" w:leftChars="0" w:right="0" w:rightChars="0"/>
                    <w:jc w:val="both"/>
                    <w:rPr>
                      <w:rFonts w:hint="default" w:ascii="Times New Roman" w:hAnsi="Times New Roman" w:eastAsia="宋体" w:cs="Times New Roman"/>
                      <w:color w:val="auto"/>
                      <w:szCs w:val="20"/>
                      <w:highlight w:val="none"/>
                      <w:lang w:val="en-US" w:eastAsia="zh-CN"/>
                    </w:rPr>
                  </w:pPr>
                  <w:r>
                    <w:rPr>
                      <w:rFonts w:hint="default" w:ascii="Times New Roman" w:hAnsi="Times New Roman" w:eastAsia="宋体" w:cs="Times New Roman"/>
                      <w:color w:val="auto"/>
                      <w:szCs w:val="20"/>
                      <w:highlight w:val="none"/>
                      <w:lang w:val="en-US" w:eastAsia="zh-CN"/>
                    </w:rPr>
                    <w:t>位于中央厨房的</w:t>
                  </w:r>
                  <w:r>
                    <w:rPr>
                      <w:rFonts w:hint="eastAsia" w:cs="Times New Roman"/>
                      <w:color w:val="auto"/>
                      <w:szCs w:val="20"/>
                      <w:highlight w:val="none"/>
                      <w:lang w:val="en-US" w:eastAsia="zh-CN"/>
                    </w:rPr>
                    <w:t>一</w:t>
                  </w:r>
                  <w:r>
                    <w:rPr>
                      <w:rFonts w:hint="eastAsia" w:ascii="Times New Roman" w:hAnsi="Times New Roman" w:eastAsia="宋体" w:cs="Times New Roman"/>
                      <w:color w:val="auto"/>
                      <w:szCs w:val="20"/>
                      <w:highlight w:val="none"/>
                      <w:lang w:val="en-US" w:eastAsia="zh-CN"/>
                    </w:rPr>
                    <w:t>楼</w:t>
                  </w:r>
                  <w:r>
                    <w:rPr>
                      <w:rFonts w:hint="eastAsia" w:cs="Times New Roman"/>
                      <w:color w:val="auto"/>
                      <w:szCs w:val="20"/>
                      <w:highlight w:val="none"/>
                      <w:lang w:val="en-US" w:eastAsia="zh-CN"/>
                    </w:rPr>
                    <w:t>东南角</w:t>
                  </w:r>
                  <w:r>
                    <w:rPr>
                      <w:rFonts w:hint="default" w:ascii="Times New Roman" w:hAnsi="Times New Roman" w:eastAsia="宋体" w:cs="Times New Roman"/>
                      <w:color w:val="auto"/>
                      <w:szCs w:val="20"/>
                      <w:highlight w:val="none"/>
                      <w:lang w:val="en-US" w:eastAsia="zh-CN"/>
                    </w:rPr>
                    <w:t>，占地面积2</w:t>
                  </w:r>
                  <w:r>
                    <w:rPr>
                      <w:rFonts w:hint="eastAsia" w:ascii="Times New Roman" w:hAnsi="Times New Roman" w:eastAsia="宋体" w:cs="Times New Roman"/>
                      <w:color w:val="auto"/>
                      <w:szCs w:val="20"/>
                      <w:highlight w:val="none"/>
                      <w:lang w:val="en-US" w:eastAsia="zh-CN"/>
                    </w:rPr>
                    <w:t>0</w:t>
                  </w:r>
                  <w:r>
                    <w:rPr>
                      <w:rFonts w:hint="default" w:ascii="Times New Roman" w:hAnsi="Times New Roman" w:eastAsia="宋体" w:cs="Times New Roman"/>
                      <w:color w:val="auto"/>
                      <w:szCs w:val="20"/>
                      <w:highlight w:val="none"/>
                      <w:lang w:val="en-US" w:eastAsia="zh-CN"/>
                    </w:rPr>
                    <w:t>m</w:t>
                  </w:r>
                  <w:r>
                    <w:rPr>
                      <w:rFonts w:hint="default" w:ascii="Times New Roman" w:hAnsi="Times New Roman" w:eastAsia="宋体" w:cs="Times New Roman"/>
                      <w:color w:val="auto"/>
                      <w:szCs w:val="20"/>
                      <w:highlight w:val="none"/>
                      <w:vertAlign w:val="superscript"/>
                      <w:lang w:val="en-US" w:eastAsia="zh-CN"/>
                    </w:rPr>
                    <w:t>2</w:t>
                  </w:r>
                  <w:r>
                    <w:rPr>
                      <w:rFonts w:hint="default" w:ascii="Times New Roman" w:hAnsi="Times New Roman" w:eastAsia="宋体" w:cs="Times New Roman"/>
                      <w:color w:val="auto"/>
                      <w:szCs w:val="20"/>
                      <w:highlight w:val="none"/>
                      <w:lang w:val="en-US" w:eastAsia="zh-CN"/>
                    </w:rPr>
                    <w:t>，</w:t>
                  </w:r>
                  <w:r>
                    <w:rPr>
                      <w:rFonts w:hint="eastAsia" w:ascii="Times New Roman" w:hAnsi="Times New Roman" w:eastAsia="宋体" w:cs="Times New Roman"/>
                      <w:color w:val="auto"/>
                      <w:sz w:val="21"/>
                      <w:szCs w:val="21"/>
                    </w:rPr>
                    <w:t>主要对厂区原辅材料和产品进行抽样检查</w:t>
                  </w:r>
                  <w:r>
                    <w:rPr>
                      <w:rFonts w:hint="eastAsia" w:ascii="Times New Roman" w:hAnsi="Times New Roman" w:eastAsia="宋体" w:cs="Times New Roman"/>
                      <w:color w:val="auto"/>
                      <w:sz w:val="21"/>
                      <w:szCs w:val="21"/>
                      <w:lang w:eastAsia="zh-CN"/>
                    </w:rPr>
                    <w:t>，检测指标有</w:t>
                  </w:r>
                  <w:r>
                    <w:rPr>
                      <w:rFonts w:hint="eastAsia" w:ascii="Times New Roman" w:hAnsi="Times New Roman" w:eastAsia="宋体" w:cs="Times New Roman"/>
                      <w:color w:val="auto"/>
                      <w:sz w:val="21"/>
                      <w:szCs w:val="21"/>
                    </w:rPr>
                    <w:t>酸度、糖分和微生物（细菌总数和大肠杆菌群）</w:t>
                  </w:r>
                  <w:r>
                    <w:rPr>
                      <w:rFonts w:hint="eastAsia" w:ascii="Times New Roman" w:hAnsi="Times New Roman" w:eastAsia="宋体" w:cs="Times New Roman"/>
                      <w:color w:val="auto"/>
                      <w:sz w:val="21"/>
                      <w:szCs w:val="21"/>
                      <w:lang w:eastAsia="zh-CN"/>
                    </w:rPr>
                    <w:t>等</w:t>
                  </w:r>
                  <w:r>
                    <w:rPr>
                      <w:rFonts w:hint="default" w:ascii="Times New Roman" w:hAnsi="Times New Roman" w:eastAsia="宋体" w:cs="Times New Roman"/>
                      <w:color w:val="auto"/>
                      <w:szCs w:val="20"/>
                      <w:highlight w:val="none"/>
                      <w:lang w:val="en-US" w:eastAsia="zh-CN"/>
                    </w:rPr>
                    <w:t>。</w:t>
                  </w:r>
                </w:p>
              </w:tc>
            </w:tr>
            <w:tr w14:paraId="6514B4C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2ACD9711">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1172" w:type="pct"/>
                  <w:gridSpan w:val="3"/>
                  <w:tcBorders>
                    <w:tl2br w:val="nil"/>
                    <w:tr2bl w:val="nil"/>
                  </w:tcBorders>
                  <w:vAlign w:val="center"/>
                </w:tcPr>
                <w:p w14:paraId="1C4A241A">
                  <w:pPr>
                    <w:pStyle w:val="80"/>
                    <w:keepNext w:val="0"/>
                    <w:keepLines w:val="0"/>
                    <w:widowControl/>
                    <w:suppressLineNumbers w:val="0"/>
                    <w:spacing w:before="0" w:beforeAutospacing="0" w:after="0" w:afterAutospacing="0"/>
                    <w:ind w:left="0" w:leftChars="0" w:right="0" w:rightChars="0"/>
                    <w:rPr>
                      <w:rFonts w:hint="default" w:cs="Times New Roman"/>
                      <w:color w:val="auto"/>
                      <w:szCs w:val="20"/>
                      <w:highlight w:val="none"/>
                      <w:lang w:val="en-US" w:eastAsia="zh-CN"/>
                    </w:rPr>
                  </w:pPr>
                  <w:r>
                    <w:rPr>
                      <w:rFonts w:hint="eastAsia" w:cs="Times New Roman"/>
                      <w:color w:val="auto"/>
                      <w:szCs w:val="20"/>
                      <w:highlight w:val="none"/>
                      <w:lang w:val="en-US" w:eastAsia="zh-CN"/>
                    </w:rPr>
                    <w:t>宿舍楼</w:t>
                  </w:r>
                </w:p>
              </w:tc>
              <w:tc>
                <w:tcPr>
                  <w:tcW w:w="3494" w:type="pct"/>
                  <w:tcBorders>
                    <w:tl2br w:val="nil"/>
                    <w:tr2bl w:val="nil"/>
                  </w:tcBorders>
                  <w:vAlign w:val="center"/>
                </w:tcPr>
                <w:p w14:paraId="3BEE4C23">
                  <w:pPr>
                    <w:pStyle w:val="80"/>
                    <w:keepNext w:val="0"/>
                    <w:keepLines w:val="0"/>
                    <w:widowControl/>
                    <w:suppressLineNumbers w:val="0"/>
                    <w:spacing w:before="0" w:beforeAutospacing="0" w:after="0" w:afterAutospacing="0"/>
                    <w:ind w:left="0" w:leftChars="0" w:right="0" w:rightChars="0"/>
                    <w:jc w:val="both"/>
                    <w:rPr>
                      <w:rFonts w:hint="default" w:cs="Times New Roman"/>
                      <w:color w:val="auto"/>
                      <w:szCs w:val="20"/>
                      <w:highlight w:val="none"/>
                      <w:lang w:val="en-US" w:eastAsia="zh-CN"/>
                    </w:rPr>
                  </w:pPr>
                  <w:r>
                    <w:rPr>
                      <w:rFonts w:hint="eastAsia" w:cs="Times New Roman"/>
                      <w:color w:val="auto"/>
                      <w:szCs w:val="20"/>
                      <w:highlight w:val="none"/>
                      <w:lang w:val="en-US" w:eastAsia="zh-CN"/>
                    </w:rPr>
                    <w:t>位于厂区西北角，共2层，</w:t>
                  </w:r>
                  <w:r>
                    <w:rPr>
                      <w:rFonts w:hint="eastAsia"/>
                      <w:color w:val="auto"/>
                      <w:szCs w:val="20"/>
                      <w:highlight w:val="none"/>
                      <w:lang w:val="en-US" w:eastAsia="zh-CN"/>
                    </w:rPr>
                    <w:t>占地</w:t>
                  </w:r>
                  <w:r>
                    <w:rPr>
                      <w:rFonts w:hint="eastAsia"/>
                      <w:color w:val="auto"/>
                      <w:szCs w:val="20"/>
                      <w:highlight w:val="none"/>
                    </w:rPr>
                    <w:t>面积</w:t>
                  </w:r>
                  <w:r>
                    <w:rPr>
                      <w:rFonts w:hint="eastAsia"/>
                      <w:color w:val="auto"/>
                      <w:szCs w:val="20"/>
                      <w:highlight w:val="none"/>
                      <w:lang w:val="en-US" w:eastAsia="zh-CN"/>
                    </w:rPr>
                    <w:t>90</w:t>
                  </w:r>
                  <w:r>
                    <w:rPr>
                      <w:rFonts w:hint="default"/>
                      <w:color w:val="auto"/>
                      <w:szCs w:val="20"/>
                      <w:highlight w:val="none"/>
                    </w:rPr>
                    <w:t>m</w:t>
                  </w:r>
                  <w:r>
                    <w:rPr>
                      <w:rFonts w:hint="default"/>
                      <w:color w:val="auto"/>
                      <w:szCs w:val="20"/>
                      <w:highlight w:val="none"/>
                      <w:vertAlign w:val="superscript"/>
                    </w:rPr>
                    <w:t>2</w:t>
                  </w:r>
                  <w:r>
                    <w:rPr>
                      <w:rFonts w:hint="eastAsia"/>
                      <w:color w:val="auto"/>
                      <w:szCs w:val="20"/>
                      <w:highlight w:val="none"/>
                    </w:rPr>
                    <w:t>；</w:t>
                  </w:r>
                  <w:r>
                    <w:rPr>
                      <w:rFonts w:hint="eastAsia"/>
                      <w:color w:val="auto"/>
                      <w:szCs w:val="20"/>
                      <w:highlight w:val="none"/>
                      <w:lang w:val="en-US" w:eastAsia="zh-CN"/>
                    </w:rPr>
                    <w:t>层高3m，</w:t>
                  </w:r>
                  <w:r>
                    <w:rPr>
                      <w:rFonts w:hint="eastAsia"/>
                      <w:color w:val="auto"/>
                      <w:szCs w:val="20"/>
                      <w:highlight w:val="none"/>
                    </w:rPr>
                    <w:t>用于</w:t>
                  </w:r>
                  <w:r>
                    <w:rPr>
                      <w:rFonts w:hint="eastAsia"/>
                      <w:color w:val="auto"/>
                      <w:szCs w:val="20"/>
                      <w:highlight w:val="none"/>
                      <w:lang w:val="en-US" w:eastAsia="zh-CN"/>
                    </w:rPr>
                    <w:t>员工住宿休息</w:t>
                  </w:r>
                </w:p>
              </w:tc>
            </w:tr>
            <w:tr w14:paraId="58209A7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07214C23">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1172" w:type="pct"/>
                  <w:gridSpan w:val="3"/>
                  <w:tcBorders>
                    <w:tl2br w:val="nil"/>
                    <w:tr2bl w:val="nil"/>
                  </w:tcBorders>
                  <w:vAlign w:val="center"/>
                </w:tcPr>
                <w:p w14:paraId="1B58BC01">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Cs w:val="20"/>
                      <w:highlight w:val="none"/>
                      <w:lang w:val="en-US" w:eastAsia="zh-CN"/>
                    </w:rPr>
                  </w:pPr>
                  <w:r>
                    <w:rPr>
                      <w:rFonts w:hint="eastAsia" w:cs="Times New Roman"/>
                      <w:color w:val="auto"/>
                      <w:szCs w:val="20"/>
                      <w:highlight w:val="none"/>
                      <w:lang w:val="en-US" w:eastAsia="zh-CN"/>
                    </w:rPr>
                    <w:t>门卫及值班室</w:t>
                  </w:r>
                </w:p>
              </w:tc>
              <w:tc>
                <w:tcPr>
                  <w:tcW w:w="3494" w:type="pct"/>
                  <w:tcBorders>
                    <w:tl2br w:val="nil"/>
                    <w:tr2bl w:val="nil"/>
                  </w:tcBorders>
                  <w:vAlign w:val="center"/>
                </w:tcPr>
                <w:p w14:paraId="4631BB09">
                  <w:pPr>
                    <w:pStyle w:val="80"/>
                    <w:keepNext w:val="0"/>
                    <w:keepLines w:val="0"/>
                    <w:widowControl/>
                    <w:suppressLineNumbers w:val="0"/>
                    <w:spacing w:before="0" w:beforeAutospacing="0" w:after="0" w:afterAutospacing="0"/>
                    <w:ind w:left="0" w:leftChars="0" w:right="0" w:rightChars="0"/>
                    <w:jc w:val="both"/>
                    <w:rPr>
                      <w:rFonts w:hint="default" w:ascii="Times New Roman" w:hAnsi="Times New Roman" w:eastAsia="宋体" w:cs="Times New Roman"/>
                      <w:color w:val="auto"/>
                      <w:szCs w:val="20"/>
                      <w:highlight w:val="none"/>
                      <w:lang w:val="en-US" w:eastAsia="zh-CN"/>
                    </w:rPr>
                  </w:pPr>
                  <w:r>
                    <w:rPr>
                      <w:rFonts w:hint="eastAsia" w:cs="Times New Roman"/>
                      <w:color w:val="auto"/>
                      <w:szCs w:val="20"/>
                      <w:highlight w:val="none"/>
                      <w:lang w:val="en-US" w:eastAsia="zh-CN"/>
                    </w:rPr>
                    <w:t>位于厂区大门北侧，共3间，</w:t>
                  </w:r>
                  <w:r>
                    <w:rPr>
                      <w:rFonts w:hint="eastAsia"/>
                      <w:color w:val="auto"/>
                      <w:szCs w:val="20"/>
                      <w:highlight w:val="none"/>
                      <w:lang w:val="en-US" w:eastAsia="zh-CN"/>
                    </w:rPr>
                    <w:t>占地</w:t>
                  </w:r>
                  <w:r>
                    <w:rPr>
                      <w:rFonts w:hint="eastAsia"/>
                      <w:color w:val="auto"/>
                      <w:szCs w:val="20"/>
                      <w:highlight w:val="none"/>
                    </w:rPr>
                    <w:t>面积</w:t>
                  </w:r>
                  <w:r>
                    <w:rPr>
                      <w:rFonts w:hint="eastAsia"/>
                      <w:color w:val="auto"/>
                      <w:szCs w:val="20"/>
                      <w:highlight w:val="none"/>
                      <w:lang w:val="en-US" w:eastAsia="zh-CN"/>
                    </w:rPr>
                    <w:t>150</w:t>
                  </w:r>
                  <w:r>
                    <w:rPr>
                      <w:rFonts w:hint="default"/>
                      <w:color w:val="auto"/>
                      <w:szCs w:val="20"/>
                      <w:highlight w:val="none"/>
                    </w:rPr>
                    <w:t>m</w:t>
                  </w:r>
                  <w:r>
                    <w:rPr>
                      <w:rFonts w:hint="default"/>
                      <w:color w:val="auto"/>
                      <w:szCs w:val="20"/>
                      <w:highlight w:val="none"/>
                      <w:vertAlign w:val="superscript"/>
                    </w:rPr>
                    <w:t>2</w:t>
                  </w:r>
                  <w:r>
                    <w:rPr>
                      <w:rFonts w:hint="eastAsia"/>
                      <w:color w:val="auto"/>
                      <w:szCs w:val="20"/>
                      <w:highlight w:val="none"/>
                    </w:rPr>
                    <w:t>；</w:t>
                  </w:r>
                  <w:r>
                    <w:rPr>
                      <w:rFonts w:hint="eastAsia"/>
                      <w:color w:val="auto"/>
                      <w:szCs w:val="20"/>
                      <w:highlight w:val="none"/>
                      <w:lang w:val="en-US" w:eastAsia="zh-CN"/>
                    </w:rPr>
                    <w:t>层高3m，</w:t>
                  </w:r>
                  <w:r>
                    <w:rPr>
                      <w:rFonts w:hint="eastAsia"/>
                      <w:color w:val="auto"/>
                      <w:szCs w:val="20"/>
                      <w:highlight w:val="none"/>
                    </w:rPr>
                    <w:t>用于</w:t>
                  </w:r>
                  <w:r>
                    <w:rPr>
                      <w:rFonts w:hint="eastAsia"/>
                      <w:color w:val="auto"/>
                      <w:szCs w:val="20"/>
                      <w:highlight w:val="none"/>
                      <w:lang w:val="en-US" w:eastAsia="zh-CN"/>
                    </w:rPr>
                    <w:t>安保人员办公及值班</w:t>
                  </w:r>
                </w:p>
              </w:tc>
            </w:tr>
            <w:tr w14:paraId="4D81A827">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54" w:hRule="atLeast"/>
                <w:jc w:val="center"/>
              </w:trPr>
              <w:tc>
                <w:tcPr>
                  <w:tcW w:w="333" w:type="pct"/>
                  <w:vMerge w:val="restart"/>
                  <w:tcBorders>
                    <w:tl2br w:val="nil"/>
                    <w:tr2bl w:val="nil"/>
                  </w:tcBorders>
                  <w:vAlign w:val="center"/>
                </w:tcPr>
                <w:p w14:paraId="22B92061">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储运工程</w:t>
                  </w:r>
                </w:p>
              </w:tc>
              <w:tc>
                <w:tcPr>
                  <w:tcW w:w="1172" w:type="pct"/>
                  <w:gridSpan w:val="3"/>
                  <w:vMerge w:val="restart"/>
                  <w:tcBorders>
                    <w:tl2br w:val="nil"/>
                    <w:tr2bl w:val="nil"/>
                  </w:tcBorders>
                  <w:vAlign w:val="center"/>
                </w:tcPr>
                <w:p w14:paraId="70DC5A9A">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原料仓库</w:t>
                  </w:r>
                </w:p>
              </w:tc>
              <w:tc>
                <w:tcPr>
                  <w:tcW w:w="3494" w:type="pct"/>
                  <w:tcBorders>
                    <w:tl2br w:val="nil"/>
                    <w:tr2bl w:val="nil"/>
                  </w:tcBorders>
                  <w:vAlign w:val="center"/>
                </w:tcPr>
                <w:p w14:paraId="67138E16">
                  <w:pPr>
                    <w:pStyle w:val="80"/>
                    <w:keepNext w:val="0"/>
                    <w:keepLines w:val="0"/>
                    <w:widowControl/>
                    <w:suppressLineNumbers w:val="0"/>
                    <w:spacing w:before="0" w:beforeAutospacing="0" w:after="0" w:afterAutospacing="0"/>
                    <w:ind w:left="0" w:right="0"/>
                    <w:jc w:val="both"/>
                    <w:rPr>
                      <w:rFonts w:hint="default" w:eastAsia="宋体"/>
                      <w:color w:val="auto"/>
                      <w:szCs w:val="20"/>
                      <w:highlight w:val="none"/>
                      <w:lang w:val="en-US" w:eastAsia="zh-CN"/>
                    </w:rPr>
                  </w:pPr>
                  <w:r>
                    <w:rPr>
                      <w:rFonts w:hint="eastAsia"/>
                      <w:color w:val="auto"/>
                      <w:szCs w:val="20"/>
                      <w:highlight w:val="none"/>
                      <w:lang w:val="en-US" w:eastAsia="zh-CN"/>
                    </w:rPr>
                    <w:t>位于厂区中西部北邻办公区域，1层，占地面积</w:t>
                  </w:r>
                  <w:r>
                    <w:rPr>
                      <w:rFonts w:hint="eastAsia" w:cs="Times New Roman"/>
                      <w:color w:val="auto"/>
                      <w:szCs w:val="20"/>
                      <w:highlight w:val="none"/>
                      <w:lang w:val="en-US" w:eastAsia="zh-CN"/>
                    </w:rPr>
                    <w:t>1400</w:t>
                  </w:r>
                  <w:r>
                    <w:rPr>
                      <w:rFonts w:hint="default" w:ascii="Times New Roman" w:hAnsi="Times New Roman" w:eastAsia="宋体" w:cs="Times New Roman"/>
                      <w:color w:val="auto"/>
                      <w:szCs w:val="20"/>
                      <w:highlight w:val="none"/>
                      <w:lang w:val="en-US" w:eastAsia="zh-CN"/>
                    </w:rPr>
                    <w:t>m</w:t>
                  </w:r>
                  <w:r>
                    <w:rPr>
                      <w:rFonts w:hint="default" w:ascii="Times New Roman" w:hAnsi="Times New Roman" w:eastAsia="宋体" w:cs="Times New Roman"/>
                      <w:color w:val="auto"/>
                      <w:szCs w:val="20"/>
                      <w:highlight w:val="none"/>
                      <w:vertAlign w:val="superscript"/>
                      <w:lang w:val="en-US" w:eastAsia="zh-CN"/>
                    </w:rPr>
                    <w:t>2</w:t>
                  </w:r>
                  <w:r>
                    <w:rPr>
                      <w:rFonts w:hint="default" w:ascii="Times New Roman" w:hAnsi="Times New Roman" w:eastAsia="宋体" w:cs="Times New Roman"/>
                      <w:color w:val="auto"/>
                      <w:szCs w:val="20"/>
                      <w:highlight w:val="none"/>
                      <w:lang w:val="en-US" w:eastAsia="zh-CN"/>
                    </w:rPr>
                    <w:t>，</w:t>
                  </w:r>
                  <w:r>
                    <w:rPr>
                      <w:rFonts w:hint="eastAsia" w:cs="Times New Roman"/>
                      <w:color w:val="auto"/>
                      <w:szCs w:val="20"/>
                      <w:highlight w:val="none"/>
                      <w:lang w:val="en-US" w:eastAsia="zh-CN"/>
                    </w:rPr>
                    <w:t>其中东部区设有</w:t>
                  </w:r>
                  <w:r>
                    <w:rPr>
                      <w:rFonts w:hint="eastAsia" w:ascii="Times New Roman" w:hAnsi="Times New Roman" w:eastAsia="宋体" w:cs="Times New Roman"/>
                      <w:color w:val="auto"/>
                      <w:szCs w:val="20"/>
                      <w:highlight w:val="none"/>
                      <w:lang w:val="en-US" w:eastAsia="zh-CN"/>
                    </w:rPr>
                    <w:t>冷库</w:t>
                  </w:r>
                  <w:r>
                    <w:rPr>
                      <w:rFonts w:hint="eastAsia" w:cs="Times New Roman"/>
                      <w:color w:val="auto"/>
                      <w:szCs w:val="20"/>
                      <w:highlight w:val="none"/>
                      <w:lang w:val="en-US" w:eastAsia="zh-CN"/>
                    </w:rPr>
                    <w:t>面积400m</w:t>
                  </w:r>
                  <w:r>
                    <w:rPr>
                      <w:rFonts w:hint="eastAsia" w:cs="Times New Roman"/>
                      <w:color w:val="auto"/>
                      <w:szCs w:val="20"/>
                      <w:highlight w:val="none"/>
                      <w:vertAlign w:val="superscript"/>
                      <w:lang w:val="en-US" w:eastAsia="zh-CN"/>
                    </w:rPr>
                    <w:t>2</w:t>
                  </w:r>
                  <w:r>
                    <w:rPr>
                      <w:rFonts w:hint="eastAsia" w:cs="Times New Roman"/>
                      <w:color w:val="auto"/>
                      <w:szCs w:val="20"/>
                      <w:highlight w:val="none"/>
                      <w:lang w:val="en-US" w:eastAsia="zh-CN"/>
                    </w:rPr>
                    <w:t>，用于肉类储存；仓库主要</w:t>
                  </w:r>
                  <w:r>
                    <w:rPr>
                      <w:rFonts w:hint="eastAsia" w:ascii="Times New Roman" w:hAnsi="Times New Roman" w:eastAsia="宋体" w:cs="Times New Roman"/>
                      <w:color w:val="auto"/>
                      <w:szCs w:val="20"/>
                      <w:highlight w:val="none"/>
                      <w:lang w:val="en-US" w:eastAsia="zh-CN"/>
                    </w:rPr>
                    <w:t>用于储存面粉、米、调料、食用油、蔬菜、肉类半成品</w:t>
                  </w:r>
                  <w:r>
                    <w:rPr>
                      <w:rFonts w:hint="eastAsia" w:cs="Times New Roman"/>
                      <w:color w:val="auto"/>
                      <w:szCs w:val="20"/>
                      <w:highlight w:val="none"/>
                      <w:lang w:val="en-US" w:eastAsia="zh-CN"/>
                    </w:rPr>
                    <w:t>等</w:t>
                  </w:r>
                  <w:r>
                    <w:rPr>
                      <w:rFonts w:hint="eastAsia" w:ascii="Times New Roman" w:hAnsi="Times New Roman" w:eastAsia="宋体" w:cs="Times New Roman"/>
                      <w:color w:val="auto"/>
                      <w:szCs w:val="20"/>
                      <w:highlight w:val="none"/>
                      <w:lang w:val="en-US" w:eastAsia="zh-CN"/>
                    </w:rPr>
                    <w:t>。</w:t>
                  </w:r>
                </w:p>
              </w:tc>
            </w:tr>
            <w:tr w14:paraId="6171619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273" w:hRule="atLeast"/>
                <w:jc w:val="center"/>
              </w:trPr>
              <w:tc>
                <w:tcPr>
                  <w:tcW w:w="333" w:type="pct"/>
                  <w:vMerge w:val="continue"/>
                  <w:tcBorders>
                    <w:tl2br w:val="nil"/>
                    <w:tr2bl w:val="nil"/>
                  </w:tcBorders>
                  <w:vAlign w:val="center"/>
                </w:tcPr>
                <w:p w14:paraId="040DE6AB">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1172" w:type="pct"/>
                  <w:gridSpan w:val="3"/>
                  <w:vMerge w:val="continue"/>
                  <w:tcBorders>
                    <w:tl2br w:val="nil"/>
                    <w:tr2bl w:val="nil"/>
                  </w:tcBorders>
                  <w:vAlign w:val="center"/>
                </w:tcPr>
                <w:p w14:paraId="6DDEEE3E">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3494" w:type="pct"/>
                  <w:tcBorders>
                    <w:tl2br w:val="nil"/>
                    <w:tr2bl w:val="nil"/>
                  </w:tcBorders>
                  <w:vAlign w:val="center"/>
                </w:tcPr>
                <w:p w14:paraId="78C2E0A2">
                  <w:pPr>
                    <w:pStyle w:val="80"/>
                    <w:keepNext w:val="0"/>
                    <w:keepLines w:val="0"/>
                    <w:widowControl/>
                    <w:suppressLineNumbers w:val="0"/>
                    <w:spacing w:before="0" w:beforeAutospacing="0" w:after="0" w:afterAutospacing="0"/>
                    <w:ind w:left="0" w:right="0"/>
                    <w:jc w:val="both"/>
                    <w:rPr>
                      <w:rFonts w:hint="default"/>
                      <w:color w:val="auto"/>
                      <w:szCs w:val="20"/>
                      <w:highlight w:val="none"/>
                      <w:lang w:val="en-US" w:eastAsia="zh-CN"/>
                    </w:rPr>
                  </w:pPr>
                  <w:r>
                    <w:rPr>
                      <w:rFonts w:hint="eastAsia"/>
                      <w:color w:val="auto"/>
                      <w:szCs w:val="20"/>
                      <w:highlight w:val="none"/>
                      <w:lang w:val="en-US" w:eastAsia="zh-CN"/>
                    </w:rPr>
                    <w:t>在中央厨房一层西北部设置原料仓库（</w:t>
                  </w:r>
                  <w:r>
                    <w:rPr>
                      <w:rFonts w:hint="default" w:ascii="Times New Roman" w:hAnsi="Times New Roman" w:eastAsia="宋体" w:cs="Times New Roman"/>
                      <w:color w:val="auto"/>
                      <w:sz w:val="21"/>
                      <w:szCs w:val="20"/>
                      <w:lang w:val="en-US" w:eastAsia="zh-CN"/>
                    </w:rPr>
                    <w:t>建筑面积20</w:t>
                  </w:r>
                  <w:r>
                    <w:rPr>
                      <w:rFonts w:hint="eastAsia" w:ascii="Times New Roman" w:hAnsi="Times New Roman" w:eastAsia="宋体" w:cs="Times New Roman"/>
                      <w:color w:val="auto"/>
                      <w:sz w:val="21"/>
                      <w:szCs w:val="20"/>
                      <w:lang w:val="en-US" w:eastAsia="zh-CN"/>
                    </w:rPr>
                    <w:t>0</w:t>
                  </w:r>
                  <w:r>
                    <w:rPr>
                      <w:rFonts w:hint="default" w:ascii="Times New Roman" w:hAnsi="Times New Roman" w:cs="Times New Roman"/>
                      <w:color w:val="auto"/>
                      <w:szCs w:val="21"/>
                      <w:lang w:val="en-US" w:eastAsia="zh-CN"/>
                    </w:rPr>
                    <w:t>m</w:t>
                  </w:r>
                  <w:r>
                    <w:rPr>
                      <w:rFonts w:hint="default" w:ascii="Times New Roman" w:hAnsi="Times New Roman" w:cs="Times New Roman"/>
                      <w:color w:val="auto"/>
                      <w:szCs w:val="21"/>
                      <w:vertAlign w:val="superscript"/>
                      <w:lang w:val="en-US" w:eastAsia="zh-CN"/>
                    </w:rPr>
                    <w:t>2</w:t>
                  </w:r>
                  <w:r>
                    <w:rPr>
                      <w:rFonts w:hint="eastAsia"/>
                      <w:color w:val="auto"/>
                      <w:szCs w:val="20"/>
                      <w:highlight w:val="none"/>
                      <w:lang w:val="en-US" w:eastAsia="zh-CN"/>
                    </w:rPr>
                    <w:t>）、成品暂存区（</w:t>
                  </w:r>
                  <w:r>
                    <w:rPr>
                      <w:rFonts w:hint="default" w:ascii="Times New Roman" w:hAnsi="Times New Roman" w:eastAsia="宋体" w:cs="Times New Roman"/>
                      <w:color w:val="auto"/>
                      <w:sz w:val="21"/>
                      <w:szCs w:val="20"/>
                      <w:lang w:val="en-US" w:eastAsia="zh-CN"/>
                    </w:rPr>
                    <w:t>建筑面积</w:t>
                  </w:r>
                  <w:r>
                    <w:rPr>
                      <w:rFonts w:hint="eastAsia" w:ascii="Times New Roman" w:hAnsi="Times New Roman" w:eastAsia="宋体" w:cs="Times New Roman"/>
                      <w:color w:val="auto"/>
                      <w:sz w:val="21"/>
                      <w:szCs w:val="20"/>
                      <w:lang w:val="en-US" w:eastAsia="zh-CN"/>
                    </w:rPr>
                    <w:t>4</w:t>
                  </w:r>
                  <w:r>
                    <w:rPr>
                      <w:rFonts w:hint="default" w:ascii="Times New Roman" w:hAnsi="Times New Roman" w:eastAsia="宋体" w:cs="Times New Roman"/>
                      <w:color w:val="auto"/>
                      <w:sz w:val="21"/>
                      <w:szCs w:val="20"/>
                      <w:lang w:val="en-US" w:eastAsia="zh-CN"/>
                    </w:rPr>
                    <w:t>0</w:t>
                  </w:r>
                  <w:r>
                    <w:rPr>
                      <w:rFonts w:hint="default" w:ascii="Times New Roman" w:hAnsi="Times New Roman" w:cs="Times New Roman"/>
                      <w:color w:val="auto"/>
                      <w:szCs w:val="21"/>
                      <w:lang w:val="en-US" w:eastAsia="zh-CN"/>
                    </w:rPr>
                    <w:t>m</w:t>
                  </w:r>
                  <w:r>
                    <w:rPr>
                      <w:rFonts w:hint="default" w:ascii="Times New Roman" w:hAnsi="Times New Roman" w:cs="Times New Roman"/>
                      <w:color w:val="auto"/>
                      <w:szCs w:val="21"/>
                      <w:vertAlign w:val="superscript"/>
                      <w:lang w:val="en-US" w:eastAsia="zh-CN"/>
                    </w:rPr>
                    <w:t>2</w:t>
                  </w:r>
                  <w:r>
                    <w:rPr>
                      <w:rFonts w:hint="eastAsia"/>
                      <w:color w:val="auto"/>
                      <w:szCs w:val="20"/>
                      <w:highlight w:val="none"/>
                      <w:lang w:val="en-US" w:eastAsia="zh-CN"/>
                    </w:rPr>
                    <w:t>），分别用于原料和成品的储存</w:t>
                  </w:r>
                </w:p>
              </w:tc>
            </w:tr>
            <w:tr w14:paraId="37F5CB27">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237" w:hRule="atLeast"/>
                <w:jc w:val="center"/>
              </w:trPr>
              <w:tc>
                <w:tcPr>
                  <w:tcW w:w="333" w:type="pct"/>
                  <w:vMerge w:val="continue"/>
                  <w:tcBorders>
                    <w:tl2br w:val="nil"/>
                    <w:tr2bl w:val="nil"/>
                  </w:tcBorders>
                  <w:vAlign w:val="center"/>
                </w:tcPr>
                <w:p w14:paraId="75B13403">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1172" w:type="pct"/>
                  <w:gridSpan w:val="3"/>
                  <w:vMerge w:val="continue"/>
                  <w:tcBorders>
                    <w:tl2br w:val="nil"/>
                    <w:tr2bl w:val="nil"/>
                  </w:tcBorders>
                  <w:vAlign w:val="center"/>
                </w:tcPr>
                <w:p w14:paraId="1B9EB13F">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3494" w:type="pct"/>
                  <w:tcBorders>
                    <w:tl2br w:val="nil"/>
                    <w:tr2bl w:val="nil"/>
                  </w:tcBorders>
                  <w:vAlign w:val="center"/>
                </w:tcPr>
                <w:p w14:paraId="5ACD1742">
                  <w:pPr>
                    <w:pStyle w:val="80"/>
                    <w:keepNext w:val="0"/>
                    <w:keepLines w:val="0"/>
                    <w:widowControl/>
                    <w:suppressLineNumbers w:val="0"/>
                    <w:spacing w:before="0" w:beforeAutospacing="0" w:after="0" w:afterAutospacing="0"/>
                    <w:ind w:left="0" w:right="0"/>
                    <w:jc w:val="both"/>
                    <w:rPr>
                      <w:rFonts w:hint="default"/>
                      <w:color w:val="auto"/>
                      <w:szCs w:val="20"/>
                      <w:highlight w:val="none"/>
                      <w:lang w:val="en-US" w:eastAsia="zh-CN"/>
                    </w:rPr>
                  </w:pPr>
                  <w:r>
                    <w:rPr>
                      <w:rFonts w:hint="eastAsia"/>
                      <w:color w:val="auto"/>
                      <w:szCs w:val="20"/>
                      <w:highlight w:val="none"/>
                      <w:lang w:val="en-US" w:eastAsia="zh-CN"/>
                    </w:rPr>
                    <w:t>在中央厨房二层西北部设置内包间（</w:t>
                  </w:r>
                  <w:r>
                    <w:rPr>
                      <w:rFonts w:hint="default" w:ascii="Times New Roman" w:hAnsi="Times New Roman" w:eastAsia="宋体" w:cs="Times New Roman"/>
                      <w:color w:val="auto"/>
                      <w:sz w:val="21"/>
                      <w:szCs w:val="20"/>
                      <w:lang w:val="en-US" w:eastAsia="zh-CN"/>
                    </w:rPr>
                    <w:t>建筑面积</w:t>
                  </w:r>
                  <w:r>
                    <w:rPr>
                      <w:rFonts w:hint="eastAsia" w:ascii="Times New Roman" w:hAnsi="Times New Roman" w:eastAsia="宋体" w:cs="Times New Roman"/>
                      <w:color w:val="auto"/>
                      <w:sz w:val="21"/>
                      <w:szCs w:val="20"/>
                      <w:lang w:val="en-US" w:eastAsia="zh-CN"/>
                    </w:rPr>
                    <w:t>120</w:t>
                  </w:r>
                  <w:r>
                    <w:rPr>
                      <w:rFonts w:hint="default" w:ascii="Times New Roman" w:hAnsi="Times New Roman" w:cs="Times New Roman"/>
                      <w:color w:val="auto"/>
                      <w:szCs w:val="21"/>
                      <w:lang w:val="en-US" w:eastAsia="zh-CN"/>
                    </w:rPr>
                    <w:t>m</w:t>
                  </w:r>
                  <w:r>
                    <w:rPr>
                      <w:rFonts w:hint="default" w:ascii="Times New Roman" w:hAnsi="Times New Roman" w:cs="Times New Roman"/>
                      <w:color w:val="auto"/>
                      <w:szCs w:val="21"/>
                      <w:vertAlign w:val="superscript"/>
                      <w:lang w:val="en-US" w:eastAsia="zh-CN"/>
                    </w:rPr>
                    <w:t>2</w:t>
                  </w:r>
                  <w:r>
                    <w:rPr>
                      <w:rFonts w:hint="eastAsia"/>
                      <w:color w:val="auto"/>
                      <w:szCs w:val="20"/>
                      <w:highlight w:val="none"/>
                      <w:lang w:val="en-US" w:eastAsia="zh-CN"/>
                    </w:rPr>
                    <w:t>）、外包间（</w:t>
                  </w:r>
                  <w:r>
                    <w:rPr>
                      <w:rFonts w:hint="default" w:ascii="Times New Roman" w:hAnsi="Times New Roman" w:eastAsia="宋体" w:cs="Times New Roman"/>
                      <w:color w:val="auto"/>
                      <w:sz w:val="21"/>
                      <w:szCs w:val="20"/>
                      <w:lang w:val="en-US" w:eastAsia="zh-CN"/>
                    </w:rPr>
                    <w:t>建筑面积</w:t>
                  </w:r>
                  <w:r>
                    <w:rPr>
                      <w:rFonts w:hint="eastAsia" w:ascii="Times New Roman" w:hAnsi="Times New Roman" w:eastAsia="宋体" w:cs="Times New Roman"/>
                      <w:color w:val="auto"/>
                      <w:sz w:val="21"/>
                      <w:szCs w:val="20"/>
                      <w:lang w:val="en-US" w:eastAsia="zh-CN"/>
                    </w:rPr>
                    <w:t>80</w:t>
                  </w:r>
                  <w:r>
                    <w:rPr>
                      <w:rFonts w:hint="default" w:ascii="Times New Roman" w:hAnsi="Times New Roman" w:cs="Times New Roman"/>
                      <w:color w:val="auto"/>
                      <w:szCs w:val="21"/>
                      <w:lang w:val="en-US" w:eastAsia="zh-CN"/>
                    </w:rPr>
                    <w:t>m</w:t>
                  </w:r>
                  <w:r>
                    <w:rPr>
                      <w:rFonts w:hint="default" w:ascii="Times New Roman" w:hAnsi="Times New Roman" w:cs="Times New Roman"/>
                      <w:color w:val="auto"/>
                      <w:szCs w:val="21"/>
                      <w:vertAlign w:val="superscript"/>
                      <w:lang w:val="en-US" w:eastAsia="zh-CN"/>
                    </w:rPr>
                    <w:t>2</w:t>
                  </w:r>
                  <w:r>
                    <w:rPr>
                      <w:rFonts w:hint="eastAsia"/>
                      <w:color w:val="auto"/>
                      <w:szCs w:val="20"/>
                      <w:highlight w:val="none"/>
                      <w:lang w:val="en-US" w:eastAsia="zh-CN"/>
                    </w:rPr>
                    <w:t>）、成品暂存区（</w:t>
                  </w:r>
                  <w:r>
                    <w:rPr>
                      <w:rFonts w:hint="default" w:ascii="Times New Roman" w:hAnsi="Times New Roman" w:eastAsia="宋体" w:cs="Times New Roman"/>
                      <w:color w:val="auto"/>
                      <w:sz w:val="21"/>
                      <w:szCs w:val="20"/>
                      <w:lang w:val="en-US" w:eastAsia="zh-CN"/>
                    </w:rPr>
                    <w:t>建筑面积</w:t>
                  </w:r>
                  <w:r>
                    <w:rPr>
                      <w:rFonts w:hint="eastAsia" w:ascii="Times New Roman" w:hAnsi="Times New Roman" w:eastAsia="宋体" w:cs="Times New Roman"/>
                      <w:color w:val="auto"/>
                      <w:sz w:val="21"/>
                      <w:szCs w:val="20"/>
                      <w:lang w:val="en-US" w:eastAsia="zh-CN"/>
                    </w:rPr>
                    <w:t>4</w:t>
                  </w:r>
                  <w:r>
                    <w:rPr>
                      <w:rFonts w:hint="default" w:ascii="Times New Roman" w:hAnsi="Times New Roman" w:eastAsia="宋体" w:cs="Times New Roman"/>
                      <w:color w:val="auto"/>
                      <w:sz w:val="21"/>
                      <w:szCs w:val="20"/>
                      <w:lang w:val="en-US" w:eastAsia="zh-CN"/>
                    </w:rPr>
                    <w:t>0</w:t>
                  </w:r>
                  <w:r>
                    <w:rPr>
                      <w:rFonts w:hint="default" w:ascii="Times New Roman" w:hAnsi="Times New Roman" w:cs="Times New Roman"/>
                      <w:color w:val="auto"/>
                      <w:szCs w:val="21"/>
                      <w:lang w:val="en-US" w:eastAsia="zh-CN"/>
                    </w:rPr>
                    <w:t>m</w:t>
                  </w:r>
                  <w:r>
                    <w:rPr>
                      <w:rFonts w:hint="default" w:ascii="Times New Roman" w:hAnsi="Times New Roman" w:cs="Times New Roman"/>
                      <w:color w:val="auto"/>
                      <w:szCs w:val="21"/>
                      <w:vertAlign w:val="superscript"/>
                      <w:lang w:val="en-US" w:eastAsia="zh-CN"/>
                    </w:rPr>
                    <w:t>2</w:t>
                  </w:r>
                  <w:r>
                    <w:rPr>
                      <w:rFonts w:hint="eastAsia"/>
                      <w:color w:val="auto"/>
                      <w:szCs w:val="20"/>
                      <w:highlight w:val="none"/>
                      <w:lang w:val="en-US" w:eastAsia="zh-CN"/>
                    </w:rPr>
                    <w:t>），分别用于成品包装和成品的储存</w:t>
                  </w:r>
                </w:p>
              </w:tc>
            </w:tr>
            <w:tr w14:paraId="3AE88629">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120" w:hRule="atLeast"/>
                <w:jc w:val="center"/>
              </w:trPr>
              <w:tc>
                <w:tcPr>
                  <w:tcW w:w="333" w:type="pct"/>
                  <w:vMerge w:val="continue"/>
                  <w:tcBorders>
                    <w:tl2br w:val="nil"/>
                    <w:tr2bl w:val="nil"/>
                  </w:tcBorders>
                  <w:vAlign w:val="center"/>
                </w:tcPr>
                <w:p w14:paraId="03C11A12">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1172" w:type="pct"/>
                  <w:gridSpan w:val="3"/>
                  <w:vMerge w:val="continue"/>
                  <w:tcBorders>
                    <w:tl2br w:val="nil"/>
                    <w:tr2bl w:val="nil"/>
                  </w:tcBorders>
                  <w:vAlign w:val="center"/>
                </w:tcPr>
                <w:p w14:paraId="741186B8">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3494" w:type="pct"/>
                  <w:tcBorders>
                    <w:tl2br w:val="nil"/>
                    <w:tr2bl w:val="nil"/>
                  </w:tcBorders>
                  <w:vAlign w:val="center"/>
                </w:tcPr>
                <w:p w14:paraId="0AC9DF8B">
                  <w:pPr>
                    <w:pStyle w:val="80"/>
                    <w:keepNext w:val="0"/>
                    <w:keepLines w:val="0"/>
                    <w:widowControl/>
                    <w:suppressLineNumbers w:val="0"/>
                    <w:spacing w:before="0" w:beforeAutospacing="0" w:after="0" w:afterAutospacing="0"/>
                    <w:ind w:left="0" w:right="0"/>
                    <w:jc w:val="both"/>
                    <w:rPr>
                      <w:rFonts w:hint="eastAsia"/>
                      <w:color w:val="auto"/>
                      <w:szCs w:val="20"/>
                      <w:highlight w:val="none"/>
                      <w:lang w:val="en-US" w:eastAsia="zh-CN"/>
                    </w:rPr>
                  </w:pPr>
                  <w:r>
                    <w:rPr>
                      <w:rFonts w:hint="eastAsia"/>
                      <w:color w:val="auto"/>
                      <w:szCs w:val="20"/>
                      <w:highlight w:val="none"/>
                      <w:lang w:val="en-US" w:eastAsia="zh-CN"/>
                    </w:rPr>
                    <w:t>在中央厨房三层、四层西北部各设置1个原料仓库（</w:t>
                  </w:r>
                  <w:r>
                    <w:rPr>
                      <w:rFonts w:hint="default" w:ascii="Times New Roman" w:hAnsi="Times New Roman" w:eastAsia="宋体" w:cs="Times New Roman"/>
                      <w:color w:val="auto"/>
                      <w:sz w:val="21"/>
                      <w:szCs w:val="20"/>
                      <w:lang w:val="en-US" w:eastAsia="zh-CN"/>
                    </w:rPr>
                    <w:t>建筑面积2</w:t>
                  </w:r>
                  <w:r>
                    <w:rPr>
                      <w:rFonts w:hint="eastAsia" w:ascii="Times New Roman" w:hAnsi="Times New Roman" w:eastAsia="宋体" w:cs="Times New Roman"/>
                      <w:color w:val="auto"/>
                      <w:sz w:val="21"/>
                      <w:szCs w:val="20"/>
                      <w:lang w:val="en-US" w:eastAsia="zh-CN"/>
                    </w:rPr>
                    <w:t>40</w:t>
                  </w:r>
                  <w:r>
                    <w:rPr>
                      <w:rFonts w:hint="default" w:ascii="Times New Roman" w:hAnsi="Times New Roman" w:cs="Times New Roman"/>
                      <w:color w:val="auto"/>
                      <w:szCs w:val="21"/>
                      <w:lang w:val="en-US" w:eastAsia="zh-CN"/>
                    </w:rPr>
                    <w:t>m</w:t>
                  </w:r>
                  <w:r>
                    <w:rPr>
                      <w:rFonts w:hint="default" w:ascii="Times New Roman" w:hAnsi="Times New Roman" w:cs="Times New Roman"/>
                      <w:color w:val="auto"/>
                      <w:szCs w:val="21"/>
                      <w:vertAlign w:val="superscript"/>
                      <w:lang w:val="en-US" w:eastAsia="zh-CN"/>
                    </w:rPr>
                    <w:t>2</w:t>
                  </w:r>
                  <w:r>
                    <w:rPr>
                      <w:rFonts w:hint="eastAsia"/>
                      <w:color w:val="auto"/>
                      <w:szCs w:val="20"/>
                      <w:highlight w:val="none"/>
                      <w:lang w:val="en-US" w:eastAsia="zh-CN"/>
                    </w:rPr>
                    <w:t>），用于原料储存</w:t>
                  </w:r>
                </w:p>
              </w:tc>
            </w:tr>
            <w:tr w14:paraId="236C423F">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1A2895CA">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1172" w:type="pct"/>
                  <w:gridSpan w:val="3"/>
                  <w:tcBorders>
                    <w:tl2br w:val="nil"/>
                    <w:tr2bl w:val="nil"/>
                  </w:tcBorders>
                  <w:vAlign w:val="center"/>
                </w:tcPr>
                <w:p w14:paraId="5C2001EE">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冷库</w:t>
                  </w:r>
                </w:p>
              </w:tc>
              <w:tc>
                <w:tcPr>
                  <w:tcW w:w="3494" w:type="pct"/>
                  <w:tcBorders>
                    <w:tl2br w:val="nil"/>
                    <w:tr2bl w:val="nil"/>
                  </w:tcBorders>
                  <w:vAlign w:val="center"/>
                </w:tcPr>
                <w:p w14:paraId="6F10DAD7">
                  <w:pPr>
                    <w:pStyle w:val="80"/>
                    <w:keepNext w:val="0"/>
                    <w:keepLines w:val="0"/>
                    <w:widowControl/>
                    <w:suppressLineNumbers w:val="0"/>
                    <w:spacing w:before="0" w:beforeAutospacing="0" w:after="0" w:afterAutospacing="0"/>
                    <w:ind w:left="0" w:leftChars="0" w:right="0" w:rightChars="0"/>
                    <w:jc w:val="both"/>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位于中央厨房三楼西南部</w:t>
                  </w:r>
                  <w:r>
                    <w:rPr>
                      <w:rFonts w:hint="eastAsia"/>
                      <w:color w:val="auto"/>
                      <w:szCs w:val="20"/>
                      <w:highlight w:val="none"/>
                    </w:rPr>
                    <w:t>，</w:t>
                  </w:r>
                  <w:r>
                    <w:rPr>
                      <w:rFonts w:hint="eastAsia"/>
                      <w:color w:val="auto"/>
                      <w:szCs w:val="20"/>
                      <w:highlight w:val="none"/>
                      <w:lang w:val="en-US" w:eastAsia="zh-CN"/>
                    </w:rPr>
                    <w:t>共两间，单间</w:t>
                  </w:r>
                  <w:r>
                    <w:rPr>
                      <w:rFonts w:hint="eastAsia"/>
                      <w:color w:val="auto"/>
                      <w:szCs w:val="20"/>
                      <w:highlight w:val="none"/>
                    </w:rPr>
                    <w:t>面积</w:t>
                  </w:r>
                  <w:r>
                    <w:rPr>
                      <w:rFonts w:hint="eastAsia"/>
                      <w:color w:val="auto"/>
                      <w:szCs w:val="20"/>
                      <w:highlight w:val="none"/>
                      <w:lang w:val="en-US" w:eastAsia="zh-CN"/>
                    </w:rPr>
                    <w:t>约40</w:t>
                  </w:r>
                  <w:r>
                    <w:rPr>
                      <w:rFonts w:hint="default"/>
                      <w:color w:val="auto"/>
                      <w:szCs w:val="20"/>
                      <w:highlight w:val="none"/>
                    </w:rPr>
                    <w:t>m</w:t>
                  </w:r>
                  <w:r>
                    <w:rPr>
                      <w:rFonts w:hint="default"/>
                      <w:color w:val="auto"/>
                      <w:szCs w:val="20"/>
                      <w:highlight w:val="none"/>
                      <w:vertAlign w:val="superscript"/>
                    </w:rPr>
                    <w:t>2</w:t>
                  </w:r>
                  <w:r>
                    <w:rPr>
                      <w:rFonts w:hint="eastAsia"/>
                      <w:color w:val="auto"/>
                      <w:szCs w:val="20"/>
                      <w:highlight w:val="none"/>
                    </w:rPr>
                    <w:t>，</w:t>
                  </w:r>
                  <w:r>
                    <w:rPr>
                      <w:rFonts w:hint="eastAsia"/>
                      <w:color w:val="auto"/>
                      <w:szCs w:val="20"/>
                      <w:highlight w:val="none"/>
                      <w:lang w:val="en-US" w:eastAsia="zh-CN"/>
                    </w:rPr>
                    <w:t>一间用于冷冻，一间</w:t>
                  </w:r>
                  <w:r>
                    <w:rPr>
                      <w:rFonts w:hint="eastAsia"/>
                      <w:color w:val="auto"/>
                      <w:szCs w:val="20"/>
                      <w:highlight w:val="none"/>
                    </w:rPr>
                    <w:t>用于</w:t>
                  </w:r>
                  <w:r>
                    <w:rPr>
                      <w:rFonts w:hint="eastAsia"/>
                      <w:color w:val="auto"/>
                      <w:szCs w:val="20"/>
                      <w:highlight w:val="none"/>
                      <w:lang w:val="en-US" w:eastAsia="zh-CN"/>
                    </w:rPr>
                    <w:t>冷藏。</w:t>
                  </w:r>
                </w:p>
              </w:tc>
            </w:tr>
            <w:tr w14:paraId="61DBDDC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22E9A568">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172" w:type="pct"/>
                  <w:gridSpan w:val="3"/>
                  <w:tcBorders>
                    <w:tl2br w:val="nil"/>
                    <w:tr2bl w:val="nil"/>
                  </w:tcBorders>
                  <w:vAlign w:val="center"/>
                </w:tcPr>
                <w:p w14:paraId="2BF5F894">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Cs w:val="20"/>
                      <w:highlight w:val="none"/>
                      <w:lang w:val="en-US" w:eastAsia="zh-CN"/>
                    </w:rPr>
                  </w:pPr>
                  <w:r>
                    <w:rPr>
                      <w:rFonts w:hint="default" w:ascii="Times New Roman" w:hAnsi="Times New Roman" w:eastAsia="宋体" w:cs="Times New Roman"/>
                      <w:color w:val="auto"/>
                      <w:szCs w:val="20"/>
                      <w:highlight w:val="none"/>
                      <w:lang w:val="en-US" w:eastAsia="zh-CN"/>
                    </w:rPr>
                    <w:t>垃圾暂存间</w:t>
                  </w:r>
                </w:p>
              </w:tc>
              <w:tc>
                <w:tcPr>
                  <w:tcW w:w="3494" w:type="pct"/>
                  <w:tcBorders>
                    <w:tl2br w:val="nil"/>
                    <w:tr2bl w:val="nil"/>
                  </w:tcBorders>
                  <w:vAlign w:val="center"/>
                </w:tcPr>
                <w:p w14:paraId="3F6FFA65">
                  <w:pPr>
                    <w:pStyle w:val="80"/>
                    <w:keepNext w:val="0"/>
                    <w:keepLines w:val="0"/>
                    <w:widowControl/>
                    <w:suppressLineNumbers w:val="0"/>
                    <w:spacing w:before="0" w:beforeAutospacing="0" w:after="0" w:afterAutospacing="0"/>
                    <w:ind w:left="0" w:leftChars="0" w:right="0" w:rightChars="0"/>
                    <w:jc w:val="both"/>
                    <w:rPr>
                      <w:rFonts w:hint="default" w:ascii="Times New Roman" w:hAnsi="Times New Roman" w:eastAsia="宋体" w:cs="Times New Roman"/>
                      <w:color w:val="auto"/>
                      <w:szCs w:val="20"/>
                      <w:highlight w:val="none"/>
                      <w:lang w:val="en-US" w:eastAsia="zh-CN"/>
                    </w:rPr>
                  </w:pPr>
                  <w:r>
                    <w:rPr>
                      <w:rFonts w:hint="default" w:ascii="Times New Roman" w:hAnsi="Times New Roman" w:eastAsia="宋体" w:cs="Times New Roman"/>
                      <w:color w:val="auto"/>
                      <w:szCs w:val="20"/>
                      <w:highlight w:val="none"/>
                      <w:lang w:val="en-US" w:eastAsia="zh-CN"/>
                    </w:rPr>
                    <w:t>位于中央厨房一</w:t>
                  </w:r>
                  <w:r>
                    <w:rPr>
                      <w:rFonts w:hint="eastAsia" w:ascii="Times New Roman" w:hAnsi="Times New Roman" w:eastAsia="宋体" w:cs="Times New Roman"/>
                      <w:color w:val="auto"/>
                      <w:szCs w:val="20"/>
                      <w:highlight w:val="none"/>
                      <w:lang w:val="en-US" w:eastAsia="zh-CN"/>
                    </w:rPr>
                    <w:t>楼原料仓库</w:t>
                  </w:r>
                  <w:r>
                    <w:rPr>
                      <w:rFonts w:hint="default" w:ascii="Times New Roman" w:hAnsi="Times New Roman" w:eastAsia="宋体" w:cs="Times New Roman"/>
                      <w:color w:val="auto"/>
                      <w:szCs w:val="20"/>
                      <w:highlight w:val="none"/>
                      <w:lang w:val="en-US" w:eastAsia="zh-CN"/>
                    </w:rPr>
                    <w:t>的西侧，占地面积约1</w:t>
                  </w:r>
                  <w:r>
                    <w:rPr>
                      <w:rFonts w:hint="eastAsia" w:ascii="Times New Roman" w:hAnsi="Times New Roman" w:eastAsia="宋体" w:cs="Times New Roman"/>
                      <w:color w:val="auto"/>
                      <w:szCs w:val="20"/>
                      <w:highlight w:val="none"/>
                      <w:lang w:val="en-US" w:eastAsia="zh-CN"/>
                    </w:rPr>
                    <w:t>0</w:t>
                  </w:r>
                  <w:r>
                    <w:rPr>
                      <w:rFonts w:hint="default" w:ascii="Times New Roman" w:hAnsi="Times New Roman" w:eastAsia="宋体" w:cs="Times New Roman"/>
                      <w:color w:val="auto"/>
                      <w:szCs w:val="20"/>
                      <w:highlight w:val="none"/>
                      <w:lang w:val="en-US" w:eastAsia="zh-CN"/>
                    </w:rPr>
                    <w:t>m</w:t>
                  </w:r>
                  <w:r>
                    <w:rPr>
                      <w:rFonts w:hint="default" w:ascii="Times New Roman" w:hAnsi="Times New Roman" w:eastAsia="宋体" w:cs="Times New Roman"/>
                      <w:color w:val="auto"/>
                      <w:szCs w:val="20"/>
                      <w:highlight w:val="none"/>
                      <w:vertAlign w:val="superscript"/>
                      <w:lang w:val="en-US" w:eastAsia="zh-CN"/>
                    </w:rPr>
                    <w:t>2</w:t>
                  </w:r>
                  <w:r>
                    <w:rPr>
                      <w:rFonts w:hint="eastAsia" w:ascii="Times New Roman" w:hAnsi="Times New Roman" w:eastAsia="宋体" w:cs="Times New Roman"/>
                      <w:color w:val="auto"/>
                      <w:szCs w:val="20"/>
                      <w:highlight w:val="none"/>
                      <w:lang w:val="en-US" w:eastAsia="zh-CN"/>
                    </w:rPr>
                    <w:t>。</w:t>
                  </w:r>
                </w:p>
              </w:tc>
            </w:tr>
            <w:tr w14:paraId="4C216F3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restart"/>
                  <w:tcBorders>
                    <w:tl2br w:val="nil"/>
                    <w:tr2bl w:val="nil"/>
                  </w:tcBorders>
                  <w:vAlign w:val="center"/>
                </w:tcPr>
                <w:p w14:paraId="3B5A3A19">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公用工程</w:t>
                  </w:r>
                </w:p>
              </w:tc>
              <w:tc>
                <w:tcPr>
                  <w:tcW w:w="1172" w:type="pct"/>
                  <w:gridSpan w:val="3"/>
                  <w:tcBorders>
                    <w:tl2br w:val="nil"/>
                    <w:tr2bl w:val="nil"/>
                  </w:tcBorders>
                  <w:vAlign w:val="center"/>
                </w:tcPr>
                <w:p w14:paraId="26427A70">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给水工程</w:t>
                  </w:r>
                </w:p>
              </w:tc>
              <w:tc>
                <w:tcPr>
                  <w:tcW w:w="3494" w:type="pct"/>
                  <w:tcBorders>
                    <w:tl2br w:val="nil"/>
                    <w:tr2bl w:val="nil"/>
                  </w:tcBorders>
                  <w:vAlign w:val="center"/>
                </w:tcPr>
                <w:p w14:paraId="7D6F55BD">
                  <w:pPr>
                    <w:pStyle w:val="80"/>
                    <w:keepNext w:val="0"/>
                    <w:keepLines w:val="0"/>
                    <w:widowControl/>
                    <w:suppressLineNumbers w:val="0"/>
                    <w:spacing w:before="0" w:beforeAutospacing="0" w:after="0" w:afterAutospacing="0"/>
                    <w:ind w:left="0" w:right="0"/>
                    <w:jc w:val="both"/>
                    <w:rPr>
                      <w:rFonts w:hint="default"/>
                      <w:color w:val="auto"/>
                      <w:szCs w:val="20"/>
                      <w:highlight w:val="none"/>
                    </w:rPr>
                  </w:pPr>
                  <w:r>
                    <w:rPr>
                      <w:rFonts w:hint="eastAsia"/>
                      <w:color w:val="auto"/>
                      <w:szCs w:val="20"/>
                      <w:highlight w:val="none"/>
                    </w:rPr>
                    <w:t>由</w:t>
                  </w:r>
                  <w:r>
                    <w:rPr>
                      <w:rFonts w:hint="eastAsia"/>
                      <w:color w:val="auto"/>
                      <w:szCs w:val="20"/>
                      <w:highlight w:val="none"/>
                      <w:lang w:val="en-US" w:eastAsia="zh-CN"/>
                    </w:rPr>
                    <w:t>市政给水管网</w:t>
                  </w:r>
                  <w:r>
                    <w:rPr>
                      <w:rFonts w:hint="eastAsia"/>
                      <w:color w:val="auto"/>
                      <w:szCs w:val="20"/>
                      <w:highlight w:val="none"/>
                    </w:rPr>
                    <w:t>供给</w:t>
                  </w:r>
                </w:p>
              </w:tc>
            </w:tr>
            <w:tr w14:paraId="32D8D837">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74E4B8E3">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172" w:type="pct"/>
                  <w:gridSpan w:val="3"/>
                  <w:tcBorders>
                    <w:tl2br w:val="nil"/>
                    <w:tr2bl w:val="nil"/>
                  </w:tcBorders>
                  <w:vAlign w:val="center"/>
                </w:tcPr>
                <w:p w14:paraId="49C9CE7D">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排水工程</w:t>
                  </w:r>
                </w:p>
              </w:tc>
              <w:tc>
                <w:tcPr>
                  <w:tcW w:w="3494" w:type="pct"/>
                  <w:tcBorders>
                    <w:tl2br w:val="nil"/>
                    <w:tr2bl w:val="nil"/>
                  </w:tcBorders>
                  <w:vAlign w:val="center"/>
                </w:tcPr>
                <w:p w14:paraId="054EFE2F">
                  <w:pPr>
                    <w:pStyle w:val="80"/>
                    <w:keepNext w:val="0"/>
                    <w:keepLines w:val="0"/>
                    <w:widowControl/>
                    <w:suppressLineNumbers w:val="0"/>
                    <w:spacing w:before="0" w:beforeAutospacing="0" w:after="0" w:afterAutospacing="0"/>
                    <w:ind w:left="0" w:right="0"/>
                    <w:jc w:val="both"/>
                    <w:rPr>
                      <w:rFonts w:hint="default"/>
                      <w:color w:val="auto"/>
                      <w:szCs w:val="20"/>
                      <w:highlight w:val="none"/>
                    </w:rPr>
                  </w:pPr>
                  <w:r>
                    <w:rPr>
                      <w:rFonts w:hint="eastAsia"/>
                      <w:color w:val="auto"/>
                      <w:szCs w:val="20"/>
                      <w:highlight w:val="none"/>
                      <w:lang w:val="en-US" w:eastAsia="zh-CN"/>
                    </w:rPr>
                    <w:t>实行雨污分流制；雨水经地面排水沟汇集排出厂外；生产废水及生活污水经地埋式污水处理设施处理后</w:t>
                  </w:r>
                  <w:r>
                    <w:rPr>
                      <w:rFonts w:hint="eastAsia"/>
                      <w:color w:val="auto"/>
                      <w:szCs w:val="20"/>
                      <w:highlight w:val="none"/>
                      <w:lang w:val="en-US" w:eastAsia="en-US"/>
                    </w:rPr>
                    <w:t>，排入市政污水管道系统，</w:t>
                  </w:r>
                  <w:r>
                    <w:rPr>
                      <w:rFonts w:hint="eastAsia"/>
                      <w:color w:val="auto"/>
                      <w:szCs w:val="20"/>
                      <w:highlight w:val="none"/>
                      <w:lang w:val="en-US" w:eastAsia="zh-CN"/>
                    </w:rPr>
                    <w:t>最终</w:t>
                  </w:r>
                  <w:r>
                    <w:rPr>
                      <w:rFonts w:hint="eastAsia"/>
                      <w:color w:val="auto"/>
                      <w:szCs w:val="20"/>
                      <w:highlight w:val="none"/>
                      <w:lang w:val="en-US" w:eastAsia="en-US"/>
                    </w:rPr>
                    <w:t>排入泾河新城第</w:t>
                  </w:r>
                  <w:r>
                    <w:rPr>
                      <w:rFonts w:hint="eastAsia"/>
                      <w:color w:val="auto"/>
                      <w:szCs w:val="20"/>
                      <w:highlight w:val="none"/>
                      <w:lang w:val="en-US" w:eastAsia="zh-CN"/>
                    </w:rPr>
                    <w:t>二</w:t>
                  </w:r>
                  <w:r>
                    <w:rPr>
                      <w:rFonts w:hint="eastAsia"/>
                      <w:color w:val="auto"/>
                      <w:szCs w:val="20"/>
                      <w:highlight w:val="none"/>
                      <w:lang w:val="en-US" w:eastAsia="en-US"/>
                    </w:rPr>
                    <w:t>污水处理厂处理</w:t>
                  </w:r>
                </w:p>
              </w:tc>
            </w:tr>
            <w:tr w14:paraId="12B776D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30609F83">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172" w:type="pct"/>
                  <w:gridSpan w:val="3"/>
                  <w:tcBorders>
                    <w:tl2br w:val="nil"/>
                    <w:tr2bl w:val="nil"/>
                  </w:tcBorders>
                  <w:vAlign w:val="center"/>
                </w:tcPr>
                <w:p w14:paraId="2C1F6E82">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供电工程</w:t>
                  </w:r>
                </w:p>
              </w:tc>
              <w:tc>
                <w:tcPr>
                  <w:tcW w:w="3494" w:type="pct"/>
                  <w:tcBorders>
                    <w:tl2br w:val="nil"/>
                    <w:tr2bl w:val="nil"/>
                  </w:tcBorders>
                  <w:vAlign w:val="center"/>
                </w:tcPr>
                <w:p w14:paraId="0DFCA083">
                  <w:pPr>
                    <w:pStyle w:val="80"/>
                    <w:keepNext w:val="0"/>
                    <w:keepLines w:val="0"/>
                    <w:widowControl/>
                    <w:suppressLineNumbers w:val="0"/>
                    <w:spacing w:before="0" w:beforeAutospacing="0" w:after="0" w:afterAutospacing="0"/>
                    <w:ind w:left="0" w:right="0"/>
                    <w:jc w:val="both"/>
                    <w:rPr>
                      <w:rFonts w:hint="default"/>
                      <w:color w:val="auto"/>
                      <w:szCs w:val="20"/>
                      <w:highlight w:val="none"/>
                    </w:rPr>
                  </w:pPr>
                  <w:r>
                    <w:rPr>
                      <w:rFonts w:hint="eastAsia"/>
                      <w:color w:val="auto"/>
                      <w:szCs w:val="20"/>
                      <w:highlight w:val="none"/>
                    </w:rPr>
                    <w:t>由市政电网供给</w:t>
                  </w:r>
                </w:p>
              </w:tc>
            </w:tr>
            <w:tr w14:paraId="135B21F3">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33F2A45C">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172" w:type="pct"/>
                  <w:gridSpan w:val="3"/>
                  <w:tcBorders>
                    <w:tl2br w:val="nil"/>
                    <w:tr2bl w:val="nil"/>
                  </w:tcBorders>
                  <w:shd w:val="clear" w:color="auto" w:fill="auto"/>
                  <w:vAlign w:val="center"/>
                </w:tcPr>
                <w:p w14:paraId="2C1E9974">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rPr>
                    <w:t>供暖制冷</w:t>
                  </w:r>
                </w:p>
              </w:tc>
              <w:tc>
                <w:tcPr>
                  <w:tcW w:w="3494" w:type="pct"/>
                  <w:tcBorders>
                    <w:tl2br w:val="nil"/>
                    <w:tr2bl w:val="nil"/>
                  </w:tcBorders>
                  <w:shd w:val="clear" w:color="auto" w:fill="auto"/>
                  <w:vAlign w:val="center"/>
                </w:tcPr>
                <w:p w14:paraId="58D95218">
                  <w:pPr>
                    <w:pStyle w:val="80"/>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Cs w:val="20"/>
                      <w:highlight w:val="none"/>
                      <w:lang w:eastAsia="zh-CN"/>
                    </w:rPr>
                  </w:pPr>
                  <w:r>
                    <w:rPr>
                      <w:rFonts w:hint="default" w:ascii="Times New Roman" w:hAnsi="Times New Roman" w:cs="Times New Roman"/>
                      <w:color w:val="auto"/>
                      <w:szCs w:val="20"/>
                      <w:highlight w:val="none"/>
                      <w:lang w:eastAsia="zh-CN"/>
                    </w:rPr>
                    <w:t>加工过程中，炒制</w:t>
                  </w:r>
                  <w:r>
                    <w:rPr>
                      <w:rFonts w:hint="default" w:ascii="Times New Roman" w:hAnsi="Times New Roman" w:cs="Times New Roman"/>
                      <w:color w:val="auto"/>
                      <w:szCs w:val="20"/>
                      <w:highlight w:val="none"/>
                      <w:lang w:val="en-US" w:eastAsia="zh-CN"/>
                    </w:rPr>
                    <w:t>燃料采用</w:t>
                  </w:r>
                  <w:r>
                    <w:rPr>
                      <w:rFonts w:hint="default" w:ascii="Times New Roman" w:hAnsi="Times New Roman" w:cs="Times New Roman"/>
                      <w:color w:val="auto"/>
                      <w:szCs w:val="20"/>
                      <w:highlight w:val="none"/>
                      <w:lang w:eastAsia="zh-CN"/>
                    </w:rPr>
                    <w:t>天然气，蒸、煮等采用自建锅炉供热，其他采用电加热；生产制冷采用制冷机组</w:t>
                  </w:r>
                  <w:r>
                    <w:rPr>
                      <w:rFonts w:hint="eastAsia" w:ascii="Times New Roman" w:hAnsi="Times New Roman" w:cs="Times New Roman"/>
                      <w:color w:val="auto"/>
                      <w:szCs w:val="20"/>
                      <w:highlight w:val="none"/>
                      <w:lang w:eastAsia="zh-CN"/>
                    </w:rPr>
                    <w:t>，</w:t>
                  </w:r>
                  <w:r>
                    <w:rPr>
                      <w:rFonts w:hint="eastAsia" w:ascii="Times New Roman" w:hAnsi="Times New Roman" w:cs="Times New Roman"/>
                      <w:color w:val="auto"/>
                      <w:szCs w:val="20"/>
                      <w:highlight w:val="none"/>
                      <w:lang w:val="en-US" w:eastAsia="zh-CN"/>
                    </w:rPr>
                    <w:t>制冷剂为R404A</w:t>
                  </w:r>
                  <w:r>
                    <w:rPr>
                      <w:rFonts w:hint="eastAsia" w:ascii="Times New Roman" w:hAnsi="Times New Roman" w:cs="Times New Roman"/>
                      <w:color w:val="auto"/>
                      <w:szCs w:val="20"/>
                      <w:highlight w:val="none"/>
                      <w:lang w:eastAsia="zh-CN"/>
                    </w:rPr>
                    <w:t>。</w:t>
                  </w:r>
                </w:p>
                <w:p w14:paraId="0D5033CE">
                  <w:pPr>
                    <w:pStyle w:val="80"/>
                    <w:keepNext w:val="0"/>
                    <w:keepLines w:val="0"/>
                    <w:widowControl/>
                    <w:suppressLineNumbers w:val="0"/>
                    <w:spacing w:before="0" w:beforeAutospacing="0" w:after="0" w:afterAutospacing="0"/>
                    <w:ind w:left="0" w:leftChars="0" w:right="0" w:rightChars="0"/>
                    <w:jc w:val="both"/>
                    <w:rPr>
                      <w:rFonts w:hint="eastAsia" w:ascii="Times New Roman" w:hAnsi="Times New Roman" w:eastAsia="宋体" w:cs="Times New Roman"/>
                      <w:color w:val="auto"/>
                      <w:sz w:val="21"/>
                      <w:szCs w:val="20"/>
                      <w:highlight w:val="none"/>
                      <w:lang w:val="en-US" w:eastAsia="zh-CN" w:bidi="ar-SA"/>
                    </w:rPr>
                  </w:pPr>
                  <w:r>
                    <w:rPr>
                      <w:rFonts w:hint="default" w:ascii="Times New Roman" w:hAnsi="Times New Roman" w:cs="Times New Roman"/>
                      <w:color w:val="auto"/>
                      <w:szCs w:val="20"/>
                      <w:highlight w:val="none"/>
                      <w:lang w:eastAsia="zh-CN"/>
                    </w:rPr>
                    <w:t>厂房内冬季采暖，夏季制冷均采用中央空调系统。</w:t>
                  </w:r>
                </w:p>
              </w:tc>
            </w:tr>
            <w:tr w14:paraId="767AFF19">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2A29E339">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172" w:type="pct"/>
                  <w:gridSpan w:val="3"/>
                  <w:tcBorders>
                    <w:tl2br w:val="nil"/>
                    <w:tr2bl w:val="nil"/>
                  </w:tcBorders>
                  <w:vAlign w:val="center"/>
                </w:tcPr>
                <w:p w14:paraId="3CB8F8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firstLine="0" w:firstLineChars="0"/>
                    <w:jc w:val="center"/>
                    <w:textAlignment w:val="auto"/>
                    <w:rPr>
                      <w:rFonts w:hint="default"/>
                      <w:color w:val="auto"/>
                      <w:szCs w:val="20"/>
                      <w:highlight w:val="none"/>
                    </w:rPr>
                  </w:pPr>
                  <w:r>
                    <w:rPr>
                      <w:rFonts w:hint="eastAsia"/>
                      <w:color w:val="auto"/>
                      <w:sz w:val="21"/>
                      <w:szCs w:val="21"/>
                    </w:rPr>
                    <w:t>供汽</w:t>
                  </w:r>
                </w:p>
              </w:tc>
              <w:tc>
                <w:tcPr>
                  <w:tcW w:w="3494" w:type="pct"/>
                  <w:tcBorders>
                    <w:tl2br w:val="nil"/>
                    <w:tr2bl w:val="nil"/>
                  </w:tcBorders>
                  <w:vAlign w:val="center"/>
                </w:tcPr>
                <w:p w14:paraId="00F7C6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firstLine="0" w:firstLineChars="0"/>
                    <w:textAlignment w:val="auto"/>
                    <w:rPr>
                      <w:rFonts w:hint="default"/>
                      <w:color w:val="auto"/>
                      <w:szCs w:val="20"/>
                      <w:highlight w:val="none"/>
                    </w:rPr>
                  </w:pPr>
                  <w:r>
                    <w:rPr>
                      <w:rFonts w:hint="eastAsia" w:ascii="Times New Roman" w:hAnsi="Times New Roman" w:eastAsia="宋体" w:cs="Times New Roman"/>
                      <w:color w:val="auto"/>
                      <w:sz w:val="21"/>
                      <w:szCs w:val="21"/>
                    </w:rPr>
                    <w:t>项目设有</w:t>
                  </w:r>
                  <w:r>
                    <w:rPr>
                      <w:rFonts w:hint="eastAsia" w:eastAsia="宋体" w:cs="Times New Roman"/>
                      <w:color w:val="auto"/>
                      <w:sz w:val="21"/>
                      <w:szCs w:val="21"/>
                      <w:lang w:val="en-US" w:eastAsia="zh-CN"/>
                    </w:rPr>
                    <w:t>2间锅炉房</w:t>
                  </w:r>
                  <w:r>
                    <w:rPr>
                      <w:rFonts w:hint="eastAsia" w:cs="Times New Roman"/>
                      <w:color w:val="auto"/>
                      <w:sz w:val="21"/>
                      <w:szCs w:val="21"/>
                      <w:lang w:val="en-US" w:eastAsia="zh-CN"/>
                    </w:rPr>
                    <w:t>，</w:t>
                  </w:r>
                  <w:r>
                    <w:rPr>
                      <w:rFonts w:hint="eastAsia" w:eastAsia="宋体" w:cs="Times New Roman"/>
                      <w:color w:val="auto"/>
                      <w:sz w:val="21"/>
                      <w:szCs w:val="21"/>
                      <w:lang w:val="en-US" w:eastAsia="zh-CN"/>
                    </w:rPr>
                    <w:t>共7</w:t>
                  </w:r>
                  <w:r>
                    <w:rPr>
                      <w:rFonts w:hint="eastAsia" w:ascii="Times New Roman" w:hAnsi="Times New Roman" w:eastAsia="宋体" w:cs="Times New Roman"/>
                      <w:color w:val="auto"/>
                      <w:sz w:val="21"/>
                      <w:szCs w:val="21"/>
                    </w:rPr>
                    <w:t>台1t/h</w:t>
                  </w:r>
                  <w:r>
                    <w:rPr>
                      <w:rFonts w:hint="eastAsia" w:eastAsia="宋体" w:cs="Times New Roman"/>
                      <w:color w:val="auto"/>
                      <w:sz w:val="21"/>
                      <w:szCs w:val="21"/>
                      <w:lang w:val="en-US" w:eastAsia="zh-CN"/>
                    </w:rPr>
                    <w:t>燃气锅炉</w:t>
                  </w:r>
                  <w:r>
                    <w:rPr>
                      <w:rFonts w:hint="eastAsia" w:ascii="Times New Roman" w:hAnsi="Times New Roman" w:eastAsia="宋体" w:cs="Times New Roman"/>
                      <w:color w:val="auto"/>
                      <w:sz w:val="21"/>
                      <w:szCs w:val="21"/>
                    </w:rPr>
                    <w:t>，主要为生产提供蒸汽。</w:t>
                  </w:r>
                </w:p>
              </w:tc>
            </w:tr>
            <w:tr w14:paraId="1A5A8293">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restart"/>
                  <w:tcBorders>
                    <w:tl2br w:val="nil"/>
                    <w:tr2bl w:val="nil"/>
                  </w:tcBorders>
                  <w:vAlign w:val="center"/>
                </w:tcPr>
                <w:p w14:paraId="6B3034DE">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环保工程</w:t>
                  </w:r>
                </w:p>
              </w:tc>
              <w:tc>
                <w:tcPr>
                  <w:tcW w:w="1172" w:type="pct"/>
                  <w:gridSpan w:val="3"/>
                  <w:vMerge w:val="restart"/>
                  <w:tcBorders>
                    <w:tl2br w:val="nil"/>
                    <w:tr2bl w:val="nil"/>
                  </w:tcBorders>
                  <w:vAlign w:val="center"/>
                </w:tcPr>
                <w:p w14:paraId="0AA09FAC">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废气</w:t>
                  </w:r>
                </w:p>
              </w:tc>
              <w:tc>
                <w:tcPr>
                  <w:tcW w:w="3494" w:type="pct"/>
                  <w:tcBorders>
                    <w:tl2br w:val="nil"/>
                    <w:tr2bl w:val="nil"/>
                  </w:tcBorders>
                  <w:vAlign w:val="center"/>
                </w:tcPr>
                <w:p w14:paraId="1F0A6264">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szCs w:val="20"/>
                      <w:highlight w:val="none"/>
                      <w:lang w:val="en-US" w:eastAsia="zh-CN"/>
                    </w:rPr>
                  </w:pPr>
                  <w:r>
                    <w:rPr>
                      <w:rFonts w:hint="eastAsia" w:cs="Times New Roman"/>
                      <w:bCs/>
                      <w:color w:val="auto"/>
                      <w:szCs w:val="21"/>
                      <w:lang w:val="en-US" w:eastAsia="zh-CN"/>
                    </w:rPr>
                    <w:t>燃气锅炉</w:t>
                  </w:r>
                  <w:r>
                    <w:rPr>
                      <w:rFonts w:hint="default" w:ascii="Times New Roman" w:hAnsi="Times New Roman" w:cs="Times New Roman"/>
                      <w:bCs/>
                      <w:color w:val="auto"/>
                      <w:szCs w:val="21"/>
                      <w:lang w:val="en-US" w:eastAsia="zh-CN"/>
                    </w:rPr>
                    <w:t>均</w:t>
                  </w:r>
                  <w:r>
                    <w:rPr>
                      <w:rFonts w:hint="eastAsia" w:cs="Times New Roman"/>
                      <w:bCs/>
                      <w:color w:val="auto"/>
                      <w:szCs w:val="21"/>
                      <w:lang w:val="en-US" w:eastAsia="zh-CN"/>
                    </w:rPr>
                    <w:t>安装</w:t>
                  </w:r>
                  <w:r>
                    <w:rPr>
                      <w:rFonts w:hint="default" w:ascii="Times New Roman" w:hAnsi="Times New Roman" w:cs="Times New Roman"/>
                      <w:bCs/>
                      <w:color w:val="auto"/>
                      <w:szCs w:val="21"/>
                    </w:rPr>
                    <w:t>低氮燃烧器</w:t>
                  </w:r>
                  <w:r>
                    <w:rPr>
                      <w:rFonts w:hint="eastAsia" w:cs="Times New Roman"/>
                      <w:bCs/>
                      <w:color w:val="auto"/>
                      <w:szCs w:val="21"/>
                      <w:lang w:eastAsia="zh-CN"/>
                    </w:rPr>
                    <w:t>；</w:t>
                  </w:r>
                  <w:r>
                    <w:rPr>
                      <w:rFonts w:hint="eastAsia" w:cs="Times New Roman"/>
                      <w:bCs/>
                      <w:color w:val="auto"/>
                      <w:szCs w:val="21"/>
                      <w:lang w:val="en-US" w:eastAsia="zh-CN"/>
                    </w:rPr>
                    <w:t>1#锅炉房烟气</w:t>
                  </w:r>
                  <w:r>
                    <w:rPr>
                      <w:rFonts w:hint="default" w:ascii="Times New Roman" w:hAnsi="Times New Roman" w:cs="Times New Roman"/>
                      <w:bCs/>
                      <w:color w:val="auto"/>
                      <w:szCs w:val="21"/>
                    </w:rPr>
                    <w:t>通过1</w:t>
                  </w:r>
                  <w:r>
                    <w:rPr>
                      <w:rFonts w:hint="default" w:ascii="Times New Roman" w:hAnsi="Times New Roman" w:cs="Times New Roman"/>
                      <w:bCs/>
                      <w:color w:val="auto"/>
                      <w:szCs w:val="21"/>
                      <w:highlight w:val="none"/>
                    </w:rPr>
                    <w:t>根</w:t>
                  </w:r>
                  <w:r>
                    <w:rPr>
                      <w:rFonts w:hint="eastAsia" w:cs="Times New Roman"/>
                      <w:bCs/>
                      <w:color w:val="auto"/>
                      <w:szCs w:val="21"/>
                      <w:highlight w:val="none"/>
                      <w:lang w:val="en-US" w:eastAsia="zh-CN"/>
                    </w:rPr>
                    <w:t>8</w:t>
                  </w:r>
                  <w:r>
                    <w:rPr>
                      <w:rFonts w:hint="default" w:ascii="Times New Roman" w:hAnsi="Times New Roman" w:cs="Times New Roman"/>
                      <w:bCs/>
                      <w:color w:val="auto"/>
                      <w:szCs w:val="21"/>
                      <w:highlight w:val="none"/>
                    </w:rPr>
                    <w:t>m高排气筒</w:t>
                  </w:r>
                  <w:r>
                    <w:rPr>
                      <w:rFonts w:hint="eastAsia" w:cs="Times New Roman"/>
                      <w:bCs/>
                      <w:color w:val="auto"/>
                      <w:szCs w:val="21"/>
                      <w:highlight w:val="none"/>
                      <w:lang w:eastAsia="zh-CN"/>
                    </w:rPr>
                    <w:t>（</w:t>
                  </w:r>
                  <w:r>
                    <w:rPr>
                      <w:rFonts w:hint="eastAsia" w:cs="Times New Roman"/>
                      <w:bCs/>
                      <w:color w:val="auto"/>
                      <w:szCs w:val="21"/>
                      <w:highlight w:val="none"/>
                      <w:lang w:val="en-US" w:eastAsia="zh-CN"/>
                    </w:rPr>
                    <w:t>DA001</w:t>
                  </w:r>
                  <w:r>
                    <w:rPr>
                      <w:rFonts w:hint="eastAsia" w:cs="Times New Roman"/>
                      <w:bCs/>
                      <w:color w:val="auto"/>
                      <w:szCs w:val="21"/>
                      <w:highlight w:val="none"/>
                      <w:lang w:eastAsia="zh-CN"/>
                    </w:rPr>
                    <w:t>）</w:t>
                  </w:r>
                  <w:r>
                    <w:rPr>
                      <w:rFonts w:hint="default" w:ascii="Times New Roman" w:hAnsi="Times New Roman" w:cs="Times New Roman"/>
                      <w:bCs/>
                      <w:color w:val="auto"/>
                      <w:szCs w:val="21"/>
                      <w:highlight w:val="none"/>
                    </w:rPr>
                    <w:t>排放</w:t>
                  </w:r>
                  <w:r>
                    <w:rPr>
                      <w:rFonts w:hint="default" w:ascii="Times New Roman" w:hAnsi="Times New Roman" w:cs="Times New Roman"/>
                      <w:bCs/>
                      <w:color w:val="auto"/>
                      <w:szCs w:val="21"/>
                      <w:highlight w:val="none"/>
                      <w:lang w:eastAsia="zh-CN"/>
                    </w:rPr>
                    <w:t>；</w:t>
                  </w:r>
                  <w:r>
                    <w:rPr>
                      <w:rFonts w:hint="eastAsia" w:cs="Times New Roman"/>
                      <w:bCs/>
                      <w:color w:val="auto"/>
                      <w:szCs w:val="21"/>
                      <w:highlight w:val="none"/>
                      <w:lang w:val="en-US" w:eastAsia="zh-CN"/>
                    </w:rPr>
                    <w:t>2#锅炉房烟气经</w:t>
                  </w:r>
                  <w:r>
                    <w:rPr>
                      <w:rFonts w:hint="default" w:ascii="Times New Roman" w:hAnsi="Times New Roman" w:cs="Times New Roman"/>
                      <w:bCs/>
                      <w:color w:val="auto"/>
                      <w:szCs w:val="21"/>
                      <w:highlight w:val="none"/>
                    </w:rPr>
                    <w:t>1根</w:t>
                  </w:r>
                  <w:r>
                    <w:rPr>
                      <w:rFonts w:hint="eastAsia" w:cs="Times New Roman"/>
                      <w:bCs/>
                      <w:color w:val="auto"/>
                      <w:szCs w:val="21"/>
                      <w:highlight w:val="none"/>
                      <w:lang w:val="en-US" w:eastAsia="zh-CN"/>
                    </w:rPr>
                    <w:t>13</w:t>
                  </w:r>
                  <w:r>
                    <w:rPr>
                      <w:rFonts w:hint="default" w:ascii="Times New Roman" w:hAnsi="Times New Roman" w:cs="Times New Roman"/>
                      <w:bCs/>
                      <w:color w:val="auto"/>
                      <w:szCs w:val="21"/>
                      <w:highlight w:val="none"/>
                    </w:rPr>
                    <w:t>m高排气筒</w:t>
                  </w:r>
                  <w:r>
                    <w:rPr>
                      <w:rFonts w:hint="eastAsia" w:ascii="Times New Roman" w:hAnsi="Times New Roman" w:cs="Times New Roman"/>
                      <w:bCs/>
                      <w:color w:val="auto"/>
                      <w:szCs w:val="21"/>
                      <w:lang w:eastAsia="zh-CN"/>
                    </w:rPr>
                    <w:t>（</w:t>
                  </w:r>
                  <w:r>
                    <w:rPr>
                      <w:rFonts w:hint="eastAsia" w:ascii="Times New Roman" w:hAnsi="Times New Roman" w:cs="Times New Roman"/>
                      <w:bCs/>
                      <w:color w:val="auto"/>
                      <w:szCs w:val="21"/>
                      <w:lang w:val="en-US" w:eastAsia="zh-CN"/>
                    </w:rPr>
                    <w:t>DA002</w:t>
                  </w:r>
                  <w:r>
                    <w:rPr>
                      <w:rFonts w:hint="eastAsia" w:ascii="Times New Roman" w:hAnsi="Times New Roman" w:cs="Times New Roman"/>
                      <w:bCs/>
                      <w:color w:val="auto"/>
                      <w:szCs w:val="21"/>
                      <w:lang w:eastAsia="zh-CN"/>
                    </w:rPr>
                    <w:t>）</w:t>
                  </w:r>
                  <w:r>
                    <w:rPr>
                      <w:rFonts w:hint="default" w:ascii="Times New Roman" w:hAnsi="Times New Roman" w:cs="Times New Roman"/>
                      <w:bCs/>
                      <w:color w:val="auto"/>
                      <w:szCs w:val="21"/>
                    </w:rPr>
                    <w:t>排放</w:t>
                  </w:r>
                </w:p>
              </w:tc>
            </w:tr>
            <w:tr w14:paraId="6839111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2CF306F7">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172" w:type="pct"/>
                  <w:gridSpan w:val="3"/>
                  <w:vMerge w:val="continue"/>
                  <w:tcBorders>
                    <w:tl2br w:val="nil"/>
                    <w:tr2bl w:val="nil"/>
                  </w:tcBorders>
                  <w:vAlign w:val="center"/>
                </w:tcPr>
                <w:p w14:paraId="0DFBBE2C">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3494" w:type="pct"/>
                  <w:tcBorders>
                    <w:tl2br w:val="nil"/>
                    <w:tr2bl w:val="nil"/>
                  </w:tcBorders>
                  <w:vAlign w:val="center"/>
                </w:tcPr>
                <w:p w14:paraId="29A7F5B1">
                  <w:pPr>
                    <w:pStyle w:val="80"/>
                    <w:keepNext w:val="0"/>
                    <w:keepLines w:val="0"/>
                    <w:widowControl/>
                    <w:suppressLineNumbers w:val="0"/>
                    <w:spacing w:before="0" w:beforeAutospacing="0" w:after="0" w:afterAutospacing="0"/>
                    <w:ind w:left="0" w:right="0"/>
                    <w:jc w:val="both"/>
                    <w:rPr>
                      <w:rFonts w:hint="default" w:ascii="Times New Roman" w:hAnsi="Times New Roman"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烘烤废</w:t>
                  </w:r>
                  <w:r>
                    <w:rPr>
                      <w:rFonts w:hint="default" w:ascii="Times New Roman" w:hAnsi="Times New Roman" w:eastAsia="宋体" w:cs="Times New Roman"/>
                      <w:bCs/>
                      <w:color w:val="auto"/>
                      <w:szCs w:val="21"/>
                      <w:highlight w:val="none"/>
                      <w:lang w:val="en-US" w:eastAsia="zh-CN"/>
                    </w:rPr>
                    <w:t>气</w:t>
                  </w:r>
                  <w:r>
                    <w:rPr>
                      <w:rFonts w:hint="eastAsia" w:ascii="Times New Roman" w:hAnsi="Times New Roman" w:eastAsia="宋体"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油烟经</w:t>
                  </w:r>
                  <w:r>
                    <w:rPr>
                      <w:rFonts w:hint="eastAsia" w:ascii="Times New Roman" w:hAnsi="Times New Roman" w:eastAsia="宋体" w:cs="Times New Roman"/>
                      <w:bCs/>
                      <w:color w:val="auto"/>
                      <w:szCs w:val="21"/>
                      <w:highlight w:val="none"/>
                      <w:lang w:val="en-US" w:eastAsia="zh-CN"/>
                    </w:rPr>
                    <w:t>管道收集后经中央厨房楼顶的高效静音式</w:t>
                  </w:r>
                  <m:oMath>
                    <m:r>
                      <m:rPr>
                        <m:sty m:val="p"/>
                      </m:rPr>
                      <w:rPr>
                        <w:rFonts w:hint="default" w:ascii="Cambria Math" w:hAnsi="Cambria Math" w:eastAsia="宋体" w:cs="Times New Roman"/>
                        <w:color w:val="auto"/>
                        <w:szCs w:val="21"/>
                        <w:highlight w:val="none"/>
                        <w:lang w:val="en-US" w:eastAsia="zh-CN"/>
                      </w:rPr>
                      <m:t>油烟净化器</m:t>
                    </m:r>
                  </m:oMath>
                  <w:r>
                    <w:rPr>
                      <w:rFonts w:hint="eastAsia" w:ascii="Times New Roman" w:hAnsi="Times New Roman" w:eastAsia="宋体" w:cs="Times New Roman"/>
                      <w:bCs/>
                      <w:color w:val="auto"/>
                      <w:szCs w:val="21"/>
                      <w:highlight w:val="none"/>
                      <w:lang w:val="en-US" w:eastAsia="zh-CN"/>
                    </w:rPr>
                    <w:t>（1台）</w:t>
                  </w:r>
                  <w:r>
                    <w:rPr>
                      <w:rFonts w:hint="default" w:ascii="Times New Roman" w:hAnsi="Times New Roman" w:cs="Times New Roman"/>
                      <w:bCs/>
                      <w:color w:val="auto"/>
                      <w:szCs w:val="21"/>
                      <w:highlight w:val="none"/>
                      <w:lang w:val="en-US" w:eastAsia="zh-CN"/>
                    </w:rPr>
                    <w:t>处理后</w:t>
                  </w:r>
                  <w:r>
                    <w:rPr>
                      <w:rFonts w:hint="eastAsia" w:cs="Times New Roman"/>
                      <w:bCs/>
                      <w:color w:val="auto"/>
                      <w:szCs w:val="21"/>
                      <w:highlight w:val="none"/>
                      <w:lang w:val="en-US" w:eastAsia="zh-CN"/>
                    </w:rPr>
                    <w:t>经24m高排气筒</w:t>
                  </w:r>
                  <w:r>
                    <w:rPr>
                      <w:rFonts w:hint="default" w:ascii="Times New Roman" w:hAnsi="Times New Roman" w:cs="Times New Roman"/>
                      <w:color w:val="auto"/>
                      <w:sz w:val="21"/>
                      <w:szCs w:val="21"/>
                      <w:highlight w:val="none"/>
                    </w:rPr>
                    <w:t>排放</w:t>
                  </w:r>
                </w:p>
              </w:tc>
            </w:tr>
            <w:tr w14:paraId="3271A75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7235B274">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172" w:type="pct"/>
                  <w:gridSpan w:val="3"/>
                  <w:vMerge w:val="continue"/>
                  <w:tcBorders>
                    <w:tl2br w:val="nil"/>
                    <w:tr2bl w:val="nil"/>
                  </w:tcBorders>
                  <w:vAlign w:val="center"/>
                </w:tcPr>
                <w:p w14:paraId="0727AB6C">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3494" w:type="pct"/>
                  <w:tcBorders>
                    <w:tl2br w:val="nil"/>
                    <w:tr2bl w:val="nil"/>
                  </w:tcBorders>
                  <w:vAlign w:val="center"/>
                </w:tcPr>
                <w:p w14:paraId="4ED775FE">
                  <w:pPr>
                    <w:pStyle w:val="80"/>
                    <w:keepNext w:val="0"/>
                    <w:keepLines w:val="0"/>
                    <w:widowControl/>
                    <w:suppressLineNumbers w:val="0"/>
                    <w:spacing w:before="0" w:beforeAutospacing="0" w:after="0" w:afterAutospacing="0"/>
                    <w:ind w:left="0" w:right="0"/>
                    <w:jc w:val="both"/>
                    <w:rPr>
                      <w:rFonts w:hint="default" w:ascii="Times New Roman" w:hAnsi="Times New Roman" w:cs="Times New Roman"/>
                      <w:bCs/>
                      <w:color w:val="auto"/>
                      <w:szCs w:val="21"/>
                      <w:highlight w:val="none"/>
                      <w:lang w:val="en-US" w:eastAsia="zh-CN"/>
                    </w:rPr>
                  </w:pPr>
                  <w:r>
                    <w:rPr>
                      <w:rFonts w:hint="eastAsia" w:cs="Times New Roman"/>
                      <w:bCs/>
                      <w:color w:val="auto"/>
                      <w:szCs w:val="21"/>
                      <w:highlight w:val="none"/>
                      <w:lang w:val="en-US" w:eastAsia="zh-CN"/>
                    </w:rPr>
                    <w:t>和面、调粉产生粉尘经车间风机引至室外无组织排放，环评建议日常加强车间换气。</w:t>
                  </w:r>
                </w:p>
              </w:tc>
            </w:tr>
            <w:tr w14:paraId="64340F78">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03AC57C3">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172" w:type="pct"/>
                  <w:gridSpan w:val="3"/>
                  <w:vMerge w:val="continue"/>
                  <w:tcBorders>
                    <w:tl2br w:val="nil"/>
                    <w:tr2bl w:val="nil"/>
                  </w:tcBorders>
                  <w:vAlign w:val="center"/>
                </w:tcPr>
                <w:p w14:paraId="4B2127D9">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3494" w:type="pct"/>
                  <w:tcBorders>
                    <w:tl2br w:val="nil"/>
                    <w:tr2bl w:val="nil"/>
                  </w:tcBorders>
                  <w:vAlign w:val="center"/>
                </w:tcPr>
                <w:p w14:paraId="678684B5">
                  <w:pPr>
                    <w:pStyle w:val="80"/>
                    <w:keepNext w:val="0"/>
                    <w:keepLines w:val="0"/>
                    <w:widowControl/>
                    <w:suppressLineNumbers w:val="0"/>
                    <w:spacing w:before="0" w:beforeAutospacing="0" w:after="0" w:afterAutospacing="0"/>
                    <w:ind w:left="0" w:right="0"/>
                    <w:jc w:val="both"/>
                    <w:rPr>
                      <w:rFonts w:hint="default" w:ascii="Times New Roman" w:hAnsi="Times New Roman" w:cs="Times New Roman"/>
                      <w:bCs/>
                      <w:color w:val="auto"/>
                      <w:szCs w:val="21"/>
                      <w:lang w:val="en-US" w:eastAsia="zh-CN"/>
                    </w:rPr>
                  </w:pPr>
                  <w:r>
                    <w:rPr>
                      <w:rFonts w:hint="default" w:ascii="Times New Roman" w:hAnsi="Times New Roman" w:cs="Times New Roman"/>
                      <w:color w:val="auto"/>
                      <w:sz w:val="21"/>
                      <w:szCs w:val="21"/>
                      <w:highlight w:val="none"/>
                      <w:lang w:val="en-US" w:eastAsia="zh-CN"/>
                    </w:rPr>
                    <w:t>对污水处理</w:t>
                  </w:r>
                  <w:r>
                    <w:rPr>
                      <w:rFonts w:hint="eastAsia" w:cs="Times New Roman"/>
                      <w:color w:val="auto"/>
                      <w:sz w:val="21"/>
                      <w:szCs w:val="21"/>
                      <w:highlight w:val="none"/>
                      <w:lang w:val="en-US" w:eastAsia="zh-CN"/>
                    </w:rPr>
                    <w:t>系统</w:t>
                  </w:r>
                  <w:r>
                    <w:rPr>
                      <w:rFonts w:hint="default" w:ascii="Times New Roman" w:hAnsi="Times New Roman" w:cs="Times New Roman"/>
                      <w:color w:val="auto"/>
                      <w:sz w:val="21"/>
                      <w:szCs w:val="21"/>
                      <w:highlight w:val="none"/>
                      <w:lang w:val="en-US" w:eastAsia="zh-CN"/>
                    </w:rPr>
                    <w:t>各设施加盖密封、设置于地下</w:t>
                  </w:r>
                  <w:r>
                    <w:rPr>
                      <w:rFonts w:hint="eastAsia" w:cs="Times New Roman"/>
                      <w:color w:val="auto"/>
                      <w:sz w:val="21"/>
                      <w:szCs w:val="21"/>
                      <w:highlight w:val="none"/>
                      <w:lang w:val="en-US" w:eastAsia="zh-CN"/>
                    </w:rPr>
                    <w:t>，并定期喷洒生物除臭剂</w:t>
                  </w:r>
                  <w:r>
                    <w:rPr>
                      <w:rFonts w:hint="default" w:ascii="Times New Roman" w:hAnsi="Times New Roman" w:cs="Times New Roman"/>
                      <w:color w:val="auto"/>
                      <w:sz w:val="21"/>
                      <w:szCs w:val="21"/>
                      <w:highlight w:val="none"/>
                      <w:lang w:val="en-US" w:eastAsia="zh-CN"/>
                    </w:rPr>
                    <w:t>，来减低</w:t>
                  </w:r>
                  <w:r>
                    <w:rPr>
                      <w:rFonts w:hint="eastAsia" w:cs="Times New Roman"/>
                      <w:color w:val="auto"/>
                      <w:sz w:val="21"/>
                      <w:szCs w:val="21"/>
                      <w:highlight w:val="none"/>
                      <w:lang w:val="en-US" w:eastAsia="zh-CN"/>
                    </w:rPr>
                    <w:t>异味</w:t>
                  </w:r>
                  <w:r>
                    <w:rPr>
                      <w:rFonts w:hint="default" w:ascii="Times New Roman" w:hAnsi="Times New Roman" w:cs="Times New Roman"/>
                      <w:color w:val="auto"/>
                      <w:sz w:val="21"/>
                      <w:szCs w:val="21"/>
                      <w:highlight w:val="none"/>
                      <w:lang w:val="en-US" w:eastAsia="zh-CN"/>
                    </w:rPr>
                    <w:t>气体的影响</w:t>
                  </w:r>
                </w:p>
              </w:tc>
            </w:tr>
            <w:tr w14:paraId="57DB901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08F6722E">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172" w:type="pct"/>
                  <w:gridSpan w:val="3"/>
                  <w:tcBorders>
                    <w:tl2br w:val="nil"/>
                    <w:tr2bl w:val="nil"/>
                  </w:tcBorders>
                  <w:vAlign w:val="center"/>
                </w:tcPr>
                <w:p w14:paraId="0235D58F">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废</w:t>
                  </w:r>
                  <w:r>
                    <w:rPr>
                      <w:rFonts w:hint="eastAsia"/>
                      <w:color w:val="auto"/>
                      <w:szCs w:val="20"/>
                      <w:highlight w:val="none"/>
                    </w:rPr>
                    <w:t>水</w:t>
                  </w:r>
                </w:p>
              </w:tc>
              <w:tc>
                <w:tcPr>
                  <w:tcW w:w="3494" w:type="pct"/>
                  <w:tcBorders>
                    <w:tl2br w:val="nil"/>
                    <w:tr2bl w:val="nil"/>
                  </w:tcBorders>
                  <w:vAlign w:val="center"/>
                </w:tcPr>
                <w:p w14:paraId="447B934C">
                  <w:pPr>
                    <w:pStyle w:val="80"/>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szCs w:val="20"/>
                      <w:highlight w:val="none"/>
                      <w:lang w:val="en-US" w:eastAsia="zh-CN"/>
                    </w:rPr>
                  </w:pPr>
                  <w:r>
                    <w:rPr>
                      <w:rFonts w:hint="default" w:ascii="Times New Roman" w:hAnsi="Times New Roman" w:cs="Times New Roman"/>
                      <w:color w:val="auto"/>
                      <w:sz w:val="21"/>
                      <w:szCs w:val="21"/>
                      <w:highlight w:val="none"/>
                      <w:lang w:eastAsia="zh-CN"/>
                    </w:rPr>
                    <w:t>项目生活污水排入化粪池，与</w:t>
                  </w:r>
                  <w:r>
                    <w:rPr>
                      <w:rFonts w:hint="eastAsia" w:cs="Times New Roman"/>
                      <w:color w:val="auto"/>
                      <w:sz w:val="21"/>
                      <w:szCs w:val="21"/>
                      <w:highlight w:val="none"/>
                      <w:lang w:val="en-US" w:eastAsia="zh-CN"/>
                    </w:rPr>
                    <w:t>生产</w:t>
                  </w:r>
                  <w:r>
                    <w:rPr>
                      <w:rFonts w:hint="default" w:ascii="Times New Roman" w:hAnsi="Times New Roman" w:cs="Times New Roman"/>
                      <w:color w:val="auto"/>
                      <w:sz w:val="21"/>
                      <w:szCs w:val="21"/>
                      <w:highlight w:val="none"/>
                      <w:lang w:eastAsia="zh-CN"/>
                    </w:rPr>
                    <w:t>废水、锅炉废水经管道收集后排入</w:t>
                  </w:r>
                  <w:r>
                    <w:rPr>
                      <w:rFonts w:hint="eastAsia"/>
                      <w:color w:val="auto"/>
                      <w:szCs w:val="20"/>
                      <w:highlight w:val="none"/>
                      <w:lang w:val="en-US" w:eastAsia="zh-CN"/>
                    </w:rPr>
                    <w:t>地埋式污水处理设施处理后</w:t>
                  </w:r>
                  <w:r>
                    <w:rPr>
                      <w:rFonts w:hint="eastAsia"/>
                      <w:color w:val="auto"/>
                      <w:szCs w:val="20"/>
                      <w:highlight w:val="none"/>
                      <w:lang w:val="en-US" w:eastAsia="en-US"/>
                    </w:rPr>
                    <w:t>，</w:t>
                  </w:r>
                  <w:r>
                    <w:rPr>
                      <w:rFonts w:hint="eastAsia"/>
                      <w:color w:val="auto"/>
                      <w:szCs w:val="20"/>
                      <w:highlight w:val="none"/>
                      <w:lang w:val="en-US" w:eastAsia="zh-CN"/>
                    </w:rPr>
                    <w:t>排入</w:t>
                  </w:r>
                  <w:r>
                    <w:rPr>
                      <w:rFonts w:hint="eastAsia"/>
                      <w:color w:val="auto"/>
                      <w:szCs w:val="20"/>
                      <w:highlight w:val="none"/>
                      <w:lang w:val="en-US" w:eastAsia="en-US"/>
                    </w:rPr>
                    <w:t>市政污水管道系统，</w:t>
                  </w:r>
                  <w:r>
                    <w:rPr>
                      <w:rFonts w:hint="eastAsia"/>
                      <w:color w:val="auto"/>
                      <w:szCs w:val="20"/>
                      <w:highlight w:val="none"/>
                      <w:lang w:val="en-US" w:eastAsia="zh-CN"/>
                    </w:rPr>
                    <w:t>最终</w:t>
                  </w:r>
                  <w:r>
                    <w:rPr>
                      <w:rFonts w:hint="eastAsia"/>
                      <w:color w:val="auto"/>
                      <w:szCs w:val="20"/>
                      <w:highlight w:val="none"/>
                      <w:lang w:val="en-US" w:eastAsia="en-US"/>
                    </w:rPr>
                    <w:t>排入泾河新城第</w:t>
                  </w:r>
                  <w:r>
                    <w:rPr>
                      <w:rFonts w:hint="eastAsia"/>
                      <w:color w:val="auto"/>
                      <w:szCs w:val="20"/>
                      <w:highlight w:val="none"/>
                      <w:lang w:val="en-US" w:eastAsia="zh-CN"/>
                    </w:rPr>
                    <w:t>二</w:t>
                  </w:r>
                  <w:r>
                    <w:rPr>
                      <w:rFonts w:hint="eastAsia"/>
                      <w:color w:val="auto"/>
                      <w:szCs w:val="20"/>
                      <w:highlight w:val="none"/>
                      <w:lang w:val="en-US" w:eastAsia="en-US"/>
                    </w:rPr>
                    <w:t>污水处理厂处理</w:t>
                  </w:r>
                </w:p>
              </w:tc>
            </w:tr>
            <w:tr w14:paraId="306047A9">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7C1273CF">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172" w:type="pct"/>
                  <w:gridSpan w:val="3"/>
                  <w:tcBorders>
                    <w:tl2br w:val="nil"/>
                    <w:tr2bl w:val="nil"/>
                  </w:tcBorders>
                  <w:vAlign w:val="center"/>
                </w:tcPr>
                <w:p w14:paraId="16F65395">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噪声</w:t>
                  </w:r>
                </w:p>
              </w:tc>
              <w:tc>
                <w:tcPr>
                  <w:tcW w:w="3494" w:type="pct"/>
                  <w:tcBorders>
                    <w:tl2br w:val="nil"/>
                    <w:tr2bl w:val="nil"/>
                  </w:tcBorders>
                  <w:vAlign w:val="center"/>
                </w:tcPr>
                <w:p w14:paraId="07D22365">
                  <w:pPr>
                    <w:pStyle w:val="80"/>
                    <w:keepNext w:val="0"/>
                    <w:keepLines w:val="0"/>
                    <w:widowControl/>
                    <w:suppressLineNumbers w:val="0"/>
                    <w:spacing w:before="0" w:beforeAutospacing="0" w:after="0" w:afterAutospacing="0"/>
                    <w:ind w:left="0" w:right="0"/>
                    <w:jc w:val="both"/>
                    <w:rPr>
                      <w:rFonts w:hint="default"/>
                      <w:color w:val="auto"/>
                      <w:szCs w:val="20"/>
                      <w:highlight w:val="none"/>
                    </w:rPr>
                  </w:pPr>
                  <w:r>
                    <w:rPr>
                      <w:rFonts w:hint="eastAsia"/>
                      <w:color w:val="auto"/>
                      <w:szCs w:val="20"/>
                      <w:highlight w:val="none"/>
                    </w:rPr>
                    <w:t>选用低噪声设备、</w:t>
                  </w:r>
                  <w:r>
                    <w:rPr>
                      <w:rFonts w:hint="default" w:ascii="Times New Roman" w:hAnsi="Times New Roman" w:cs="Times New Roman"/>
                      <w:color w:val="auto"/>
                      <w:sz w:val="21"/>
                      <w:szCs w:val="21"/>
                      <w:highlight w:val="none"/>
                    </w:rPr>
                    <w:t>厂房隔噪、</w:t>
                  </w:r>
                  <w:r>
                    <w:rPr>
                      <w:rFonts w:hint="default" w:ascii="Times New Roman" w:hAnsi="Times New Roman" w:cs="Times New Roman"/>
                      <w:color w:val="auto"/>
                      <w:sz w:val="21"/>
                      <w:szCs w:val="21"/>
                      <w:highlight w:val="none"/>
                      <w:lang w:val="en-US" w:eastAsia="zh-CN"/>
                    </w:rPr>
                    <w:t>高噪声设备</w:t>
                  </w:r>
                  <w:r>
                    <w:rPr>
                      <w:rFonts w:hint="eastAsia"/>
                      <w:color w:val="auto"/>
                      <w:szCs w:val="20"/>
                      <w:highlight w:val="none"/>
                      <w:lang w:val="en-US" w:eastAsia="zh-CN"/>
                    </w:rPr>
                    <w:t>加装</w:t>
                  </w:r>
                  <w:r>
                    <w:rPr>
                      <w:rFonts w:hint="default"/>
                      <w:color w:val="auto"/>
                      <w:szCs w:val="20"/>
                      <w:highlight w:val="none"/>
                    </w:rPr>
                    <w:t>减</w:t>
                  </w:r>
                  <w:r>
                    <w:rPr>
                      <w:rFonts w:hint="eastAsia"/>
                      <w:color w:val="auto"/>
                      <w:szCs w:val="20"/>
                      <w:highlight w:val="none"/>
                    </w:rPr>
                    <w:t>振</w:t>
                  </w:r>
                  <w:r>
                    <w:rPr>
                      <w:rFonts w:hint="eastAsia"/>
                      <w:color w:val="auto"/>
                      <w:szCs w:val="20"/>
                      <w:highlight w:val="none"/>
                      <w:lang w:val="en-US" w:eastAsia="zh-CN"/>
                    </w:rPr>
                    <w:t>垫</w:t>
                  </w:r>
                  <w:r>
                    <w:rPr>
                      <w:rFonts w:hint="eastAsia"/>
                      <w:color w:val="auto"/>
                      <w:szCs w:val="20"/>
                      <w:highlight w:val="none"/>
                      <w:lang w:eastAsia="zh-CN"/>
                    </w:rPr>
                    <w:t>、</w:t>
                  </w:r>
                  <w:r>
                    <w:rPr>
                      <w:rFonts w:hint="eastAsia"/>
                      <w:color w:val="auto"/>
                      <w:szCs w:val="20"/>
                      <w:highlight w:val="none"/>
                      <w:lang w:val="en-US" w:eastAsia="zh-CN"/>
                    </w:rPr>
                    <w:t>加强设备日常维护管理</w:t>
                  </w:r>
                  <w:r>
                    <w:rPr>
                      <w:rFonts w:hint="eastAsia"/>
                      <w:color w:val="auto"/>
                      <w:szCs w:val="20"/>
                      <w:highlight w:val="none"/>
                    </w:rPr>
                    <w:t>等措施</w:t>
                  </w:r>
                </w:p>
              </w:tc>
            </w:tr>
            <w:tr w14:paraId="66935C7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567" w:hRule="atLeast"/>
                <w:jc w:val="center"/>
              </w:trPr>
              <w:tc>
                <w:tcPr>
                  <w:tcW w:w="333" w:type="pct"/>
                  <w:vMerge w:val="continue"/>
                  <w:tcBorders>
                    <w:tl2br w:val="nil"/>
                    <w:tr2bl w:val="nil"/>
                  </w:tcBorders>
                  <w:vAlign w:val="center"/>
                </w:tcPr>
                <w:p w14:paraId="430056FA">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26" w:type="pct"/>
                  <w:vMerge w:val="restart"/>
                  <w:tcBorders>
                    <w:tl2br w:val="nil"/>
                    <w:tr2bl w:val="nil"/>
                  </w:tcBorders>
                  <w:vAlign w:val="center"/>
                </w:tcPr>
                <w:p w14:paraId="263C84B0">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固废</w:t>
                  </w:r>
                </w:p>
              </w:tc>
              <w:tc>
                <w:tcPr>
                  <w:tcW w:w="846" w:type="pct"/>
                  <w:gridSpan w:val="2"/>
                  <w:tcBorders>
                    <w:tl2br w:val="nil"/>
                    <w:tr2bl w:val="nil"/>
                  </w:tcBorders>
                  <w:vAlign w:val="center"/>
                </w:tcPr>
                <w:p w14:paraId="5E1EB55D">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生活垃圾</w:t>
                  </w:r>
                </w:p>
              </w:tc>
              <w:tc>
                <w:tcPr>
                  <w:tcW w:w="3494" w:type="pct"/>
                  <w:tcBorders>
                    <w:tl2br w:val="nil"/>
                    <w:tr2bl w:val="nil"/>
                  </w:tcBorders>
                  <w:vAlign w:val="center"/>
                </w:tcPr>
                <w:p w14:paraId="670D7B68">
                  <w:pPr>
                    <w:pStyle w:val="80"/>
                    <w:keepNext w:val="0"/>
                    <w:keepLines w:val="0"/>
                    <w:widowControl/>
                    <w:suppressLineNumbers w:val="0"/>
                    <w:spacing w:before="0" w:beforeAutospacing="0" w:after="0" w:afterAutospacing="0"/>
                    <w:ind w:left="0" w:right="0"/>
                    <w:jc w:val="both"/>
                    <w:rPr>
                      <w:rFonts w:hint="default"/>
                      <w:color w:val="auto"/>
                      <w:szCs w:val="20"/>
                      <w:highlight w:val="none"/>
                    </w:rPr>
                  </w:pPr>
                  <w:r>
                    <w:rPr>
                      <w:rFonts w:hint="eastAsia"/>
                      <w:color w:val="auto"/>
                      <w:szCs w:val="20"/>
                      <w:highlight w:val="none"/>
                    </w:rPr>
                    <w:t>分类收集后交环卫部门统一处理</w:t>
                  </w:r>
                </w:p>
              </w:tc>
            </w:tr>
            <w:tr w14:paraId="4D7F0DF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708" w:hRule="atLeast"/>
                <w:jc w:val="center"/>
              </w:trPr>
              <w:tc>
                <w:tcPr>
                  <w:tcW w:w="333" w:type="pct"/>
                  <w:vMerge w:val="continue"/>
                  <w:tcBorders>
                    <w:tl2br w:val="nil"/>
                    <w:tr2bl w:val="nil"/>
                  </w:tcBorders>
                  <w:vAlign w:val="center"/>
                </w:tcPr>
                <w:p w14:paraId="287FDC45">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26" w:type="pct"/>
                  <w:vMerge w:val="continue"/>
                  <w:tcBorders>
                    <w:tl2br w:val="nil"/>
                    <w:tr2bl w:val="nil"/>
                  </w:tcBorders>
                  <w:vAlign w:val="center"/>
                </w:tcPr>
                <w:p w14:paraId="676C0663">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846" w:type="pct"/>
                  <w:gridSpan w:val="2"/>
                  <w:vMerge w:val="restart"/>
                  <w:tcBorders>
                    <w:tl2br w:val="nil"/>
                    <w:tr2bl w:val="nil"/>
                  </w:tcBorders>
                  <w:vAlign w:val="center"/>
                </w:tcPr>
                <w:p w14:paraId="7CFAEE1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一般固废</w:t>
                  </w:r>
                </w:p>
              </w:tc>
              <w:tc>
                <w:tcPr>
                  <w:tcW w:w="3494" w:type="pct"/>
                  <w:tcBorders>
                    <w:tl2br w:val="nil"/>
                    <w:tr2bl w:val="nil"/>
                  </w:tcBorders>
                  <w:vAlign w:val="center"/>
                </w:tcPr>
                <w:p w14:paraId="3E3EC62B">
                  <w:pPr>
                    <w:keepNext w:val="0"/>
                    <w:keepLines w:val="0"/>
                    <w:suppressLineNumbers w:val="0"/>
                    <w:autoSpaceDE w:val="0"/>
                    <w:autoSpaceDN w:val="0"/>
                    <w:adjustRightInd w:val="0"/>
                    <w:spacing w:before="0" w:beforeAutospacing="0" w:after="0" w:afterAutospacing="0" w:line="240" w:lineRule="auto"/>
                    <w:ind w:left="0" w:leftChars="0" w:right="0" w:firstLine="0" w:firstLineChars="0"/>
                    <w:jc w:val="both"/>
                    <w:textAlignment w:val="bottom"/>
                    <w:rPr>
                      <w:rFonts w:hint="default"/>
                      <w:color w:val="auto"/>
                      <w:highlight w:val="none"/>
                    </w:rPr>
                  </w:pPr>
                  <w:r>
                    <w:rPr>
                      <w:rFonts w:hint="eastAsia"/>
                      <w:color w:val="auto"/>
                      <w:sz w:val="21"/>
                      <w:highlight w:val="none"/>
                    </w:rPr>
                    <w:t>设1处一般固废暂存</w:t>
                  </w:r>
                  <w:r>
                    <w:rPr>
                      <w:rFonts w:hint="eastAsia"/>
                      <w:color w:val="auto"/>
                      <w:sz w:val="21"/>
                      <w:highlight w:val="none"/>
                      <w:lang w:val="en-US" w:eastAsia="zh-CN"/>
                    </w:rPr>
                    <w:t>间</w:t>
                  </w:r>
                  <w:r>
                    <w:rPr>
                      <w:rFonts w:hint="eastAsia"/>
                      <w:color w:val="auto"/>
                      <w:sz w:val="21"/>
                      <w:highlight w:val="none"/>
                    </w:rPr>
                    <w:t>（</w:t>
                  </w:r>
                  <w:r>
                    <w:rPr>
                      <w:rFonts w:hint="eastAsia"/>
                      <w:color w:val="auto"/>
                      <w:sz w:val="21"/>
                      <w:highlight w:val="none"/>
                      <w:lang w:val="en-US" w:eastAsia="zh-CN"/>
                    </w:rPr>
                    <w:t>2</w:t>
                  </w:r>
                  <w:r>
                    <w:rPr>
                      <w:rFonts w:hint="eastAsia"/>
                      <w:color w:val="auto"/>
                      <w:sz w:val="21"/>
                      <w:highlight w:val="none"/>
                    </w:rPr>
                    <w:t>0m</w:t>
                  </w:r>
                  <w:r>
                    <w:rPr>
                      <w:rFonts w:hint="eastAsia"/>
                      <w:color w:val="auto"/>
                      <w:sz w:val="21"/>
                      <w:highlight w:val="none"/>
                      <w:vertAlign w:val="superscript"/>
                    </w:rPr>
                    <w:t>2</w:t>
                  </w:r>
                  <w:r>
                    <w:rPr>
                      <w:rFonts w:hint="eastAsia"/>
                      <w:color w:val="auto"/>
                      <w:sz w:val="21"/>
                      <w:highlight w:val="none"/>
                    </w:rPr>
                    <w:t>），位于</w:t>
                  </w:r>
                  <w:r>
                    <w:rPr>
                      <w:rFonts w:hint="eastAsia"/>
                      <w:color w:val="auto"/>
                      <w:sz w:val="21"/>
                      <w:highlight w:val="none"/>
                      <w:lang w:val="en-US" w:eastAsia="zh-CN"/>
                    </w:rPr>
                    <w:t>原料仓库东北部</w:t>
                  </w:r>
                </w:p>
              </w:tc>
            </w:tr>
            <w:tr w14:paraId="19C42F2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640" w:hRule="atLeast"/>
                <w:jc w:val="center"/>
              </w:trPr>
              <w:tc>
                <w:tcPr>
                  <w:tcW w:w="333" w:type="pct"/>
                  <w:vMerge w:val="continue"/>
                  <w:tcBorders>
                    <w:tl2br w:val="nil"/>
                    <w:tr2bl w:val="nil"/>
                  </w:tcBorders>
                  <w:vAlign w:val="center"/>
                </w:tcPr>
                <w:p w14:paraId="5397908E">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26" w:type="pct"/>
                  <w:vMerge w:val="continue"/>
                  <w:tcBorders>
                    <w:tl2br w:val="nil"/>
                    <w:tr2bl w:val="nil"/>
                  </w:tcBorders>
                  <w:vAlign w:val="center"/>
                </w:tcPr>
                <w:p w14:paraId="0276A4F4">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846" w:type="pct"/>
                  <w:gridSpan w:val="2"/>
                  <w:vMerge w:val="continue"/>
                  <w:tcBorders>
                    <w:tl2br w:val="nil"/>
                    <w:tr2bl w:val="nil"/>
                  </w:tcBorders>
                  <w:vAlign w:val="center"/>
                </w:tcPr>
                <w:p w14:paraId="14B1B7CA">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3494" w:type="pct"/>
                  <w:tcBorders>
                    <w:tl2br w:val="nil"/>
                    <w:tr2bl w:val="nil"/>
                  </w:tcBorders>
                  <w:vAlign w:val="center"/>
                </w:tcPr>
                <w:p w14:paraId="0E5ADC5C">
                  <w:pPr>
                    <w:keepNext w:val="0"/>
                    <w:keepLines w:val="0"/>
                    <w:suppressLineNumbers w:val="0"/>
                    <w:autoSpaceDE w:val="0"/>
                    <w:autoSpaceDN w:val="0"/>
                    <w:adjustRightInd w:val="0"/>
                    <w:spacing w:before="0" w:beforeAutospacing="0" w:after="0" w:afterAutospacing="0" w:line="240" w:lineRule="auto"/>
                    <w:ind w:left="0" w:leftChars="0" w:right="0" w:firstLine="0" w:firstLineChars="0"/>
                    <w:jc w:val="both"/>
                    <w:textAlignment w:val="bottom"/>
                    <w:rPr>
                      <w:rFonts w:hint="eastAsia"/>
                      <w:color w:val="auto"/>
                      <w:sz w:val="21"/>
                      <w:highlight w:val="none"/>
                    </w:rPr>
                  </w:pPr>
                  <w:r>
                    <w:rPr>
                      <w:rFonts w:hint="eastAsia"/>
                      <w:color w:val="auto"/>
                      <w:sz w:val="21"/>
                      <w:highlight w:val="none"/>
                      <w:lang w:val="en-US" w:eastAsia="zh-CN"/>
                    </w:rPr>
                    <w:t>产生的餐厨垃圾与生活垃圾一并交环卫部门统一清运处理；</w:t>
                  </w:r>
                  <w:r>
                    <w:rPr>
                      <w:rFonts w:hint="eastAsia" w:ascii="Times New Roman" w:hAnsi="Times New Roman"/>
                      <w:color w:val="auto"/>
                      <w:kern w:val="2"/>
                      <w:sz w:val="21"/>
                      <w:szCs w:val="21"/>
                      <w:highlight w:val="none"/>
                      <w:lang w:val="en-US" w:eastAsia="zh-CN"/>
                    </w:rPr>
                    <w:t>废油脂</w:t>
                  </w:r>
                  <w:r>
                    <w:rPr>
                      <w:rFonts w:hint="eastAsia"/>
                      <w:color w:val="auto"/>
                      <w:kern w:val="2"/>
                      <w:sz w:val="21"/>
                      <w:szCs w:val="21"/>
                      <w:highlight w:val="none"/>
                      <w:lang w:val="en-US" w:eastAsia="zh-CN"/>
                    </w:rPr>
                    <w:t>委托</w:t>
                  </w:r>
                  <w:r>
                    <w:rPr>
                      <w:rFonts w:hint="eastAsia" w:ascii="Times New Roman" w:hAnsi="Times New Roman"/>
                      <w:color w:val="auto"/>
                      <w:kern w:val="2"/>
                      <w:sz w:val="21"/>
                      <w:szCs w:val="21"/>
                      <w:highlight w:val="none"/>
                      <w:lang w:val="en-US" w:eastAsia="zh-CN"/>
                    </w:rPr>
                    <w:t>有资质单位</w:t>
                  </w:r>
                  <w:r>
                    <w:rPr>
                      <w:rFonts w:hint="eastAsia"/>
                      <w:color w:val="auto"/>
                      <w:kern w:val="2"/>
                      <w:sz w:val="21"/>
                      <w:szCs w:val="21"/>
                      <w:highlight w:val="none"/>
                      <w:lang w:val="en-US" w:eastAsia="zh-CN"/>
                    </w:rPr>
                    <w:t>定期清运</w:t>
                  </w:r>
                  <w:r>
                    <w:rPr>
                      <w:rFonts w:hint="eastAsia" w:ascii="Times New Roman" w:hAnsi="Times New Roman" w:cs="Times New Roman"/>
                      <w:color w:val="auto"/>
                      <w:kern w:val="2"/>
                      <w:sz w:val="21"/>
                      <w:szCs w:val="21"/>
                      <w:highlight w:val="none"/>
                      <w:lang w:val="en-US" w:eastAsia="zh-CN"/>
                    </w:rPr>
                    <w:t>处置；</w:t>
                  </w:r>
                  <w:r>
                    <w:rPr>
                      <w:rFonts w:hint="eastAsia"/>
                      <w:color w:val="auto"/>
                      <w:sz w:val="21"/>
                      <w:highlight w:val="none"/>
                      <w:lang w:eastAsia="zh-CN"/>
                    </w:rPr>
                    <w:t>废包装</w:t>
                  </w:r>
                  <w:r>
                    <w:rPr>
                      <w:rFonts w:hint="eastAsia"/>
                      <w:color w:val="auto"/>
                      <w:sz w:val="21"/>
                      <w:highlight w:val="none"/>
                      <w:lang w:val="en-US" w:eastAsia="zh-CN"/>
                    </w:rPr>
                    <w:t>收集后暂存，定期外售废品收购站；</w:t>
                  </w:r>
                  <w:r>
                    <w:rPr>
                      <w:rFonts w:hint="eastAsia" w:cs="Times New Roman"/>
                      <w:color w:val="auto"/>
                      <w:kern w:val="2"/>
                      <w:sz w:val="21"/>
                      <w:szCs w:val="21"/>
                      <w:highlight w:val="none"/>
                      <w:lang w:val="en-US" w:eastAsia="zh-CN"/>
                    </w:rPr>
                    <w:t>废反渗透膜定期</w:t>
                  </w:r>
                  <w:r>
                    <w:rPr>
                      <w:rFonts w:hint="default" w:ascii="Times New Roman" w:hAnsi="Times New Roman" w:cs="Times New Roman"/>
                      <w:color w:val="auto"/>
                      <w:sz w:val="21"/>
                      <w:szCs w:val="21"/>
                      <w:highlight w:val="none"/>
                      <w:lang w:val="en-US" w:eastAsia="zh-CN"/>
                    </w:rPr>
                    <w:t>由厂家更换后及时</w:t>
                  </w:r>
                  <w:r>
                    <w:rPr>
                      <w:rFonts w:hint="eastAsia" w:cs="Times New Roman"/>
                      <w:color w:val="auto"/>
                      <w:sz w:val="21"/>
                      <w:szCs w:val="21"/>
                      <w:highlight w:val="none"/>
                      <w:lang w:val="en-US" w:eastAsia="zh-CN"/>
                    </w:rPr>
                    <w:t>带走</w:t>
                  </w:r>
                  <w:r>
                    <w:rPr>
                      <w:rFonts w:hint="default" w:ascii="Times New Roman" w:hAnsi="Times New Roman" w:cs="Times New Roman"/>
                      <w:color w:val="auto"/>
                      <w:sz w:val="21"/>
                      <w:szCs w:val="21"/>
                      <w:highlight w:val="none"/>
                      <w:lang w:val="en-US" w:eastAsia="zh-CN"/>
                    </w:rPr>
                    <w:t>，不在厂内储存</w:t>
                  </w:r>
                  <w:r>
                    <w:rPr>
                      <w:rFonts w:hint="eastAsia" w:ascii="Times New Roman" w:hAnsi="Times New Roman" w:cs="Times New Roman"/>
                      <w:color w:val="auto"/>
                      <w:sz w:val="21"/>
                      <w:szCs w:val="21"/>
                      <w:highlight w:val="none"/>
                      <w:lang w:val="en-US" w:eastAsia="zh-CN"/>
                    </w:rPr>
                    <w:t>；</w:t>
                  </w:r>
                  <w:r>
                    <w:rPr>
                      <w:rFonts w:hint="eastAsia" w:cs="Times New Roman"/>
                      <w:color w:val="auto"/>
                      <w:kern w:val="2"/>
                      <w:sz w:val="21"/>
                      <w:szCs w:val="21"/>
                      <w:highlight w:val="none"/>
                      <w:lang w:val="en-US" w:eastAsia="zh-CN"/>
                    </w:rPr>
                    <w:t>地埋式</w:t>
                  </w:r>
                  <w:r>
                    <w:rPr>
                      <w:rFonts w:hint="eastAsia" w:ascii="Times New Roman" w:hAnsi="Times New Roman" w:cs="Times New Roman"/>
                      <w:color w:val="auto"/>
                      <w:kern w:val="2"/>
                      <w:sz w:val="21"/>
                      <w:szCs w:val="21"/>
                      <w:highlight w:val="none"/>
                      <w:lang w:val="en-US" w:eastAsia="en-US"/>
                    </w:rPr>
                    <w:t>污水处理设施</w:t>
                  </w:r>
                  <w:r>
                    <w:rPr>
                      <w:rFonts w:hint="eastAsia" w:ascii="Times New Roman" w:hAnsi="Times New Roman" w:cs="Times New Roman"/>
                      <w:color w:val="auto"/>
                      <w:kern w:val="2"/>
                      <w:sz w:val="21"/>
                      <w:szCs w:val="21"/>
                      <w:highlight w:val="none"/>
                      <w:lang w:val="en-US" w:eastAsia="zh-CN"/>
                    </w:rPr>
                    <w:t>产生的污泥</w:t>
                  </w:r>
                  <w:r>
                    <w:rPr>
                      <w:rFonts w:hint="eastAsia" w:cs="Times New Roman"/>
                      <w:color w:val="auto"/>
                      <w:kern w:val="2"/>
                      <w:sz w:val="21"/>
                      <w:szCs w:val="21"/>
                      <w:highlight w:val="none"/>
                      <w:lang w:val="en-US" w:eastAsia="zh-CN"/>
                    </w:rPr>
                    <w:t>定期由吸污车清理处置理</w:t>
                  </w:r>
                </w:p>
              </w:tc>
            </w:tr>
            <w:tr w14:paraId="7B14BAB6">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28" w:type="dxa"/>
                  <w:bottom w:w="0" w:type="dxa"/>
                  <w:right w:w="28" w:type="dxa"/>
                </w:tblCellMar>
              </w:tblPrEx>
              <w:trPr>
                <w:trHeight w:val="489" w:hRule="atLeast"/>
                <w:jc w:val="center"/>
              </w:trPr>
              <w:tc>
                <w:tcPr>
                  <w:tcW w:w="333" w:type="pct"/>
                  <w:vMerge w:val="continue"/>
                  <w:tcBorders>
                    <w:tl2br w:val="nil"/>
                    <w:tr2bl w:val="nil"/>
                  </w:tcBorders>
                  <w:vAlign w:val="center"/>
                </w:tcPr>
                <w:p w14:paraId="3FE23738">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26" w:type="pct"/>
                  <w:vMerge w:val="continue"/>
                  <w:tcBorders>
                    <w:tl2br w:val="nil"/>
                    <w:tr2bl w:val="nil"/>
                  </w:tcBorders>
                  <w:vAlign w:val="center"/>
                </w:tcPr>
                <w:p w14:paraId="4B74687F">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846" w:type="pct"/>
                  <w:gridSpan w:val="2"/>
                  <w:tcBorders>
                    <w:tl2br w:val="nil"/>
                    <w:tr2bl w:val="nil"/>
                  </w:tcBorders>
                  <w:vAlign w:val="center"/>
                </w:tcPr>
                <w:p w14:paraId="1B9CDF92">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危险废物</w:t>
                  </w:r>
                </w:p>
              </w:tc>
              <w:tc>
                <w:tcPr>
                  <w:tcW w:w="3494" w:type="pct"/>
                  <w:tcBorders>
                    <w:tl2br w:val="nil"/>
                    <w:tr2bl w:val="nil"/>
                  </w:tcBorders>
                  <w:vAlign w:val="center"/>
                </w:tcPr>
                <w:p w14:paraId="7AD2BA6A">
                  <w:pPr>
                    <w:keepNext w:val="0"/>
                    <w:keepLines w:val="0"/>
                    <w:suppressLineNumbers w:val="0"/>
                    <w:autoSpaceDE w:val="0"/>
                    <w:autoSpaceDN w:val="0"/>
                    <w:adjustRightInd w:val="0"/>
                    <w:spacing w:before="0" w:beforeAutospacing="0" w:after="0" w:afterAutospacing="0" w:line="240" w:lineRule="auto"/>
                    <w:ind w:left="0" w:leftChars="0" w:right="0" w:firstLine="0" w:firstLineChars="0"/>
                    <w:jc w:val="both"/>
                    <w:textAlignment w:val="bottom"/>
                    <w:rPr>
                      <w:rFonts w:hint="default"/>
                      <w:color w:val="auto"/>
                      <w:sz w:val="21"/>
                      <w:highlight w:val="none"/>
                      <w:lang w:val="en-US" w:eastAsia="zh-CN"/>
                    </w:rPr>
                  </w:pPr>
                  <w:r>
                    <w:rPr>
                      <w:rFonts w:hint="eastAsia"/>
                      <w:color w:val="auto"/>
                      <w:sz w:val="21"/>
                      <w:highlight w:val="none"/>
                      <w:lang w:val="en-US" w:eastAsia="zh-CN"/>
                    </w:rPr>
                    <w:t>设备维护保养外委专业公司，产生的废机油、含有手套抹布由专业公司清理带走，不在厂内储存；抽样检验分析产生的废物料、废试剂瓶、废药品包装属于危废，统一收集交有资质的单位处置。</w:t>
                  </w:r>
                </w:p>
              </w:tc>
            </w:tr>
          </w:tbl>
          <w:p w14:paraId="24A85D64">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rPr>
              <w:t>3</w:t>
            </w:r>
            <w:r>
              <w:rPr>
                <w:rFonts w:hint="default"/>
                <w:b/>
                <w:color w:val="auto"/>
                <w:highlight w:val="none"/>
              </w:rPr>
              <w:t>、</w:t>
            </w:r>
            <w:r>
              <w:rPr>
                <w:rFonts w:hint="eastAsia"/>
                <w:b/>
                <w:color w:val="auto"/>
                <w:highlight w:val="none"/>
              </w:rPr>
              <w:t>项目产品方案</w:t>
            </w:r>
          </w:p>
          <w:p w14:paraId="3F1D46E3">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本项目产品方案见下表：</w:t>
            </w:r>
          </w:p>
          <w:p w14:paraId="0AD83CE5">
            <w:pPr>
              <w:pStyle w:val="77"/>
              <w:keepNext w:val="0"/>
              <w:keepLines w:val="0"/>
              <w:widowControl/>
              <w:suppressLineNumbers w:val="0"/>
              <w:spacing w:before="0" w:beforeLines="0" w:beforeAutospacing="0" w:after="0" w:afterAutospacing="0" w:line="240" w:lineRule="auto"/>
              <w:ind w:left="0" w:right="0"/>
              <w:rPr>
                <w:rFonts w:hint="default" w:eastAsia="宋体"/>
                <w:b/>
                <w:color w:val="auto"/>
                <w:kern w:val="0"/>
                <w:szCs w:val="21"/>
                <w:highlight w:val="none"/>
              </w:rPr>
            </w:pPr>
            <w:r>
              <w:rPr>
                <w:rFonts w:hint="eastAsia" w:eastAsia="宋体"/>
                <w:b/>
                <w:color w:val="auto"/>
                <w:kern w:val="0"/>
                <w:szCs w:val="21"/>
                <w:highlight w:val="none"/>
              </w:rPr>
              <w:t>表2-2  项目产品方案</w:t>
            </w:r>
          </w:p>
          <w:tbl>
            <w:tblPr>
              <w:tblStyle w:val="3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2"/>
              <w:gridCol w:w="1359"/>
              <w:gridCol w:w="2052"/>
              <w:gridCol w:w="1440"/>
              <w:gridCol w:w="1237"/>
              <w:gridCol w:w="1665"/>
            </w:tblGrid>
            <w:tr w14:paraId="3FD5D1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0" w:type="pct"/>
                  <w:vAlign w:val="center"/>
                </w:tcPr>
                <w:p w14:paraId="28043277">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序号</w:t>
                  </w:r>
                </w:p>
              </w:tc>
              <w:tc>
                <w:tcPr>
                  <w:tcW w:w="804" w:type="pct"/>
                  <w:vAlign w:val="center"/>
                </w:tcPr>
                <w:p w14:paraId="6990790F">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r>
                    <w:rPr>
                      <w:rFonts w:hint="eastAsia"/>
                      <w:color w:val="auto"/>
                      <w:szCs w:val="20"/>
                      <w:highlight w:val="none"/>
                      <w:lang w:val="en-US" w:eastAsia="zh-CN"/>
                    </w:rPr>
                    <w:t>生产线</w:t>
                  </w:r>
                </w:p>
              </w:tc>
              <w:tc>
                <w:tcPr>
                  <w:tcW w:w="1214" w:type="pct"/>
                  <w:vAlign w:val="center"/>
                </w:tcPr>
                <w:p w14:paraId="5F300998">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产品名称</w:t>
                  </w:r>
                </w:p>
              </w:tc>
              <w:tc>
                <w:tcPr>
                  <w:tcW w:w="852" w:type="pct"/>
                  <w:vAlign w:val="center"/>
                </w:tcPr>
                <w:p w14:paraId="24C680F7">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年产量</w:t>
                  </w:r>
                </w:p>
              </w:tc>
              <w:tc>
                <w:tcPr>
                  <w:tcW w:w="732" w:type="pct"/>
                  <w:vAlign w:val="center"/>
                </w:tcPr>
                <w:p w14:paraId="48388211">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单位</w:t>
                  </w:r>
                </w:p>
              </w:tc>
              <w:tc>
                <w:tcPr>
                  <w:tcW w:w="985" w:type="pct"/>
                  <w:vAlign w:val="center"/>
                </w:tcPr>
                <w:p w14:paraId="3A732D67">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备注</w:t>
                  </w:r>
                </w:p>
              </w:tc>
            </w:tr>
            <w:tr w14:paraId="210697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0" w:type="pct"/>
                  <w:vMerge w:val="restart"/>
                  <w:vAlign w:val="center"/>
                </w:tcPr>
                <w:p w14:paraId="0E5F036B">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1</w:t>
                  </w:r>
                </w:p>
              </w:tc>
              <w:tc>
                <w:tcPr>
                  <w:tcW w:w="804" w:type="pct"/>
                  <w:vMerge w:val="restart"/>
                  <w:vAlign w:val="center"/>
                </w:tcPr>
                <w:p w14:paraId="6AC8C9D6">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凉皮、面条生产线</w:t>
                  </w:r>
                </w:p>
              </w:tc>
              <w:tc>
                <w:tcPr>
                  <w:tcW w:w="1214" w:type="pct"/>
                  <w:vAlign w:val="center"/>
                </w:tcPr>
                <w:p w14:paraId="7DEF00C2">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凉皮</w:t>
                  </w:r>
                </w:p>
              </w:tc>
              <w:tc>
                <w:tcPr>
                  <w:tcW w:w="852" w:type="pct"/>
                  <w:vAlign w:val="center"/>
                </w:tcPr>
                <w:p w14:paraId="04C61B28">
                  <w:pPr>
                    <w:pStyle w:val="80"/>
                    <w:keepNext w:val="0"/>
                    <w:keepLines w:val="0"/>
                    <w:widowControl/>
                    <w:suppressLineNumbers w:val="0"/>
                    <w:spacing w:before="0" w:beforeAutospacing="0" w:after="0" w:afterAutospacing="0"/>
                    <w:ind w:left="0" w:right="0"/>
                    <w:rPr>
                      <w:rFonts w:hint="default" w:eastAsia="宋体"/>
                      <w:color w:val="auto"/>
                      <w:szCs w:val="21"/>
                      <w:highlight w:val="none"/>
                      <w:lang w:val="en-US" w:eastAsia="zh-CN"/>
                    </w:rPr>
                  </w:pPr>
                  <w:r>
                    <w:rPr>
                      <w:rFonts w:hint="eastAsia"/>
                      <w:color w:val="auto"/>
                      <w:szCs w:val="21"/>
                      <w:highlight w:val="none"/>
                      <w:lang w:val="en-US" w:eastAsia="zh-CN"/>
                    </w:rPr>
                    <w:t>100</w:t>
                  </w:r>
                </w:p>
              </w:tc>
              <w:tc>
                <w:tcPr>
                  <w:tcW w:w="732" w:type="pct"/>
                  <w:vAlign w:val="center"/>
                </w:tcPr>
                <w:p w14:paraId="2D84483E">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s="Times New Roman"/>
                      <w:color w:val="auto"/>
                      <w:sz w:val="21"/>
                      <w:szCs w:val="20"/>
                      <w:highlight w:val="none"/>
                      <w:lang w:val="en-US" w:eastAsia="zh-CN" w:bidi="ar-SA"/>
                    </w:rPr>
                    <w:t>吨</w:t>
                  </w:r>
                </w:p>
              </w:tc>
              <w:tc>
                <w:tcPr>
                  <w:tcW w:w="985" w:type="pct"/>
                  <w:vMerge w:val="restart"/>
                  <w:vAlign w:val="center"/>
                </w:tcPr>
                <w:p w14:paraId="5F89D212">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eastAsia"/>
                      <w:color w:val="auto"/>
                      <w:szCs w:val="21"/>
                      <w:highlight w:val="none"/>
                    </w:rPr>
                    <w:t>产品</w:t>
                  </w:r>
                  <w:r>
                    <w:rPr>
                      <w:rFonts w:hint="eastAsia"/>
                      <w:color w:val="auto"/>
                      <w:szCs w:val="21"/>
                      <w:highlight w:val="none"/>
                      <w:lang w:val="en-US" w:eastAsia="zh-CN"/>
                    </w:rPr>
                    <w:t>全部</w:t>
                  </w:r>
                  <w:r>
                    <w:rPr>
                      <w:rFonts w:hint="eastAsia"/>
                      <w:color w:val="auto"/>
                      <w:szCs w:val="21"/>
                      <w:highlight w:val="none"/>
                    </w:rPr>
                    <w:t>外售</w:t>
                  </w:r>
                </w:p>
              </w:tc>
            </w:tr>
            <w:tr w14:paraId="3B7D4C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0" w:type="pct"/>
                  <w:vMerge w:val="continue"/>
                  <w:vAlign w:val="center"/>
                </w:tcPr>
                <w:p w14:paraId="59BD82F3">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804" w:type="pct"/>
                  <w:vMerge w:val="continue"/>
                  <w:vAlign w:val="center"/>
                </w:tcPr>
                <w:p w14:paraId="7B848209">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1214" w:type="pct"/>
                  <w:vAlign w:val="center"/>
                </w:tcPr>
                <w:p w14:paraId="334B1C0B">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面条（含饼丝、河粉）</w:t>
                  </w:r>
                </w:p>
              </w:tc>
              <w:tc>
                <w:tcPr>
                  <w:tcW w:w="852" w:type="pct"/>
                  <w:vAlign w:val="center"/>
                </w:tcPr>
                <w:p w14:paraId="5D5D6371">
                  <w:pPr>
                    <w:pStyle w:val="80"/>
                    <w:keepNext w:val="0"/>
                    <w:keepLines w:val="0"/>
                    <w:widowControl/>
                    <w:suppressLineNumbers w:val="0"/>
                    <w:spacing w:before="0" w:beforeAutospacing="0" w:after="0" w:afterAutospacing="0"/>
                    <w:ind w:left="0" w:right="0"/>
                    <w:rPr>
                      <w:rFonts w:hint="default" w:eastAsia="宋体"/>
                      <w:color w:val="auto"/>
                      <w:szCs w:val="21"/>
                      <w:highlight w:val="none"/>
                      <w:lang w:val="en-US" w:eastAsia="zh-CN"/>
                    </w:rPr>
                  </w:pPr>
                  <w:r>
                    <w:rPr>
                      <w:rFonts w:hint="eastAsia"/>
                      <w:color w:val="auto"/>
                      <w:szCs w:val="21"/>
                      <w:highlight w:val="none"/>
                      <w:lang w:val="en-US" w:eastAsia="zh-CN"/>
                    </w:rPr>
                    <w:t>200</w:t>
                  </w:r>
                </w:p>
              </w:tc>
              <w:tc>
                <w:tcPr>
                  <w:tcW w:w="732" w:type="pct"/>
                  <w:vAlign w:val="center"/>
                </w:tcPr>
                <w:p w14:paraId="084B1C67">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s="Times New Roman"/>
                      <w:color w:val="auto"/>
                      <w:sz w:val="21"/>
                      <w:szCs w:val="20"/>
                      <w:highlight w:val="none"/>
                      <w:lang w:val="en-US" w:eastAsia="zh-CN" w:bidi="ar-SA"/>
                    </w:rPr>
                    <w:t>吨</w:t>
                  </w:r>
                </w:p>
              </w:tc>
              <w:tc>
                <w:tcPr>
                  <w:tcW w:w="985" w:type="pct"/>
                  <w:vMerge w:val="continue"/>
                  <w:vAlign w:val="center"/>
                </w:tcPr>
                <w:p w14:paraId="2B0173E6">
                  <w:pPr>
                    <w:pStyle w:val="80"/>
                    <w:keepNext w:val="0"/>
                    <w:keepLines w:val="0"/>
                    <w:widowControl/>
                    <w:suppressLineNumbers w:val="0"/>
                    <w:spacing w:before="0" w:beforeAutospacing="0" w:after="0" w:afterAutospacing="0"/>
                    <w:ind w:left="0" w:right="0"/>
                    <w:rPr>
                      <w:rFonts w:hint="eastAsia"/>
                      <w:color w:val="auto"/>
                      <w:szCs w:val="21"/>
                      <w:highlight w:val="none"/>
                    </w:rPr>
                  </w:pPr>
                </w:p>
              </w:tc>
            </w:tr>
            <w:tr w14:paraId="259EAC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0" w:type="pct"/>
                  <w:vMerge w:val="restart"/>
                  <w:vAlign w:val="center"/>
                </w:tcPr>
                <w:p w14:paraId="2C490BC2">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2</w:t>
                  </w:r>
                </w:p>
              </w:tc>
              <w:tc>
                <w:tcPr>
                  <w:tcW w:w="804" w:type="pct"/>
                  <w:vMerge w:val="restart"/>
                  <w:vAlign w:val="center"/>
                </w:tcPr>
                <w:p w14:paraId="5BBC5911">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馒头生产线</w:t>
                  </w:r>
                </w:p>
              </w:tc>
              <w:tc>
                <w:tcPr>
                  <w:tcW w:w="1214" w:type="pct"/>
                  <w:vAlign w:val="center"/>
                </w:tcPr>
                <w:p w14:paraId="18CB6BE3">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馒头</w:t>
                  </w:r>
                </w:p>
              </w:tc>
              <w:tc>
                <w:tcPr>
                  <w:tcW w:w="852" w:type="pct"/>
                  <w:vAlign w:val="center"/>
                </w:tcPr>
                <w:p w14:paraId="13137E87">
                  <w:pPr>
                    <w:pStyle w:val="80"/>
                    <w:keepNext w:val="0"/>
                    <w:keepLines w:val="0"/>
                    <w:widowControl/>
                    <w:suppressLineNumbers w:val="0"/>
                    <w:spacing w:before="0" w:beforeAutospacing="0" w:after="0" w:afterAutospacing="0"/>
                    <w:ind w:left="0" w:right="0"/>
                    <w:rPr>
                      <w:rFonts w:hint="default"/>
                      <w:color w:val="auto"/>
                      <w:szCs w:val="21"/>
                      <w:highlight w:val="none"/>
                      <w:lang w:val="en-US" w:eastAsia="zh-CN"/>
                    </w:rPr>
                  </w:pPr>
                  <w:r>
                    <w:rPr>
                      <w:rFonts w:hint="eastAsia"/>
                      <w:color w:val="auto"/>
                      <w:szCs w:val="21"/>
                      <w:highlight w:val="none"/>
                      <w:lang w:val="en-US" w:eastAsia="zh-CN"/>
                    </w:rPr>
                    <w:t>1000</w:t>
                  </w:r>
                </w:p>
              </w:tc>
              <w:tc>
                <w:tcPr>
                  <w:tcW w:w="732" w:type="pct"/>
                  <w:vAlign w:val="center"/>
                </w:tcPr>
                <w:p w14:paraId="59A835CD">
                  <w:pPr>
                    <w:pStyle w:val="80"/>
                    <w:keepNext w:val="0"/>
                    <w:keepLines w:val="0"/>
                    <w:widowControl/>
                    <w:suppressLineNumbers w:val="0"/>
                    <w:spacing w:before="0" w:beforeAutospacing="0" w:after="0" w:afterAutospacing="0"/>
                    <w:ind w:left="0" w:leftChars="0" w:right="0" w:rightChars="0"/>
                    <w:rPr>
                      <w:rFonts w:hint="default"/>
                      <w:color w:val="auto"/>
                      <w:szCs w:val="21"/>
                      <w:highlight w:val="none"/>
                      <w:lang w:val="en-US" w:eastAsia="zh-CN"/>
                    </w:rPr>
                  </w:pPr>
                  <w:r>
                    <w:rPr>
                      <w:rFonts w:hint="eastAsia"/>
                      <w:color w:val="auto"/>
                      <w:szCs w:val="21"/>
                      <w:highlight w:val="none"/>
                      <w:lang w:val="en-US" w:eastAsia="zh-CN"/>
                    </w:rPr>
                    <w:t>万个</w:t>
                  </w:r>
                </w:p>
              </w:tc>
              <w:tc>
                <w:tcPr>
                  <w:tcW w:w="985" w:type="pct"/>
                  <w:vMerge w:val="continue"/>
                  <w:vAlign w:val="center"/>
                </w:tcPr>
                <w:p w14:paraId="6C81E20C">
                  <w:pPr>
                    <w:pStyle w:val="80"/>
                    <w:keepNext w:val="0"/>
                    <w:keepLines w:val="0"/>
                    <w:widowControl/>
                    <w:suppressLineNumbers w:val="0"/>
                    <w:spacing w:before="0" w:beforeAutospacing="0" w:after="0" w:afterAutospacing="0"/>
                    <w:ind w:left="0" w:right="0"/>
                    <w:rPr>
                      <w:rFonts w:hint="eastAsia"/>
                      <w:color w:val="auto"/>
                      <w:szCs w:val="21"/>
                      <w:highlight w:val="none"/>
                    </w:rPr>
                  </w:pPr>
                </w:p>
              </w:tc>
            </w:tr>
            <w:tr w14:paraId="1B6F92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0" w:type="pct"/>
                  <w:vMerge w:val="continue"/>
                  <w:vAlign w:val="center"/>
                </w:tcPr>
                <w:p w14:paraId="65980770">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804" w:type="pct"/>
                  <w:vMerge w:val="continue"/>
                  <w:vAlign w:val="center"/>
                </w:tcPr>
                <w:p w14:paraId="546678FE">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1214" w:type="pct"/>
                  <w:vAlign w:val="center"/>
                </w:tcPr>
                <w:p w14:paraId="138D36A0">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包子</w:t>
                  </w:r>
                </w:p>
              </w:tc>
              <w:tc>
                <w:tcPr>
                  <w:tcW w:w="852" w:type="pct"/>
                  <w:vAlign w:val="center"/>
                </w:tcPr>
                <w:p w14:paraId="7041DC63">
                  <w:pPr>
                    <w:pStyle w:val="80"/>
                    <w:keepNext w:val="0"/>
                    <w:keepLines w:val="0"/>
                    <w:widowControl/>
                    <w:suppressLineNumbers w:val="0"/>
                    <w:spacing w:before="0" w:beforeAutospacing="0" w:after="0" w:afterAutospacing="0"/>
                    <w:ind w:left="0" w:leftChars="0" w:right="0" w:rightChars="0"/>
                    <w:rPr>
                      <w:rFonts w:hint="eastAsia"/>
                      <w:color w:val="auto"/>
                      <w:szCs w:val="21"/>
                      <w:highlight w:val="none"/>
                      <w:lang w:val="en-US" w:eastAsia="zh-CN"/>
                    </w:rPr>
                  </w:pPr>
                  <w:r>
                    <w:rPr>
                      <w:rFonts w:hint="eastAsia"/>
                      <w:color w:val="auto"/>
                      <w:szCs w:val="21"/>
                      <w:highlight w:val="none"/>
                      <w:lang w:val="en-US" w:eastAsia="zh-CN"/>
                    </w:rPr>
                    <w:t>1000</w:t>
                  </w:r>
                </w:p>
              </w:tc>
              <w:tc>
                <w:tcPr>
                  <w:tcW w:w="732" w:type="pct"/>
                  <w:vAlign w:val="center"/>
                </w:tcPr>
                <w:p w14:paraId="744AC6CF">
                  <w:pPr>
                    <w:pStyle w:val="80"/>
                    <w:keepNext w:val="0"/>
                    <w:keepLines w:val="0"/>
                    <w:widowControl/>
                    <w:suppressLineNumbers w:val="0"/>
                    <w:spacing w:before="0" w:beforeAutospacing="0" w:after="0" w:afterAutospacing="0"/>
                    <w:ind w:left="0" w:leftChars="0" w:right="0" w:rightChars="0"/>
                    <w:rPr>
                      <w:rFonts w:hint="eastAsia"/>
                      <w:color w:val="auto"/>
                      <w:szCs w:val="21"/>
                      <w:highlight w:val="none"/>
                      <w:lang w:val="en-US" w:eastAsia="zh-CN"/>
                    </w:rPr>
                  </w:pPr>
                  <w:r>
                    <w:rPr>
                      <w:rFonts w:hint="eastAsia"/>
                      <w:color w:val="auto"/>
                      <w:szCs w:val="21"/>
                      <w:highlight w:val="none"/>
                      <w:lang w:val="en-US" w:eastAsia="zh-CN"/>
                    </w:rPr>
                    <w:t>万个</w:t>
                  </w:r>
                </w:p>
              </w:tc>
              <w:tc>
                <w:tcPr>
                  <w:tcW w:w="985" w:type="pct"/>
                  <w:vMerge w:val="continue"/>
                  <w:vAlign w:val="center"/>
                </w:tcPr>
                <w:p w14:paraId="30C42B34">
                  <w:pPr>
                    <w:pStyle w:val="80"/>
                    <w:keepNext w:val="0"/>
                    <w:keepLines w:val="0"/>
                    <w:widowControl/>
                    <w:suppressLineNumbers w:val="0"/>
                    <w:spacing w:before="0" w:beforeAutospacing="0" w:after="0" w:afterAutospacing="0"/>
                    <w:ind w:left="0" w:right="0"/>
                    <w:rPr>
                      <w:rFonts w:hint="eastAsia"/>
                      <w:color w:val="auto"/>
                      <w:szCs w:val="21"/>
                      <w:highlight w:val="none"/>
                    </w:rPr>
                  </w:pPr>
                </w:p>
              </w:tc>
            </w:tr>
            <w:tr w14:paraId="08786A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0" w:type="pct"/>
                  <w:vAlign w:val="center"/>
                </w:tcPr>
                <w:p w14:paraId="5E86667B">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3</w:t>
                  </w:r>
                </w:p>
              </w:tc>
              <w:tc>
                <w:tcPr>
                  <w:tcW w:w="804" w:type="pct"/>
                  <w:vAlign w:val="center"/>
                </w:tcPr>
                <w:p w14:paraId="562A77C8">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稀饭生产线</w:t>
                  </w:r>
                </w:p>
              </w:tc>
              <w:tc>
                <w:tcPr>
                  <w:tcW w:w="1214" w:type="pct"/>
                  <w:vAlign w:val="center"/>
                </w:tcPr>
                <w:p w14:paraId="48C88BCE">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稀饭</w:t>
                  </w:r>
                </w:p>
              </w:tc>
              <w:tc>
                <w:tcPr>
                  <w:tcW w:w="852" w:type="pct"/>
                  <w:vAlign w:val="center"/>
                </w:tcPr>
                <w:p w14:paraId="27585603">
                  <w:pPr>
                    <w:pStyle w:val="80"/>
                    <w:keepNext w:val="0"/>
                    <w:keepLines w:val="0"/>
                    <w:widowControl/>
                    <w:suppressLineNumbers w:val="0"/>
                    <w:spacing w:before="0" w:beforeAutospacing="0" w:after="0" w:afterAutospacing="0"/>
                    <w:ind w:left="0" w:right="0"/>
                    <w:rPr>
                      <w:rFonts w:hint="default"/>
                      <w:color w:val="auto"/>
                      <w:szCs w:val="21"/>
                      <w:highlight w:val="none"/>
                      <w:lang w:val="en-US" w:eastAsia="zh-CN"/>
                    </w:rPr>
                  </w:pPr>
                  <w:r>
                    <w:rPr>
                      <w:rFonts w:hint="eastAsia"/>
                      <w:color w:val="auto"/>
                      <w:szCs w:val="21"/>
                      <w:highlight w:val="none"/>
                      <w:lang w:val="en-US" w:eastAsia="zh-CN"/>
                    </w:rPr>
                    <w:t>2000</w:t>
                  </w:r>
                </w:p>
              </w:tc>
              <w:tc>
                <w:tcPr>
                  <w:tcW w:w="732" w:type="pct"/>
                  <w:vAlign w:val="center"/>
                </w:tcPr>
                <w:p w14:paraId="17726764">
                  <w:pPr>
                    <w:pStyle w:val="80"/>
                    <w:keepNext w:val="0"/>
                    <w:keepLines w:val="0"/>
                    <w:widowControl/>
                    <w:suppressLineNumbers w:val="0"/>
                    <w:spacing w:before="0" w:beforeAutospacing="0" w:after="0" w:afterAutospacing="0"/>
                    <w:ind w:left="0" w:leftChars="0" w:right="0" w:rightChars="0"/>
                    <w:rPr>
                      <w:rFonts w:hint="default"/>
                      <w:color w:val="auto"/>
                      <w:szCs w:val="21"/>
                      <w:highlight w:val="none"/>
                      <w:lang w:val="en-US" w:eastAsia="zh-CN"/>
                    </w:rPr>
                  </w:pPr>
                  <w:r>
                    <w:rPr>
                      <w:rFonts w:hint="eastAsia"/>
                      <w:color w:val="auto"/>
                      <w:szCs w:val="21"/>
                      <w:highlight w:val="none"/>
                      <w:lang w:val="en-US" w:eastAsia="zh-CN"/>
                    </w:rPr>
                    <w:t>万杯</w:t>
                  </w:r>
                </w:p>
              </w:tc>
              <w:tc>
                <w:tcPr>
                  <w:tcW w:w="985" w:type="pct"/>
                  <w:vMerge w:val="continue"/>
                  <w:vAlign w:val="center"/>
                </w:tcPr>
                <w:p w14:paraId="4A1C4BD3">
                  <w:pPr>
                    <w:pStyle w:val="80"/>
                    <w:keepNext w:val="0"/>
                    <w:keepLines w:val="0"/>
                    <w:widowControl/>
                    <w:suppressLineNumbers w:val="0"/>
                    <w:spacing w:before="0" w:beforeAutospacing="0" w:after="0" w:afterAutospacing="0"/>
                    <w:ind w:left="0" w:right="0"/>
                    <w:rPr>
                      <w:rFonts w:hint="eastAsia"/>
                      <w:color w:val="auto"/>
                      <w:szCs w:val="21"/>
                      <w:highlight w:val="none"/>
                    </w:rPr>
                  </w:pPr>
                </w:p>
              </w:tc>
            </w:tr>
            <w:tr w14:paraId="57B0A0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0" w:type="pct"/>
                  <w:vAlign w:val="center"/>
                </w:tcPr>
                <w:p w14:paraId="791AD5FF">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4</w:t>
                  </w:r>
                </w:p>
              </w:tc>
              <w:tc>
                <w:tcPr>
                  <w:tcW w:w="804" w:type="pct"/>
                  <w:vAlign w:val="center"/>
                </w:tcPr>
                <w:p w14:paraId="6E3608DB">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盒饭生产线</w:t>
                  </w:r>
                </w:p>
              </w:tc>
              <w:tc>
                <w:tcPr>
                  <w:tcW w:w="1214" w:type="pct"/>
                  <w:vAlign w:val="center"/>
                </w:tcPr>
                <w:p w14:paraId="2C8219D6">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盒饭</w:t>
                  </w:r>
                </w:p>
              </w:tc>
              <w:tc>
                <w:tcPr>
                  <w:tcW w:w="852" w:type="pct"/>
                  <w:vAlign w:val="center"/>
                </w:tcPr>
                <w:p w14:paraId="09049E9C">
                  <w:pPr>
                    <w:pStyle w:val="80"/>
                    <w:keepNext w:val="0"/>
                    <w:keepLines w:val="0"/>
                    <w:widowControl/>
                    <w:suppressLineNumbers w:val="0"/>
                    <w:spacing w:before="0" w:beforeAutospacing="0" w:after="0" w:afterAutospacing="0"/>
                    <w:ind w:left="0" w:right="0"/>
                    <w:rPr>
                      <w:rFonts w:hint="default"/>
                      <w:color w:val="auto"/>
                      <w:szCs w:val="21"/>
                      <w:highlight w:val="none"/>
                      <w:lang w:val="en-US" w:eastAsia="zh-CN"/>
                    </w:rPr>
                  </w:pPr>
                  <w:r>
                    <w:rPr>
                      <w:rFonts w:hint="eastAsia"/>
                      <w:color w:val="auto"/>
                      <w:szCs w:val="21"/>
                      <w:highlight w:val="none"/>
                      <w:lang w:val="en-US" w:eastAsia="zh-CN"/>
                    </w:rPr>
                    <w:t>10</w:t>
                  </w:r>
                </w:p>
              </w:tc>
              <w:tc>
                <w:tcPr>
                  <w:tcW w:w="732" w:type="pct"/>
                  <w:vAlign w:val="center"/>
                </w:tcPr>
                <w:p w14:paraId="45C9241D">
                  <w:pPr>
                    <w:pStyle w:val="80"/>
                    <w:keepNext w:val="0"/>
                    <w:keepLines w:val="0"/>
                    <w:widowControl/>
                    <w:suppressLineNumbers w:val="0"/>
                    <w:spacing w:before="0" w:beforeAutospacing="0" w:after="0" w:afterAutospacing="0"/>
                    <w:ind w:left="0" w:leftChars="0" w:right="0" w:rightChars="0"/>
                    <w:rPr>
                      <w:rFonts w:hint="default"/>
                      <w:color w:val="auto"/>
                      <w:szCs w:val="21"/>
                      <w:highlight w:val="none"/>
                      <w:lang w:val="en-US" w:eastAsia="zh-CN"/>
                    </w:rPr>
                  </w:pPr>
                  <w:r>
                    <w:rPr>
                      <w:rFonts w:hint="eastAsia"/>
                      <w:color w:val="auto"/>
                      <w:szCs w:val="21"/>
                      <w:highlight w:val="none"/>
                      <w:lang w:val="en-US" w:eastAsia="zh-CN"/>
                    </w:rPr>
                    <w:t>万盒</w:t>
                  </w:r>
                </w:p>
              </w:tc>
              <w:tc>
                <w:tcPr>
                  <w:tcW w:w="985" w:type="pct"/>
                  <w:vMerge w:val="continue"/>
                  <w:vAlign w:val="center"/>
                </w:tcPr>
                <w:p w14:paraId="4D714F6B">
                  <w:pPr>
                    <w:pStyle w:val="80"/>
                    <w:keepNext w:val="0"/>
                    <w:keepLines w:val="0"/>
                    <w:widowControl/>
                    <w:suppressLineNumbers w:val="0"/>
                    <w:spacing w:before="0" w:beforeAutospacing="0" w:after="0" w:afterAutospacing="0"/>
                    <w:ind w:left="0" w:right="0"/>
                    <w:rPr>
                      <w:rFonts w:hint="eastAsia"/>
                      <w:color w:val="auto"/>
                      <w:szCs w:val="21"/>
                      <w:highlight w:val="none"/>
                    </w:rPr>
                  </w:pPr>
                </w:p>
              </w:tc>
            </w:tr>
            <w:tr w14:paraId="5E86AF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0" w:type="pct"/>
                  <w:vMerge w:val="restart"/>
                  <w:vAlign w:val="center"/>
                </w:tcPr>
                <w:p w14:paraId="20BDC114">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5</w:t>
                  </w:r>
                </w:p>
              </w:tc>
              <w:tc>
                <w:tcPr>
                  <w:tcW w:w="804" w:type="pct"/>
                  <w:vMerge w:val="restart"/>
                  <w:vAlign w:val="center"/>
                </w:tcPr>
                <w:p w14:paraId="595212A5">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蛋糕、面包、酥饼生产线</w:t>
                  </w:r>
                </w:p>
              </w:tc>
              <w:tc>
                <w:tcPr>
                  <w:tcW w:w="1214" w:type="pct"/>
                  <w:vAlign w:val="center"/>
                </w:tcPr>
                <w:p w14:paraId="2BBA81B2">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蛋糕</w:t>
                  </w:r>
                </w:p>
              </w:tc>
              <w:tc>
                <w:tcPr>
                  <w:tcW w:w="852" w:type="pct"/>
                  <w:vAlign w:val="center"/>
                </w:tcPr>
                <w:p w14:paraId="4578B6C5">
                  <w:pPr>
                    <w:pStyle w:val="80"/>
                    <w:keepNext w:val="0"/>
                    <w:keepLines w:val="0"/>
                    <w:widowControl/>
                    <w:suppressLineNumbers w:val="0"/>
                    <w:spacing w:before="0" w:beforeAutospacing="0" w:after="0" w:afterAutospacing="0"/>
                    <w:ind w:left="0" w:right="0"/>
                    <w:rPr>
                      <w:rFonts w:hint="default"/>
                      <w:color w:val="auto"/>
                      <w:szCs w:val="21"/>
                      <w:highlight w:val="none"/>
                      <w:lang w:val="en-US" w:eastAsia="zh-CN"/>
                    </w:rPr>
                  </w:pPr>
                  <w:r>
                    <w:rPr>
                      <w:rFonts w:hint="eastAsia"/>
                      <w:color w:val="auto"/>
                      <w:szCs w:val="21"/>
                      <w:highlight w:val="none"/>
                      <w:lang w:val="en-US" w:eastAsia="zh-CN"/>
                    </w:rPr>
                    <w:t>2000</w:t>
                  </w:r>
                </w:p>
              </w:tc>
              <w:tc>
                <w:tcPr>
                  <w:tcW w:w="732" w:type="pct"/>
                  <w:vAlign w:val="center"/>
                </w:tcPr>
                <w:p w14:paraId="44B8B07D">
                  <w:pPr>
                    <w:pStyle w:val="80"/>
                    <w:keepNext w:val="0"/>
                    <w:keepLines w:val="0"/>
                    <w:widowControl/>
                    <w:suppressLineNumbers w:val="0"/>
                    <w:spacing w:before="0" w:beforeAutospacing="0" w:after="0" w:afterAutospacing="0"/>
                    <w:ind w:left="0" w:leftChars="0" w:right="0" w:rightChars="0"/>
                    <w:rPr>
                      <w:rFonts w:hint="eastAsia"/>
                      <w:color w:val="auto"/>
                      <w:szCs w:val="21"/>
                      <w:highlight w:val="none"/>
                      <w:lang w:val="en-US" w:eastAsia="zh-CN"/>
                    </w:rPr>
                  </w:pPr>
                  <w:r>
                    <w:rPr>
                      <w:rFonts w:hint="eastAsia"/>
                      <w:color w:val="auto"/>
                      <w:szCs w:val="21"/>
                      <w:highlight w:val="none"/>
                      <w:lang w:val="en-US" w:eastAsia="zh-CN"/>
                    </w:rPr>
                    <w:t>万个</w:t>
                  </w:r>
                </w:p>
              </w:tc>
              <w:tc>
                <w:tcPr>
                  <w:tcW w:w="985" w:type="pct"/>
                  <w:vMerge w:val="continue"/>
                  <w:vAlign w:val="center"/>
                </w:tcPr>
                <w:p w14:paraId="6846ACA7">
                  <w:pPr>
                    <w:pStyle w:val="80"/>
                    <w:keepNext w:val="0"/>
                    <w:keepLines w:val="0"/>
                    <w:widowControl/>
                    <w:suppressLineNumbers w:val="0"/>
                    <w:spacing w:before="0" w:beforeAutospacing="0" w:after="0" w:afterAutospacing="0"/>
                    <w:ind w:left="0" w:right="0"/>
                    <w:rPr>
                      <w:rFonts w:hint="eastAsia"/>
                      <w:color w:val="auto"/>
                      <w:szCs w:val="21"/>
                      <w:highlight w:val="none"/>
                    </w:rPr>
                  </w:pPr>
                </w:p>
              </w:tc>
            </w:tr>
            <w:tr w14:paraId="6F350E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0" w:type="pct"/>
                  <w:vMerge w:val="continue"/>
                  <w:vAlign w:val="center"/>
                </w:tcPr>
                <w:p w14:paraId="046A3818">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804" w:type="pct"/>
                  <w:vMerge w:val="continue"/>
                  <w:vAlign w:val="center"/>
                </w:tcPr>
                <w:p w14:paraId="30A87E5E">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1214" w:type="pct"/>
                  <w:vAlign w:val="center"/>
                </w:tcPr>
                <w:p w14:paraId="139B036D">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面包</w:t>
                  </w:r>
                </w:p>
              </w:tc>
              <w:tc>
                <w:tcPr>
                  <w:tcW w:w="852" w:type="pct"/>
                  <w:vAlign w:val="center"/>
                </w:tcPr>
                <w:p w14:paraId="62BB005D">
                  <w:pPr>
                    <w:pStyle w:val="80"/>
                    <w:keepNext w:val="0"/>
                    <w:keepLines w:val="0"/>
                    <w:widowControl/>
                    <w:suppressLineNumbers w:val="0"/>
                    <w:spacing w:before="0" w:beforeAutospacing="0" w:after="0" w:afterAutospacing="0"/>
                    <w:ind w:left="0" w:right="0"/>
                    <w:rPr>
                      <w:rFonts w:hint="default"/>
                      <w:color w:val="auto"/>
                      <w:szCs w:val="21"/>
                      <w:highlight w:val="none"/>
                      <w:lang w:val="en-US" w:eastAsia="zh-CN"/>
                    </w:rPr>
                  </w:pPr>
                  <w:r>
                    <w:rPr>
                      <w:rFonts w:hint="eastAsia"/>
                      <w:color w:val="auto"/>
                      <w:szCs w:val="21"/>
                      <w:highlight w:val="none"/>
                      <w:lang w:val="en-US" w:eastAsia="zh-CN"/>
                    </w:rPr>
                    <w:t>1800</w:t>
                  </w:r>
                </w:p>
              </w:tc>
              <w:tc>
                <w:tcPr>
                  <w:tcW w:w="732" w:type="pct"/>
                  <w:vAlign w:val="center"/>
                </w:tcPr>
                <w:p w14:paraId="6D43F327">
                  <w:pPr>
                    <w:pStyle w:val="80"/>
                    <w:keepNext w:val="0"/>
                    <w:keepLines w:val="0"/>
                    <w:widowControl/>
                    <w:suppressLineNumbers w:val="0"/>
                    <w:spacing w:before="0" w:beforeAutospacing="0" w:after="0" w:afterAutospacing="0"/>
                    <w:ind w:left="0" w:leftChars="0" w:right="0" w:rightChars="0"/>
                    <w:rPr>
                      <w:rFonts w:hint="eastAsia"/>
                      <w:color w:val="auto"/>
                      <w:szCs w:val="21"/>
                      <w:highlight w:val="none"/>
                      <w:lang w:val="en-US" w:eastAsia="zh-CN"/>
                    </w:rPr>
                  </w:pPr>
                  <w:r>
                    <w:rPr>
                      <w:rFonts w:hint="eastAsia"/>
                      <w:color w:val="auto"/>
                      <w:szCs w:val="21"/>
                      <w:highlight w:val="none"/>
                      <w:lang w:val="en-US" w:eastAsia="zh-CN"/>
                    </w:rPr>
                    <w:t>万个</w:t>
                  </w:r>
                </w:p>
              </w:tc>
              <w:tc>
                <w:tcPr>
                  <w:tcW w:w="985" w:type="pct"/>
                  <w:vMerge w:val="continue"/>
                  <w:vAlign w:val="center"/>
                </w:tcPr>
                <w:p w14:paraId="7503EB99">
                  <w:pPr>
                    <w:pStyle w:val="80"/>
                    <w:keepNext w:val="0"/>
                    <w:keepLines w:val="0"/>
                    <w:widowControl/>
                    <w:suppressLineNumbers w:val="0"/>
                    <w:spacing w:before="0" w:beforeAutospacing="0" w:after="0" w:afterAutospacing="0"/>
                    <w:ind w:left="0" w:right="0"/>
                    <w:rPr>
                      <w:rFonts w:hint="eastAsia"/>
                      <w:color w:val="auto"/>
                      <w:szCs w:val="21"/>
                      <w:highlight w:val="none"/>
                    </w:rPr>
                  </w:pPr>
                </w:p>
              </w:tc>
            </w:tr>
            <w:tr w14:paraId="7F3072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0" w:type="pct"/>
                  <w:vMerge w:val="continue"/>
                  <w:vAlign w:val="center"/>
                </w:tcPr>
                <w:p w14:paraId="2A6D24CD">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804" w:type="pct"/>
                  <w:vMerge w:val="continue"/>
                  <w:vAlign w:val="center"/>
                </w:tcPr>
                <w:p w14:paraId="52354398">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1214" w:type="pct"/>
                  <w:vAlign w:val="center"/>
                </w:tcPr>
                <w:p w14:paraId="0A91D47C">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酥饼</w:t>
                  </w:r>
                </w:p>
              </w:tc>
              <w:tc>
                <w:tcPr>
                  <w:tcW w:w="852" w:type="pct"/>
                  <w:vAlign w:val="center"/>
                </w:tcPr>
                <w:p w14:paraId="5E5C88FA">
                  <w:pPr>
                    <w:pStyle w:val="80"/>
                    <w:keepNext w:val="0"/>
                    <w:keepLines w:val="0"/>
                    <w:widowControl/>
                    <w:suppressLineNumbers w:val="0"/>
                    <w:spacing w:before="0" w:beforeAutospacing="0" w:after="0" w:afterAutospacing="0"/>
                    <w:ind w:left="0" w:right="0"/>
                    <w:rPr>
                      <w:rFonts w:hint="default"/>
                      <w:color w:val="auto"/>
                      <w:szCs w:val="21"/>
                      <w:highlight w:val="none"/>
                      <w:lang w:val="en-US" w:eastAsia="zh-CN"/>
                    </w:rPr>
                  </w:pPr>
                  <w:r>
                    <w:rPr>
                      <w:rFonts w:hint="eastAsia"/>
                      <w:color w:val="auto"/>
                      <w:szCs w:val="21"/>
                      <w:highlight w:val="none"/>
                      <w:lang w:val="en-US" w:eastAsia="zh-CN"/>
                    </w:rPr>
                    <w:t>1800</w:t>
                  </w:r>
                </w:p>
              </w:tc>
              <w:tc>
                <w:tcPr>
                  <w:tcW w:w="732" w:type="pct"/>
                  <w:vAlign w:val="center"/>
                </w:tcPr>
                <w:p w14:paraId="68D81087">
                  <w:pPr>
                    <w:pStyle w:val="80"/>
                    <w:keepNext w:val="0"/>
                    <w:keepLines w:val="0"/>
                    <w:widowControl/>
                    <w:suppressLineNumbers w:val="0"/>
                    <w:spacing w:before="0" w:beforeAutospacing="0" w:after="0" w:afterAutospacing="0"/>
                    <w:ind w:left="0" w:leftChars="0" w:right="0" w:rightChars="0"/>
                    <w:rPr>
                      <w:rFonts w:hint="default"/>
                      <w:color w:val="auto"/>
                      <w:szCs w:val="21"/>
                      <w:highlight w:val="none"/>
                      <w:lang w:val="en-US" w:eastAsia="zh-CN"/>
                    </w:rPr>
                  </w:pPr>
                  <w:r>
                    <w:rPr>
                      <w:rFonts w:hint="eastAsia"/>
                      <w:color w:val="auto"/>
                      <w:szCs w:val="21"/>
                      <w:highlight w:val="none"/>
                      <w:lang w:val="en-US" w:eastAsia="zh-CN"/>
                    </w:rPr>
                    <w:t>万个</w:t>
                  </w:r>
                </w:p>
              </w:tc>
              <w:tc>
                <w:tcPr>
                  <w:tcW w:w="985" w:type="pct"/>
                  <w:vMerge w:val="continue"/>
                  <w:vAlign w:val="center"/>
                </w:tcPr>
                <w:p w14:paraId="220587A8">
                  <w:pPr>
                    <w:pStyle w:val="80"/>
                    <w:keepNext w:val="0"/>
                    <w:keepLines w:val="0"/>
                    <w:widowControl/>
                    <w:suppressLineNumbers w:val="0"/>
                    <w:spacing w:before="0" w:beforeAutospacing="0" w:after="0" w:afterAutospacing="0"/>
                    <w:ind w:left="0" w:right="0"/>
                    <w:rPr>
                      <w:rFonts w:hint="eastAsia"/>
                      <w:color w:val="auto"/>
                      <w:szCs w:val="21"/>
                      <w:highlight w:val="none"/>
                    </w:rPr>
                  </w:pPr>
                </w:p>
              </w:tc>
            </w:tr>
            <w:tr w14:paraId="63F431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0" w:type="pct"/>
                  <w:vAlign w:val="center"/>
                </w:tcPr>
                <w:p w14:paraId="3B439EF3">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6</w:t>
                  </w:r>
                </w:p>
              </w:tc>
              <w:tc>
                <w:tcPr>
                  <w:tcW w:w="804" w:type="pct"/>
                  <w:vAlign w:val="center"/>
                </w:tcPr>
                <w:p w14:paraId="53F6DBD7">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净菜生产线</w:t>
                  </w:r>
                </w:p>
              </w:tc>
              <w:tc>
                <w:tcPr>
                  <w:tcW w:w="1214" w:type="pct"/>
                  <w:vAlign w:val="center"/>
                </w:tcPr>
                <w:p w14:paraId="4E3F936B">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净菜</w:t>
                  </w:r>
                </w:p>
              </w:tc>
              <w:tc>
                <w:tcPr>
                  <w:tcW w:w="852" w:type="pct"/>
                  <w:vAlign w:val="center"/>
                </w:tcPr>
                <w:p w14:paraId="35EDF9E6">
                  <w:pPr>
                    <w:pStyle w:val="80"/>
                    <w:keepNext w:val="0"/>
                    <w:keepLines w:val="0"/>
                    <w:widowControl/>
                    <w:suppressLineNumbers w:val="0"/>
                    <w:spacing w:before="0" w:beforeAutospacing="0" w:after="0" w:afterAutospacing="0"/>
                    <w:ind w:left="0" w:right="0"/>
                    <w:rPr>
                      <w:rFonts w:hint="default"/>
                      <w:color w:val="auto"/>
                      <w:szCs w:val="21"/>
                      <w:highlight w:val="none"/>
                      <w:lang w:val="en-US" w:eastAsia="zh-CN"/>
                    </w:rPr>
                  </w:pPr>
                  <w:r>
                    <w:rPr>
                      <w:rFonts w:hint="eastAsia"/>
                      <w:color w:val="auto"/>
                      <w:szCs w:val="21"/>
                      <w:highlight w:val="none"/>
                      <w:lang w:val="en-US" w:eastAsia="zh-CN"/>
                    </w:rPr>
                    <w:t>390</w:t>
                  </w:r>
                </w:p>
              </w:tc>
              <w:tc>
                <w:tcPr>
                  <w:tcW w:w="732" w:type="pct"/>
                  <w:vAlign w:val="center"/>
                </w:tcPr>
                <w:p w14:paraId="7C80521C">
                  <w:pPr>
                    <w:pStyle w:val="80"/>
                    <w:keepNext w:val="0"/>
                    <w:keepLines w:val="0"/>
                    <w:widowControl/>
                    <w:suppressLineNumbers w:val="0"/>
                    <w:spacing w:before="0" w:beforeAutospacing="0" w:after="0" w:afterAutospacing="0"/>
                    <w:ind w:left="0" w:leftChars="0" w:right="0" w:rightChars="0"/>
                    <w:rPr>
                      <w:rFonts w:hint="default"/>
                      <w:color w:val="auto"/>
                      <w:szCs w:val="21"/>
                      <w:highlight w:val="none"/>
                      <w:lang w:val="en-US" w:eastAsia="zh-CN"/>
                    </w:rPr>
                  </w:pPr>
                  <w:r>
                    <w:rPr>
                      <w:rFonts w:hint="eastAsia"/>
                      <w:color w:val="auto"/>
                      <w:szCs w:val="21"/>
                      <w:highlight w:val="none"/>
                      <w:lang w:val="en-US" w:eastAsia="zh-CN"/>
                    </w:rPr>
                    <w:t>吨</w:t>
                  </w:r>
                </w:p>
              </w:tc>
              <w:tc>
                <w:tcPr>
                  <w:tcW w:w="985" w:type="pct"/>
                  <w:vMerge w:val="continue"/>
                  <w:vAlign w:val="center"/>
                </w:tcPr>
                <w:p w14:paraId="142AAB5B">
                  <w:pPr>
                    <w:pStyle w:val="80"/>
                    <w:keepNext w:val="0"/>
                    <w:keepLines w:val="0"/>
                    <w:widowControl/>
                    <w:suppressLineNumbers w:val="0"/>
                    <w:spacing w:before="0" w:beforeAutospacing="0" w:after="0" w:afterAutospacing="0"/>
                    <w:ind w:left="0" w:right="0"/>
                    <w:rPr>
                      <w:rFonts w:hint="eastAsia"/>
                      <w:color w:val="auto"/>
                      <w:szCs w:val="21"/>
                      <w:highlight w:val="none"/>
                    </w:rPr>
                  </w:pPr>
                </w:p>
              </w:tc>
            </w:tr>
          </w:tbl>
          <w:p w14:paraId="5F57A248">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rPr>
              <w:t>4、</w:t>
            </w:r>
            <w:r>
              <w:rPr>
                <w:rFonts w:hint="default"/>
                <w:b/>
                <w:color w:val="auto"/>
                <w:highlight w:val="none"/>
              </w:rPr>
              <w:t>主要生产设备</w:t>
            </w:r>
          </w:p>
          <w:p w14:paraId="00B35250">
            <w:pPr>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本项目主要生产设备见表</w:t>
            </w:r>
            <w:r>
              <w:rPr>
                <w:rFonts w:hint="eastAsia"/>
                <w:color w:val="auto"/>
                <w:highlight w:val="none"/>
              </w:rPr>
              <w:t>2-3</w:t>
            </w:r>
            <w:r>
              <w:rPr>
                <w:rFonts w:hint="default"/>
                <w:color w:val="auto"/>
                <w:highlight w:val="none"/>
              </w:rPr>
              <w:t>。</w:t>
            </w:r>
          </w:p>
          <w:p w14:paraId="59986F3A">
            <w:pPr>
              <w:pStyle w:val="77"/>
              <w:keepNext w:val="0"/>
              <w:keepLines w:val="0"/>
              <w:widowControl/>
              <w:suppressLineNumbers w:val="0"/>
              <w:spacing w:before="0" w:beforeLines="0" w:beforeAutospacing="0" w:after="0" w:afterAutospacing="0" w:line="240" w:lineRule="auto"/>
              <w:ind w:left="0" w:right="0"/>
              <w:rPr>
                <w:rFonts w:hint="default" w:eastAsia="宋体"/>
                <w:b/>
                <w:color w:val="auto"/>
                <w:kern w:val="0"/>
                <w:szCs w:val="21"/>
                <w:highlight w:val="none"/>
              </w:rPr>
            </w:pPr>
            <w:r>
              <w:rPr>
                <w:rFonts w:hint="eastAsia" w:eastAsia="宋体"/>
                <w:b/>
                <w:color w:val="auto"/>
                <w:kern w:val="0"/>
                <w:szCs w:val="21"/>
                <w:highlight w:val="none"/>
              </w:rPr>
              <w:t>表2-3  项目主要设备一览表</w:t>
            </w:r>
          </w:p>
          <w:tbl>
            <w:tblPr>
              <w:tblStyle w:val="3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796"/>
              <w:gridCol w:w="2112"/>
              <w:gridCol w:w="2952"/>
              <w:gridCol w:w="855"/>
              <w:gridCol w:w="1730"/>
            </w:tblGrid>
            <w:tr w14:paraId="4068FD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tcBorders>
                    <w:tl2br w:val="nil"/>
                    <w:tr2bl w:val="nil"/>
                  </w:tcBorders>
                  <w:vAlign w:val="center"/>
                </w:tcPr>
                <w:p w14:paraId="79A2DCF5">
                  <w:pPr>
                    <w:pStyle w:val="80"/>
                    <w:keepNext w:val="0"/>
                    <w:keepLines w:val="0"/>
                    <w:widowControl/>
                    <w:suppressLineNumbers w:val="0"/>
                    <w:snapToGrid w:val="0"/>
                    <w:spacing w:before="0" w:beforeAutospacing="0" w:after="0" w:afterAutospacing="0"/>
                    <w:ind w:left="0" w:right="0"/>
                    <w:rPr>
                      <w:rFonts w:hint="default" w:eastAsia="宋体"/>
                      <w:b w:val="0"/>
                      <w:bCs w:val="0"/>
                      <w:color w:val="auto"/>
                      <w:szCs w:val="20"/>
                      <w:highlight w:val="none"/>
                      <w:lang w:val="en-US" w:eastAsia="zh-CN"/>
                    </w:rPr>
                  </w:pPr>
                  <w:r>
                    <w:rPr>
                      <w:rFonts w:hint="eastAsia"/>
                      <w:b w:val="0"/>
                      <w:bCs w:val="0"/>
                      <w:color w:val="auto"/>
                      <w:szCs w:val="20"/>
                      <w:highlight w:val="none"/>
                    </w:rPr>
                    <w:t>生产线</w:t>
                  </w:r>
                </w:p>
              </w:tc>
              <w:tc>
                <w:tcPr>
                  <w:tcW w:w="1250" w:type="pct"/>
                  <w:tcBorders>
                    <w:tl2br w:val="nil"/>
                    <w:tr2bl w:val="nil"/>
                  </w:tcBorders>
                  <w:vAlign w:val="center"/>
                </w:tcPr>
                <w:p w14:paraId="7A4A7C33">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r>
                    <w:rPr>
                      <w:rFonts w:hint="default"/>
                      <w:b w:val="0"/>
                      <w:bCs w:val="0"/>
                      <w:color w:val="auto"/>
                      <w:szCs w:val="20"/>
                      <w:highlight w:val="none"/>
                    </w:rPr>
                    <w:t>设备名称</w:t>
                  </w:r>
                </w:p>
              </w:tc>
              <w:tc>
                <w:tcPr>
                  <w:tcW w:w="1747" w:type="pct"/>
                  <w:tcBorders>
                    <w:tl2br w:val="nil"/>
                    <w:tr2bl w:val="nil"/>
                  </w:tcBorders>
                  <w:vAlign w:val="center"/>
                </w:tcPr>
                <w:p w14:paraId="12B00977">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r>
                    <w:rPr>
                      <w:rFonts w:hint="eastAsia"/>
                      <w:b w:val="0"/>
                      <w:bCs w:val="0"/>
                      <w:color w:val="auto"/>
                      <w:szCs w:val="20"/>
                      <w:highlight w:val="none"/>
                    </w:rPr>
                    <w:t>型号规格</w:t>
                  </w:r>
                </w:p>
              </w:tc>
              <w:tc>
                <w:tcPr>
                  <w:tcW w:w="506" w:type="pct"/>
                  <w:tcBorders>
                    <w:tl2br w:val="nil"/>
                    <w:tr2bl w:val="nil"/>
                  </w:tcBorders>
                  <w:vAlign w:val="center"/>
                </w:tcPr>
                <w:p w14:paraId="10C07DE3">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r>
                    <w:rPr>
                      <w:rFonts w:hint="default"/>
                      <w:b w:val="0"/>
                      <w:bCs w:val="0"/>
                      <w:color w:val="auto"/>
                      <w:szCs w:val="20"/>
                      <w:highlight w:val="none"/>
                    </w:rPr>
                    <w:t>数量</w:t>
                  </w:r>
                </w:p>
              </w:tc>
              <w:tc>
                <w:tcPr>
                  <w:tcW w:w="1024" w:type="pct"/>
                  <w:tcBorders>
                    <w:tl2br w:val="nil"/>
                    <w:tr2bl w:val="nil"/>
                  </w:tcBorders>
                  <w:vAlign w:val="center"/>
                </w:tcPr>
                <w:p w14:paraId="684E6EFA">
                  <w:pPr>
                    <w:pStyle w:val="80"/>
                    <w:keepNext w:val="0"/>
                    <w:keepLines w:val="0"/>
                    <w:widowControl/>
                    <w:suppressLineNumbers w:val="0"/>
                    <w:snapToGrid w:val="0"/>
                    <w:spacing w:before="0" w:beforeAutospacing="0" w:after="0" w:afterAutospacing="0"/>
                    <w:ind w:left="0" w:right="0"/>
                    <w:rPr>
                      <w:rFonts w:hint="default" w:eastAsia="宋体"/>
                      <w:b w:val="0"/>
                      <w:bCs w:val="0"/>
                      <w:color w:val="auto"/>
                      <w:szCs w:val="20"/>
                      <w:highlight w:val="none"/>
                      <w:lang w:val="en-US" w:eastAsia="zh-CN"/>
                    </w:rPr>
                  </w:pPr>
                  <w:r>
                    <w:rPr>
                      <w:rFonts w:hint="eastAsia"/>
                      <w:b w:val="0"/>
                      <w:bCs w:val="0"/>
                      <w:color w:val="auto"/>
                      <w:szCs w:val="20"/>
                      <w:highlight w:val="none"/>
                      <w:lang w:val="en-US" w:eastAsia="zh-CN"/>
                    </w:rPr>
                    <w:t>位置</w:t>
                  </w:r>
                </w:p>
              </w:tc>
            </w:tr>
            <w:tr w14:paraId="6DBDAF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restart"/>
                  <w:tcBorders>
                    <w:tl2br w:val="nil"/>
                    <w:tr2bl w:val="nil"/>
                  </w:tcBorders>
                  <w:vAlign w:val="center"/>
                </w:tcPr>
                <w:p w14:paraId="47C30149">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lang w:val="en-US" w:eastAsia="zh-CN"/>
                    </w:rPr>
                  </w:pPr>
                  <w:r>
                    <w:rPr>
                      <w:rFonts w:hint="eastAsia"/>
                      <w:b w:val="0"/>
                      <w:bCs w:val="0"/>
                      <w:color w:val="auto"/>
                      <w:szCs w:val="20"/>
                      <w:highlight w:val="none"/>
                      <w:lang w:val="en-US" w:eastAsia="zh-CN"/>
                    </w:rPr>
                    <w:t>凉皮、面条生产</w:t>
                  </w:r>
                </w:p>
              </w:tc>
              <w:tc>
                <w:tcPr>
                  <w:tcW w:w="1250" w:type="pct"/>
                  <w:tcBorders>
                    <w:tl2br w:val="nil"/>
                    <w:tr2bl w:val="nil"/>
                  </w:tcBorders>
                  <w:vAlign w:val="center"/>
                </w:tcPr>
                <w:p w14:paraId="2FAB5C7C">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default"/>
                      <w:b w:val="0"/>
                      <w:bCs w:val="0"/>
                      <w:color w:val="auto"/>
                      <w:szCs w:val="20"/>
                      <w:highlight w:val="none"/>
                      <w:lang w:val="en-US" w:eastAsia="zh-CN"/>
                    </w:rPr>
                  </w:pPr>
                  <w:r>
                    <w:rPr>
                      <w:rFonts w:hint="eastAsia"/>
                      <w:b w:val="0"/>
                      <w:bCs w:val="0"/>
                      <w:color w:val="auto"/>
                      <w:szCs w:val="20"/>
                      <w:highlight w:val="none"/>
                      <w:lang w:val="en-US" w:eastAsia="zh-CN"/>
                    </w:rPr>
                    <w:t>蒸面机</w:t>
                  </w:r>
                </w:p>
              </w:tc>
              <w:tc>
                <w:tcPr>
                  <w:tcW w:w="1747" w:type="pct"/>
                  <w:tcBorders>
                    <w:tl2br w:val="nil"/>
                    <w:tr2bl w:val="nil"/>
                  </w:tcBorders>
                  <w:vAlign w:val="center"/>
                </w:tcPr>
                <w:p w14:paraId="14CA7D4A">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default"/>
                      <w:b w:val="0"/>
                      <w:bCs w:val="0"/>
                      <w:color w:val="auto"/>
                      <w:szCs w:val="20"/>
                      <w:highlight w:val="none"/>
                      <w:lang w:val="en-US" w:eastAsia="zh-CN"/>
                    </w:rPr>
                  </w:pPr>
                  <w:r>
                    <w:rPr>
                      <w:rFonts w:hint="eastAsia"/>
                      <w:b w:val="0"/>
                      <w:bCs w:val="0"/>
                      <w:color w:val="auto"/>
                      <w:szCs w:val="20"/>
                      <w:highlight w:val="none"/>
                      <w:lang w:val="en-US" w:eastAsia="zh-CN"/>
                    </w:rPr>
                    <w:t>650</w:t>
                  </w:r>
                </w:p>
              </w:tc>
              <w:tc>
                <w:tcPr>
                  <w:tcW w:w="506" w:type="pct"/>
                  <w:tcBorders>
                    <w:tl2br w:val="nil"/>
                    <w:tr2bl w:val="nil"/>
                  </w:tcBorders>
                  <w:vAlign w:val="center"/>
                </w:tcPr>
                <w:p w14:paraId="23E0B3F2">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lang w:val="en-US" w:eastAsia="zh-CN"/>
                    </w:rPr>
                  </w:pPr>
                  <w:r>
                    <w:rPr>
                      <w:rFonts w:hint="eastAsia"/>
                      <w:b w:val="0"/>
                      <w:bCs w:val="0"/>
                      <w:color w:val="auto"/>
                      <w:szCs w:val="20"/>
                      <w:highlight w:val="none"/>
                      <w:lang w:val="en-US" w:eastAsia="zh-CN"/>
                    </w:rPr>
                    <w:t>1台</w:t>
                  </w:r>
                </w:p>
              </w:tc>
              <w:tc>
                <w:tcPr>
                  <w:tcW w:w="1024" w:type="pct"/>
                  <w:vMerge w:val="restart"/>
                  <w:tcBorders>
                    <w:tl2br w:val="nil"/>
                    <w:tr2bl w:val="nil"/>
                  </w:tcBorders>
                  <w:vAlign w:val="center"/>
                </w:tcPr>
                <w:p w14:paraId="0AA0CDFB">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r>
                    <w:rPr>
                      <w:rFonts w:hint="eastAsia"/>
                      <w:b w:val="0"/>
                      <w:bCs w:val="0"/>
                      <w:color w:val="auto"/>
                      <w:szCs w:val="20"/>
                      <w:highlight w:val="none"/>
                      <w:lang w:val="en-US" w:eastAsia="zh-CN"/>
                    </w:rPr>
                    <w:t>凉皮加工车间内</w:t>
                  </w:r>
                </w:p>
              </w:tc>
            </w:tr>
            <w:tr w14:paraId="2AE7B4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7EEA843E">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11DB069F">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default"/>
                      <w:b w:val="0"/>
                      <w:bCs w:val="0"/>
                      <w:color w:val="auto"/>
                      <w:szCs w:val="20"/>
                      <w:highlight w:val="none"/>
                      <w:lang w:val="en-US" w:eastAsia="zh-CN"/>
                    </w:rPr>
                  </w:pPr>
                  <w:r>
                    <w:rPr>
                      <w:rFonts w:hint="eastAsia"/>
                      <w:b w:val="0"/>
                      <w:bCs w:val="0"/>
                      <w:color w:val="auto"/>
                      <w:szCs w:val="20"/>
                      <w:highlight w:val="none"/>
                      <w:lang w:val="en-US" w:eastAsia="zh-CN"/>
                    </w:rPr>
                    <w:t>饼丝机</w:t>
                  </w:r>
                </w:p>
              </w:tc>
              <w:tc>
                <w:tcPr>
                  <w:tcW w:w="1747" w:type="pct"/>
                  <w:tcBorders>
                    <w:tl2br w:val="nil"/>
                    <w:tr2bl w:val="nil"/>
                  </w:tcBorders>
                  <w:vAlign w:val="center"/>
                </w:tcPr>
                <w:p w14:paraId="3761BC3A">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default"/>
                      <w:b w:val="0"/>
                      <w:bCs w:val="0"/>
                      <w:color w:val="auto"/>
                      <w:szCs w:val="20"/>
                      <w:highlight w:val="none"/>
                      <w:lang w:val="en-US" w:eastAsia="zh-CN"/>
                    </w:rPr>
                  </w:pPr>
                  <w:r>
                    <w:rPr>
                      <w:rFonts w:hint="eastAsia"/>
                      <w:b w:val="0"/>
                      <w:bCs w:val="0"/>
                      <w:color w:val="auto"/>
                      <w:szCs w:val="20"/>
                      <w:highlight w:val="none"/>
                      <w:lang w:val="en-US" w:eastAsia="zh-CN"/>
                    </w:rPr>
                    <w:t>1000</w:t>
                  </w:r>
                </w:p>
              </w:tc>
              <w:tc>
                <w:tcPr>
                  <w:tcW w:w="506" w:type="pct"/>
                  <w:tcBorders>
                    <w:tl2br w:val="nil"/>
                    <w:tr2bl w:val="nil"/>
                  </w:tcBorders>
                  <w:vAlign w:val="center"/>
                </w:tcPr>
                <w:p w14:paraId="3E57B763">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lang w:val="en-US" w:eastAsia="zh-CN"/>
                    </w:rPr>
                  </w:pPr>
                  <w:r>
                    <w:rPr>
                      <w:rFonts w:hint="eastAsia"/>
                      <w:b w:val="0"/>
                      <w:bCs w:val="0"/>
                      <w:color w:val="auto"/>
                      <w:szCs w:val="20"/>
                      <w:highlight w:val="none"/>
                      <w:lang w:val="en-US" w:eastAsia="zh-CN"/>
                    </w:rPr>
                    <w:t>1台</w:t>
                  </w:r>
                </w:p>
              </w:tc>
              <w:tc>
                <w:tcPr>
                  <w:tcW w:w="1024" w:type="pct"/>
                  <w:vMerge w:val="continue"/>
                  <w:tcBorders>
                    <w:tl2br w:val="nil"/>
                    <w:tr2bl w:val="nil"/>
                  </w:tcBorders>
                  <w:vAlign w:val="center"/>
                </w:tcPr>
                <w:p w14:paraId="7F405982">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r>
            <w:tr w14:paraId="7CF71A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56F1680E">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2D166DD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default"/>
                      <w:b w:val="0"/>
                      <w:bCs w:val="0"/>
                      <w:color w:val="auto"/>
                      <w:szCs w:val="20"/>
                      <w:highlight w:val="none"/>
                      <w:lang w:val="en-US" w:eastAsia="zh-CN"/>
                    </w:rPr>
                  </w:pPr>
                  <w:r>
                    <w:rPr>
                      <w:rFonts w:hint="eastAsia"/>
                      <w:b w:val="0"/>
                      <w:bCs w:val="0"/>
                      <w:color w:val="auto"/>
                      <w:szCs w:val="20"/>
                      <w:highlight w:val="none"/>
                      <w:lang w:val="en-US" w:eastAsia="zh-CN"/>
                    </w:rPr>
                    <w:t>河粉机</w:t>
                  </w:r>
                </w:p>
              </w:tc>
              <w:tc>
                <w:tcPr>
                  <w:tcW w:w="1747" w:type="pct"/>
                  <w:tcBorders>
                    <w:tl2br w:val="nil"/>
                    <w:tr2bl w:val="nil"/>
                  </w:tcBorders>
                  <w:vAlign w:val="center"/>
                </w:tcPr>
                <w:p w14:paraId="063E2D68">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default"/>
                      <w:b w:val="0"/>
                      <w:bCs w:val="0"/>
                      <w:color w:val="auto"/>
                      <w:szCs w:val="20"/>
                      <w:highlight w:val="none"/>
                      <w:lang w:val="en-US" w:eastAsia="zh-CN"/>
                    </w:rPr>
                  </w:pPr>
                  <w:r>
                    <w:rPr>
                      <w:rFonts w:hint="eastAsia"/>
                      <w:b w:val="0"/>
                      <w:bCs w:val="0"/>
                      <w:color w:val="auto"/>
                      <w:szCs w:val="20"/>
                      <w:highlight w:val="none"/>
                      <w:lang w:val="en-US" w:eastAsia="zh-CN"/>
                    </w:rPr>
                    <w:t>900</w:t>
                  </w:r>
                </w:p>
              </w:tc>
              <w:tc>
                <w:tcPr>
                  <w:tcW w:w="506" w:type="pct"/>
                  <w:tcBorders>
                    <w:tl2br w:val="nil"/>
                    <w:tr2bl w:val="nil"/>
                  </w:tcBorders>
                  <w:vAlign w:val="center"/>
                </w:tcPr>
                <w:p w14:paraId="35966FE0">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lang w:val="en-US" w:eastAsia="zh-CN"/>
                    </w:rPr>
                  </w:pPr>
                  <w:r>
                    <w:rPr>
                      <w:rFonts w:hint="eastAsia"/>
                      <w:b w:val="0"/>
                      <w:bCs w:val="0"/>
                      <w:color w:val="auto"/>
                      <w:szCs w:val="20"/>
                      <w:highlight w:val="none"/>
                      <w:lang w:val="en-US" w:eastAsia="zh-CN"/>
                    </w:rPr>
                    <w:t>1台</w:t>
                  </w:r>
                </w:p>
              </w:tc>
              <w:tc>
                <w:tcPr>
                  <w:tcW w:w="1024" w:type="pct"/>
                  <w:vMerge w:val="continue"/>
                  <w:tcBorders>
                    <w:tl2br w:val="nil"/>
                    <w:tr2bl w:val="nil"/>
                  </w:tcBorders>
                  <w:vAlign w:val="center"/>
                </w:tcPr>
                <w:p w14:paraId="2050E103">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r>
            <w:tr w14:paraId="0ACB58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5AA84E3A">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2DB09409">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default"/>
                      <w:b w:val="0"/>
                      <w:bCs w:val="0"/>
                      <w:color w:val="auto"/>
                      <w:szCs w:val="20"/>
                      <w:highlight w:val="none"/>
                      <w:lang w:val="en-US" w:eastAsia="zh-CN"/>
                    </w:rPr>
                  </w:pPr>
                  <w:r>
                    <w:rPr>
                      <w:rFonts w:hint="eastAsia"/>
                      <w:b w:val="0"/>
                      <w:bCs w:val="0"/>
                      <w:color w:val="auto"/>
                      <w:szCs w:val="20"/>
                      <w:highlight w:val="none"/>
                      <w:lang w:val="en-US" w:eastAsia="zh-CN"/>
                    </w:rPr>
                    <w:t>和面鲜面一体机</w:t>
                  </w:r>
                </w:p>
              </w:tc>
              <w:tc>
                <w:tcPr>
                  <w:tcW w:w="1747" w:type="pct"/>
                  <w:tcBorders>
                    <w:tl2br w:val="nil"/>
                    <w:tr2bl w:val="nil"/>
                  </w:tcBorders>
                  <w:vAlign w:val="center"/>
                </w:tcPr>
                <w:p w14:paraId="6F441B05">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default"/>
                      <w:b w:val="0"/>
                      <w:bCs w:val="0"/>
                      <w:color w:val="auto"/>
                      <w:szCs w:val="20"/>
                      <w:highlight w:val="none"/>
                      <w:lang w:val="en-US" w:eastAsia="zh-CN"/>
                    </w:rPr>
                  </w:pPr>
                  <w:r>
                    <w:rPr>
                      <w:rFonts w:hint="eastAsia"/>
                      <w:b w:val="0"/>
                      <w:bCs w:val="0"/>
                      <w:color w:val="auto"/>
                      <w:szCs w:val="20"/>
                      <w:highlight w:val="none"/>
                      <w:lang w:val="en-US" w:eastAsia="zh-CN"/>
                    </w:rPr>
                    <w:t>450</w:t>
                  </w:r>
                </w:p>
              </w:tc>
              <w:tc>
                <w:tcPr>
                  <w:tcW w:w="506" w:type="pct"/>
                  <w:tcBorders>
                    <w:tl2br w:val="nil"/>
                    <w:tr2bl w:val="nil"/>
                  </w:tcBorders>
                  <w:vAlign w:val="center"/>
                </w:tcPr>
                <w:p w14:paraId="3E2CB74A">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lang w:val="en-US" w:eastAsia="zh-CN"/>
                    </w:rPr>
                  </w:pPr>
                  <w:r>
                    <w:rPr>
                      <w:rFonts w:hint="eastAsia"/>
                      <w:b w:val="0"/>
                      <w:bCs w:val="0"/>
                      <w:color w:val="auto"/>
                      <w:szCs w:val="20"/>
                      <w:highlight w:val="none"/>
                      <w:lang w:val="en-US" w:eastAsia="zh-CN"/>
                    </w:rPr>
                    <w:t>1台</w:t>
                  </w:r>
                </w:p>
              </w:tc>
              <w:tc>
                <w:tcPr>
                  <w:tcW w:w="1024" w:type="pct"/>
                  <w:vMerge w:val="continue"/>
                  <w:tcBorders>
                    <w:tl2br w:val="nil"/>
                    <w:tr2bl w:val="nil"/>
                  </w:tcBorders>
                  <w:vAlign w:val="center"/>
                </w:tcPr>
                <w:p w14:paraId="079D161B">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r>
            <w:tr w14:paraId="2DFC6A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1BB99C91">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34E756C0">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打粉机</w:t>
                  </w:r>
                </w:p>
              </w:tc>
              <w:tc>
                <w:tcPr>
                  <w:tcW w:w="1747" w:type="pct"/>
                  <w:tcBorders>
                    <w:tl2br w:val="nil"/>
                    <w:tr2bl w:val="nil"/>
                  </w:tcBorders>
                  <w:vAlign w:val="center"/>
                </w:tcPr>
                <w:p w14:paraId="013DB4D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500</w:t>
                  </w:r>
                </w:p>
              </w:tc>
              <w:tc>
                <w:tcPr>
                  <w:tcW w:w="506" w:type="pct"/>
                  <w:tcBorders>
                    <w:tl2br w:val="nil"/>
                    <w:tr2bl w:val="nil"/>
                  </w:tcBorders>
                  <w:vAlign w:val="center"/>
                </w:tcPr>
                <w:p w14:paraId="493447C4">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2台</w:t>
                  </w:r>
                </w:p>
              </w:tc>
              <w:tc>
                <w:tcPr>
                  <w:tcW w:w="1024" w:type="pct"/>
                  <w:vMerge w:val="continue"/>
                  <w:tcBorders>
                    <w:tl2br w:val="nil"/>
                    <w:tr2bl w:val="nil"/>
                  </w:tcBorders>
                  <w:vAlign w:val="center"/>
                </w:tcPr>
                <w:p w14:paraId="735FC557">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r>
            <w:tr w14:paraId="084C60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7CA0398B">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74A72629">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冷却塔</w:t>
                  </w:r>
                </w:p>
              </w:tc>
              <w:tc>
                <w:tcPr>
                  <w:tcW w:w="1747" w:type="pct"/>
                  <w:tcBorders>
                    <w:tl2br w:val="nil"/>
                    <w:tr2bl w:val="nil"/>
                  </w:tcBorders>
                  <w:vAlign w:val="center"/>
                </w:tcPr>
                <w:p w14:paraId="46F6DCB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w:t>
                  </w:r>
                </w:p>
              </w:tc>
              <w:tc>
                <w:tcPr>
                  <w:tcW w:w="506" w:type="pct"/>
                  <w:tcBorders>
                    <w:tl2br w:val="nil"/>
                    <w:tr2bl w:val="nil"/>
                  </w:tcBorders>
                  <w:vAlign w:val="center"/>
                </w:tcPr>
                <w:p w14:paraId="2B54F996">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1台</w:t>
                  </w:r>
                </w:p>
              </w:tc>
              <w:tc>
                <w:tcPr>
                  <w:tcW w:w="1024" w:type="pct"/>
                  <w:vMerge w:val="continue"/>
                  <w:tcBorders>
                    <w:tl2br w:val="nil"/>
                    <w:tr2bl w:val="nil"/>
                  </w:tcBorders>
                  <w:vAlign w:val="center"/>
                </w:tcPr>
                <w:p w14:paraId="5BE7C85A">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r>
            <w:tr w14:paraId="1714FD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restart"/>
                  <w:tcBorders>
                    <w:tl2br w:val="nil"/>
                    <w:tr2bl w:val="nil"/>
                  </w:tcBorders>
                  <w:vAlign w:val="center"/>
                </w:tcPr>
                <w:p w14:paraId="615E67E8">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r>
                    <w:rPr>
                      <w:rFonts w:hint="eastAsia"/>
                      <w:b w:val="0"/>
                      <w:bCs w:val="0"/>
                      <w:color w:val="auto"/>
                      <w:szCs w:val="20"/>
                      <w:highlight w:val="none"/>
                      <w:lang w:val="en-US" w:eastAsia="zh-CN"/>
                    </w:rPr>
                    <w:t>馒头生产</w:t>
                  </w:r>
                </w:p>
              </w:tc>
              <w:tc>
                <w:tcPr>
                  <w:tcW w:w="1250" w:type="pct"/>
                  <w:tcBorders>
                    <w:tl2br w:val="nil"/>
                    <w:tr2bl w:val="nil"/>
                  </w:tcBorders>
                  <w:vAlign w:val="center"/>
                </w:tcPr>
                <w:p w14:paraId="3BA2C3C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自动控制醒发房</w:t>
                  </w:r>
                </w:p>
              </w:tc>
              <w:tc>
                <w:tcPr>
                  <w:tcW w:w="1747" w:type="pct"/>
                  <w:tcBorders>
                    <w:tl2br w:val="nil"/>
                    <w:tr2bl w:val="nil"/>
                  </w:tcBorders>
                  <w:vAlign w:val="center"/>
                </w:tcPr>
                <w:p w14:paraId="28A256DB">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7000*6000*2700</w:t>
                  </w:r>
                </w:p>
              </w:tc>
              <w:tc>
                <w:tcPr>
                  <w:tcW w:w="506" w:type="pct"/>
                  <w:tcBorders>
                    <w:tl2br w:val="nil"/>
                    <w:tr2bl w:val="nil"/>
                  </w:tcBorders>
                  <w:vAlign w:val="center"/>
                </w:tcPr>
                <w:p w14:paraId="5733ED18">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ascii="Times New Roman" w:hAnsi="Times New Roman" w:cs="Times New Roman"/>
                      <w:b w:val="0"/>
                      <w:bCs w:val="0"/>
                      <w:color w:val="auto"/>
                      <w:szCs w:val="20"/>
                      <w:highlight w:val="none"/>
                      <w:lang w:val="en-US" w:eastAsia="zh-CN"/>
                    </w:rPr>
                    <w:t>1台</w:t>
                  </w:r>
                </w:p>
              </w:tc>
              <w:tc>
                <w:tcPr>
                  <w:tcW w:w="1024" w:type="pct"/>
                  <w:vMerge w:val="restart"/>
                  <w:tcBorders>
                    <w:tl2br w:val="nil"/>
                    <w:tr2bl w:val="nil"/>
                  </w:tcBorders>
                  <w:vAlign w:val="center"/>
                </w:tcPr>
                <w:p w14:paraId="6A0F77A2">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lang w:val="en-US" w:eastAsia="zh-CN"/>
                    </w:rPr>
                  </w:pPr>
                  <w:r>
                    <w:rPr>
                      <w:rFonts w:hint="eastAsia"/>
                      <w:b w:val="0"/>
                      <w:bCs w:val="0"/>
                      <w:color w:val="auto"/>
                      <w:szCs w:val="20"/>
                      <w:highlight w:val="none"/>
                      <w:lang w:val="en-US" w:eastAsia="zh-CN"/>
                    </w:rPr>
                    <w:t>中央厨房四楼东南</w:t>
                  </w:r>
                </w:p>
              </w:tc>
            </w:tr>
            <w:tr w14:paraId="049C36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1A53E7AF">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6A4AED78">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遂道式双车蒸柜</w:t>
                  </w:r>
                </w:p>
              </w:tc>
              <w:tc>
                <w:tcPr>
                  <w:tcW w:w="1747" w:type="pct"/>
                  <w:tcBorders>
                    <w:tl2br w:val="nil"/>
                    <w:tr2bl w:val="nil"/>
                  </w:tcBorders>
                  <w:vAlign w:val="center"/>
                </w:tcPr>
                <w:p w14:paraId="23DDCA78">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2200*1050*2050H</w:t>
                  </w:r>
                </w:p>
              </w:tc>
              <w:tc>
                <w:tcPr>
                  <w:tcW w:w="506" w:type="pct"/>
                  <w:tcBorders>
                    <w:tl2br w:val="nil"/>
                    <w:tr2bl w:val="nil"/>
                  </w:tcBorders>
                  <w:vAlign w:val="center"/>
                </w:tcPr>
                <w:p w14:paraId="1048AEC0">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35E74047">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r>
            <w:tr w14:paraId="091855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15A85B2B">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4C472530">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单门单车蒸柜</w:t>
                  </w:r>
                </w:p>
              </w:tc>
              <w:tc>
                <w:tcPr>
                  <w:tcW w:w="1747" w:type="pct"/>
                  <w:tcBorders>
                    <w:tl2br w:val="nil"/>
                    <w:tr2bl w:val="nil"/>
                  </w:tcBorders>
                  <w:vAlign w:val="center"/>
                </w:tcPr>
                <w:p w14:paraId="60537DAC">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1200*1050*2050H</w:t>
                  </w:r>
                </w:p>
              </w:tc>
              <w:tc>
                <w:tcPr>
                  <w:tcW w:w="506" w:type="pct"/>
                  <w:tcBorders>
                    <w:tl2br w:val="nil"/>
                    <w:tr2bl w:val="nil"/>
                  </w:tcBorders>
                  <w:vAlign w:val="center"/>
                </w:tcPr>
                <w:p w14:paraId="029844FC">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4EF0A72B">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r>
            <w:tr w14:paraId="45A6D5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3C7E692F">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68D82268">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 xml:space="preserve">18层蒸车 </w:t>
                  </w:r>
                </w:p>
              </w:tc>
              <w:tc>
                <w:tcPr>
                  <w:tcW w:w="1747" w:type="pct"/>
                  <w:tcBorders>
                    <w:tl2br w:val="nil"/>
                    <w:tr2bl w:val="nil"/>
                  </w:tcBorders>
                  <w:vAlign w:val="center"/>
                </w:tcPr>
                <w:p w14:paraId="178F173B">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970*670*1690</w:t>
                  </w:r>
                </w:p>
              </w:tc>
              <w:tc>
                <w:tcPr>
                  <w:tcW w:w="506" w:type="pct"/>
                  <w:tcBorders>
                    <w:tl2br w:val="nil"/>
                    <w:tr2bl w:val="nil"/>
                  </w:tcBorders>
                  <w:vAlign w:val="center"/>
                </w:tcPr>
                <w:p w14:paraId="03CADAAF">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4CCB7F53">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r>
            <w:tr w14:paraId="62173E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0F65CA6D">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44ED07EA">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 xml:space="preserve">蒸网 </w:t>
                  </w:r>
                </w:p>
              </w:tc>
              <w:tc>
                <w:tcPr>
                  <w:tcW w:w="1747" w:type="pct"/>
                  <w:tcBorders>
                    <w:tl2br w:val="nil"/>
                    <w:tr2bl w:val="nil"/>
                  </w:tcBorders>
                  <w:vAlign w:val="center"/>
                </w:tcPr>
                <w:p w14:paraId="60A01605">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640*440*6</w:t>
                  </w:r>
                </w:p>
              </w:tc>
              <w:tc>
                <w:tcPr>
                  <w:tcW w:w="506" w:type="pct"/>
                  <w:tcBorders>
                    <w:tl2br w:val="nil"/>
                    <w:tr2bl w:val="nil"/>
                  </w:tcBorders>
                  <w:vAlign w:val="center"/>
                </w:tcPr>
                <w:p w14:paraId="3F767540">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522F3A27">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r>
            <w:tr w14:paraId="100F74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136C11BB">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07C9C8E4">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传送带</w:t>
                  </w:r>
                </w:p>
              </w:tc>
              <w:tc>
                <w:tcPr>
                  <w:tcW w:w="1747" w:type="pct"/>
                  <w:tcBorders>
                    <w:tl2br w:val="nil"/>
                    <w:tr2bl w:val="nil"/>
                  </w:tcBorders>
                  <w:vAlign w:val="center"/>
                </w:tcPr>
                <w:p w14:paraId="7178CD62">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w:t>
                  </w:r>
                </w:p>
              </w:tc>
              <w:tc>
                <w:tcPr>
                  <w:tcW w:w="506" w:type="pct"/>
                  <w:tcBorders>
                    <w:tl2br w:val="nil"/>
                    <w:tr2bl w:val="nil"/>
                  </w:tcBorders>
                  <w:vAlign w:val="center"/>
                </w:tcPr>
                <w:p w14:paraId="19F582B9">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384C78E0">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r>
            <w:tr w14:paraId="0486F3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603E04FD">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05894909">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上料泵</w:t>
                  </w:r>
                </w:p>
              </w:tc>
              <w:tc>
                <w:tcPr>
                  <w:tcW w:w="1747" w:type="pct"/>
                  <w:tcBorders>
                    <w:tl2br w:val="nil"/>
                    <w:tr2bl w:val="nil"/>
                  </w:tcBorders>
                  <w:vAlign w:val="center"/>
                </w:tcPr>
                <w:p w14:paraId="66DFEB8A">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w:t>
                  </w:r>
                </w:p>
              </w:tc>
              <w:tc>
                <w:tcPr>
                  <w:tcW w:w="506" w:type="pct"/>
                  <w:tcBorders>
                    <w:tl2br w:val="nil"/>
                    <w:tr2bl w:val="nil"/>
                  </w:tcBorders>
                  <w:vAlign w:val="center"/>
                </w:tcPr>
                <w:p w14:paraId="36F9BA66">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2F277886">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r>
            <w:tr w14:paraId="36EE83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restart"/>
                  <w:tcBorders>
                    <w:tl2br w:val="nil"/>
                    <w:tr2bl w:val="nil"/>
                  </w:tcBorders>
                  <w:vAlign w:val="center"/>
                </w:tcPr>
                <w:p w14:paraId="5FBA8D22">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r>
                    <w:rPr>
                      <w:rFonts w:hint="eastAsia"/>
                      <w:b w:val="0"/>
                      <w:bCs w:val="0"/>
                      <w:color w:val="auto"/>
                      <w:szCs w:val="20"/>
                      <w:highlight w:val="none"/>
                      <w:lang w:val="en-US" w:eastAsia="zh-CN"/>
                    </w:rPr>
                    <w:t>包子生产</w:t>
                  </w:r>
                </w:p>
              </w:tc>
              <w:tc>
                <w:tcPr>
                  <w:tcW w:w="1250" w:type="pct"/>
                  <w:tcBorders>
                    <w:tl2br w:val="nil"/>
                    <w:tr2bl w:val="nil"/>
                  </w:tcBorders>
                  <w:vAlign w:val="center"/>
                </w:tcPr>
                <w:p w14:paraId="762F1693">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default"/>
                      <w:b w:val="0"/>
                      <w:bCs w:val="0"/>
                      <w:color w:val="auto"/>
                      <w:szCs w:val="20"/>
                      <w:highlight w:val="none"/>
                      <w:lang w:val="en-US" w:eastAsia="zh-CN"/>
                    </w:rPr>
                  </w:pPr>
                  <w:r>
                    <w:rPr>
                      <w:rFonts w:hint="default"/>
                      <w:b w:val="0"/>
                      <w:bCs w:val="0"/>
                      <w:color w:val="auto"/>
                      <w:szCs w:val="20"/>
                      <w:highlight w:val="none"/>
                      <w:lang w:val="en-US" w:eastAsia="zh-CN"/>
                    </w:rPr>
                    <w:t>自动翻缸和面机</w:t>
                  </w:r>
                </w:p>
              </w:tc>
              <w:tc>
                <w:tcPr>
                  <w:tcW w:w="1747" w:type="pct"/>
                  <w:tcBorders>
                    <w:tl2br w:val="nil"/>
                    <w:tr2bl w:val="nil"/>
                  </w:tcBorders>
                  <w:vAlign w:val="center"/>
                </w:tcPr>
                <w:p w14:paraId="477C7854">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default"/>
                      <w:b w:val="0"/>
                      <w:bCs w:val="0"/>
                      <w:color w:val="auto"/>
                      <w:szCs w:val="20"/>
                      <w:highlight w:val="none"/>
                      <w:lang w:val="en-US" w:eastAsia="zh-CN"/>
                    </w:rPr>
                  </w:pPr>
                  <w:r>
                    <w:rPr>
                      <w:rFonts w:hint="default"/>
                      <w:b w:val="0"/>
                      <w:bCs w:val="0"/>
                      <w:color w:val="auto"/>
                      <w:szCs w:val="20"/>
                      <w:highlight w:val="none"/>
                      <w:lang w:val="en-US" w:eastAsia="zh-CN"/>
                    </w:rPr>
                    <w:t>TP90F/TP130F型</w:t>
                  </w:r>
                </w:p>
              </w:tc>
              <w:tc>
                <w:tcPr>
                  <w:tcW w:w="506" w:type="pct"/>
                  <w:tcBorders>
                    <w:tl2br w:val="nil"/>
                    <w:tr2bl w:val="nil"/>
                  </w:tcBorders>
                  <w:vAlign w:val="center"/>
                </w:tcPr>
                <w:p w14:paraId="052B8F3F">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lang w:val="en-US" w:eastAsia="zh-CN"/>
                    </w:rPr>
                  </w:pPr>
                  <w:r>
                    <w:rPr>
                      <w:rFonts w:hint="eastAsia"/>
                      <w:b w:val="0"/>
                      <w:bCs w:val="0"/>
                      <w:color w:val="auto"/>
                      <w:szCs w:val="20"/>
                      <w:highlight w:val="none"/>
                      <w:lang w:val="en-US" w:eastAsia="zh-CN"/>
                    </w:rPr>
                    <w:t>2台</w:t>
                  </w:r>
                </w:p>
              </w:tc>
              <w:tc>
                <w:tcPr>
                  <w:tcW w:w="1024" w:type="pct"/>
                  <w:vMerge w:val="restart"/>
                  <w:tcBorders>
                    <w:tl2br w:val="nil"/>
                    <w:tr2bl w:val="nil"/>
                  </w:tcBorders>
                  <w:vAlign w:val="center"/>
                </w:tcPr>
                <w:p w14:paraId="0E593B81">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r>
                    <w:rPr>
                      <w:rFonts w:hint="eastAsia"/>
                      <w:b w:val="0"/>
                      <w:bCs w:val="0"/>
                      <w:color w:val="auto"/>
                      <w:szCs w:val="20"/>
                      <w:highlight w:val="none"/>
                      <w:lang w:val="en-US" w:eastAsia="zh-CN"/>
                    </w:rPr>
                    <w:t>中央厨房四楼东南</w:t>
                  </w:r>
                </w:p>
              </w:tc>
            </w:tr>
            <w:tr w14:paraId="072278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41438C50">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0EF6EAE4">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default"/>
                      <w:b w:val="0"/>
                      <w:bCs w:val="0"/>
                      <w:color w:val="auto"/>
                      <w:szCs w:val="20"/>
                      <w:highlight w:val="none"/>
                    </w:rPr>
                  </w:pPr>
                  <w:r>
                    <w:rPr>
                      <w:rFonts w:hint="default"/>
                      <w:b w:val="0"/>
                      <w:bCs w:val="0"/>
                      <w:color w:val="auto"/>
                      <w:szCs w:val="20"/>
                      <w:highlight w:val="none"/>
                    </w:rPr>
                    <w:t>连续压面机</w:t>
                  </w:r>
                </w:p>
              </w:tc>
              <w:tc>
                <w:tcPr>
                  <w:tcW w:w="1747" w:type="pct"/>
                  <w:tcBorders>
                    <w:tl2br w:val="nil"/>
                    <w:tr2bl w:val="nil"/>
                  </w:tcBorders>
                  <w:vAlign w:val="center"/>
                </w:tcPr>
                <w:p w14:paraId="7AEAB0C1">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default"/>
                      <w:b w:val="0"/>
                      <w:bCs w:val="0"/>
                      <w:color w:val="auto"/>
                      <w:szCs w:val="20"/>
                      <w:highlight w:val="none"/>
                      <w:lang w:val="en-US"/>
                    </w:rPr>
                  </w:pPr>
                  <w:r>
                    <w:rPr>
                      <w:rFonts w:hint="default"/>
                      <w:b w:val="0"/>
                      <w:bCs w:val="0"/>
                      <w:color w:val="auto"/>
                      <w:szCs w:val="20"/>
                      <w:highlight w:val="none"/>
                      <w:lang w:val="en-US"/>
                    </w:rPr>
                    <w:t>ZL-630</w:t>
                  </w:r>
                </w:p>
              </w:tc>
              <w:tc>
                <w:tcPr>
                  <w:tcW w:w="506" w:type="pct"/>
                  <w:tcBorders>
                    <w:tl2br w:val="nil"/>
                    <w:tr2bl w:val="nil"/>
                  </w:tcBorders>
                  <w:vAlign w:val="center"/>
                </w:tcPr>
                <w:p w14:paraId="24782805">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lang w:val="en-US" w:eastAsia="zh-CN"/>
                    </w:rPr>
                    <w:t>6台</w:t>
                  </w:r>
                </w:p>
              </w:tc>
              <w:tc>
                <w:tcPr>
                  <w:tcW w:w="1024" w:type="pct"/>
                  <w:vMerge w:val="continue"/>
                  <w:tcBorders>
                    <w:tl2br w:val="nil"/>
                    <w:tr2bl w:val="nil"/>
                  </w:tcBorders>
                  <w:vAlign w:val="center"/>
                </w:tcPr>
                <w:p w14:paraId="6E795858">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3185F7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25CCBACB">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c>
                <w:tcPr>
                  <w:tcW w:w="1250" w:type="pct"/>
                  <w:tcBorders>
                    <w:tl2br w:val="nil"/>
                    <w:tr2bl w:val="nil"/>
                  </w:tcBorders>
                  <w:vAlign w:val="center"/>
                </w:tcPr>
                <w:p w14:paraId="47256A45">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default"/>
                      <w:b w:val="0"/>
                      <w:bCs w:val="0"/>
                      <w:color w:val="auto"/>
                      <w:szCs w:val="20"/>
                      <w:highlight w:val="none"/>
                    </w:rPr>
                  </w:pPr>
                  <w:r>
                    <w:rPr>
                      <w:rFonts w:hint="default"/>
                      <w:b w:val="0"/>
                      <w:bCs w:val="0"/>
                      <w:color w:val="auto"/>
                      <w:szCs w:val="20"/>
                      <w:highlight w:val="none"/>
                    </w:rPr>
                    <w:t>下入面输送机</w:t>
                  </w:r>
                </w:p>
              </w:tc>
              <w:tc>
                <w:tcPr>
                  <w:tcW w:w="1747" w:type="pct"/>
                  <w:tcBorders>
                    <w:tl2br w:val="nil"/>
                    <w:tr2bl w:val="nil"/>
                  </w:tcBorders>
                  <w:vAlign w:val="center"/>
                </w:tcPr>
                <w:p w14:paraId="1DCCDC99">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default"/>
                      <w:b w:val="0"/>
                      <w:bCs w:val="0"/>
                      <w:color w:val="auto"/>
                      <w:szCs w:val="20"/>
                      <w:highlight w:val="none"/>
                      <w:lang w:val="en-US"/>
                    </w:rPr>
                  </w:pPr>
                  <w:r>
                    <w:rPr>
                      <w:rFonts w:hint="eastAsia"/>
                      <w:b w:val="0"/>
                      <w:bCs w:val="0"/>
                      <w:color w:val="auto"/>
                      <w:szCs w:val="20"/>
                      <w:highlight w:val="none"/>
                      <w:lang w:val="en-US" w:eastAsia="zh-CN"/>
                    </w:rPr>
                    <w:t>/</w:t>
                  </w:r>
                </w:p>
              </w:tc>
              <w:tc>
                <w:tcPr>
                  <w:tcW w:w="506" w:type="pct"/>
                  <w:tcBorders>
                    <w:tl2br w:val="nil"/>
                    <w:tr2bl w:val="nil"/>
                  </w:tcBorders>
                  <w:vAlign w:val="center"/>
                </w:tcPr>
                <w:p w14:paraId="6E861A5D">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lang w:val="en-US" w:eastAsia="zh-CN"/>
                    </w:rPr>
                    <w:t>6台</w:t>
                  </w:r>
                </w:p>
              </w:tc>
              <w:tc>
                <w:tcPr>
                  <w:tcW w:w="1024" w:type="pct"/>
                  <w:vMerge w:val="continue"/>
                  <w:tcBorders>
                    <w:tl2br w:val="nil"/>
                    <w:tr2bl w:val="nil"/>
                  </w:tcBorders>
                  <w:vAlign w:val="center"/>
                </w:tcPr>
                <w:p w14:paraId="06D3F13E">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384E2F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7B8A69C0">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4AC4F78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分割整形机</w:t>
                  </w:r>
                </w:p>
              </w:tc>
              <w:tc>
                <w:tcPr>
                  <w:tcW w:w="1747" w:type="pct"/>
                  <w:tcBorders>
                    <w:tl2br w:val="nil"/>
                    <w:tr2bl w:val="nil"/>
                  </w:tcBorders>
                  <w:vAlign w:val="center"/>
                </w:tcPr>
                <w:p w14:paraId="2CF8B878">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ZL-631</w:t>
                  </w:r>
                </w:p>
              </w:tc>
              <w:tc>
                <w:tcPr>
                  <w:tcW w:w="506" w:type="pct"/>
                  <w:tcBorders>
                    <w:tl2br w:val="nil"/>
                    <w:tr2bl w:val="nil"/>
                  </w:tcBorders>
                  <w:vAlign w:val="center"/>
                </w:tcPr>
                <w:p w14:paraId="5D9253CD">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lang w:val="en-US" w:eastAsia="zh-CN"/>
                    </w:rPr>
                    <w:t>6台</w:t>
                  </w:r>
                </w:p>
              </w:tc>
              <w:tc>
                <w:tcPr>
                  <w:tcW w:w="1024" w:type="pct"/>
                  <w:vMerge w:val="continue"/>
                  <w:tcBorders>
                    <w:tl2br w:val="nil"/>
                    <w:tr2bl w:val="nil"/>
                  </w:tcBorders>
                  <w:vAlign w:val="center"/>
                </w:tcPr>
                <w:p w14:paraId="1FE144A7">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3196F2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27024F21">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06A224A2">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面团成型主机</w:t>
                  </w:r>
                </w:p>
              </w:tc>
              <w:tc>
                <w:tcPr>
                  <w:tcW w:w="1747" w:type="pct"/>
                  <w:tcBorders>
                    <w:tl2br w:val="nil"/>
                    <w:tr2bl w:val="nil"/>
                  </w:tcBorders>
                  <w:vAlign w:val="center"/>
                </w:tcPr>
                <w:p w14:paraId="0D5447FD">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ZL-180L/三道轮加长定制650mm</w:t>
                  </w:r>
                </w:p>
              </w:tc>
              <w:tc>
                <w:tcPr>
                  <w:tcW w:w="506" w:type="pct"/>
                  <w:tcBorders>
                    <w:tl2br w:val="nil"/>
                    <w:tr2bl w:val="nil"/>
                  </w:tcBorders>
                  <w:vAlign w:val="center"/>
                </w:tcPr>
                <w:p w14:paraId="0517D71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lang w:val="en-US" w:eastAsia="zh-CN"/>
                    </w:rPr>
                    <w:t>6台</w:t>
                  </w:r>
                </w:p>
              </w:tc>
              <w:tc>
                <w:tcPr>
                  <w:tcW w:w="1024" w:type="pct"/>
                  <w:vMerge w:val="continue"/>
                  <w:tcBorders>
                    <w:tl2br w:val="nil"/>
                    <w:tr2bl w:val="nil"/>
                  </w:tcBorders>
                  <w:vAlign w:val="center"/>
                </w:tcPr>
                <w:p w14:paraId="745E3BCB">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57688E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2571C80D">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6B1BC06C">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自动给馅机</w:t>
                  </w:r>
                </w:p>
              </w:tc>
              <w:tc>
                <w:tcPr>
                  <w:tcW w:w="1747" w:type="pct"/>
                  <w:tcBorders>
                    <w:tl2br w:val="nil"/>
                    <w:tr2bl w:val="nil"/>
                  </w:tcBorders>
                  <w:vAlign w:val="center"/>
                </w:tcPr>
                <w:p w14:paraId="32817F5E">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ZL-A60</w:t>
                  </w:r>
                </w:p>
              </w:tc>
              <w:tc>
                <w:tcPr>
                  <w:tcW w:w="506" w:type="pct"/>
                  <w:tcBorders>
                    <w:tl2br w:val="nil"/>
                    <w:tr2bl w:val="nil"/>
                  </w:tcBorders>
                  <w:vAlign w:val="center"/>
                </w:tcPr>
                <w:p w14:paraId="164C7339">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405B8F73">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349880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1C61139D">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34808B41">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分离式切台</w:t>
                  </w:r>
                </w:p>
              </w:tc>
              <w:tc>
                <w:tcPr>
                  <w:tcW w:w="1747" w:type="pct"/>
                  <w:tcBorders>
                    <w:tl2br w:val="nil"/>
                    <w:tr2bl w:val="nil"/>
                  </w:tcBorders>
                  <w:vAlign w:val="center"/>
                </w:tcPr>
                <w:p w14:paraId="1569ABD4">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 xml:space="preserve">ZL-A10 </w:t>
                  </w:r>
                </w:p>
              </w:tc>
              <w:tc>
                <w:tcPr>
                  <w:tcW w:w="506" w:type="pct"/>
                  <w:tcBorders>
                    <w:tl2br w:val="nil"/>
                    <w:tr2bl w:val="nil"/>
                  </w:tcBorders>
                  <w:vAlign w:val="center"/>
                </w:tcPr>
                <w:p w14:paraId="75ED3CFE">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3B39AA09">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13DEF1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6FC2DD76">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569E547F">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包子成型机</w:t>
                  </w:r>
                </w:p>
              </w:tc>
              <w:tc>
                <w:tcPr>
                  <w:tcW w:w="1747" w:type="pct"/>
                  <w:tcBorders>
                    <w:tl2br w:val="nil"/>
                    <w:tr2bl w:val="nil"/>
                  </w:tcBorders>
                  <w:vAlign w:val="center"/>
                </w:tcPr>
                <w:p w14:paraId="3473D060">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 xml:space="preserve">ZL-A28 </w:t>
                  </w:r>
                </w:p>
              </w:tc>
              <w:tc>
                <w:tcPr>
                  <w:tcW w:w="506" w:type="pct"/>
                  <w:tcBorders>
                    <w:tl2br w:val="nil"/>
                    <w:tr2bl w:val="nil"/>
                  </w:tcBorders>
                  <w:vAlign w:val="center"/>
                </w:tcPr>
                <w:p w14:paraId="3274CB69">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087C9B23">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0E594B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2A5897DA">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0172FED4">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自动排盘机</w:t>
                  </w:r>
                </w:p>
              </w:tc>
              <w:tc>
                <w:tcPr>
                  <w:tcW w:w="1747" w:type="pct"/>
                  <w:tcBorders>
                    <w:tl2br w:val="nil"/>
                    <w:tr2bl w:val="nil"/>
                  </w:tcBorders>
                  <w:vAlign w:val="center"/>
                </w:tcPr>
                <w:p w14:paraId="1E09007B">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 xml:space="preserve">ZL-A58 </w:t>
                  </w:r>
                </w:p>
              </w:tc>
              <w:tc>
                <w:tcPr>
                  <w:tcW w:w="506" w:type="pct"/>
                  <w:tcBorders>
                    <w:tl2br w:val="nil"/>
                    <w:tr2bl w:val="nil"/>
                  </w:tcBorders>
                  <w:vAlign w:val="center"/>
                </w:tcPr>
                <w:p w14:paraId="3AE39EF4">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0F51179D">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5988AA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restart"/>
                  <w:tcBorders>
                    <w:tl2br w:val="nil"/>
                    <w:tr2bl w:val="nil"/>
                  </w:tcBorders>
                  <w:vAlign w:val="center"/>
                </w:tcPr>
                <w:p w14:paraId="3AD527BA">
                  <w:pPr>
                    <w:pStyle w:val="80"/>
                    <w:keepNext w:val="0"/>
                    <w:keepLines w:val="0"/>
                    <w:widowControl/>
                    <w:suppressLineNumbers w:val="0"/>
                    <w:snapToGrid w:val="0"/>
                    <w:spacing w:before="0" w:beforeAutospacing="0" w:after="0" w:afterAutospacing="0"/>
                    <w:ind w:left="0" w:leftChars="0" w:right="0" w:rightChars="0"/>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稀饭生产</w:t>
                  </w:r>
                </w:p>
              </w:tc>
              <w:tc>
                <w:tcPr>
                  <w:tcW w:w="1250" w:type="pct"/>
                  <w:tcBorders>
                    <w:tl2br w:val="nil"/>
                    <w:tr2bl w:val="nil"/>
                  </w:tcBorders>
                  <w:vAlign w:val="center"/>
                </w:tcPr>
                <w:p w14:paraId="2B5AF1F2">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default"/>
                      <w:b w:val="0"/>
                      <w:bCs w:val="0"/>
                      <w:color w:val="auto"/>
                      <w:szCs w:val="20"/>
                      <w:highlight w:val="none"/>
                    </w:rPr>
                    <w:t>蒸汽可倾式带搅拌夹层锅</w:t>
                  </w:r>
                </w:p>
              </w:tc>
              <w:tc>
                <w:tcPr>
                  <w:tcW w:w="1747" w:type="pct"/>
                  <w:tcBorders>
                    <w:tl2br w:val="nil"/>
                    <w:tr2bl w:val="nil"/>
                  </w:tcBorders>
                  <w:vAlign w:val="center"/>
                </w:tcPr>
                <w:p w14:paraId="7DD69AE3">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eastAsia="宋体"/>
                      <w:b w:val="0"/>
                      <w:bCs w:val="0"/>
                      <w:color w:val="auto"/>
                      <w:szCs w:val="20"/>
                      <w:highlight w:val="none"/>
                      <w:lang w:val="en-US" w:eastAsia="zh-CN"/>
                    </w:rPr>
                    <w:t xml:space="preserve">600L-B </w:t>
                  </w:r>
                </w:p>
              </w:tc>
              <w:tc>
                <w:tcPr>
                  <w:tcW w:w="506" w:type="pct"/>
                  <w:tcBorders>
                    <w:tl2br w:val="nil"/>
                    <w:tr2bl w:val="nil"/>
                  </w:tcBorders>
                  <w:vAlign w:val="center"/>
                </w:tcPr>
                <w:p w14:paraId="5ADDA6FC">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8台</w:t>
                  </w:r>
                </w:p>
              </w:tc>
              <w:tc>
                <w:tcPr>
                  <w:tcW w:w="1024" w:type="pct"/>
                  <w:vMerge w:val="restart"/>
                  <w:tcBorders>
                    <w:tl2br w:val="nil"/>
                    <w:tr2bl w:val="nil"/>
                  </w:tcBorders>
                  <w:vAlign w:val="center"/>
                </w:tcPr>
                <w:p w14:paraId="3C2E6F40">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r>
                    <w:rPr>
                      <w:rFonts w:hint="eastAsia"/>
                      <w:b w:val="0"/>
                      <w:bCs w:val="0"/>
                      <w:color w:val="auto"/>
                      <w:szCs w:val="20"/>
                      <w:highlight w:val="none"/>
                      <w:lang w:val="en-US" w:eastAsia="zh-CN"/>
                    </w:rPr>
                    <w:t>中央厨房四楼西南</w:t>
                  </w:r>
                </w:p>
              </w:tc>
            </w:tr>
            <w:tr w14:paraId="033E2C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7F67CDC4">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4A1B260A">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eastAsia="宋体"/>
                      <w:b w:val="0"/>
                      <w:bCs w:val="0"/>
                      <w:color w:val="auto"/>
                      <w:szCs w:val="20"/>
                      <w:highlight w:val="none"/>
                      <w:lang w:val="en-US" w:eastAsia="zh-CN"/>
                    </w:rPr>
                  </w:pPr>
                  <w:r>
                    <w:rPr>
                      <w:rFonts w:hint="default"/>
                      <w:b w:val="0"/>
                      <w:bCs w:val="0"/>
                      <w:color w:val="auto"/>
                      <w:szCs w:val="20"/>
                      <w:highlight w:val="none"/>
                    </w:rPr>
                    <w:t>灌装、传送、封口设备</w:t>
                  </w:r>
                </w:p>
              </w:tc>
              <w:tc>
                <w:tcPr>
                  <w:tcW w:w="1747" w:type="pct"/>
                  <w:tcBorders>
                    <w:tl2br w:val="nil"/>
                    <w:tr2bl w:val="nil"/>
                  </w:tcBorders>
                  <w:vAlign w:val="center"/>
                </w:tcPr>
                <w:p w14:paraId="54B2A0CA">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b w:val="0"/>
                      <w:bCs w:val="0"/>
                      <w:color w:val="auto"/>
                      <w:szCs w:val="20"/>
                      <w:highlight w:val="none"/>
                      <w:lang w:val="en-US" w:eastAsia="zh-CN"/>
                    </w:rPr>
                  </w:pPr>
                  <w:r>
                    <w:rPr>
                      <w:rFonts w:hint="default"/>
                      <w:b w:val="0"/>
                      <w:bCs w:val="0"/>
                      <w:color w:val="auto"/>
                      <w:szCs w:val="20"/>
                      <w:highlight w:val="none"/>
                    </w:rPr>
                    <w:t>FK7---8</w:t>
                  </w:r>
                </w:p>
              </w:tc>
              <w:tc>
                <w:tcPr>
                  <w:tcW w:w="506" w:type="pct"/>
                  <w:tcBorders>
                    <w:tl2br w:val="nil"/>
                    <w:tr2bl w:val="nil"/>
                  </w:tcBorders>
                  <w:vAlign w:val="center"/>
                </w:tcPr>
                <w:p w14:paraId="333CC540">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cs="Times New Roman"/>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0B975E15">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378CB6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restart"/>
                  <w:tcBorders>
                    <w:tl2br w:val="nil"/>
                    <w:tr2bl w:val="nil"/>
                  </w:tcBorders>
                  <w:vAlign w:val="center"/>
                </w:tcPr>
                <w:p w14:paraId="74402857">
                  <w:pPr>
                    <w:pStyle w:val="80"/>
                    <w:keepNext w:val="0"/>
                    <w:keepLines w:val="0"/>
                    <w:widowControl/>
                    <w:suppressLineNumbers w:val="0"/>
                    <w:snapToGrid w:val="0"/>
                    <w:spacing w:before="0" w:beforeAutospacing="0" w:after="0" w:afterAutospacing="0"/>
                    <w:ind w:left="0" w:right="0"/>
                    <w:rPr>
                      <w:rFonts w:hint="default" w:eastAsia="宋体"/>
                      <w:b w:val="0"/>
                      <w:bCs w:val="0"/>
                      <w:color w:val="auto"/>
                      <w:szCs w:val="20"/>
                      <w:highlight w:val="none"/>
                      <w:lang w:val="en-US" w:eastAsia="zh-CN"/>
                    </w:rPr>
                  </w:pPr>
                  <w:r>
                    <w:rPr>
                      <w:rFonts w:hint="eastAsia"/>
                      <w:b w:val="0"/>
                      <w:bCs w:val="0"/>
                      <w:color w:val="auto"/>
                      <w:szCs w:val="20"/>
                      <w:highlight w:val="none"/>
                      <w:lang w:val="en-US" w:eastAsia="zh-CN"/>
                    </w:rPr>
                    <w:t>蛋糕生产</w:t>
                  </w:r>
                </w:p>
              </w:tc>
              <w:tc>
                <w:tcPr>
                  <w:tcW w:w="1250" w:type="pct"/>
                  <w:tcBorders>
                    <w:tl2br w:val="nil"/>
                    <w:tr2bl w:val="nil"/>
                  </w:tcBorders>
                  <w:vAlign w:val="center"/>
                </w:tcPr>
                <w:p w14:paraId="770A5F5C">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eastAsia="宋体"/>
                      <w:b w:val="0"/>
                      <w:bCs w:val="0"/>
                      <w:color w:val="auto"/>
                      <w:szCs w:val="20"/>
                      <w:highlight w:val="none"/>
                      <w:lang w:val="en-US" w:eastAsia="zh-CN"/>
                    </w:rPr>
                  </w:pPr>
                  <w:r>
                    <w:rPr>
                      <w:rFonts w:hint="eastAsia"/>
                      <w:b w:val="0"/>
                      <w:bCs w:val="0"/>
                      <w:color w:val="auto"/>
                      <w:szCs w:val="20"/>
                      <w:highlight w:val="none"/>
                      <w:lang w:val="en-US" w:eastAsia="zh-CN"/>
                    </w:rPr>
                    <w:t>烤箱</w:t>
                  </w:r>
                </w:p>
              </w:tc>
              <w:tc>
                <w:tcPr>
                  <w:tcW w:w="1747" w:type="pct"/>
                  <w:tcBorders>
                    <w:tl2br w:val="nil"/>
                    <w:tr2bl w:val="nil"/>
                  </w:tcBorders>
                  <w:vAlign w:val="center"/>
                </w:tcPr>
                <w:p w14:paraId="57D1C7E8">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eastAsia="宋体"/>
                      <w:b w:val="0"/>
                      <w:bCs w:val="0"/>
                      <w:color w:val="auto"/>
                      <w:szCs w:val="20"/>
                      <w:highlight w:val="none"/>
                      <w:lang w:val="en-US" w:eastAsia="zh-CN"/>
                    </w:rPr>
                  </w:pPr>
                  <w:r>
                    <w:rPr>
                      <w:rFonts w:hint="eastAsia"/>
                      <w:b w:val="0"/>
                      <w:bCs w:val="0"/>
                      <w:color w:val="auto"/>
                      <w:szCs w:val="20"/>
                      <w:highlight w:val="none"/>
                      <w:lang w:val="en-US" w:eastAsia="zh-CN"/>
                    </w:rPr>
                    <w:t>/</w:t>
                  </w:r>
                </w:p>
              </w:tc>
              <w:tc>
                <w:tcPr>
                  <w:tcW w:w="506" w:type="pct"/>
                  <w:tcBorders>
                    <w:tl2br w:val="nil"/>
                    <w:tr2bl w:val="nil"/>
                  </w:tcBorders>
                  <w:vAlign w:val="center"/>
                </w:tcPr>
                <w:p w14:paraId="46F92B5E">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4台</w:t>
                  </w:r>
                </w:p>
              </w:tc>
              <w:tc>
                <w:tcPr>
                  <w:tcW w:w="1024" w:type="pct"/>
                  <w:vMerge w:val="restart"/>
                  <w:tcBorders>
                    <w:tl2br w:val="nil"/>
                    <w:tr2bl w:val="nil"/>
                  </w:tcBorders>
                  <w:vAlign w:val="center"/>
                </w:tcPr>
                <w:p w14:paraId="4C5A9841">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lang w:val="en-US"/>
                    </w:rPr>
                  </w:pPr>
                  <w:r>
                    <w:rPr>
                      <w:rFonts w:hint="eastAsia"/>
                      <w:b w:val="0"/>
                      <w:bCs w:val="0"/>
                      <w:color w:val="auto"/>
                      <w:szCs w:val="20"/>
                      <w:highlight w:val="none"/>
                      <w:lang w:val="en-US" w:eastAsia="zh-CN"/>
                    </w:rPr>
                    <w:t>中央厨房二楼、三楼</w:t>
                  </w:r>
                </w:p>
              </w:tc>
            </w:tr>
            <w:tr w14:paraId="0D273E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7D6DE258">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377192F9">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eastAsia="宋体"/>
                      <w:b w:val="0"/>
                      <w:bCs w:val="0"/>
                      <w:color w:val="auto"/>
                      <w:szCs w:val="20"/>
                      <w:highlight w:val="none"/>
                      <w:lang w:val="en-US" w:eastAsia="zh-CN"/>
                    </w:rPr>
                  </w:pPr>
                  <w:r>
                    <w:rPr>
                      <w:rFonts w:hint="eastAsia"/>
                      <w:b w:val="0"/>
                      <w:bCs w:val="0"/>
                      <w:color w:val="auto"/>
                      <w:szCs w:val="20"/>
                      <w:highlight w:val="none"/>
                      <w:lang w:val="en-US" w:eastAsia="zh-CN"/>
                    </w:rPr>
                    <w:t>打蛋机</w:t>
                  </w:r>
                </w:p>
              </w:tc>
              <w:tc>
                <w:tcPr>
                  <w:tcW w:w="1747" w:type="pct"/>
                  <w:tcBorders>
                    <w:tl2br w:val="nil"/>
                    <w:tr2bl w:val="nil"/>
                  </w:tcBorders>
                  <w:vAlign w:val="center"/>
                </w:tcPr>
                <w:p w14:paraId="5DBE2FAD">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eastAsia="宋体" w:cs="Times New Roman"/>
                      <w:b w:val="0"/>
                      <w:bCs w:val="0"/>
                      <w:color w:val="auto"/>
                      <w:szCs w:val="20"/>
                      <w:highlight w:val="none"/>
                      <w:lang w:val="en-US" w:eastAsia="zh-CN"/>
                    </w:rPr>
                  </w:pPr>
                  <w:r>
                    <w:rPr>
                      <w:rFonts w:hint="eastAsia" w:ascii="Times New Roman" w:hAnsi="Times New Roman" w:eastAsia="宋体" w:cs="Times New Roman"/>
                      <w:b w:val="0"/>
                      <w:bCs w:val="0"/>
                      <w:color w:val="auto"/>
                      <w:szCs w:val="20"/>
                      <w:highlight w:val="none"/>
                      <w:lang w:val="en-US" w:eastAsia="zh-CN"/>
                    </w:rPr>
                    <w:t>/</w:t>
                  </w:r>
                </w:p>
              </w:tc>
              <w:tc>
                <w:tcPr>
                  <w:tcW w:w="506" w:type="pct"/>
                  <w:tcBorders>
                    <w:tl2br w:val="nil"/>
                    <w:tr2bl w:val="nil"/>
                  </w:tcBorders>
                  <w:vAlign w:val="center"/>
                </w:tcPr>
                <w:p w14:paraId="2892555A">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4台</w:t>
                  </w:r>
                </w:p>
              </w:tc>
              <w:tc>
                <w:tcPr>
                  <w:tcW w:w="1024" w:type="pct"/>
                  <w:vMerge w:val="continue"/>
                  <w:tcBorders>
                    <w:tl2br w:val="nil"/>
                    <w:tr2bl w:val="nil"/>
                  </w:tcBorders>
                  <w:vAlign w:val="center"/>
                </w:tcPr>
                <w:p w14:paraId="0202B3B3">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4DD7C6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41D7351E">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24C99A9F">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eastAsia="宋体"/>
                      <w:b w:val="0"/>
                      <w:bCs w:val="0"/>
                      <w:color w:val="auto"/>
                      <w:szCs w:val="20"/>
                      <w:highlight w:val="none"/>
                      <w:lang w:val="en-US" w:eastAsia="zh-CN"/>
                    </w:rPr>
                  </w:pPr>
                  <w:r>
                    <w:rPr>
                      <w:rFonts w:hint="eastAsia"/>
                      <w:b w:val="0"/>
                      <w:bCs w:val="0"/>
                      <w:color w:val="auto"/>
                      <w:szCs w:val="20"/>
                      <w:highlight w:val="none"/>
                      <w:lang w:val="en-US" w:eastAsia="zh-CN"/>
                    </w:rPr>
                    <w:t>打发器</w:t>
                  </w:r>
                </w:p>
              </w:tc>
              <w:tc>
                <w:tcPr>
                  <w:tcW w:w="1747" w:type="pct"/>
                  <w:tcBorders>
                    <w:tl2br w:val="nil"/>
                    <w:tr2bl w:val="nil"/>
                  </w:tcBorders>
                  <w:vAlign w:val="center"/>
                </w:tcPr>
                <w:p w14:paraId="3DEDADED">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eastAsia="宋体" w:cs="Times New Roman"/>
                      <w:b w:val="0"/>
                      <w:bCs w:val="0"/>
                      <w:color w:val="auto"/>
                      <w:szCs w:val="20"/>
                      <w:highlight w:val="none"/>
                      <w:lang w:val="en-US" w:eastAsia="zh-CN"/>
                    </w:rPr>
                  </w:pPr>
                  <w:r>
                    <w:rPr>
                      <w:rFonts w:hint="eastAsia" w:ascii="Times New Roman" w:hAnsi="Times New Roman" w:eastAsia="宋体" w:cs="Times New Roman"/>
                      <w:b w:val="0"/>
                      <w:bCs w:val="0"/>
                      <w:color w:val="auto"/>
                      <w:szCs w:val="20"/>
                      <w:highlight w:val="none"/>
                      <w:lang w:val="en-US" w:eastAsia="zh-CN"/>
                    </w:rPr>
                    <w:t>/</w:t>
                  </w:r>
                </w:p>
              </w:tc>
              <w:tc>
                <w:tcPr>
                  <w:tcW w:w="506" w:type="pct"/>
                  <w:tcBorders>
                    <w:tl2br w:val="nil"/>
                    <w:tr2bl w:val="nil"/>
                  </w:tcBorders>
                  <w:vAlign w:val="center"/>
                </w:tcPr>
                <w:p w14:paraId="10187CF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2台</w:t>
                  </w:r>
                </w:p>
              </w:tc>
              <w:tc>
                <w:tcPr>
                  <w:tcW w:w="1024" w:type="pct"/>
                  <w:vMerge w:val="continue"/>
                  <w:tcBorders>
                    <w:tl2br w:val="nil"/>
                    <w:tr2bl w:val="nil"/>
                  </w:tcBorders>
                  <w:vAlign w:val="center"/>
                </w:tcPr>
                <w:p w14:paraId="0CF98A61">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35CBC4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770F90F3">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111FF521">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eastAsia="宋体"/>
                      <w:b w:val="0"/>
                      <w:bCs w:val="0"/>
                      <w:color w:val="auto"/>
                      <w:szCs w:val="20"/>
                      <w:highlight w:val="none"/>
                      <w:lang w:val="en-US" w:eastAsia="zh-CN"/>
                    </w:rPr>
                  </w:pPr>
                  <w:r>
                    <w:rPr>
                      <w:rFonts w:hint="eastAsia"/>
                      <w:b w:val="0"/>
                      <w:bCs w:val="0"/>
                      <w:color w:val="auto"/>
                      <w:szCs w:val="20"/>
                      <w:highlight w:val="none"/>
                      <w:lang w:val="en-US" w:eastAsia="zh-CN"/>
                    </w:rPr>
                    <w:t>不锈钢拆模台</w:t>
                  </w:r>
                </w:p>
              </w:tc>
              <w:tc>
                <w:tcPr>
                  <w:tcW w:w="1747" w:type="pct"/>
                  <w:tcBorders>
                    <w:tl2br w:val="nil"/>
                    <w:tr2bl w:val="nil"/>
                  </w:tcBorders>
                  <w:vAlign w:val="center"/>
                </w:tcPr>
                <w:p w14:paraId="5D322B45">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eastAsia="宋体" w:cs="Times New Roman"/>
                      <w:b w:val="0"/>
                      <w:bCs w:val="0"/>
                      <w:color w:val="auto"/>
                      <w:szCs w:val="20"/>
                      <w:highlight w:val="none"/>
                      <w:lang w:val="en-US" w:eastAsia="zh-CN"/>
                    </w:rPr>
                  </w:pPr>
                  <w:r>
                    <w:rPr>
                      <w:rFonts w:hint="eastAsia" w:ascii="Times New Roman" w:hAnsi="Times New Roman" w:eastAsia="宋体" w:cs="Times New Roman"/>
                      <w:b w:val="0"/>
                      <w:bCs w:val="0"/>
                      <w:color w:val="auto"/>
                      <w:szCs w:val="20"/>
                      <w:highlight w:val="none"/>
                      <w:lang w:val="en-US" w:eastAsia="zh-CN"/>
                    </w:rPr>
                    <w:t>/</w:t>
                  </w:r>
                </w:p>
              </w:tc>
              <w:tc>
                <w:tcPr>
                  <w:tcW w:w="506" w:type="pct"/>
                  <w:tcBorders>
                    <w:tl2br w:val="nil"/>
                    <w:tr2bl w:val="nil"/>
                  </w:tcBorders>
                  <w:vAlign w:val="center"/>
                </w:tcPr>
                <w:p w14:paraId="0E213E13">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37433CE0">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113DA2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1A9C7F48">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681721E1">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eastAsia="宋体"/>
                      <w:b w:val="0"/>
                      <w:bCs w:val="0"/>
                      <w:color w:val="auto"/>
                      <w:szCs w:val="20"/>
                      <w:highlight w:val="none"/>
                      <w:lang w:val="en-US" w:eastAsia="zh-CN"/>
                    </w:rPr>
                  </w:pPr>
                  <w:r>
                    <w:rPr>
                      <w:rFonts w:hint="eastAsia"/>
                      <w:b w:val="0"/>
                      <w:bCs w:val="0"/>
                      <w:color w:val="auto"/>
                      <w:szCs w:val="20"/>
                      <w:highlight w:val="none"/>
                      <w:lang w:val="en-US" w:eastAsia="zh-CN"/>
                    </w:rPr>
                    <w:t>研磨机</w:t>
                  </w:r>
                </w:p>
              </w:tc>
              <w:tc>
                <w:tcPr>
                  <w:tcW w:w="1747" w:type="pct"/>
                  <w:tcBorders>
                    <w:tl2br w:val="nil"/>
                    <w:tr2bl w:val="nil"/>
                  </w:tcBorders>
                  <w:vAlign w:val="center"/>
                </w:tcPr>
                <w:p w14:paraId="2E4FC0EF">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eastAsia="宋体" w:cs="Times New Roman"/>
                      <w:b w:val="0"/>
                      <w:bCs w:val="0"/>
                      <w:color w:val="auto"/>
                      <w:szCs w:val="20"/>
                      <w:highlight w:val="none"/>
                      <w:lang w:val="en-US" w:eastAsia="zh-CN"/>
                    </w:rPr>
                  </w:pPr>
                  <w:r>
                    <w:rPr>
                      <w:rFonts w:hint="eastAsia" w:ascii="Times New Roman" w:hAnsi="Times New Roman" w:eastAsia="宋体" w:cs="Times New Roman"/>
                      <w:b w:val="0"/>
                      <w:bCs w:val="0"/>
                      <w:color w:val="auto"/>
                      <w:szCs w:val="20"/>
                      <w:highlight w:val="none"/>
                      <w:lang w:val="en-US" w:eastAsia="zh-CN"/>
                    </w:rPr>
                    <w:t>/</w:t>
                  </w:r>
                </w:p>
              </w:tc>
              <w:tc>
                <w:tcPr>
                  <w:tcW w:w="506" w:type="pct"/>
                  <w:tcBorders>
                    <w:tl2br w:val="nil"/>
                    <w:tr2bl w:val="nil"/>
                  </w:tcBorders>
                  <w:vAlign w:val="center"/>
                </w:tcPr>
                <w:p w14:paraId="7AB91ECF">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697E1CBA">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4B7E40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52DAE41C">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0C4300FE">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eastAsia="宋体"/>
                      <w:b w:val="0"/>
                      <w:bCs w:val="0"/>
                      <w:color w:val="auto"/>
                      <w:szCs w:val="20"/>
                      <w:highlight w:val="none"/>
                      <w:lang w:val="en-US" w:eastAsia="zh-CN"/>
                    </w:rPr>
                  </w:pPr>
                  <w:r>
                    <w:rPr>
                      <w:rFonts w:hint="eastAsia"/>
                      <w:b w:val="0"/>
                      <w:bCs w:val="0"/>
                      <w:color w:val="auto"/>
                      <w:szCs w:val="20"/>
                      <w:highlight w:val="none"/>
                      <w:lang w:val="en-US" w:eastAsia="zh-CN"/>
                    </w:rPr>
                    <w:t>和面机</w:t>
                  </w:r>
                </w:p>
              </w:tc>
              <w:tc>
                <w:tcPr>
                  <w:tcW w:w="1747" w:type="pct"/>
                  <w:tcBorders>
                    <w:tl2br w:val="nil"/>
                    <w:tr2bl w:val="nil"/>
                  </w:tcBorders>
                  <w:vAlign w:val="center"/>
                </w:tcPr>
                <w:p w14:paraId="695848B6">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eastAsia="宋体" w:cs="Times New Roman"/>
                      <w:b w:val="0"/>
                      <w:bCs w:val="0"/>
                      <w:color w:val="auto"/>
                      <w:szCs w:val="20"/>
                      <w:highlight w:val="none"/>
                      <w:lang w:val="en-US" w:eastAsia="zh-CN"/>
                    </w:rPr>
                  </w:pPr>
                  <w:r>
                    <w:rPr>
                      <w:rFonts w:hint="eastAsia" w:ascii="Times New Roman" w:hAnsi="Times New Roman" w:eastAsia="宋体" w:cs="Times New Roman"/>
                      <w:b w:val="0"/>
                      <w:bCs w:val="0"/>
                      <w:color w:val="auto"/>
                      <w:szCs w:val="20"/>
                      <w:highlight w:val="none"/>
                      <w:lang w:val="en-US" w:eastAsia="zh-CN"/>
                    </w:rPr>
                    <w:t>/</w:t>
                  </w:r>
                </w:p>
              </w:tc>
              <w:tc>
                <w:tcPr>
                  <w:tcW w:w="506" w:type="pct"/>
                  <w:tcBorders>
                    <w:tl2br w:val="nil"/>
                    <w:tr2bl w:val="nil"/>
                  </w:tcBorders>
                  <w:vAlign w:val="center"/>
                </w:tcPr>
                <w:p w14:paraId="40B49930">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5127B0FB">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6DC7A2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2458A264">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71D312A4">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eastAsia="宋体"/>
                      <w:b w:val="0"/>
                      <w:bCs w:val="0"/>
                      <w:color w:val="auto"/>
                      <w:szCs w:val="20"/>
                      <w:highlight w:val="none"/>
                      <w:lang w:val="en-US" w:eastAsia="zh-CN"/>
                    </w:rPr>
                  </w:pPr>
                  <w:r>
                    <w:rPr>
                      <w:rFonts w:hint="eastAsia"/>
                      <w:b w:val="0"/>
                      <w:bCs w:val="0"/>
                      <w:color w:val="auto"/>
                      <w:szCs w:val="20"/>
                      <w:highlight w:val="none"/>
                      <w:lang w:val="en-US" w:eastAsia="zh-CN"/>
                    </w:rPr>
                    <w:t>搅拌机</w:t>
                  </w:r>
                </w:p>
              </w:tc>
              <w:tc>
                <w:tcPr>
                  <w:tcW w:w="1747" w:type="pct"/>
                  <w:tcBorders>
                    <w:tl2br w:val="nil"/>
                    <w:tr2bl w:val="nil"/>
                  </w:tcBorders>
                  <w:vAlign w:val="center"/>
                </w:tcPr>
                <w:p w14:paraId="0AB1C4D5">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eastAsia="宋体" w:cs="Times New Roman"/>
                      <w:b w:val="0"/>
                      <w:bCs w:val="0"/>
                      <w:color w:val="auto"/>
                      <w:szCs w:val="20"/>
                      <w:highlight w:val="none"/>
                      <w:lang w:val="en-US" w:eastAsia="zh-CN"/>
                    </w:rPr>
                  </w:pPr>
                  <w:r>
                    <w:rPr>
                      <w:rFonts w:hint="eastAsia" w:ascii="Times New Roman" w:hAnsi="Times New Roman" w:eastAsia="宋体" w:cs="Times New Roman"/>
                      <w:b w:val="0"/>
                      <w:bCs w:val="0"/>
                      <w:color w:val="auto"/>
                      <w:szCs w:val="20"/>
                      <w:highlight w:val="none"/>
                      <w:lang w:val="en-US" w:eastAsia="zh-CN"/>
                    </w:rPr>
                    <w:t>/</w:t>
                  </w:r>
                </w:p>
              </w:tc>
              <w:tc>
                <w:tcPr>
                  <w:tcW w:w="506" w:type="pct"/>
                  <w:tcBorders>
                    <w:tl2br w:val="nil"/>
                    <w:tr2bl w:val="nil"/>
                  </w:tcBorders>
                  <w:vAlign w:val="center"/>
                </w:tcPr>
                <w:p w14:paraId="7810D439">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4075D162">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530AEB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7E93F652">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4F4390C1">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eastAsia="宋体"/>
                      <w:b w:val="0"/>
                      <w:bCs w:val="0"/>
                      <w:color w:val="auto"/>
                      <w:szCs w:val="20"/>
                      <w:highlight w:val="none"/>
                      <w:lang w:val="en-US" w:eastAsia="zh-CN"/>
                    </w:rPr>
                  </w:pPr>
                  <w:r>
                    <w:rPr>
                      <w:rFonts w:hint="eastAsia"/>
                      <w:b w:val="0"/>
                      <w:bCs w:val="0"/>
                      <w:color w:val="auto"/>
                      <w:szCs w:val="20"/>
                      <w:highlight w:val="none"/>
                      <w:lang w:val="en-US" w:eastAsia="zh-CN"/>
                    </w:rPr>
                    <w:t>开酥机</w:t>
                  </w:r>
                </w:p>
              </w:tc>
              <w:tc>
                <w:tcPr>
                  <w:tcW w:w="1747" w:type="pct"/>
                  <w:tcBorders>
                    <w:tl2br w:val="nil"/>
                    <w:tr2bl w:val="nil"/>
                  </w:tcBorders>
                  <w:vAlign w:val="center"/>
                </w:tcPr>
                <w:p w14:paraId="5DCF7DB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eastAsia="宋体" w:cs="Times New Roman"/>
                      <w:b w:val="0"/>
                      <w:bCs w:val="0"/>
                      <w:color w:val="auto"/>
                      <w:szCs w:val="20"/>
                      <w:highlight w:val="none"/>
                      <w:lang w:val="en-US" w:eastAsia="zh-CN"/>
                    </w:rPr>
                  </w:pPr>
                  <w:r>
                    <w:rPr>
                      <w:rFonts w:hint="eastAsia" w:ascii="Times New Roman" w:hAnsi="Times New Roman" w:eastAsia="宋体" w:cs="Times New Roman"/>
                      <w:b w:val="0"/>
                      <w:bCs w:val="0"/>
                      <w:color w:val="auto"/>
                      <w:szCs w:val="20"/>
                      <w:highlight w:val="none"/>
                      <w:lang w:val="en-US" w:eastAsia="zh-CN"/>
                    </w:rPr>
                    <w:t>/</w:t>
                  </w:r>
                </w:p>
              </w:tc>
              <w:tc>
                <w:tcPr>
                  <w:tcW w:w="506" w:type="pct"/>
                  <w:tcBorders>
                    <w:tl2br w:val="nil"/>
                    <w:tr2bl w:val="nil"/>
                  </w:tcBorders>
                  <w:vAlign w:val="center"/>
                </w:tcPr>
                <w:p w14:paraId="54C69A54">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045E02BA">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4641D2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5DC8B20A">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585CEEE3">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eastAsia="宋体"/>
                      <w:b w:val="0"/>
                      <w:bCs w:val="0"/>
                      <w:color w:val="auto"/>
                      <w:szCs w:val="20"/>
                      <w:highlight w:val="none"/>
                      <w:lang w:val="en-US" w:eastAsia="zh-CN"/>
                    </w:rPr>
                  </w:pPr>
                  <w:r>
                    <w:rPr>
                      <w:rFonts w:hint="eastAsia"/>
                      <w:b w:val="0"/>
                      <w:bCs w:val="0"/>
                      <w:color w:val="auto"/>
                      <w:szCs w:val="20"/>
                      <w:highlight w:val="none"/>
                      <w:lang w:val="en-US" w:eastAsia="zh-CN"/>
                    </w:rPr>
                    <w:t>包装机</w:t>
                  </w:r>
                </w:p>
              </w:tc>
              <w:tc>
                <w:tcPr>
                  <w:tcW w:w="1747" w:type="pct"/>
                  <w:tcBorders>
                    <w:tl2br w:val="nil"/>
                    <w:tr2bl w:val="nil"/>
                  </w:tcBorders>
                  <w:vAlign w:val="center"/>
                </w:tcPr>
                <w:p w14:paraId="243CE2BF">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eastAsia="宋体" w:cs="Times New Roman"/>
                      <w:b w:val="0"/>
                      <w:bCs w:val="0"/>
                      <w:color w:val="auto"/>
                      <w:szCs w:val="20"/>
                      <w:highlight w:val="none"/>
                      <w:lang w:val="en-US" w:eastAsia="zh-CN"/>
                    </w:rPr>
                  </w:pPr>
                  <w:r>
                    <w:rPr>
                      <w:rFonts w:hint="eastAsia" w:ascii="Times New Roman" w:hAnsi="Times New Roman" w:eastAsia="宋体" w:cs="Times New Roman"/>
                      <w:b w:val="0"/>
                      <w:bCs w:val="0"/>
                      <w:color w:val="auto"/>
                      <w:szCs w:val="20"/>
                      <w:highlight w:val="none"/>
                      <w:lang w:val="en-US" w:eastAsia="zh-CN"/>
                    </w:rPr>
                    <w:t>/</w:t>
                  </w:r>
                </w:p>
              </w:tc>
              <w:tc>
                <w:tcPr>
                  <w:tcW w:w="506" w:type="pct"/>
                  <w:tcBorders>
                    <w:tl2br w:val="nil"/>
                    <w:tr2bl w:val="nil"/>
                  </w:tcBorders>
                  <w:vAlign w:val="center"/>
                </w:tcPr>
                <w:p w14:paraId="3A9FB982">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1CDE2E9D">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38483D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6CD1BF87">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7C02D7F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eastAsia="宋体"/>
                      <w:b w:val="0"/>
                      <w:bCs w:val="0"/>
                      <w:color w:val="auto"/>
                      <w:szCs w:val="20"/>
                      <w:highlight w:val="none"/>
                      <w:lang w:val="en-US" w:eastAsia="zh-CN"/>
                    </w:rPr>
                  </w:pPr>
                  <w:r>
                    <w:rPr>
                      <w:rFonts w:hint="eastAsia"/>
                      <w:b w:val="0"/>
                      <w:bCs w:val="0"/>
                      <w:color w:val="auto"/>
                      <w:szCs w:val="20"/>
                      <w:highlight w:val="none"/>
                      <w:lang w:val="en-US" w:eastAsia="zh-CN"/>
                    </w:rPr>
                    <w:t>标签机</w:t>
                  </w:r>
                </w:p>
              </w:tc>
              <w:tc>
                <w:tcPr>
                  <w:tcW w:w="1747" w:type="pct"/>
                  <w:tcBorders>
                    <w:tl2br w:val="nil"/>
                    <w:tr2bl w:val="nil"/>
                  </w:tcBorders>
                  <w:vAlign w:val="center"/>
                </w:tcPr>
                <w:p w14:paraId="0EF0E0B6">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eastAsia="宋体" w:cs="Times New Roman"/>
                      <w:b w:val="0"/>
                      <w:bCs w:val="0"/>
                      <w:color w:val="auto"/>
                      <w:szCs w:val="20"/>
                      <w:highlight w:val="none"/>
                      <w:lang w:val="en-US" w:eastAsia="zh-CN"/>
                    </w:rPr>
                  </w:pPr>
                  <w:r>
                    <w:rPr>
                      <w:rFonts w:hint="eastAsia" w:ascii="Times New Roman" w:hAnsi="Times New Roman" w:eastAsia="宋体" w:cs="Times New Roman"/>
                      <w:b w:val="0"/>
                      <w:bCs w:val="0"/>
                      <w:color w:val="auto"/>
                      <w:szCs w:val="20"/>
                      <w:highlight w:val="none"/>
                      <w:lang w:val="en-US" w:eastAsia="zh-CN"/>
                    </w:rPr>
                    <w:t>/</w:t>
                  </w:r>
                </w:p>
              </w:tc>
              <w:tc>
                <w:tcPr>
                  <w:tcW w:w="506" w:type="pct"/>
                  <w:tcBorders>
                    <w:tl2br w:val="nil"/>
                    <w:tr2bl w:val="nil"/>
                  </w:tcBorders>
                  <w:vAlign w:val="center"/>
                </w:tcPr>
                <w:p w14:paraId="1F9E537B">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237629C7">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0829BA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16531B0B">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44240CF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eastAsia="宋体"/>
                      <w:b w:val="0"/>
                      <w:bCs w:val="0"/>
                      <w:color w:val="auto"/>
                      <w:szCs w:val="20"/>
                      <w:highlight w:val="none"/>
                      <w:lang w:val="en-US" w:eastAsia="zh-CN"/>
                    </w:rPr>
                  </w:pPr>
                  <w:r>
                    <w:rPr>
                      <w:rFonts w:hint="eastAsia"/>
                      <w:b w:val="0"/>
                      <w:bCs w:val="0"/>
                      <w:color w:val="auto"/>
                      <w:szCs w:val="20"/>
                      <w:highlight w:val="none"/>
                      <w:lang w:val="en-US" w:eastAsia="zh-CN"/>
                    </w:rPr>
                    <w:t>电磁炉</w:t>
                  </w:r>
                </w:p>
              </w:tc>
              <w:tc>
                <w:tcPr>
                  <w:tcW w:w="1747" w:type="pct"/>
                  <w:tcBorders>
                    <w:tl2br w:val="nil"/>
                    <w:tr2bl w:val="nil"/>
                  </w:tcBorders>
                  <w:vAlign w:val="center"/>
                </w:tcPr>
                <w:p w14:paraId="13BB76AB">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eastAsia="宋体" w:cs="Times New Roman"/>
                      <w:b w:val="0"/>
                      <w:bCs w:val="0"/>
                      <w:color w:val="auto"/>
                      <w:szCs w:val="20"/>
                      <w:highlight w:val="none"/>
                      <w:lang w:val="en-US" w:eastAsia="zh-CN"/>
                    </w:rPr>
                  </w:pPr>
                  <w:r>
                    <w:rPr>
                      <w:rFonts w:hint="eastAsia" w:ascii="Times New Roman" w:hAnsi="Times New Roman" w:eastAsia="宋体" w:cs="Times New Roman"/>
                      <w:b w:val="0"/>
                      <w:bCs w:val="0"/>
                      <w:color w:val="auto"/>
                      <w:szCs w:val="20"/>
                      <w:highlight w:val="none"/>
                      <w:lang w:val="en-US" w:eastAsia="zh-CN"/>
                    </w:rPr>
                    <w:t>/</w:t>
                  </w:r>
                </w:p>
              </w:tc>
              <w:tc>
                <w:tcPr>
                  <w:tcW w:w="506" w:type="pct"/>
                  <w:tcBorders>
                    <w:tl2br w:val="nil"/>
                    <w:tr2bl w:val="nil"/>
                  </w:tcBorders>
                  <w:vAlign w:val="center"/>
                </w:tcPr>
                <w:p w14:paraId="1180F6C6">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2台</w:t>
                  </w:r>
                </w:p>
              </w:tc>
              <w:tc>
                <w:tcPr>
                  <w:tcW w:w="1024" w:type="pct"/>
                  <w:vMerge w:val="continue"/>
                  <w:tcBorders>
                    <w:tl2br w:val="nil"/>
                    <w:tr2bl w:val="nil"/>
                  </w:tcBorders>
                  <w:vAlign w:val="center"/>
                </w:tcPr>
                <w:p w14:paraId="4F6E0F44">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4C52AB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5E5CC988">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7EB7083F">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eastAsia="宋体"/>
                      <w:b w:val="0"/>
                      <w:bCs w:val="0"/>
                      <w:color w:val="auto"/>
                      <w:szCs w:val="20"/>
                      <w:highlight w:val="none"/>
                      <w:lang w:val="en-US" w:eastAsia="zh-CN"/>
                    </w:rPr>
                  </w:pPr>
                  <w:r>
                    <w:rPr>
                      <w:rFonts w:hint="eastAsia"/>
                      <w:b w:val="0"/>
                      <w:bCs w:val="0"/>
                      <w:color w:val="auto"/>
                      <w:szCs w:val="20"/>
                      <w:highlight w:val="none"/>
                      <w:lang w:val="en-US" w:eastAsia="zh-CN"/>
                    </w:rPr>
                    <w:t>冷库机组</w:t>
                  </w:r>
                </w:p>
              </w:tc>
              <w:tc>
                <w:tcPr>
                  <w:tcW w:w="1747" w:type="pct"/>
                  <w:tcBorders>
                    <w:tl2br w:val="nil"/>
                    <w:tr2bl w:val="nil"/>
                  </w:tcBorders>
                  <w:vAlign w:val="center"/>
                </w:tcPr>
                <w:p w14:paraId="5CB277B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eastAsia="宋体" w:cs="Times New Roman"/>
                      <w:b w:val="0"/>
                      <w:bCs w:val="0"/>
                      <w:color w:val="auto"/>
                      <w:szCs w:val="20"/>
                      <w:highlight w:val="none"/>
                      <w:lang w:val="en-US" w:eastAsia="zh-CN"/>
                    </w:rPr>
                  </w:pPr>
                  <w:r>
                    <w:rPr>
                      <w:rFonts w:hint="eastAsia" w:ascii="Times New Roman" w:hAnsi="Times New Roman" w:eastAsia="宋体" w:cs="Times New Roman"/>
                      <w:b w:val="0"/>
                      <w:bCs w:val="0"/>
                      <w:color w:val="auto"/>
                      <w:szCs w:val="20"/>
                      <w:highlight w:val="none"/>
                      <w:lang w:val="en-US" w:eastAsia="zh-CN"/>
                    </w:rPr>
                    <w:t>/</w:t>
                  </w:r>
                </w:p>
              </w:tc>
              <w:tc>
                <w:tcPr>
                  <w:tcW w:w="506" w:type="pct"/>
                  <w:tcBorders>
                    <w:tl2br w:val="nil"/>
                    <w:tr2bl w:val="nil"/>
                  </w:tcBorders>
                  <w:vAlign w:val="center"/>
                </w:tcPr>
                <w:p w14:paraId="140832F1">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3D0A4B75">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2EECE3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restart"/>
                  <w:tcBorders>
                    <w:tl2br w:val="nil"/>
                    <w:tr2bl w:val="nil"/>
                  </w:tcBorders>
                  <w:vAlign w:val="center"/>
                </w:tcPr>
                <w:p w14:paraId="367976EF">
                  <w:pPr>
                    <w:pStyle w:val="80"/>
                    <w:keepNext w:val="0"/>
                    <w:keepLines w:val="0"/>
                    <w:widowControl/>
                    <w:suppressLineNumbers w:val="0"/>
                    <w:snapToGrid w:val="0"/>
                    <w:spacing w:before="0" w:beforeAutospacing="0" w:after="0" w:afterAutospacing="0"/>
                    <w:ind w:left="0" w:right="0"/>
                    <w:rPr>
                      <w:rFonts w:hint="default" w:eastAsia="宋体"/>
                      <w:b w:val="0"/>
                      <w:bCs w:val="0"/>
                      <w:color w:val="auto"/>
                      <w:szCs w:val="20"/>
                      <w:highlight w:val="none"/>
                      <w:lang w:val="en-US" w:eastAsia="zh-CN"/>
                    </w:rPr>
                  </w:pPr>
                  <w:r>
                    <w:rPr>
                      <w:rFonts w:hint="eastAsia"/>
                      <w:b w:val="0"/>
                      <w:bCs w:val="0"/>
                      <w:color w:val="auto"/>
                      <w:szCs w:val="20"/>
                      <w:highlight w:val="none"/>
                      <w:lang w:val="en-US" w:eastAsia="zh-CN"/>
                    </w:rPr>
                    <w:t>盒饭生产</w:t>
                  </w:r>
                </w:p>
              </w:tc>
              <w:tc>
                <w:tcPr>
                  <w:tcW w:w="1250" w:type="pct"/>
                  <w:tcBorders>
                    <w:tl2br w:val="nil"/>
                    <w:tr2bl w:val="nil"/>
                  </w:tcBorders>
                  <w:vAlign w:val="center"/>
                </w:tcPr>
                <w:p w14:paraId="2C799B51">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半自动燃气行星搅拌炒锅</w:t>
                  </w:r>
                </w:p>
              </w:tc>
              <w:tc>
                <w:tcPr>
                  <w:tcW w:w="1747" w:type="pct"/>
                  <w:tcBorders>
                    <w:tl2br w:val="nil"/>
                    <w:tr2bl w:val="nil"/>
                  </w:tcBorders>
                  <w:vAlign w:val="center"/>
                </w:tcPr>
                <w:p w14:paraId="7332DA32">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 xml:space="preserve">YS500L-B </w:t>
                  </w:r>
                </w:p>
              </w:tc>
              <w:tc>
                <w:tcPr>
                  <w:tcW w:w="506" w:type="pct"/>
                  <w:tcBorders>
                    <w:tl2br w:val="nil"/>
                    <w:tr2bl w:val="nil"/>
                  </w:tcBorders>
                  <w:vAlign w:val="center"/>
                </w:tcPr>
                <w:p w14:paraId="07BD6E2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restart"/>
                  <w:tcBorders>
                    <w:tl2br w:val="nil"/>
                    <w:tr2bl w:val="nil"/>
                  </w:tcBorders>
                  <w:vAlign w:val="center"/>
                </w:tcPr>
                <w:p w14:paraId="1CDE439D">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r>
                    <w:rPr>
                      <w:rFonts w:hint="eastAsia"/>
                      <w:b w:val="0"/>
                      <w:bCs w:val="0"/>
                      <w:color w:val="auto"/>
                      <w:szCs w:val="20"/>
                      <w:highlight w:val="none"/>
                      <w:lang w:val="en-US" w:eastAsia="zh-CN"/>
                    </w:rPr>
                    <w:t>中央厨房一楼西南</w:t>
                  </w:r>
                </w:p>
              </w:tc>
            </w:tr>
            <w:tr w14:paraId="39DD4D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56E88B0A">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7459D985">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提升机</w:t>
                  </w:r>
                </w:p>
              </w:tc>
              <w:tc>
                <w:tcPr>
                  <w:tcW w:w="1747" w:type="pct"/>
                  <w:tcBorders>
                    <w:tl2br w:val="nil"/>
                    <w:tr2bl w:val="nil"/>
                  </w:tcBorders>
                  <w:vAlign w:val="center"/>
                </w:tcPr>
                <w:p w14:paraId="3B1733CD">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eastAsia="宋体"/>
                      <w:b w:val="0"/>
                      <w:bCs w:val="0"/>
                      <w:color w:val="auto"/>
                      <w:szCs w:val="20"/>
                      <w:highlight w:val="none"/>
                      <w:lang w:val="en-US" w:eastAsia="zh-CN"/>
                    </w:rPr>
                  </w:pPr>
                  <w:r>
                    <w:rPr>
                      <w:rFonts w:hint="eastAsia"/>
                      <w:b w:val="0"/>
                      <w:bCs w:val="0"/>
                      <w:color w:val="auto"/>
                      <w:szCs w:val="20"/>
                      <w:highlight w:val="none"/>
                      <w:lang w:val="en-US" w:eastAsia="zh-CN"/>
                    </w:rPr>
                    <w:t>/</w:t>
                  </w:r>
                </w:p>
              </w:tc>
              <w:tc>
                <w:tcPr>
                  <w:tcW w:w="506" w:type="pct"/>
                  <w:tcBorders>
                    <w:tl2br w:val="nil"/>
                    <w:tr2bl w:val="nil"/>
                  </w:tcBorders>
                  <w:vAlign w:val="center"/>
                </w:tcPr>
                <w:p w14:paraId="2DB3D941">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25AC4863">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57FE53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0C694839">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3C64DC5F">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自动米饭生产线(含洗锅机)</w:t>
                  </w:r>
                </w:p>
              </w:tc>
              <w:tc>
                <w:tcPr>
                  <w:tcW w:w="1747" w:type="pct"/>
                  <w:tcBorders>
                    <w:tl2br w:val="nil"/>
                    <w:tr2bl w:val="nil"/>
                  </w:tcBorders>
                  <w:vAlign w:val="center"/>
                </w:tcPr>
                <w:p w14:paraId="7ACEE32B">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XYCF-600</w:t>
                  </w:r>
                </w:p>
              </w:tc>
              <w:tc>
                <w:tcPr>
                  <w:tcW w:w="506" w:type="pct"/>
                  <w:tcBorders>
                    <w:tl2br w:val="nil"/>
                    <w:tr2bl w:val="nil"/>
                  </w:tcBorders>
                  <w:vAlign w:val="center"/>
                </w:tcPr>
                <w:p w14:paraId="72942CEF">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0803769D">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02FE80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4EC42A9A">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5C1B1A3C">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大型推车蒸箱</w:t>
                  </w:r>
                </w:p>
              </w:tc>
              <w:tc>
                <w:tcPr>
                  <w:tcW w:w="1747" w:type="pct"/>
                  <w:tcBorders>
                    <w:tl2br w:val="nil"/>
                    <w:tr2bl w:val="nil"/>
                  </w:tcBorders>
                  <w:vAlign w:val="center"/>
                </w:tcPr>
                <w:p w14:paraId="5A2CE76D">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XYZX-130A1250*1250*2000</w:t>
                  </w:r>
                </w:p>
              </w:tc>
              <w:tc>
                <w:tcPr>
                  <w:tcW w:w="506" w:type="pct"/>
                  <w:tcBorders>
                    <w:tl2br w:val="nil"/>
                    <w:tr2bl w:val="nil"/>
                  </w:tcBorders>
                  <w:vAlign w:val="center"/>
                </w:tcPr>
                <w:p w14:paraId="614EA33E">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43CC3CDE">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0B2449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20698213">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6ED71653">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可倾燃气炒锅</w:t>
                  </w:r>
                </w:p>
              </w:tc>
              <w:tc>
                <w:tcPr>
                  <w:tcW w:w="1747" w:type="pct"/>
                  <w:tcBorders>
                    <w:tl2br w:val="nil"/>
                    <w:tr2bl w:val="nil"/>
                  </w:tcBorders>
                  <w:vAlign w:val="center"/>
                </w:tcPr>
                <w:p w14:paraId="478A302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XYOG-150 1400*1030+820</w:t>
                  </w:r>
                </w:p>
              </w:tc>
              <w:tc>
                <w:tcPr>
                  <w:tcW w:w="506" w:type="pct"/>
                  <w:tcBorders>
                    <w:tl2br w:val="nil"/>
                    <w:tr2bl w:val="nil"/>
                  </w:tcBorders>
                  <w:vAlign w:val="center"/>
                </w:tcPr>
                <w:p w14:paraId="5A849249">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07AF8E9C">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60594D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5F3249F7">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2C65F210">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自动搅拌燃气炒锅</w:t>
                  </w:r>
                </w:p>
              </w:tc>
              <w:tc>
                <w:tcPr>
                  <w:tcW w:w="1747" w:type="pct"/>
                  <w:tcBorders>
                    <w:tl2br w:val="nil"/>
                    <w:tr2bl w:val="nil"/>
                  </w:tcBorders>
                  <w:vAlign w:val="center"/>
                </w:tcPr>
                <w:p w14:paraId="000267FA">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default" w:eastAsia="宋体"/>
                      <w:b w:val="0"/>
                      <w:bCs w:val="0"/>
                      <w:color w:val="auto"/>
                      <w:szCs w:val="20"/>
                      <w:highlight w:val="none"/>
                      <w:lang w:val="en-US" w:eastAsia="zh-CN"/>
                    </w:rPr>
                  </w:pPr>
                  <w:r>
                    <w:rPr>
                      <w:rFonts w:hint="eastAsia"/>
                      <w:b w:val="0"/>
                      <w:bCs w:val="0"/>
                      <w:color w:val="auto"/>
                      <w:szCs w:val="20"/>
                      <w:highlight w:val="none"/>
                    </w:rPr>
                    <w:t>XYZDCG-300</w:t>
                  </w:r>
                  <w:r>
                    <w:rPr>
                      <w:rFonts w:hint="eastAsia"/>
                      <w:b w:val="0"/>
                      <w:bCs w:val="0"/>
                      <w:color w:val="auto"/>
                      <w:szCs w:val="20"/>
                      <w:highlight w:val="none"/>
                      <w:lang w:val="en-US" w:eastAsia="zh-CN"/>
                    </w:rPr>
                    <w:t xml:space="preserve">  2670*1300*2060</w:t>
                  </w:r>
                </w:p>
              </w:tc>
              <w:tc>
                <w:tcPr>
                  <w:tcW w:w="506" w:type="pct"/>
                  <w:tcBorders>
                    <w:tl2br w:val="nil"/>
                    <w:tr2bl w:val="nil"/>
                  </w:tcBorders>
                  <w:vAlign w:val="center"/>
                </w:tcPr>
                <w:p w14:paraId="7D3EE302">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6F422431">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2D5AF3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4CEA576E">
                  <w:pPr>
                    <w:pStyle w:val="80"/>
                    <w:keepNext w:val="0"/>
                    <w:keepLines w:val="0"/>
                    <w:widowControl/>
                    <w:suppressLineNumbers w:val="0"/>
                    <w:snapToGrid w:val="0"/>
                    <w:spacing w:before="0" w:beforeAutospacing="0" w:after="0" w:afterAutospacing="0"/>
                    <w:ind w:left="0" w:right="0"/>
                    <w:rPr>
                      <w:rFonts w:hint="default" w:eastAsia="宋体"/>
                      <w:b w:val="0"/>
                      <w:bCs w:val="0"/>
                      <w:color w:val="auto"/>
                      <w:szCs w:val="20"/>
                      <w:highlight w:val="none"/>
                      <w:lang w:val="en-US" w:eastAsia="zh-CN"/>
                    </w:rPr>
                  </w:pPr>
                </w:p>
              </w:tc>
              <w:tc>
                <w:tcPr>
                  <w:tcW w:w="1250" w:type="pct"/>
                  <w:tcBorders>
                    <w:tl2br w:val="nil"/>
                    <w:tr2bl w:val="nil"/>
                  </w:tcBorders>
                  <w:vAlign w:val="center"/>
                </w:tcPr>
                <w:p w14:paraId="0B7ACCF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卧式自动旋转燃气炒锅</w:t>
                  </w:r>
                </w:p>
              </w:tc>
              <w:tc>
                <w:tcPr>
                  <w:tcW w:w="1747" w:type="pct"/>
                  <w:tcBorders>
                    <w:tl2br w:val="nil"/>
                    <w:tr2bl w:val="nil"/>
                  </w:tcBorders>
                  <w:vAlign w:val="center"/>
                </w:tcPr>
                <w:p w14:paraId="28FEB2A3">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XYCCW1-350 1400*1200*1550</w:t>
                  </w:r>
                </w:p>
              </w:tc>
              <w:tc>
                <w:tcPr>
                  <w:tcW w:w="506" w:type="pct"/>
                  <w:tcBorders>
                    <w:tl2br w:val="nil"/>
                    <w:tr2bl w:val="nil"/>
                  </w:tcBorders>
                  <w:vAlign w:val="center"/>
                </w:tcPr>
                <w:p w14:paraId="125B3A24">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736B4B76">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21DB0C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78245805">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0710CC0A">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双轴拌馅机</w:t>
                  </w:r>
                </w:p>
              </w:tc>
              <w:tc>
                <w:tcPr>
                  <w:tcW w:w="1747" w:type="pct"/>
                  <w:tcBorders>
                    <w:tl2br w:val="nil"/>
                    <w:tr2bl w:val="nil"/>
                  </w:tcBorders>
                  <w:vAlign w:val="center"/>
                </w:tcPr>
                <w:p w14:paraId="6950807F">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 xml:space="preserve">YC-JB150 </w:t>
                  </w:r>
                </w:p>
              </w:tc>
              <w:tc>
                <w:tcPr>
                  <w:tcW w:w="506" w:type="pct"/>
                  <w:tcBorders>
                    <w:tl2br w:val="nil"/>
                    <w:tr2bl w:val="nil"/>
                  </w:tcBorders>
                  <w:vAlign w:val="center"/>
                </w:tcPr>
                <w:p w14:paraId="68FB9965">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357BD676">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328569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7E8D6E42">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37665E7B">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立式中型距骨机</w:t>
                  </w:r>
                </w:p>
              </w:tc>
              <w:tc>
                <w:tcPr>
                  <w:tcW w:w="1747" w:type="pct"/>
                  <w:tcBorders>
                    <w:tl2br w:val="nil"/>
                    <w:tr2bl w:val="nil"/>
                  </w:tcBorders>
                  <w:vAlign w:val="center"/>
                </w:tcPr>
                <w:p w14:paraId="444528CA">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 xml:space="preserve">TW-260 </w:t>
                  </w:r>
                </w:p>
              </w:tc>
              <w:tc>
                <w:tcPr>
                  <w:tcW w:w="506" w:type="pct"/>
                  <w:tcBorders>
                    <w:tl2br w:val="nil"/>
                    <w:tr2bl w:val="nil"/>
                  </w:tcBorders>
                  <w:vAlign w:val="center"/>
                </w:tcPr>
                <w:p w14:paraId="48BB80F9">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544DA746">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3ABCD6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12A9CD8D">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14F5778C">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肉丁机</w:t>
                  </w:r>
                </w:p>
              </w:tc>
              <w:tc>
                <w:tcPr>
                  <w:tcW w:w="1747" w:type="pct"/>
                  <w:tcBorders>
                    <w:tl2br w:val="nil"/>
                    <w:tr2bl w:val="nil"/>
                  </w:tcBorders>
                  <w:vAlign w:val="center"/>
                </w:tcPr>
                <w:p w14:paraId="70D2B51E">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TW-RD400</w:t>
                  </w:r>
                </w:p>
              </w:tc>
              <w:tc>
                <w:tcPr>
                  <w:tcW w:w="506" w:type="pct"/>
                  <w:tcBorders>
                    <w:tl2br w:val="nil"/>
                    <w:tr2bl w:val="nil"/>
                  </w:tcBorders>
                  <w:vAlign w:val="center"/>
                </w:tcPr>
                <w:p w14:paraId="3703CA43">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30188024">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5E4220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6CC1CB74">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0020C7B9">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肉丝肉片机</w:t>
                  </w:r>
                </w:p>
              </w:tc>
              <w:tc>
                <w:tcPr>
                  <w:tcW w:w="1747" w:type="pct"/>
                  <w:tcBorders>
                    <w:tl2br w:val="nil"/>
                    <w:tr2bl w:val="nil"/>
                  </w:tcBorders>
                  <w:vAlign w:val="center"/>
                </w:tcPr>
                <w:p w14:paraId="048E3ADB">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TW-500A</w:t>
                  </w:r>
                </w:p>
              </w:tc>
              <w:tc>
                <w:tcPr>
                  <w:tcW w:w="506" w:type="pct"/>
                  <w:tcBorders>
                    <w:tl2br w:val="nil"/>
                    <w:tr2bl w:val="nil"/>
                  </w:tcBorders>
                  <w:vAlign w:val="center"/>
                </w:tcPr>
                <w:p w14:paraId="279771A0">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4D520806">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14FD3C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1591B623">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04C0F22B">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切丁机</w:t>
                  </w:r>
                </w:p>
              </w:tc>
              <w:tc>
                <w:tcPr>
                  <w:tcW w:w="1747" w:type="pct"/>
                  <w:tcBorders>
                    <w:tl2br w:val="nil"/>
                    <w:tr2bl w:val="nil"/>
                  </w:tcBorders>
                  <w:vAlign w:val="center"/>
                </w:tcPr>
                <w:p w14:paraId="2877046E">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TW-800</w:t>
                  </w:r>
                </w:p>
              </w:tc>
              <w:tc>
                <w:tcPr>
                  <w:tcW w:w="506" w:type="pct"/>
                  <w:tcBorders>
                    <w:tl2br w:val="nil"/>
                    <w:tr2bl w:val="nil"/>
                  </w:tcBorders>
                  <w:vAlign w:val="center"/>
                </w:tcPr>
                <w:p w14:paraId="7C83C7CE">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6A456302">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41F675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0B4BF7EC">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1D9CA3CD">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绞肉机</w:t>
                  </w:r>
                </w:p>
              </w:tc>
              <w:tc>
                <w:tcPr>
                  <w:tcW w:w="1747" w:type="pct"/>
                  <w:tcBorders>
                    <w:tl2br w:val="nil"/>
                    <w:tr2bl w:val="nil"/>
                  </w:tcBorders>
                  <w:vAlign w:val="center"/>
                </w:tcPr>
                <w:p w14:paraId="3BD95A6F">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 xml:space="preserve">TW-32 </w:t>
                  </w:r>
                </w:p>
              </w:tc>
              <w:tc>
                <w:tcPr>
                  <w:tcW w:w="506" w:type="pct"/>
                  <w:tcBorders>
                    <w:tl2br w:val="nil"/>
                    <w:tr2bl w:val="nil"/>
                  </w:tcBorders>
                  <w:vAlign w:val="center"/>
                </w:tcPr>
                <w:p w14:paraId="65A08932">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1台</w:t>
                  </w:r>
                </w:p>
              </w:tc>
              <w:tc>
                <w:tcPr>
                  <w:tcW w:w="1024" w:type="pct"/>
                  <w:vMerge w:val="continue"/>
                  <w:tcBorders>
                    <w:tl2br w:val="nil"/>
                    <w:tr2bl w:val="nil"/>
                  </w:tcBorders>
                  <w:vAlign w:val="center"/>
                </w:tcPr>
                <w:p w14:paraId="5196DAED">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172EB6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restart"/>
                  <w:tcBorders>
                    <w:tl2br w:val="nil"/>
                    <w:tr2bl w:val="nil"/>
                  </w:tcBorders>
                  <w:vAlign w:val="center"/>
                </w:tcPr>
                <w:p w14:paraId="1DE23E46">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r>
                    <w:rPr>
                      <w:rFonts w:hint="eastAsia"/>
                      <w:b w:val="0"/>
                      <w:bCs w:val="0"/>
                      <w:color w:val="auto"/>
                      <w:szCs w:val="20"/>
                      <w:highlight w:val="none"/>
                      <w:lang w:val="en-US" w:eastAsia="zh-CN"/>
                    </w:rPr>
                    <w:t>净菜生产线</w:t>
                  </w:r>
                </w:p>
              </w:tc>
              <w:tc>
                <w:tcPr>
                  <w:tcW w:w="1250" w:type="pct"/>
                  <w:tcBorders>
                    <w:tl2br w:val="nil"/>
                    <w:tr2bl w:val="nil"/>
                  </w:tcBorders>
                  <w:vAlign w:val="center"/>
                </w:tcPr>
                <w:p w14:paraId="07A1B4DB">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单层修检输送机</w:t>
                  </w:r>
                </w:p>
              </w:tc>
              <w:tc>
                <w:tcPr>
                  <w:tcW w:w="1747" w:type="pct"/>
                  <w:tcBorders>
                    <w:tl2br w:val="nil"/>
                    <w:tr2bl w:val="nil"/>
                  </w:tcBorders>
                  <w:vAlign w:val="center"/>
                </w:tcPr>
                <w:p w14:paraId="14C2B98B">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YC-SS30-1</w:t>
                  </w:r>
                </w:p>
              </w:tc>
              <w:tc>
                <w:tcPr>
                  <w:tcW w:w="506" w:type="pct"/>
                  <w:tcBorders>
                    <w:tl2br w:val="nil"/>
                    <w:tr2bl w:val="nil"/>
                  </w:tcBorders>
                  <w:vAlign w:val="center"/>
                </w:tcPr>
                <w:p w14:paraId="457EBEE8">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eastAsia="宋体" w:cs="Times New Roman"/>
                      <w:b w:val="0"/>
                      <w:bCs w:val="0"/>
                      <w:color w:val="auto"/>
                      <w:sz w:val="21"/>
                      <w:szCs w:val="20"/>
                      <w:highlight w:val="none"/>
                      <w:lang w:val="en-US" w:eastAsia="zh-CN" w:bidi="ar-SA"/>
                    </w:rPr>
                  </w:pPr>
                  <w:r>
                    <w:rPr>
                      <w:rFonts w:hint="eastAsia" w:ascii="Times New Roman" w:hAnsi="Times New Roman" w:cs="Times New Roman"/>
                      <w:b w:val="0"/>
                      <w:bCs w:val="0"/>
                      <w:color w:val="auto"/>
                      <w:szCs w:val="20"/>
                      <w:highlight w:val="none"/>
                      <w:lang w:val="en-US" w:eastAsia="zh-CN"/>
                    </w:rPr>
                    <w:t>1台</w:t>
                  </w:r>
                </w:p>
              </w:tc>
              <w:tc>
                <w:tcPr>
                  <w:tcW w:w="1024" w:type="pct"/>
                  <w:vMerge w:val="restart"/>
                  <w:tcBorders>
                    <w:tl2br w:val="nil"/>
                    <w:tr2bl w:val="nil"/>
                  </w:tcBorders>
                  <w:vAlign w:val="center"/>
                </w:tcPr>
                <w:p w14:paraId="7C362A5B">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lang w:val="en-US"/>
                    </w:rPr>
                  </w:pPr>
                  <w:r>
                    <w:rPr>
                      <w:rFonts w:hint="eastAsia"/>
                      <w:b w:val="0"/>
                      <w:bCs w:val="0"/>
                      <w:color w:val="auto"/>
                      <w:szCs w:val="20"/>
                      <w:highlight w:val="none"/>
                      <w:lang w:val="en-US" w:eastAsia="zh-CN"/>
                    </w:rPr>
                    <w:t>中央厨房四楼东部</w:t>
                  </w:r>
                </w:p>
              </w:tc>
            </w:tr>
            <w:tr w14:paraId="2A044F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03503741">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3CEA2BE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大型叶类切菜机</w:t>
                  </w:r>
                </w:p>
              </w:tc>
              <w:tc>
                <w:tcPr>
                  <w:tcW w:w="1747" w:type="pct"/>
                  <w:tcBorders>
                    <w:tl2br w:val="nil"/>
                    <w:tr2bl w:val="nil"/>
                  </w:tcBorders>
                  <w:vAlign w:val="center"/>
                </w:tcPr>
                <w:p w14:paraId="6AC03710">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 xml:space="preserve">tw-700 </w:t>
                  </w:r>
                </w:p>
              </w:tc>
              <w:tc>
                <w:tcPr>
                  <w:tcW w:w="506" w:type="pct"/>
                  <w:tcBorders>
                    <w:tl2br w:val="nil"/>
                    <w:tr2bl w:val="nil"/>
                  </w:tcBorders>
                  <w:vAlign w:val="center"/>
                </w:tcPr>
                <w:p w14:paraId="29770DA6">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7E0B5EE1">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201D1F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3530D3B8">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65AECDC8">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斜线提升机</w:t>
                  </w:r>
                </w:p>
              </w:tc>
              <w:tc>
                <w:tcPr>
                  <w:tcW w:w="1747" w:type="pct"/>
                  <w:tcBorders>
                    <w:tl2br w:val="nil"/>
                    <w:tr2bl w:val="nil"/>
                  </w:tcBorders>
                  <w:vAlign w:val="center"/>
                </w:tcPr>
                <w:p w14:paraId="214B270D">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 xml:space="preserve">YC-TS30 </w:t>
                  </w:r>
                </w:p>
              </w:tc>
              <w:tc>
                <w:tcPr>
                  <w:tcW w:w="506" w:type="pct"/>
                  <w:tcBorders>
                    <w:tl2br w:val="nil"/>
                    <w:tr2bl w:val="nil"/>
                  </w:tcBorders>
                  <w:vAlign w:val="center"/>
                </w:tcPr>
                <w:p w14:paraId="2E882D5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684368A9">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3E4AAA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6DFF5C93">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53D46FF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eastAsia="宋体"/>
                      <w:b w:val="0"/>
                      <w:bCs w:val="0"/>
                      <w:color w:val="auto"/>
                      <w:szCs w:val="20"/>
                      <w:highlight w:val="none"/>
                      <w:lang w:eastAsia="zh-CN"/>
                    </w:rPr>
                  </w:pPr>
                  <w:r>
                    <w:rPr>
                      <w:rFonts w:hint="eastAsia"/>
                      <w:b w:val="0"/>
                      <w:bCs w:val="0"/>
                      <w:color w:val="auto"/>
                      <w:szCs w:val="20"/>
                      <w:highlight w:val="none"/>
                    </w:rPr>
                    <w:t>涡流振动清洗机</w:t>
                  </w:r>
                  <w:r>
                    <w:rPr>
                      <w:rFonts w:hint="eastAsia"/>
                      <w:b w:val="0"/>
                      <w:bCs w:val="0"/>
                      <w:color w:val="auto"/>
                      <w:szCs w:val="20"/>
                      <w:highlight w:val="none"/>
                      <w:lang w:eastAsia="zh-CN"/>
                    </w:rPr>
                    <w:t>（</w:t>
                  </w:r>
                  <w:r>
                    <w:rPr>
                      <w:rFonts w:hint="eastAsia"/>
                      <w:b w:val="0"/>
                      <w:bCs w:val="0"/>
                      <w:color w:val="auto"/>
                      <w:szCs w:val="20"/>
                      <w:highlight w:val="none"/>
                    </w:rPr>
                    <w:t>高</w:t>
                  </w:r>
                  <w:r>
                    <w:rPr>
                      <w:rFonts w:hint="eastAsia"/>
                      <w:b w:val="0"/>
                      <w:bCs w:val="0"/>
                      <w:color w:val="auto"/>
                      <w:szCs w:val="20"/>
                      <w:highlight w:val="none"/>
                      <w:lang w:eastAsia="zh-CN"/>
                    </w:rPr>
                    <w:t>）</w:t>
                  </w:r>
                </w:p>
              </w:tc>
              <w:tc>
                <w:tcPr>
                  <w:tcW w:w="1747" w:type="pct"/>
                  <w:tcBorders>
                    <w:tl2br w:val="nil"/>
                    <w:tr2bl w:val="nil"/>
                  </w:tcBorders>
                  <w:vAlign w:val="center"/>
                </w:tcPr>
                <w:p w14:paraId="4295B692">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 xml:space="preserve">TW-CZ4500 </w:t>
                  </w:r>
                </w:p>
              </w:tc>
              <w:tc>
                <w:tcPr>
                  <w:tcW w:w="506" w:type="pct"/>
                  <w:tcBorders>
                    <w:tl2br w:val="nil"/>
                    <w:tr2bl w:val="nil"/>
                  </w:tcBorders>
                  <w:vAlign w:val="center"/>
                </w:tcPr>
                <w:p w14:paraId="10B0B7BC">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02B4973A">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6B6071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1FC2BE58">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23F59428">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eastAsia="宋体"/>
                      <w:b w:val="0"/>
                      <w:bCs w:val="0"/>
                      <w:color w:val="auto"/>
                      <w:szCs w:val="20"/>
                      <w:highlight w:val="none"/>
                      <w:lang w:eastAsia="zh-CN"/>
                    </w:rPr>
                  </w:pPr>
                  <w:r>
                    <w:rPr>
                      <w:rFonts w:hint="eastAsia"/>
                      <w:b w:val="0"/>
                      <w:bCs w:val="0"/>
                      <w:color w:val="auto"/>
                      <w:szCs w:val="20"/>
                      <w:highlight w:val="none"/>
                    </w:rPr>
                    <w:t>涡流振动清洗机</w:t>
                  </w:r>
                  <w:r>
                    <w:rPr>
                      <w:rFonts w:hint="eastAsia"/>
                      <w:b w:val="0"/>
                      <w:bCs w:val="0"/>
                      <w:color w:val="auto"/>
                      <w:szCs w:val="20"/>
                      <w:highlight w:val="none"/>
                      <w:lang w:eastAsia="zh-CN"/>
                    </w:rPr>
                    <w:t>（</w:t>
                  </w:r>
                  <w:r>
                    <w:rPr>
                      <w:rFonts w:hint="eastAsia"/>
                      <w:b w:val="0"/>
                      <w:bCs w:val="0"/>
                      <w:color w:val="auto"/>
                      <w:szCs w:val="20"/>
                      <w:highlight w:val="none"/>
                    </w:rPr>
                    <w:t>低</w:t>
                  </w:r>
                  <w:r>
                    <w:rPr>
                      <w:rFonts w:hint="eastAsia"/>
                      <w:b w:val="0"/>
                      <w:bCs w:val="0"/>
                      <w:color w:val="auto"/>
                      <w:szCs w:val="20"/>
                      <w:highlight w:val="none"/>
                      <w:lang w:eastAsia="zh-CN"/>
                    </w:rPr>
                    <w:t>）</w:t>
                  </w:r>
                </w:p>
              </w:tc>
              <w:tc>
                <w:tcPr>
                  <w:tcW w:w="1747" w:type="pct"/>
                  <w:tcBorders>
                    <w:tl2br w:val="nil"/>
                    <w:tr2bl w:val="nil"/>
                  </w:tcBorders>
                  <w:vAlign w:val="center"/>
                </w:tcPr>
                <w:p w14:paraId="141165C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 xml:space="preserve">TW-CZ4500 </w:t>
                  </w:r>
                </w:p>
              </w:tc>
              <w:tc>
                <w:tcPr>
                  <w:tcW w:w="506" w:type="pct"/>
                  <w:tcBorders>
                    <w:tl2br w:val="nil"/>
                    <w:tr2bl w:val="nil"/>
                  </w:tcBorders>
                  <w:vAlign w:val="center"/>
                </w:tcPr>
                <w:p w14:paraId="78CD85E0">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0E3FF7CB">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6F0EC8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2C977963">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74B57444">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三筐旋转式接料车</w:t>
                  </w:r>
                </w:p>
              </w:tc>
              <w:tc>
                <w:tcPr>
                  <w:tcW w:w="1747" w:type="pct"/>
                  <w:tcBorders>
                    <w:tl2br w:val="nil"/>
                    <w:tr2bl w:val="nil"/>
                  </w:tcBorders>
                  <w:vAlign w:val="center"/>
                </w:tcPr>
                <w:p w14:paraId="6A51BB48">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eastAsia="宋体"/>
                      <w:b w:val="0"/>
                      <w:bCs w:val="0"/>
                      <w:color w:val="auto"/>
                      <w:szCs w:val="20"/>
                      <w:highlight w:val="none"/>
                      <w:lang w:val="en-US" w:eastAsia="zh-CN"/>
                    </w:rPr>
                  </w:pPr>
                  <w:r>
                    <w:rPr>
                      <w:rFonts w:hint="eastAsia"/>
                      <w:b w:val="0"/>
                      <w:bCs w:val="0"/>
                      <w:color w:val="auto"/>
                      <w:szCs w:val="20"/>
                      <w:highlight w:val="none"/>
                      <w:lang w:val="en-US" w:eastAsia="zh-CN"/>
                    </w:rPr>
                    <w:t>/</w:t>
                  </w:r>
                </w:p>
              </w:tc>
              <w:tc>
                <w:tcPr>
                  <w:tcW w:w="506" w:type="pct"/>
                  <w:tcBorders>
                    <w:tl2br w:val="nil"/>
                    <w:tr2bl w:val="nil"/>
                  </w:tcBorders>
                  <w:vAlign w:val="center"/>
                </w:tcPr>
                <w:p w14:paraId="119EF396">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54E6C450">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6C2C87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5389C14C">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659EF1C5">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变频式脱水机</w:t>
                  </w:r>
                </w:p>
              </w:tc>
              <w:tc>
                <w:tcPr>
                  <w:tcW w:w="1747" w:type="pct"/>
                  <w:tcBorders>
                    <w:tl2br w:val="nil"/>
                    <w:tr2bl w:val="nil"/>
                  </w:tcBorders>
                  <w:vAlign w:val="center"/>
                </w:tcPr>
                <w:p w14:paraId="667CE029">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 xml:space="preserve">TW-TS600 </w:t>
                  </w:r>
                </w:p>
              </w:tc>
              <w:tc>
                <w:tcPr>
                  <w:tcW w:w="506" w:type="pct"/>
                  <w:tcBorders>
                    <w:tl2br w:val="nil"/>
                    <w:tr2bl w:val="nil"/>
                  </w:tcBorders>
                  <w:vAlign w:val="center"/>
                </w:tcPr>
                <w:p w14:paraId="48C1FACC">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ascii="Times New Roman" w:hAnsi="Times New Roman" w:cs="Times New Roman"/>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44DAD3CB">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6E6F78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1AD9DF22">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4EE1449A">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横式真空滚揉机</w:t>
                  </w:r>
                </w:p>
              </w:tc>
              <w:tc>
                <w:tcPr>
                  <w:tcW w:w="1747" w:type="pct"/>
                  <w:tcBorders>
                    <w:tl2br w:val="nil"/>
                    <w:tr2bl w:val="nil"/>
                  </w:tcBorders>
                  <w:vAlign w:val="center"/>
                </w:tcPr>
                <w:p w14:paraId="2AC9FFEA">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YC-GR250</w:t>
                  </w:r>
                </w:p>
              </w:tc>
              <w:tc>
                <w:tcPr>
                  <w:tcW w:w="506" w:type="pct"/>
                  <w:tcBorders>
                    <w:tl2br w:val="nil"/>
                    <w:tr2bl w:val="nil"/>
                  </w:tcBorders>
                  <w:vAlign w:val="center"/>
                </w:tcPr>
                <w:p w14:paraId="6D1EF63D">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ascii="Times New Roman" w:hAnsi="Times New Roman" w:cs="Times New Roman"/>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2BC7F84F">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4B54F6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31F322F1">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14478D36">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多功能切菜机</w:t>
                  </w:r>
                </w:p>
              </w:tc>
              <w:tc>
                <w:tcPr>
                  <w:tcW w:w="1747" w:type="pct"/>
                  <w:tcBorders>
                    <w:tl2br w:val="nil"/>
                    <w:tr2bl w:val="nil"/>
                  </w:tcBorders>
                  <w:vAlign w:val="center"/>
                </w:tcPr>
                <w:p w14:paraId="652AFFBB">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 xml:space="preserve">TW-750 </w:t>
                  </w:r>
                </w:p>
              </w:tc>
              <w:tc>
                <w:tcPr>
                  <w:tcW w:w="506" w:type="pct"/>
                  <w:tcBorders>
                    <w:tl2br w:val="nil"/>
                    <w:tr2bl w:val="nil"/>
                  </w:tcBorders>
                  <w:vAlign w:val="center"/>
                </w:tcPr>
                <w:p w14:paraId="0F8844A9">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ascii="Times New Roman" w:hAnsi="Times New Roman" w:cs="Times New Roman"/>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68EE4CDD">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0CFC7C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0409EEA3">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7EE86991">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斩拌机</w:t>
                  </w:r>
                </w:p>
              </w:tc>
              <w:tc>
                <w:tcPr>
                  <w:tcW w:w="1747" w:type="pct"/>
                  <w:tcBorders>
                    <w:tl2br w:val="nil"/>
                    <w:tr2bl w:val="nil"/>
                  </w:tcBorders>
                  <w:vAlign w:val="center"/>
                </w:tcPr>
                <w:p w14:paraId="7C829775">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YC-ZB40</w:t>
                  </w:r>
                </w:p>
              </w:tc>
              <w:tc>
                <w:tcPr>
                  <w:tcW w:w="506" w:type="pct"/>
                  <w:tcBorders>
                    <w:tl2br w:val="nil"/>
                    <w:tr2bl w:val="nil"/>
                  </w:tcBorders>
                  <w:vAlign w:val="center"/>
                </w:tcPr>
                <w:p w14:paraId="26AF9100">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ascii="Times New Roman" w:hAnsi="Times New Roman" w:cs="Times New Roman"/>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01A83FA8">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0A4C23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37F1548F">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p>
              </w:tc>
              <w:tc>
                <w:tcPr>
                  <w:tcW w:w="1250" w:type="pct"/>
                  <w:tcBorders>
                    <w:tl2br w:val="nil"/>
                    <w:tr2bl w:val="nil"/>
                  </w:tcBorders>
                  <w:vAlign w:val="center"/>
                </w:tcPr>
                <w:p w14:paraId="2E7A8229">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毛刷清洗机</w:t>
                  </w:r>
                </w:p>
              </w:tc>
              <w:tc>
                <w:tcPr>
                  <w:tcW w:w="1747" w:type="pct"/>
                  <w:tcBorders>
                    <w:tl2br w:val="nil"/>
                    <w:tr2bl w:val="nil"/>
                  </w:tcBorders>
                  <w:vAlign w:val="center"/>
                </w:tcPr>
                <w:p w14:paraId="18C8F9F6">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b w:val="0"/>
                      <w:bCs w:val="0"/>
                      <w:color w:val="auto"/>
                      <w:szCs w:val="20"/>
                      <w:highlight w:val="none"/>
                    </w:rPr>
                  </w:pPr>
                  <w:r>
                    <w:rPr>
                      <w:rFonts w:hint="eastAsia"/>
                      <w:b w:val="0"/>
                      <w:bCs w:val="0"/>
                      <w:color w:val="auto"/>
                      <w:szCs w:val="20"/>
                      <w:highlight w:val="none"/>
                    </w:rPr>
                    <w:t>YC-X1500-7</w:t>
                  </w:r>
                </w:p>
              </w:tc>
              <w:tc>
                <w:tcPr>
                  <w:tcW w:w="506" w:type="pct"/>
                  <w:tcBorders>
                    <w:tl2br w:val="nil"/>
                    <w:tr2bl w:val="nil"/>
                  </w:tcBorders>
                  <w:vAlign w:val="center"/>
                </w:tcPr>
                <w:p w14:paraId="18E89AF0">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bottom"/>
                    <w:rPr>
                      <w:rFonts w:hint="eastAsia" w:ascii="Times New Roman" w:hAnsi="Times New Roman" w:cs="Times New Roman"/>
                      <w:b w:val="0"/>
                      <w:bCs w:val="0"/>
                      <w:color w:val="auto"/>
                      <w:szCs w:val="20"/>
                      <w:highlight w:val="none"/>
                      <w:lang w:val="en-US" w:eastAsia="zh-CN"/>
                    </w:rPr>
                  </w:pPr>
                  <w:r>
                    <w:rPr>
                      <w:rFonts w:hint="eastAsia" w:ascii="Times New Roman" w:hAnsi="Times New Roman" w:cs="Times New Roman"/>
                      <w:b w:val="0"/>
                      <w:bCs w:val="0"/>
                      <w:color w:val="auto"/>
                      <w:szCs w:val="20"/>
                      <w:highlight w:val="none"/>
                      <w:lang w:val="en-US" w:eastAsia="zh-CN"/>
                    </w:rPr>
                    <w:t>1台</w:t>
                  </w:r>
                </w:p>
              </w:tc>
              <w:tc>
                <w:tcPr>
                  <w:tcW w:w="1024" w:type="pct"/>
                  <w:vMerge w:val="continue"/>
                  <w:tcBorders>
                    <w:tl2br w:val="nil"/>
                    <w:tr2bl w:val="nil"/>
                  </w:tcBorders>
                  <w:vAlign w:val="center"/>
                </w:tcPr>
                <w:p w14:paraId="73C3F7B7">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p>
              </w:tc>
            </w:tr>
            <w:tr w14:paraId="4995E0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restart"/>
                  <w:tcBorders>
                    <w:tl2br w:val="nil"/>
                    <w:tr2bl w:val="nil"/>
                  </w:tcBorders>
                  <w:vAlign w:val="center"/>
                </w:tcPr>
                <w:p w14:paraId="7F34BAD0">
                  <w:pPr>
                    <w:pStyle w:val="80"/>
                    <w:keepNext w:val="0"/>
                    <w:keepLines w:val="0"/>
                    <w:widowControl/>
                    <w:suppressLineNumbers w:val="0"/>
                    <w:snapToGrid w:val="0"/>
                    <w:spacing w:before="0" w:beforeAutospacing="0" w:after="0" w:afterAutospacing="0"/>
                    <w:ind w:left="0" w:right="0"/>
                    <w:rPr>
                      <w:rFonts w:hint="default" w:eastAsia="宋体"/>
                      <w:b w:val="0"/>
                      <w:bCs w:val="0"/>
                      <w:color w:val="auto"/>
                      <w:szCs w:val="20"/>
                      <w:highlight w:val="none"/>
                      <w:lang w:val="en-US" w:eastAsia="zh-CN"/>
                    </w:rPr>
                  </w:pPr>
                  <w:r>
                    <w:rPr>
                      <w:rFonts w:hint="eastAsia"/>
                      <w:b w:val="0"/>
                      <w:bCs w:val="0"/>
                      <w:color w:val="auto"/>
                      <w:szCs w:val="20"/>
                      <w:highlight w:val="none"/>
                      <w:lang w:val="en-US" w:eastAsia="zh-CN"/>
                    </w:rPr>
                    <w:t>蒸汽供应</w:t>
                  </w:r>
                </w:p>
              </w:tc>
              <w:tc>
                <w:tcPr>
                  <w:tcW w:w="1250" w:type="pct"/>
                  <w:tcBorders>
                    <w:tl2br w:val="nil"/>
                    <w:tr2bl w:val="nil"/>
                  </w:tcBorders>
                  <w:vAlign w:val="center"/>
                </w:tcPr>
                <w:p w14:paraId="03D146C5">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燃气锅炉</w:t>
                  </w:r>
                </w:p>
              </w:tc>
              <w:tc>
                <w:tcPr>
                  <w:tcW w:w="1747" w:type="pct"/>
                  <w:tcBorders>
                    <w:tl2br w:val="nil"/>
                    <w:tr2bl w:val="nil"/>
                  </w:tcBorders>
                  <w:vAlign w:val="center"/>
                </w:tcPr>
                <w:p w14:paraId="61144155">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LSS1.0-1.0-Q</w:t>
                  </w:r>
                </w:p>
              </w:tc>
              <w:tc>
                <w:tcPr>
                  <w:tcW w:w="506" w:type="pct"/>
                  <w:tcBorders>
                    <w:tl2br w:val="nil"/>
                    <w:tr2bl w:val="nil"/>
                  </w:tcBorders>
                  <w:vAlign w:val="center"/>
                </w:tcPr>
                <w:p w14:paraId="6F83C56D">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3台</w:t>
                  </w:r>
                </w:p>
              </w:tc>
              <w:tc>
                <w:tcPr>
                  <w:tcW w:w="1024" w:type="pct"/>
                  <w:tcBorders>
                    <w:tl2br w:val="nil"/>
                    <w:tr2bl w:val="nil"/>
                  </w:tcBorders>
                  <w:vAlign w:val="center"/>
                </w:tcPr>
                <w:p w14:paraId="5AD94DB6">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1#锅炉房</w:t>
                  </w:r>
                </w:p>
              </w:tc>
            </w:tr>
            <w:tr w14:paraId="402F93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3C6481D7">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28FA11B0">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eastAsia="zh-CN"/>
                    </w:rPr>
                    <w:t>燃气锅炉</w:t>
                  </w:r>
                </w:p>
              </w:tc>
              <w:tc>
                <w:tcPr>
                  <w:tcW w:w="1747" w:type="pct"/>
                  <w:tcBorders>
                    <w:tl2br w:val="nil"/>
                    <w:tr2bl w:val="nil"/>
                  </w:tcBorders>
                  <w:vAlign w:val="center"/>
                </w:tcPr>
                <w:p w14:paraId="5EC01489">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1t/h</w:t>
                  </w:r>
                </w:p>
              </w:tc>
              <w:tc>
                <w:tcPr>
                  <w:tcW w:w="506" w:type="pct"/>
                  <w:tcBorders>
                    <w:tl2br w:val="nil"/>
                    <w:tr2bl w:val="nil"/>
                  </w:tcBorders>
                  <w:vAlign w:val="center"/>
                </w:tcPr>
                <w:p w14:paraId="1392588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4台</w:t>
                  </w:r>
                </w:p>
              </w:tc>
              <w:tc>
                <w:tcPr>
                  <w:tcW w:w="1024" w:type="pct"/>
                  <w:tcBorders>
                    <w:tl2br w:val="nil"/>
                    <w:tr2bl w:val="nil"/>
                  </w:tcBorders>
                  <w:vAlign w:val="center"/>
                </w:tcPr>
                <w:p w14:paraId="6AAAE752">
                  <w:pPr>
                    <w:pStyle w:val="80"/>
                    <w:keepNext w:val="0"/>
                    <w:keepLines w:val="0"/>
                    <w:widowControl/>
                    <w:suppressLineNumbers w:val="0"/>
                    <w:snapToGrid w:val="0"/>
                    <w:spacing w:before="0" w:beforeAutospacing="0" w:after="0" w:afterAutospacing="0"/>
                    <w:ind w:left="0" w:leftChars="0" w:right="0" w:rightChars="0"/>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2#锅炉房</w:t>
                  </w:r>
                </w:p>
              </w:tc>
            </w:tr>
            <w:tr w14:paraId="3C17ED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tcBorders>
                    <w:tl2br w:val="nil"/>
                    <w:tr2bl w:val="nil"/>
                  </w:tcBorders>
                  <w:vAlign w:val="center"/>
                </w:tcPr>
                <w:p w14:paraId="0D758FBA">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lang w:val="en-US" w:eastAsia="zh-CN"/>
                    </w:rPr>
                  </w:pPr>
                  <w:r>
                    <w:rPr>
                      <w:rFonts w:hint="eastAsia"/>
                      <w:b w:val="0"/>
                      <w:bCs w:val="0"/>
                      <w:color w:val="auto"/>
                      <w:szCs w:val="20"/>
                      <w:highlight w:val="none"/>
                      <w:lang w:val="en-US" w:eastAsia="zh-CN"/>
                    </w:rPr>
                    <w:t>纯水制备</w:t>
                  </w:r>
                </w:p>
              </w:tc>
              <w:tc>
                <w:tcPr>
                  <w:tcW w:w="1250" w:type="pct"/>
                  <w:tcBorders>
                    <w:tl2br w:val="nil"/>
                    <w:tr2bl w:val="nil"/>
                  </w:tcBorders>
                  <w:vAlign w:val="center"/>
                </w:tcPr>
                <w:p w14:paraId="2A00D04C">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b w:val="0"/>
                      <w:bCs w:val="0"/>
                      <w:color w:val="auto"/>
                      <w:szCs w:val="20"/>
                      <w:highlight w:val="none"/>
                      <w:lang w:val="en-US" w:eastAsia="zh-CN"/>
                    </w:rPr>
                  </w:pPr>
                  <w:r>
                    <w:rPr>
                      <w:rFonts w:hint="eastAsia"/>
                      <w:b w:val="0"/>
                      <w:bCs w:val="0"/>
                      <w:color w:val="auto"/>
                      <w:szCs w:val="20"/>
                      <w:highlight w:val="none"/>
                      <w:lang w:val="en-US" w:eastAsia="zh-CN"/>
                    </w:rPr>
                    <w:t>纯水机</w:t>
                  </w:r>
                </w:p>
              </w:tc>
              <w:tc>
                <w:tcPr>
                  <w:tcW w:w="1747" w:type="pct"/>
                  <w:tcBorders>
                    <w:tl2br w:val="nil"/>
                    <w:tr2bl w:val="nil"/>
                  </w:tcBorders>
                  <w:vAlign w:val="center"/>
                </w:tcPr>
                <w:p w14:paraId="2F49B5C2">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b w:val="0"/>
                      <w:bCs w:val="0"/>
                      <w:color w:val="auto"/>
                      <w:szCs w:val="20"/>
                      <w:highlight w:val="none"/>
                      <w:lang w:val="en-US" w:eastAsia="zh-CN"/>
                    </w:rPr>
                  </w:pPr>
                  <w:r>
                    <w:rPr>
                      <w:rFonts w:hint="eastAsia"/>
                      <w:b w:val="0"/>
                      <w:bCs w:val="0"/>
                      <w:color w:val="auto"/>
                      <w:szCs w:val="20"/>
                      <w:highlight w:val="none"/>
                      <w:lang w:val="en-US" w:eastAsia="zh-CN"/>
                    </w:rPr>
                    <w:t>/</w:t>
                  </w:r>
                </w:p>
              </w:tc>
              <w:tc>
                <w:tcPr>
                  <w:tcW w:w="506" w:type="pct"/>
                  <w:tcBorders>
                    <w:tl2br w:val="nil"/>
                    <w:tr2bl w:val="nil"/>
                  </w:tcBorders>
                  <w:vAlign w:val="center"/>
                </w:tcPr>
                <w:p w14:paraId="2FE9B824">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b w:val="0"/>
                      <w:bCs w:val="0"/>
                      <w:color w:val="auto"/>
                      <w:szCs w:val="20"/>
                      <w:highlight w:val="none"/>
                      <w:lang w:val="en-US" w:eastAsia="zh-CN"/>
                    </w:rPr>
                  </w:pPr>
                  <w:r>
                    <w:rPr>
                      <w:rFonts w:hint="eastAsia"/>
                      <w:b w:val="0"/>
                      <w:bCs w:val="0"/>
                      <w:color w:val="auto"/>
                      <w:szCs w:val="20"/>
                      <w:highlight w:val="none"/>
                      <w:lang w:val="en-US" w:eastAsia="zh-CN"/>
                    </w:rPr>
                    <w:t>3台</w:t>
                  </w:r>
                </w:p>
              </w:tc>
              <w:tc>
                <w:tcPr>
                  <w:tcW w:w="1024" w:type="pct"/>
                  <w:tcBorders>
                    <w:tl2br w:val="nil"/>
                    <w:tr2bl w:val="nil"/>
                  </w:tcBorders>
                  <w:vAlign w:val="center"/>
                </w:tcPr>
                <w:p w14:paraId="020F9C45">
                  <w:pPr>
                    <w:pStyle w:val="80"/>
                    <w:keepNext w:val="0"/>
                    <w:keepLines w:val="0"/>
                    <w:widowControl/>
                    <w:suppressLineNumbers w:val="0"/>
                    <w:snapToGrid w:val="0"/>
                    <w:spacing w:before="0" w:beforeAutospacing="0" w:after="0" w:afterAutospacing="0"/>
                    <w:ind w:left="0" w:leftChars="0" w:right="0" w:rightChars="0"/>
                    <w:rPr>
                      <w:rFonts w:hint="default"/>
                      <w:b w:val="0"/>
                      <w:bCs w:val="0"/>
                      <w:color w:val="auto"/>
                      <w:szCs w:val="20"/>
                      <w:highlight w:val="none"/>
                      <w:lang w:val="en-US" w:eastAsia="zh-CN"/>
                    </w:rPr>
                  </w:pPr>
                  <w:r>
                    <w:rPr>
                      <w:rFonts w:hint="eastAsia"/>
                      <w:b w:val="0"/>
                      <w:bCs w:val="0"/>
                      <w:color w:val="auto"/>
                      <w:szCs w:val="20"/>
                      <w:highlight w:val="none"/>
                      <w:lang w:val="en-US" w:eastAsia="zh-CN"/>
                    </w:rPr>
                    <w:t>中央厨房4楼1台、2个锅炉房各1台</w:t>
                  </w:r>
                </w:p>
              </w:tc>
            </w:tr>
            <w:tr w14:paraId="29D54D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restart"/>
                  <w:tcBorders>
                    <w:tl2br w:val="nil"/>
                    <w:tr2bl w:val="nil"/>
                  </w:tcBorders>
                  <w:vAlign w:val="center"/>
                </w:tcPr>
                <w:p w14:paraId="3A9DA978">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val="en-US" w:eastAsia="zh-CN"/>
                    </w:rPr>
                  </w:pPr>
                  <w:r>
                    <w:rPr>
                      <w:rFonts w:hint="eastAsia" w:ascii="Times New Roman" w:hAnsi="Times New Roman" w:eastAsia="宋体" w:cs="Times New Roman"/>
                      <w:color w:val="auto"/>
                      <w:sz w:val="21"/>
                      <w:szCs w:val="21"/>
                    </w:rPr>
                    <w:t>抽样检查</w:t>
                  </w:r>
                  <w:r>
                    <w:rPr>
                      <w:rFonts w:hint="eastAsia" w:ascii="Times New Roman" w:hAnsi="Times New Roman" w:eastAsia="宋体" w:cs="Times New Roman"/>
                      <w:color w:val="auto"/>
                      <w:sz w:val="21"/>
                      <w:szCs w:val="21"/>
                      <w:lang w:val="en-US" w:eastAsia="zh-CN"/>
                    </w:rPr>
                    <w:t>检验</w:t>
                  </w:r>
                </w:p>
              </w:tc>
              <w:tc>
                <w:tcPr>
                  <w:tcW w:w="1250" w:type="pct"/>
                  <w:tcBorders>
                    <w:tl2br w:val="nil"/>
                    <w:tr2bl w:val="nil"/>
                  </w:tcBorders>
                  <w:vAlign w:val="center"/>
                </w:tcPr>
                <w:p w14:paraId="24B35B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center"/>
                    <w:textAlignment w:val="auto"/>
                    <w:rPr>
                      <w:rFonts w:hint="eastAsia"/>
                      <w:b w:val="0"/>
                      <w:bCs w:val="0"/>
                      <w:color w:val="auto"/>
                      <w:szCs w:val="20"/>
                      <w:highlight w:val="none"/>
                      <w:lang w:val="en-US" w:eastAsia="zh-CN"/>
                    </w:rPr>
                  </w:pPr>
                  <w:r>
                    <w:rPr>
                      <w:rFonts w:hint="eastAsia"/>
                      <w:color w:val="auto"/>
                      <w:sz w:val="21"/>
                      <w:szCs w:val="21"/>
                      <w:highlight w:val="none"/>
                    </w:rPr>
                    <w:t>分析天平</w:t>
                  </w:r>
                </w:p>
              </w:tc>
              <w:tc>
                <w:tcPr>
                  <w:tcW w:w="1747" w:type="pct"/>
                  <w:tcBorders>
                    <w:tl2br w:val="nil"/>
                    <w:tr2bl w:val="nil"/>
                  </w:tcBorders>
                  <w:vAlign w:val="center"/>
                </w:tcPr>
                <w:p w14:paraId="2BB80F14">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b w:val="0"/>
                      <w:bCs w:val="0"/>
                      <w:color w:val="auto"/>
                      <w:szCs w:val="20"/>
                      <w:highlight w:val="none"/>
                      <w:lang w:val="en-US" w:eastAsia="zh-CN"/>
                    </w:rPr>
                    <w:t>/</w:t>
                  </w:r>
                </w:p>
              </w:tc>
              <w:tc>
                <w:tcPr>
                  <w:tcW w:w="506" w:type="pct"/>
                  <w:tcBorders>
                    <w:tl2br w:val="nil"/>
                    <w:tr2bl w:val="nil"/>
                  </w:tcBorders>
                  <w:vAlign w:val="center"/>
                </w:tcPr>
                <w:p w14:paraId="071FA80C">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b w:val="0"/>
                      <w:bCs w:val="0"/>
                      <w:color w:val="auto"/>
                      <w:szCs w:val="20"/>
                      <w:highlight w:val="none"/>
                      <w:lang w:val="en-US" w:eastAsia="zh-CN"/>
                    </w:rPr>
                  </w:pPr>
                  <w:r>
                    <w:rPr>
                      <w:rFonts w:hint="eastAsia"/>
                      <w:b w:val="0"/>
                      <w:bCs w:val="0"/>
                      <w:color w:val="auto"/>
                      <w:szCs w:val="20"/>
                      <w:highlight w:val="none"/>
                      <w:lang w:val="en-US" w:eastAsia="zh-CN"/>
                    </w:rPr>
                    <w:t>1台</w:t>
                  </w:r>
                </w:p>
              </w:tc>
              <w:tc>
                <w:tcPr>
                  <w:tcW w:w="1024" w:type="pct"/>
                  <w:vMerge w:val="restart"/>
                  <w:tcBorders>
                    <w:tl2br w:val="nil"/>
                    <w:tr2bl w:val="nil"/>
                  </w:tcBorders>
                  <w:vAlign w:val="center"/>
                </w:tcPr>
                <w:p w14:paraId="02FCF11C">
                  <w:pPr>
                    <w:pStyle w:val="80"/>
                    <w:keepNext w:val="0"/>
                    <w:keepLines w:val="0"/>
                    <w:widowControl/>
                    <w:suppressLineNumbers w:val="0"/>
                    <w:snapToGrid w:val="0"/>
                    <w:spacing w:before="0" w:beforeAutospacing="0" w:after="0" w:afterAutospacing="0"/>
                    <w:ind w:left="0" w:leftChars="0" w:right="0" w:rightChars="0"/>
                    <w:rPr>
                      <w:rFonts w:hint="default"/>
                      <w:b w:val="0"/>
                      <w:bCs w:val="0"/>
                      <w:color w:val="auto"/>
                      <w:szCs w:val="20"/>
                      <w:highlight w:val="none"/>
                      <w:lang w:val="en-US" w:eastAsia="zh-CN"/>
                    </w:rPr>
                  </w:pPr>
                  <w:r>
                    <w:rPr>
                      <w:rFonts w:hint="eastAsia"/>
                      <w:b w:val="0"/>
                      <w:bCs w:val="0"/>
                      <w:color w:val="auto"/>
                      <w:szCs w:val="20"/>
                      <w:highlight w:val="none"/>
                      <w:lang w:val="en-US" w:eastAsia="zh-CN"/>
                    </w:rPr>
                    <w:t>检验室</w:t>
                  </w:r>
                </w:p>
              </w:tc>
            </w:tr>
            <w:tr w14:paraId="0B925B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2DD55DB4">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278F5D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center"/>
                    <w:textAlignment w:val="auto"/>
                    <w:rPr>
                      <w:rFonts w:hint="eastAsia"/>
                      <w:b w:val="0"/>
                      <w:bCs w:val="0"/>
                      <w:color w:val="auto"/>
                      <w:szCs w:val="20"/>
                      <w:highlight w:val="none"/>
                      <w:lang w:val="en-US" w:eastAsia="zh-CN"/>
                    </w:rPr>
                  </w:pPr>
                  <w:r>
                    <w:rPr>
                      <w:rFonts w:hint="eastAsia"/>
                      <w:color w:val="auto"/>
                      <w:sz w:val="21"/>
                      <w:szCs w:val="21"/>
                      <w:highlight w:val="none"/>
                    </w:rPr>
                    <w:t>微生物培养基</w:t>
                  </w:r>
                </w:p>
              </w:tc>
              <w:tc>
                <w:tcPr>
                  <w:tcW w:w="1747" w:type="pct"/>
                  <w:tcBorders>
                    <w:tl2br w:val="nil"/>
                    <w:tr2bl w:val="nil"/>
                  </w:tcBorders>
                  <w:vAlign w:val="center"/>
                </w:tcPr>
                <w:p w14:paraId="566BD96F">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b w:val="0"/>
                      <w:bCs w:val="0"/>
                      <w:color w:val="auto"/>
                      <w:szCs w:val="20"/>
                      <w:highlight w:val="none"/>
                      <w:lang w:val="en-US" w:eastAsia="zh-CN"/>
                    </w:rPr>
                    <w:t>/</w:t>
                  </w:r>
                </w:p>
              </w:tc>
              <w:tc>
                <w:tcPr>
                  <w:tcW w:w="506" w:type="pct"/>
                  <w:tcBorders>
                    <w:tl2br w:val="nil"/>
                    <w:tr2bl w:val="nil"/>
                  </w:tcBorders>
                  <w:vAlign w:val="center"/>
                </w:tcPr>
                <w:p w14:paraId="416D727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default"/>
                      <w:b w:val="0"/>
                      <w:bCs w:val="0"/>
                      <w:color w:val="auto"/>
                      <w:szCs w:val="20"/>
                      <w:highlight w:val="none"/>
                      <w:lang w:val="en-US" w:eastAsia="zh-CN"/>
                    </w:rPr>
                  </w:pPr>
                  <w:r>
                    <w:rPr>
                      <w:rFonts w:hint="eastAsia"/>
                      <w:b w:val="0"/>
                      <w:bCs w:val="0"/>
                      <w:color w:val="auto"/>
                      <w:szCs w:val="20"/>
                      <w:highlight w:val="none"/>
                      <w:lang w:val="en-US" w:eastAsia="zh-CN"/>
                    </w:rPr>
                    <w:t>10套</w:t>
                  </w:r>
                </w:p>
              </w:tc>
              <w:tc>
                <w:tcPr>
                  <w:tcW w:w="1024" w:type="pct"/>
                  <w:vMerge w:val="continue"/>
                  <w:tcBorders>
                    <w:tl2br w:val="nil"/>
                    <w:tr2bl w:val="nil"/>
                  </w:tcBorders>
                  <w:vAlign w:val="center"/>
                </w:tcPr>
                <w:p w14:paraId="6FAE0FD5">
                  <w:pPr>
                    <w:pStyle w:val="80"/>
                    <w:keepNext w:val="0"/>
                    <w:keepLines w:val="0"/>
                    <w:widowControl/>
                    <w:suppressLineNumbers w:val="0"/>
                    <w:snapToGrid w:val="0"/>
                    <w:spacing w:before="0" w:beforeAutospacing="0" w:after="0" w:afterAutospacing="0"/>
                    <w:ind w:left="0" w:leftChars="0" w:right="0" w:rightChars="0"/>
                    <w:rPr>
                      <w:rFonts w:hint="eastAsia"/>
                      <w:b w:val="0"/>
                      <w:bCs w:val="0"/>
                      <w:color w:val="auto"/>
                      <w:szCs w:val="20"/>
                      <w:highlight w:val="none"/>
                      <w:lang w:val="en-US" w:eastAsia="zh-CN"/>
                    </w:rPr>
                  </w:pPr>
                </w:p>
              </w:tc>
            </w:tr>
            <w:tr w14:paraId="4932C2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jc w:val="center"/>
              </w:trPr>
              <w:tc>
                <w:tcPr>
                  <w:tcW w:w="471" w:type="pct"/>
                  <w:vMerge w:val="continue"/>
                  <w:tcBorders>
                    <w:tl2br w:val="nil"/>
                    <w:tr2bl w:val="nil"/>
                  </w:tcBorders>
                  <w:vAlign w:val="center"/>
                </w:tcPr>
                <w:p w14:paraId="0F63259F">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4AF004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center"/>
                    <w:textAlignment w:val="auto"/>
                    <w:rPr>
                      <w:rFonts w:hint="eastAsia"/>
                      <w:b w:val="0"/>
                      <w:bCs w:val="0"/>
                      <w:color w:val="auto"/>
                      <w:szCs w:val="20"/>
                      <w:highlight w:val="none"/>
                      <w:lang w:val="en-US" w:eastAsia="zh-CN"/>
                    </w:rPr>
                  </w:pPr>
                  <w:r>
                    <w:rPr>
                      <w:rFonts w:hint="eastAsia"/>
                      <w:color w:val="auto"/>
                      <w:sz w:val="21"/>
                      <w:szCs w:val="21"/>
                      <w:highlight w:val="none"/>
                    </w:rPr>
                    <w:t>生物显微镜</w:t>
                  </w:r>
                </w:p>
              </w:tc>
              <w:tc>
                <w:tcPr>
                  <w:tcW w:w="1747" w:type="pct"/>
                  <w:tcBorders>
                    <w:tl2br w:val="nil"/>
                    <w:tr2bl w:val="nil"/>
                  </w:tcBorders>
                  <w:vAlign w:val="center"/>
                </w:tcPr>
                <w:p w14:paraId="3008C76C">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b w:val="0"/>
                      <w:bCs w:val="0"/>
                      <w:color w:val="auto"/>
                      <w:szCs w:val="20"/>
                      <w:highlight w:val="none"/>
                      <w:lang w:val="en-US" w:eastAsia="zh-CN"/>
                    </w:rPr>
                    <w:t>/</w:t>
                  </w:r>
                </w:p>
              </w:tc>
              <w:tc>
                <w:tcPr>
                  <w:tcW w:w="506" w:type="pct"/>
                  <w:tcBorders>
                    <w:tl2br w:val="nil"/>
                    <w:tr2bl w:val="nil"/>
                  </w:tcBorders>
                  <w:vAlign w:val="center"/>
                </w:tcPr>
                <w:p w14:paraId="4F54815F">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b w:val="0"/>
                      <w:bCs w:val="0"/>
                      <w:color w:val="auto"/>
                      <w:szCs w:val="20"/>
                      <w:highlight w:val="none"/>
                      <w:lang w:val="en-US" w:eastAsia="zh-CN"/>
                    </w:rPr>
                    <w:t>1套</w:t>
                  </w:r>
                </w:p>
              </w:tc>
              <w:tc>
                <w:tcPr>
                  <w:tcW w:w="1024" w:type="pct"/>
                  <w:vMerge w:val="continue"/>
                  <w:tcBorders>
                    <w:tl2br w:val="nil"/>
                    <w:tr2bl w:val="nil"/>
                  </w:tcBorders>
                  <w:vAlign w:val="center"/>
                </w:tcPr>
                <w:p w14:paraId="7DCD98CE">
                  <w:pPr>
                    <w:pStyle w:val="80"/>
                    <w:keepNext w:val="0"/>
                    <w:keepLines w:val="0"/>
                    <w:widowControl/>
                    <w:suppressLineNumbers w:val="0"/>
                    <w:snapToGrid w:val="0"/>
                    <w:spacing w:before="0" w:beforeAutospacing="0" w:after="0" w:afterAutospacing="0"/>
                    <w:ind w:left="0" w:leftChars="0" w:right="0" w:rightChars="0"/>
                    <w:rPr>
                      <w:rFonts w:hint="eastAsia"/>
                      <w:b w:val="0"/>
                      <w:bCs w:val="0"/>
                      <w:color w:val="auto"/>
                      <w:szCs w:val="20"/>
                      <w:highlight w:val="none"/>
                      <w:lang w:val="en-US" w:eastAsia="zh-CN"/>
                    </w:rPr>
                  </w:pPr>
                </w:p>
              </w:tc>
            </w:tr>
            <w:tr w14:paraId="78DB1C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3941161B">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5BA90B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center"/>
                    <w:textAlignment w:val="auto"/>
                    <w:rPr>
                      <w:rFonts w:hint="eastAsia"/>
                      <w:b w:val="0"/>
                      <w:bCs w:val="0"/>
                      <w:color w:val="auto"/>
                      <w:szCs w:val="20"/>
                      <w:highlight w:val="none"/>
                      <w:lang w:val="en-US" w:eastAsia="zh-CN"/>
                    </w:rPr>
                  </w:pPr>
                  <w:r>
                    <w:rPr>
                      <w:rFonts w:hint="eastAsia"/>
                      <w:color w:val="auto"/>
                      <w:sz w:val="21"/>
                      <w:szCs w:val="21"/>
                      <w:highlight w:val="none"/>
                    </w:rPr>
                    <w:t>干燥箱</w:t>
                  </w:r>
                </w:p>
              </w:tc>
              <w:tc>
                <w:tcPr>
                  <w:tcW w:w="1747" w:type="pct"/>
                  <w:tcBorders>
                    <w:tl2br w:val="nil"/>
                    <w:tr2bl w:val="nil"/>
                  </w:tcBorders>
                  <w:vAlign w:val="center"/>
                </w:tcPr>
                <w:p w14:paraId="35C584D7">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b w:val="0"/>
                      <w:bCs w:val="0"/>
                      <w:color w:val="auto"/>
                      <w:szCs w:val="20"/>
                      <w:highlight w:val="none"/>
                      <w:lang w:val="en-US" w:eastAsia="zh-CN"/>
                    </w:rPr>
                    <w:t>/</w:t>
                  </w:r>
                </w:p>
              </w:tc>
              <w:tc>
                <w:tcPr>
                  <w:tcW w:w="506" w:type="pct"/>
                  <w:tcBorders>
                    <w:tl2br w:val="nil"/>
                    <w:tr2bl w:val="nil"/>
                  </w:tcBorders>
                  <w:vAlign w:val="center"/>
                </w:tcPr>
                <w:p w14:paraId="7CBD2932">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b w:val="0"/>
                      <w:bCs w:val="0"/>
                      <w:color w:val="auto"/>
                      <w:szCs w:val="20"/>
                      <w:highlight w:val="none"/>
                      <w:lang w:val="en-US" w:eastAsia="zh-CN"/>
                    </w:rPr>
                    <w:t>1台</w:t>
                  </w:r>
                </w:p>
              </w:tc>
              <w:tc>
                <w:tcPr>
                  <w:tcW w:w="1024" w:type="pct"/>
                  <w:vMerge w:val="continue"/>
                  <w:tcBorders>
                    <w:tl2br w:val="nil"/>
                    <w:tr2bl w:val="nil"/>
                  </w:tcBorders>
                  <w:vAlign w:val="center"/>
                </w:tcPr>
                <w:p w14:paraId="3C49B7F7">
                  <w:pPr>
                    <w:pStyle w:val="80"/>
                    <w:keepNext w:val="0"/>
                    <w:keepLines w:val="0"/>
                    <w:widowControl/>
                    <w:suppressLineNumbers w:val="0"/>
                    <w:snapToGrid w:val="0"/>
                    <w:spacing w:before="0" w:beforeAutospacing="0" w:after="0" w:afterAutospacing="0"/>
                    <w:ind w:left="0" w:leftChars="0" w:right="0" w:rightChars="0"/>
                    <w:rPr>
                      <w:rFonts w:hint="eastAsia"/>
                      <w:b w:val="0"/>
                      <w:bCs w:val="0"/>
                      <w:color w:val="auto"/>
                      <w:szCs w:val="20"/>
                      <w:highlight w:val="none"/>
                      <w:lang w:val="en-US" w:eastAsia="zh-CN"/>
                    </w:rPr>
                  </w:pPr>
                </w:p>
              </w:tc>
            </w:tr>
            <w:tr w14:paraId="5F2DD4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4DE94DEA">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shd w:val="clear" w:color="auto" w:fill="auto"/>
                  <w:vAlign w:val="center"/>
                </w:tcPr>
                <w:p w14:paraId="190FCA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center"/>
                    <w:textAlignment w:val="auto"/>
                    <w:rPr>
                      <w:rFonts w:hint="eastAsia" w:ascii="Times New Roman" w:hAnsi="Times New Roman" w:eastAsia="宋体" w:cs="Times New Roman"/>
                      <w:b w:val="0"/>
                      <w:bCs w:val="0"/>
                      <w:color w:val="auto"/>
                      <w:kern w:val="2"/>
                      <w:sz w:val="24"/>
                      <w:szCs w:val="20"/>
                      <w:highlight w:val="none"/>
                      <w:lang w:val="en-US" w:eastAsia="zh-CN" w:bidi="ar-SA"/>
                    </w:rPr>
                  </w:pPr>
                  <w:r>
                    <w:rPr>
                      <w:rFonts w:hint="eastAsia"/>
                      <w:color w:val="auto"/>
                      <w:sz w:val="21"/>
                      <w:szCs w:val="21"/>
                      <w:highlight w:val="none"/>
                    </w:rPr>
                    <w:t>酸度计</w:t>
                  </w:r>
                </w:p>
              </w:tc>
              <w:tc>
                <w:tcPr>
                  <w:tcW w:w="1747" w:type="pct"/>
                  <w:tcBorders>
                    <w:tl2br w:val="nil"/>
                    <w:tr2bl w:val="nil"/>
                  </w:tcBorders>
                  <w:shd w:val="clear" w:color="auto" w:fill="auto"/>
                  <w:vAlign w:val="center"/>
                </w:tcPr>
                <w:p w14:paraId="1BCC0A1C">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w:t>
                  </w:r>
                </w:p>
              </w:tc>
              <w:tc>
                <w:tcPr>
                  <w:tcW w:w="506" w:type="pct"/>
                  <w:tcBorders>
                    <w:tl2br w:val="nil"/>
                    <w:tr2bl w:val="nil"/>
                  </w:tcBorders>
                  <w:shd w:val="clear" w:color="auto" w:fill="auto"/>
                  <w:vAlign w:val="center"/>
                </w:tcPr>
                <w:p w14:paraId="25650455">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1台</w:t>
                  </w:r>
                </w:p>
              </w:tc>
              <w:tc>
                <w:tcPr>
                  <w:tcW w:w="1024" w:type="pct"/>
                  <w:vMerge w:val="continue"/>
                  <w:tcBorders>
                    <w:tl2br w:val="nil"/>
                    <w:tr2bl w:val="nil"/>
                  </w:tcBorders>
                  <w:vAlign w:val="center"/>
                </w:tcPr>
                <w:p w14:paraId="0A42015C">
                  <w:pPr>
                    <w:pStyle w:val="80"/>
                    <w:keepNext w:val="0"/>
                    <w:keepLines w:val="0"/>
                    <w:widowControl/>
                    <w:suppressLineNumbers w:val="0"/>
                    <w:snapToGrid w:val="0"/>
                    <w:spacing w:before="0" w:beforeAutospacing="0" w:after="0" w:afterAutospacing="0"/>
                    <w:ind w:left="0" w:leftChars="0" w:right="0" w:rightChars="0"/>
                    <w:rPr>
                      <w:rFonts w:hint="eastAsia"/>
                      <w:b w:val="0"/>
                      <w:bCs w:val="0"/>
                      <w:color w:val="auto"/>
                      <w:szCs w:val="20"/>
                      <w:highlight w:val="none"/>
                      <w:lang w:val="en-US" w:eastAsia="zh-CN"/>
                    </w:rPr>
                  </w:pPr>
                </w:p>
              </w:tc>
            </w:tr>
            <w:tr w14:paraId="6171CB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3DF06B06">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4289BD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center"/>
                    <w:textAlignment w:val="auto"/>
                    <w:rPr>
                      <w:rFonts w:hint="eastAsia" w:eastAsia="宋体"/>
                      <w:b w:val="0"/>
                      <w:bCs w:val="0"/>
                      <w:color w:val="auto"/>
                      <w:szCs w:val="20"/>
                      <w:highlight w:val="none"/>
                      <w:lang w:val="en-US" w:eastAsia="zh-CN"/>
                    </w:rPr>
                  </w:pPr>
                  <w:r>
                    <w:rPr>
                      <w:rFonts w:hint="eastAsia"/>
                      <w:color w:val="auto"/>
                      <w:sz w:val="21"/>
                      <w:szCs w:val="21"/>
                      <w:highlight w:val="none"/>
                      <w:lang w:val="en-US" w:eastAsia="zh-CN"/>
                    </w:rPr>
                    <w:t>紫外杀菌锅</w:t>
                  </w:r>
                </w:p>
              </w:tc>
              <w:tc>
                <w:tcPr>
                  <w:tcW w:w="1747" w:type="pct"/>
                  <w:tcBorders>
                    <w:tl2br w:val="nil"/>
                    <w:tr2bl w:val="nil"/>
                  </w:tcBorders>
                  <w:vAlign w:val="center"/>
                </w:tcPr>
                <w:p w14:paraId="11B0BE41">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b w:val="0"/>
                      <w:bCs w:val="0"/>
                      <w:color w:val="auto"/>
                      <w:szCs w:val="20"/>
                      <w:highlight w:val="none"/>
                      <w:lang w:val="en-US" w:eastAsia="zh-CN"/>
                    </w:rPr>
                    <w:t>/</w:t>
                  </w:r>
                </w:p>
              </w:tc>
              <w:tc>
                <w:tcPr>
                  <w:tcW w:w="506" w:type="pct"/>
                  <w:tcBorders>
                    <w:tl2br w:val="nil"/>
                    <w:tr2bl w:val="nil"/>
                  </w:tcBorders>
                  <w:vAlign w:val="center"/>
                </w:tcPr>
                <w:p w14:paraId="24B0CB93">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b w:val="0"/>
                      <w:bCs w:val="0"/>
                      <w:color w:val="auto"/>
                      <w:szCs w:val="20"/>
                      <w:highlight w:val="none"/>
                      <w:lang w:val="en-US" w:eastAsia="zh-CN"/>
                    </w:rPr>
                    <w:t>1台</w:t>
                  </w:r>
                </w:p>
              </w:tc>
              <w:tc>
                <w:tcPr>
                  <w:tcW w:w="1024" w:type="pct"/>
                  <w:vMerge w:val="continue"/>
                  <w:tcBorders>
                    <w:tl2br w:val="nil"/>
                    <w:tr2bl w:val="nil"/>
                  </w:tcBorders>
                  <w:vAlign w:val="center"/>
                </w:tcPr>
                <w:p w14:paraId="775C0F0C">
                  <w:pPr>
                    <w:pStyle w:val="80"/>
                    <w:keepNext w:val="0"/>
                    <w:keepLines w:val="0"/>
                    <w:widowControl/>
                    <w:suppressLineNumbers w:val="0"/>
                    <w:snapToGrid w:val="0"/>
                    <w:spacing w:before="0" w:beforeAutospacing="0" w:after="0" w:afterAutospacing="0"/>
                    <w:ind w:left="0" w:leftChars="0" w:right="0" w:rightChars="0"/>
                    <w:rPr>
                      <w:rFonts w:hint="eastAsia"/>
                      <w:b w:val="0"/>
                      <w:bCs w:val="0"/>
                      <w:color w:val="auto"/>
                      <w:szCs w:val="20"/>
                      <w:highlight w:val="none"/>
                      <w:lang w:val="en-US" w:eastAsia="zh-CN"/>
                    </w:rPr>
                  </w:pPr>
                </w:p>
              </w:tc>
            </w:tr>
            <w:tr w14:paraId="40B9A6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restart"/>
                  <w:tcBorders>
                    <w:tl2br w:val="nil"/>
                    <w:tr2bl w:val="nil"/>
                  </w:tcBorders>
                  <w:vAlign w:val="center"/>
                </w:tcPr>
                <w:p w14:paraId="06E6B01E">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lang w:val="en-US" w:eastAsia="zh-CN"/>
                    </w:rPr>
                  </w:pPr>
                  <w:r>
                    <w:rPr>
                      <w:rFonts w:hint="eastAsia"/>
                      <w:b w:val="0"/>
                      <w:bCs w:val="0"/>
                      <w:color w:val="auto"/>
                      <w:szCs w:val="20"/>
                      <w:highlight w:val="none"/>
                      <w:lang w:val="en-US" w:eastAsia="zh-CN"/>
                    </w:rPr>
                    <w:t>制冷机组</w:t>
                  </w:r>
                </w:p>
              </w:tc>
              <w:tc>
                <w:tcPr>
                  <w:tcW w:w="1250" w:type="pct"/>
                  <w:tcBorders>
                    <w:tl2br w:val="nil"/>
                    <w:tr2bl w:val="nil"/>
                  </w:tcBorders>
                  <w:vAlign w:val="center"/>
                </w:tcPr>
                <w:p w14:paraId="7EC311F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zCs w:val="20"/>
                      <w:highlight w:val="none"/>
                      <w:lang w:eastAsia="zh-CN"/>
                    </w:rPr>
                  </w:pPr>
                  <w:r>
                    <w:rPr>
                      <w:rFonts w:hint="default" w:ascii="Times New Roman" w:hAnsi="Times New Roman" w:cs="Times New Roman"/>
                      <w:b w:val="0"/>
                      <w:bCs w:val="0"/>
                      <w:color w:val="auto"/>
                      <w:sz w:val="21"/>
                      <w:szCs w:val="21"/>
                      <w:lang w:val="en-US" w:eastAsia="zh-CN"/>
                    </w:rPr>
                    <w:t>风冷柜式空调机组</w:t>
                  </w:r>
                </w:p>
              </w:tc>
              <w:tc>
                <w:tcPr>
                  <w:tcW w:w="1747" w:type="pct"/>
                  <w:tcBorders>
                    <w:tl2br w:val="nil"/>
                    <w:tr2bl w:val="nil"/>
                  </w:tcBorders>
                  <w:vAlign w:val="center"/>
                </w:tcPr>
                <w:p w14:paraId="235A922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zCs w:val="20"/>
                      <w:highlight w:val="none"/>
                      <w:lang w:val="en-US" w:eastAsia="zh-CN"/>
                    </w:rPr>
                  </w:pPr>
                  <w:r>
                    <w:rPr>
                      <w:rFonts w:hint="default" w:ascii="Times New Roman" w:hAnsi="Times New Roman" w:cs="Times New Roman"/>
                      <w:b w:val="0"/>
                      <w:bCs w:val="0"/>
                      <w:color w:val="auto"/>
                      <w:sz w:val="21"/>
                      <w:szCs w:val="21"/>
                      <w:lang w:val="en-US" w:eastAsia="zh-CN"/>
                    </w:rPr>
                    <w:t>FLG-45-W-T</w:t>
                  </w:r>
                </w:p>
              </w:tc>
              <w:tc>
                <w:tcPr>
                  <w:tcW w:w="506" w:type="pct"/>
                  <w:tcBorders>
                    <w:tl2br w:val="nil"/>
                    <w:tr2bl w:val="nil"/>
                  </w:tcBorders>
                  <w:vAlign w:val="center"/>
                </w:tcPr>
                <w:p w14:paraId="5A33C582">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b w:val="0"/>
                      <w:bCs w:val="0"/>
                      <w:color w:val="auto"/>
                      <w:szCs w:val="20"/>
                      <w:highlight w:val="none"/>
                      <w:lang w:val="en-US" w:eastAsia="zh-CN"/>
                    </w:rPr>
                    <w:t>1台</w:t>
                  </w:r>
                </w:p>
              </w:tc>
              <w:tc>
                <w:tcPr>
                  <w:tcW w:w="1024" w:type="pct"/>
                  <w:tcBorders>
                    <w:tl2br w:val="nil"/>
                    <w:tr2bl w:val="nil"/>
                  </w:tcBorders>
                  <w:vAlign w:val="center"/>
                </w:tcPr>
                <w:p w14:paraId="61EF93B7">
                  <w:pPr>
                    <w:pStyle w:val="80"/>
                    <w:keepNext w:val="0"/>
                    <w:keepLines w:val="0"/>
                    <w:widowControl/>
                    <w:suppressLineNumbers w:val="0"/>
                    <w:snapToGrid w:val="0"/>
                    <w:spacing w:before="0" w:beforeAutospacing="0" w:after="0" w:afterAutospacing="0"/>
                    <w:ind w:left="0" w:leftChars="0" w:right="0" w:rightChars="0"/>
                    <w:rPr>
                      <w:rFonts w:hint="default"/>
                      <w:b w:val="0"/>
                      <w:bCs w:val="0"/>
                      <w:color w:val="auto"/>
                      <w:szCs w:val="20"/>
                      <w:highlight w:val="none"/>
                      <w:lang w:val="en-US" w:eastAsia="zh-CN"/>
                    </w:rPr>
                  </w:pPr>
                  <w:r>
                    <w:rPr>
                      <w:rFonts w:hint="eastAsia"/>
                      <w:b w:val="0"/>
                      <w:bCs w:val="0"/>
                      <w:color w:val="auto"/>
                      <w:szCs w:val="20"/>
                      <w:highlight w:val="none"/>
                      <w:lang w:val="en-US" w:eastAsia="zh-CN"/>
                    </w:rPr>
                    <w:t>冷库</w:t>
                  </w:r>
                </w:p>
              </w:tc>
            </w:tr>
            <w:tr w14:paraId="479810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19F5DCF8">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lang w:val="en-US" w:eastAsia="zh-CN"/>
                    </w:rPr>
                  </w:pPr>
                </w:p>
              </w:tc>
              <w:tc>
                <w:tcPr>
                  <w:tcW w:w="1250" w:type="pct"/>
                  <w:tcBorders>
                    <w:tl2br w:val="nil"/>
                    <w:tr2bl w:val="nil"/>
                  </w:tcBorders>
                  <w:vAlign w:val="center"/>
                </w:tcPr>
                <w:p w14:paraId="7E4A782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zCs w:val="20"/>
                      <w:highlight w:val="none"/>
                      <w:lang w:eastAsia="zh-CN"/>
                    </w:rPr>
                  </w:pPr>
                  <w:r>
                    <w:rPr>
                      <w:rFonts w:hint="default" w:ascii="Times New Roman" w:hAnsi="Times New Roman" w:cs="Times New Roman"/>
                      <w:b w:val="0"/>
                      <w:bCs w:val="0"/>
                      <w:color w:val="auto"/>
                      <w:sz w:val="21"/>
                      <w:szCs w:val="21"/>
                      <w:lang w:val="en-US" w:eastAsia="zh-CN"/>
                    </w:rPr>
                    <w:t>风冷柜式空调机组</w:t>
                  </w:r>
                </w:p>
              </w:tc>
              <w:tc>
                <w:tcPr>
                  <w:tcW w:w="1747" w:type="pct"/>
                  <w:tcBorders>
                    <w:tl2br w:val="nil"/>
                    <w:tr2bl w:val="nil"/>
                  </w:tcBorders>
                  <w:vAlign w:val="center"/>
                </w:tcPr>
                <w:p w14:paraId="097E2C2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zCs w:val="20"/>
                      <w:highlight w:val="none"/>
                      <w:lang w:val="en-US" w:eastAsia="zh-CN"/>
                    </w:rPr>
                  </w:pPr>
                  <w:r>
                    <w:rPr>
                      <w:rFonts w:hint="default" w:ascii="Times New Roman" w:hAnsi="Times New Roman" w:cs="Times New Roman"/>
                      <w:b w:val="0"/>
                      <w:bCs w:val="0"/>
                      <w:color w:val="auto"/>
                      <w:sz w:val="21"/>
                      <w:szCs w:val="21"/>
                      <w:lang w:val="en-US" w:eastAsia="zh-CN"/>
                    </w:rPr>
                    <w:t>FLGH-30-W-T</w:t>
                  </w:r>
                </w:p>
              </w:tc>
              <w:tc>
                <w:tcPr>
                  <w:tcW w:w="506" w:type="pct"/>
                  <w:tcBorders>
                    <w:tl2br w:val="nil"/>
                    <w:tr2bl w:val="nil"/>
                  </w:tcBorders>
                  <w:vAlign w:val="center"/>
                </w:tcPr>
                <w:p w14:paraId="44B6ED32">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b w:val="0"/>
                      <w:bCs w:val="0"/>
                      <w:color w:val="auto"/>
                      <w:szCs w:val="20"/>
                      <w:highlight w:val="none"/>
                      <w:lang w:val="en-US" w:eastAsia="zh-CN"/>
                    </w:rPr>
                  </w:pPr>
                  <w:r>
                    <w:rPr>
                      <w:rFonts w:hint="eastAsia"/>
                      <w:b w:val="0"/>
                      <w:bCs w:val="0"/>
                      <w:color w:val="auto"/>
                      <w:szCs w:val="20"/>
                      <w:highlight w:val="none"/>
                      <w:lang w:val="en-US" w:eastAsia="zh-CN"/>
                    </w:rPr>
                    <w:t>1台</w:t>
                  </w:r>
                </w:p>
              </w:tc>
              <w:tc>
                <w:tcPr>
                  <w:tcW w:w="1024" w:type="pct"/>
                  <w:tcBorders>
                    <w:tl2br w:val="nil"/>
                    <w:tr2bl w:val="nil"/>
                  </w:tcBorders>
                  <w:vAlign w:val="center"/>
                </w:tcPr>
                <w:p w14:paraId="0135B383">
                  <w:pPr>
                    <w:pStyle w:val="80"/>
                    <w:keepNext w:val="0"/>
                    <w:keepLines w:val="0"/>
                    <w:widowControl/>
                    <w:suppressLineNumbers w:val="0"/>
                    <w:snapToGrid w:val="0"/>
                    <w:spacing w:before="0" w:beforeAutospacing="0" w:after="0" w:afterAutospacing="0"/>
                    <w:ind w:left="0" w:leftChars="0" w:right="0" w:rightChars="0"/>
                    <w:rPr>
                      <w:rFonts w:hint="default"/>
                      <w:b w:val="0"/>
                      <w:bCs w:val="0"/>
                      <w:color w:val="auto"/>
                      <w:szCs w:val="20"/>
                      <w:highlight w:val="none"/>
                      <w:lang w:val="en-US" w:eastAsia="zh-CN"/>
                    </w:rPr>
                  </w:pPr>
                  <w:r>
                    <w:rPr>
                      <w:rFonts w:hint="eastAsia"/>
                      <w:b w:val="0"/>
                      <w:bCs w:val="0"/>
                      <w:color w:val="auto"/>
                      <w:szCs w:val="20"/>
                      <w:highlight w:val="none"/>
                      <w:lang w:val="en-US" w:eastAsia="zh-CN"/>
                    </w:rPr>
                    <w:t>中央厨房</w:t>
                  </w:r>
                </w:p>
              </w:tc>
            </w:tr>
            <w:tr w14:paraId="0445AC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tcBorders>
                    <w:tl2br w:val="nil"/>
                    <w:tr2bl w:val="nil"/>
                  </w:tcBorders>
                  <w:vAlign w:val="center"/>
                </w:tcPr>
                <w:p w14:paraId="69939BC8">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rPr>
                  </w:pPr>
                  <w:r>
                    <w:rPr>
                      <w:rFonts w:hint="eastAsia"/>
                      <w:b w:val="0"/>
                      <w:bCs w:val="0"/>
                      <w:color w:val="auto"/>
                      <w:szCs w:val="20"/>
                      <w:highlight w:val="none"/>
                      <w:lang w:val="en-US" w:eastAsia="zh-CN"/>
                    </w:rPr>
                    <w:t>废气治理设施</w:t>
                  </w:r>
                </w:p>
              </w:tc>
              <w:tc>
                <w:tcPr>
                  <w:tcW w:w="1250" w:type="pct"/>
                  <w:tcBorders>
                    <w:tl2br w:val="nil"/>
                    <w:tr2bl w:val="nil"/>
                  </w:tcBorders>
                  <w:vAlign w:val="center"/>
                </w:tcPr>
                <w:p w14:paraId="259445C8">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 w:val="21"/>
                      <w:szCs w:val="20"/>
                      <w:highlight w:val="none"/>
                      <w:lang w:val="en-US" w:eastAsia="zh-CN" w:bidi="ar-SA"/>
                    </w:rPr>
                    <w:t>油烟净化器</w:t>
                  </w:r>
                </w:p>
              </w:tc>
              <w:tc>
                <w:tcPr>
                  <w:tcW w:w="1747" w:type="pct"/>
                  <w:tcBorders>
                    <w:tl2br w:val="nil"/>
                    <w:tr2bl w:val="nil"/>
                  </w:tcBorders>
                  <w:vAlign w:val="center"/>
                </w:tcPr>
                <w:p w14:paraId="2F42C52C">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高效静音式</w:t>
                  </w:r>
                </w:p>
              </w:tc>
              <w:tc>
                <w:tcPr>
                  <w:tcW w:w="506" w:type="pct"/>
                  <w:tcBorders>
                    <w:tl2br w:val="nil"/>
                    <w:tr2bl w:val="nil"/>
                  </w:tcBorders>
                  <w:vAlign w:val="center"/>
                </w:tcPr>
                <w:p w14:paraId="1580E7E2">
                  <w:pPr>
                    <w:pStyle w:val="80"/>
                    <w:keepNext w:val="0"/>
                    <w:keepLines w:val="0"/>
                    <w:widowControl/>
                    <w:suppressLineNumbers w:val="0"/>
                    <w:snapToGrid w:val="0"/>
                    <w:spacing w:before="0" w:beforeAutospacing="0" w:after="0" w:afterAutospacing="0"/>
                    <w:ind w:left="0" w:right="0"/>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1台</w:t>
                  </w:r>
                </w:p>
              </w:tc>
              <w:tc>
                <w:tcPr>
                  <w:tcW w:w="1024" w:type="pct"/>
                  <w:tcBorders>
                    <w:tl2br w:val="nil"/>
                    <w:tr2bl w:val="nil"/>
                  </w:tcBorders>
                  <w:vAlign w:val="center"/>
                </w:tcPr>
                <w:p w14:paraId="63334F53">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中央厨房</w:t>
                  </w:r>
                </w:p>
              </w:tc>
            </w:tr>
            <w:tr w14:paraId="59FEFF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restart"/>
                  <w:tcBorders>
                    <w:tl2br w:val="nil"/>
                    <w:tr2bl w:val="nil"/>
                  </w:tcBorders>
                  <w:vAlign w:val="center"/>
                </w:tcPr>
                <w:p w14:paraId="4D2F8FCE">
                  <w:pPr>
                    <w:pStyle w:val="80"/>
                    <w:keepNext w:val="0"/>
                    <w:keepLines w:val="0"/>
                    <w:widowControl/>
                    <w:suppressLineNumbers w:val="0"/>
                    <w:snapToGrid w:val="0"/>
                    <w:spacing w:before="0" w:beforeAutospacing="0" w:after="0" w:afterAutospacing="0"/>
                    <w:ind w:left="0" w:leftChars="0" w:right="0" w:rightChars="0"/>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lang w:val="en-US" w:eastAsia="zh-CN"/>
                    </w:rPr>
                    <w:t>废水治理设施</w:t>
                  </w:r>
                </w:p>
              </w:tc>
              <w:tc>
                <w:tcPr>
                  <w:tcW w:w="1250" w:type="pct"/>
                  <w:tcBorders>
                    <w:tl2br w:val="nil"/>
                    <w:tr2bl w:val="nil"/>
                  </w:tcBorders>
                  <w:vAlign w:val="center"/>
                </w:tcPr>
                <w:p w14:paraId="6B395CE8">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 w:val="21"/>
                      <w:szCs w:val="20"/>
                      <w:highlight w:val="none"/>
                      <w:lang w:val="en-US" w:eastAsia="zh-CN" w:bidi="ar-SA"/>
                    </w:rPr>
                    <w:t>地埋式污水处理设备</w:t>
                  </w:r>
                </w:p>
              </w:tc>
              <w:tc>
                <w:tcPr>
                  <w:tcW w:w="1747" w:type="pct"/>
                  <w:tcBorders>
                    <w:tl2br w:val="nil"/>
                    <w:tr2bl w:val="nil"/>
                  </w:tcBorders>
                  <w:vAlign w:val="center"/>
                </w:tcPr>
                <w:p w14:paraId="1B95AEC1">
                  <w:pPr>
                    <w:pStyle w:val="80"/>
                    <w:keepNext w:val="0"/>
                    <w:keepLines w:val="0"/>
                    <w:widowControl/>
                    <w:suppressLineNumbers w:val="0"/>
                    <w:snapToGrid w:val="0"/>
                    <w:spacing w:before="0" w:beforeAutospacing="0" w:after="0" w:afterAutospacing="0"/>
                    <w:ind w:left="0" w:leftChars="0" w:right="0" w:rightChars="0"/>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w:t>
                  </w:r>
                </w:p>
              </w:tc>
              <w:tc>
                <w:tcPr>
                  <w:tcW w:w="506" w:type="pct"/>
                  <w:tcBorders>
                    <w:tl2br w:val="nil"/>
                    <w:tr2bl w:val="nil"/>
                  </w:tcBorders>
                  <w:vAlign w:val="center"/>
                </w:tcPr>
                <w:p w14:paraId="746D982E">
                  <w:pPr>
                    <w:pStyle w:val="80"/>
                    <w:keepNext w:val="0"/>
                    <w:keepLines w:val="0"/>
                    <w:widowControl/>
                    <w:suppressLineNumbers w:val="0"/>
                    <w:snapToGrid w:val="0"/>
                    <w:spacing w:before="0" w:beforeAutospacing="0" w:after="0" w:afterAutospacing="0"/>
                    <w:ind w:left="0" w:leftChars="0" w:right="0" w:rightChars="0"/>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1套</w:t>
                  </w:r>
                </w:p>
              </w:tc>
              <w:tc>
                <w:tcPr>
                  <w:tcW w:w="1024" w:type="pct"/>
                  <w:vMerge w:val="restart"/>
                  <w:tcBorders>
                    <w:tl2br w:val="nil"/>
                    <w:tr2bl w:val="nil"/>
                  </w:tcBorders>
                  <w:vAlign w:val="center"/>
                </w:tcPr>
                <w:p w14:paraId="1AB12BAA">
                  <w:pPr>
                    <w:pStyle w:val="80"/>
                    <w:keepNext w:val="0"/>
                    <w:keepLines w:val="0"/>
                    <w:widowControl/>
                    <w:suppressLineNumbers w:val="0"/>
                    <w:snapToGrid w:val="0"/>
                    <w:spacing w:before="0" w:beforeAutospacing="0" w:after="0" w:afterAutospacing="0"/>
                    <w:ind w:left="0" w:leftChars="0" w:right="0" w:rightChars="0"/>
                    <w:rPr>
                      <w:rFonts w:hint="eastAsia" w:ascii="Times New Roman" w:hAnsi="Times New Roman" w:eastAsia="宋体" w:cs="Times New Roman"/>
                      <w:b w:val="0"/>
                      <w:bCs w:val="0"/>
                      <w:color w:val="auto"/>
                      <w:sz w:val="21"/>
                      <w:szCs w:val="20"/>
                      <w:highlight w:val="none"/>
                      <w:lang w:val="en-US" w:eastAsia="zh-CN" w:bidi="ar-SA"/>
                    </w:rPr>
                  </w:pPr>
                  <w:r>
                    <w:rPr>
                      <w:rFonts w:hint="eastAsia"/>
                      <w:b w:val="0"/>
                      <w:bCs w:val="0"/>
                      <w:color w:val="auto"/>
                      <w:szCs w:val="20"/>
                      <w:highlight w:val="none"/>
                    </w:rPr>
                    <w:t>车间室外</w:t>
                  </w:r>
                </w:p>
              </w:tc>
            </w:tr>
            <w:tr w14:paraId="5D5038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vMerge w:val="continue"/>
                  <w:tcBorders>
                    <w:tl2br w:val="nil"/>
                    <w:tr2bl w:val="nil"/>
                  </w:tcBorders>
                  <w:vAlign w:val="center"/>
                </w:tcPr>
                <w:p w14:paraId="6A04CAC1">
                  <w:pPr>
                    <w:pStyle w:val="80"/>
                    <w:keepNext w:val="0"/>
                    <w:keepLines w:val="0"/>
                    <w:widowControl/>
                    <w:suppressLineNumbers w:val="0"/>
                    <w:snapToGrid w:val="0"/>
                    <w:spacing w:before="0" w:beforeAutospacing="0" w:after="0" w:afterAutospacing="0"/>
                    <w:ind w:left="0" w:leftChars="0" w:right="0" w:rightChars="0"/>
                    <w:rPr>
                      <w:rFonts w:hint="eastAsia"/>
                      <w:b w:val="0"/>
                      <w:bCs w:val="0"/>
                      <w:color w:val="auto"/>
                      <w:szCs w:val="20"/>
                      <w:highlight w:val="none"/>
                      <w:lang w:val="en-US" w:eastAsia="zh-CN"/>
                    </w:rPr>
                  </w:pPr>
                </w:p>
              </w:tc>
              <w:tc>
                <w:tcPr>
                  <w:tcW w:w="1250" w:type="pct"/>
                  <w:tcBorders>
                    <w:tl2br w:val="nil"/>
                    <w:tr2bl w:val="nil"/>
                  </w:tcBorders>
                  <w:vAlign w:val="center"/>
                </w:tcPr>
                <w:p w14:paraId="3702AD77">
                  <w:pPr>
                    <w:pStyle w:val="80"/>
                    <w:keepNext w:val="0"/>
                    <w:keepLines w:val="0"/>
                    <w:widowControl/>
                    <w:suppressLineNumbers w:val="0"/>
                    <w:snapToGrid w:val="0"/>
                    <w:spacing w:before="0" w:beforeAutospacing="0" w:after="0" w:afterAutospacing="0"/>
                    <w:ind w:left="0" w:leftChars="0" w:right="0" w:rightChars="0"/>
                    <w:rPr>
                      <w:rFonts w:hint="default" w:cs="Times New Roman"/>
                      <w:b w:val="0"/>
                      <w:bCs w:val="0"/>
                      <w:color w:val="auto"/>
                      <w:sz w:val="21"/>
                      <w:szCs w:val="20"/>
                      <w:highlight w:val="none"/>
                      <w:lang w:val="en-US" w:eastAsia="zh-CN" w:bidi="ar-SA"/>
                    </w:rPr>
                  </w:pPr>
                  <w:r>
                    <w:rPr>
                      <w:rFonts w:hint="eastAsia" w:cs="Times New Roman"/>
                      <w:b w:val="0"/>
                      <w:bCs w:val="0"/>
                      <w:color w:val="auto"/>
                      <w:sz w:val="21"/>
                      <w:szCs w:val="20"/>
                      <w:highlight w:val="none"/>
                      <w:lang w:val="en-US" w:eastAsia="zh-CN" w:bidi="ar-SA"/>
                    </w:rPr>
                    <w:t>提升泵</w:t>
                  </w:r>
                </w:p>
              </w:tc>
              <w:tc>
                <w:tcPr>
                  <w:tcW w:w="1747" w:type="pct"/>
                  <w:tcBorders>
                    <w:tl2br w:val="nil"/>
                    <w:tr2bl w:val="nil"/>
                  </w:tcBorders>
                  <w:vAlign w:val="center"/>
                </w:tcPr>
                <w:p w14:paraId="3C29B839">
                  <w:pPr>
                    <w:pStyle w:val="80"/>
                    <w:keepNext w:val="0"/>
                    <w:keepLines w:val="0"/>
                    <w:widowControl/>
                    <w:suppressLineNumbers w:val="0"/>
                    <w:snapToGrid w:val="0"/>
                    <w:spacing w:before="0" w:beforeAutospacing="0" w:after="0" w:afterAutospacing="0"/>
                    <w:ind w:left="0" w:leftChars="0" w:right="0" w:rightChars="0"/>
                    <w:rPr>
                      <w:rFonts w:hint="eastAsia"/>
                      <w:b w:val="0"/>
                      <w:bCs w:val="0"/>
                      <w:color w:val="auto"/>
                      <w:szCs w:val="20"/>
                      <w:highlight w:val="none"/>
                    </w:rPr>
                  </w:pPr>
                  <w:r>
                    <w:rPr>
                      <w:rFonts w:hint="eastAsia"/>
                      <w:b w:val="0"/>
                      <w:bCs w:val="0"/>
                      <w:color w:val="auto"/>
                      <w:szCs w:val="20"/>
                      <w:highlight w:val="none"/>
                    </w:rPr>
                    <w:t>/</w:t>
                  </w:r>
                </w:p>
              </w:tc>
              <w:tc>
                <w:tcPr>
                  <w:tcW w:w="506" w:type="pct"/>
                  <w:tcBorders>
                    <w:tl2br w:val="nil"/>
                    <w:tr2bl w:val="nil"/>
                  </w:tcBorders>
                  <w:vAlign w:val="center"/>
                </w:tcPr>
                <w:p w14:paraId="60FD4ECD">
                  <w:pPr>
                    <w:pStyle w:val="80"/>
                    <w:keepNext w:val="0"/>
                    <w:keepLines w:val="0"/>
                    <w:widowControl/>
                    <w:suppressLineNumbers w:val="0"/>
                    <w:snapToGrid w:val="0"/>
                    <w:spacing w:before="0" w:beforeAutospacing="0" w:after="0" w:afterAutospacing="0"/>
                    <w:ind w:left="0" w:leftChars="0" w:right="0" w:rightChars="0"/>
                    <w:rPr>
                      <w:rFonts w:hint="eastAsia"/>
                      <w:b w:val="0"/>
                      <w:bCs w:val="0"/>
                      <w:color w:val="auto"/>
                      <w:szCs w:val="20"/>
                      <w:highlight w:val="none"/>
                    </w:rPr>
                  </w:pPr>
                  <w:r>
                    <w:rPr>
                      <w:rFonts w:hint="eastAsia"/>
                      <w:b w:val="0"/>
                      <w:bCs w:val="0"/>
                      <w:color w:val="auto"/>
                      <w:szCs w:val="20"/>
                      <w:highlight w:val="none"/>
                      <w:lang w:val="en-US" w:eastAsia="zh-CN"/>
                    </w:rPr>
                    <w:t>1台</w:t>
                  </w:r>
                </w:p>
              </w:tc>
              <w:tc>
                <w:tcPr>
                  <w:tcW w:w="1024" w:type="pct"/>
                  <w:vMerge w:val="continue"/>
                  <w:tcBorders>
                    <w:tl2br w:val="nil"/>
                    <w:tr2bl w:val="nil"/>
                  </w:tcBorders>
                  <w:vAlign w:val="center"/>
                </w:tcPr>
                <w:p w14:paraId="53377D1C">
                  <w:pPr>
                    <w:pStyle w:val="80"/>
                    <w:keepNext w:val="0"/>
                    <w:keepLines w:val="0"/>
                    <w:widowControl/>
                    <w:suppressLineNumbers w:val="0"/>
                    <w:snapToGrid w:val="0"/>
                    <w:spacing w:before="0" w:beforeAutospacing="0" w:after="0" w:afterAutospacing="0"/>
                    <w:ind w:left="0" w:leftChars="0" w:right="0" w:rightChars="0"/>
                    <w:rPr>
                      <w:rFonts w:hint="eastAsia"/>
                      <w:b w:val="0"/>
                      <w:bCs w:val="0"/>
                      <w:color w:val="auto"/>
                      <w:szCs w:val="20"/>
                      <w:highlight w:val="none"/>
                    </w:rPr>
                  </w:pPr>
                </w:p>
              </w:tc>
            </w:tr>
            <w:tr w14:paraId="1A90F5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71" w:type="pct"/>
                  <w:tcBorders>
                    <w:tl2br w:val="nil"/>
                    <w:tr2bl w:val="nil"/>
                  </w:tcBorders>
                  <w:vAlign w:val="center"/>
                </w:tcPr>
                <w:p w14:paraId="495E4D98">
                  <w:pPr>
                    <w:pStyle w:val="80"/>
                    <w:keepNext w:val="0"/>
                    <w:keepLines w:val="0"/>
                    <w:widowControl/>
                    <w:suppressLineNumbers w:val="0"/>
                    <w:snapToGrid w:val="0"/>
                    <w:spacing w:before="0" w:beforeAutospacing="0" w:after="0" w:afterAutospacing="0"/>
                    <w:ind w:left="0" w:right="0"/>
                    <w:rPr>
                      <w:rFonts w:hint="default"/>
                      <w:b w:val="0"/>
                      <w:bCs w:val="0"/>
                      <w:color w:val="auto"/>
                      <w:szCs w:val="20"/>
                      <w:highlight w:val="none"/>
                      <w:lang w:val="en-US" w:eastAsia="zh-CN"/>
                    </w:rPr>
                  </w:pPr>
                  <w:r>
                    <w:rPr>
                      <w:rFonts w:hint="eastAsia"/>
                      <w:b w:val="0"/>
                      <w:bCs w:val="0"/>
                      <w:color w:val="auto"/>
                      <w:szCs w:val="20"/>
                      <w:highlight w:val="none"/>
                      <w:lang w:val="en-US" w:eastAsia="zh-CN"/>
                    </w:rPr>
                    <w:t>冷却</w:t>
                  </w:r>
                </w:p>
              </w:tc>
              <w:tc>
                <w:tcPr>
                  <w:tcW w:w="1250" w:type="pct"/>
                  <w:tcBorders>
                    <w:tl2br w:val="nil"/>
                    <w:tr2bl w:val="nil"/>
                  </w:tcBorders>
                  <w:vAlign w:val="center"/>
                </w:tcPr>
                <w:p w14:paraId="376814F4">
                  <w:pPr>
                    <w:pStyle w:val="80"/>
                    <w:keepNext w:val="0"/>
                    <w:keepLines w:val="0"/>
                    <w:widowControl/>
                    <w:suppressLineNumbers w:val="0"/>
                    <w:snapToGrid w:val="0"/>
                    <w:spacing w:before="0" w:beforeAutospacing="0" w:after="0" w:afterAutospacing="0"/>
                    <w:ind w:left="0" w:right="0"/>
                    <w:rPr>
                      <w:rFonts w:hint="default" w:eastAsia="宋体"/>
                      <w:b w:val="0"/>
                      <w:bCs w:val="0"/>
                      <w:color w:val="auto"/>
                      <w:szCs w:val="20"/>
                      <w:highlight w:val="none"/>
                      <w:lang w:val="en-US" w:eastAsia="zh-CN"/>
                    </w:rPr>
                  </w:pPr>
                  <w:r>
                    <w:rPr>
                      <w:rFonts w:hint="eastAsia"/>
                      <w:b w:val="0"/>
                      <w:bCs w:val="0"/>
                      <w:color w:val="auto"/>
                      <w:szCs w:val="20"/>
                      <w:highlight w:val="none"/>
                      <w:lang w:val="en-US" w:eastAsia="zh-CN"/>
                    </w:rPr>
                    <w:t>冷却塔（含风机）</w:t>
                  </w:r>
                </w:p>
              </w:tc>
              <w:tc>
                <w:tcPr>
                  <w:tcW w:w="1747" w:type="pct"/>
                  <w:tcBorders>
                    <w:tl2br w:val="nil"/>
                    <w:tr2bl w:val="nil"/>
                  </w:tcBorders>
                  <w:vAlign w:val="center"/>
                </w:tcPr>
                <w:p w14:paraId="5CCDA474">
                  <w:pPr>
                    <w:pStyle w:val="80"/>
                    <w:keepNext w:val="0"/>
                    <w:keepLines w:val="0"/>
                    <w:widowControl/>
                    <w:suppressLineNumbers w:val="0"/>
                    <w:snapToGrid w:val="0"/>
                    <w:spacing w:before="0" w:beforeAutospacing="0" w:after="0" w:afterAutospacing="0"/>
                    <w:ind w:left="0" w:right="0"/>
                    <w:rPr>
                      <w:rFonts w:hint="eastAsia"/>
                      <w:b w:val="0"/>
                      <w:bCs w:val="0"/>
                      <w:color w:val="auto"/>
                      <w:szCs w:val="20"/>
                      <w:highlight w:val="none"/>
                    </w:rPr>
                  </w:pPr>
                  <w:r>
                    <w:rPr>
                      <w:rFonts w:hint="eastAsia"/>
                      <w:b w:val="0"/>
                      <w:bCs w:val="0"/>
                      <w:color w:val="auto"/>
                      <w:szCs w:val="20"/>
                      <w:highlight w:val="none"/>
                    </w:rPr>
                    <w:t>/</w:t>
                  </w:r>
                </w:p>
              </w:tc>
              <w:tc>
                <w:tcPr>
                  <w:tcW w:w="506" w:type="pct"/>
                  <w:tcBorders>
                    <w:tl2br w:val="nil"/>
                    <w:tr2bl w:val="nil"/>
                  </w:tcBorders>
                  <w:vAlign w:val="center"/>
                </w:tcPr>
                <w:p w14:paraId="0B2A5DCA">
                  <w:pPr>
                    <w:pStyle w:val="80"/>
                    <w:keepNext w:val="0"/>
                    <w:keepLines w:val="0"/>
                    <w:widowControl/>
                    <w:suppressLineNumbers w:val="0"/>
                    <w:snapToGrid w:val="0"/>
                    <w:spacing w:before="0" w:beforeAutospacing="0" w:after="0" w:afterAutospacing="0"/>
                    <w:ind w:left="0" w:right="0"/>
                    <w:rPr>
                      <w:rFonts w:hint="default" w:eastAsia="宋体"/>
                      <w:b w:val="0"/>
                      <w:bCs w:val="0"/>
                      <w:color w:val="auto"/>
                      <w:szCs w:val="20"/>
                      <w:highlight w:val="none"/>
                      <w:lang w:val="en-US" w:eastAsia="zh-CN"/>
                    </w:rPr>
                  </w:pPr>
                  <w:r>
                    <w:rPr>
                      <w:rFonts w:hint="eastAsia"/>
                      <w:b w:val="0"/>
                      <w:bCs w:val="0"/>
                      <w:color w:val="auto"/>
                      <w:szCs w:val="20"/>
                      <w:highlight w:val="none"/>
                      <w:lang w:val="en-US" w:eastAsia="zh-CN"/>
                    </w:rPr>
                    <w:t>1台</w:t>
                  </w:r>
                </w:p>
              </w:tc>
              <w:tc>
                <w:tcPr>
                  <w:tcW w:w="1024" w:type="pct"/>
                  <w:tcBorders>
                    <w:tl2br w:val="nil"/>
                    <w:tr2bl w:val="nil"/>
                  </w:tcBorders>
                  <w:vAlign w:val="center"/>
                </w:tcPr>
                <w:p w14:paraId="666DDFBA">
                  <w:pPr>
                    <w:pStyle w:val="80"/>
                    <w:keepNext w:val="0"/>
                    <w:keepLines w:val="0"/>
                    <w:widowControl/>
                    <w:suppressLineNumbers w:val="0"/>
                    <w:snapToGrid w:val="0"/>
                    <w:spacing w:before="0" w:beforeAutospacing="0" w:after="0" w:afterAutospacing="0"/>
                    <w:ind w:left="0" w:right="0"/>
                    <w:rPr>
                      <w:rFonts w:hint="eastAsia" w:eastAsia="宋体"/>
                      <w:b w:val="0"/>
                      <w:bCs w:val="0"/>
                      <w:color w:val="auto"/>
                      <w:szCs w:val="20"/>
                      <w:highlight w:val="none"/>
                      <w:lang w:eastAsia="zh-CN"/>
                    </w:rPr>
                  </w:pPr>
                  <w:r>
                    <w:rPr>
                      <w:rFonts w:hint="eastAsia"/>
                      <w:b w:val="0"/>
                      <w:bCs w:val="0"/>
                      <w:color w:val="auto"/>
                      <w:szCs w:val="20"/>
                      <w:highlight w:val="none"/>
                    </w:rPr>
                    <w:t>车间室</w:t>
                  </w:r>
                  <w:r>
                    <w:rPr>
                      <w:rFonts w:hint="eastAsia"/>
                      <w:b w:val="0"/>
                      <w:bCs w:val="0"/>
                      <w:color w:val="auto"/>
                      <w:szCs w:val="20"/>
                      <w:highlight w:val="none"/>
                      <w:lang w:val="en-US" w:eastAsia="zh-CN"/>
                    </w:rPr>
                    <w:t>外</w:t>
                  </w:r>
                </w:p>
              </w:tc>
            </w:tr>
          </w:tbl>
          <w:p w14:paraId="4FF7F884">
            <w:pPr>
              <w:keepNext w:val="0"/>
              <w:keepLines w:val="0"/>
              <w:suppressLineNumbers w:val="0"/>
              <w:spacing w:before="120" w:beforeLines="50" w:beforeAutospacing="0" w:after="0" w:afterAutospacing="0"/>
              <w:ind w:left="0" w:right="0" w:firstLine="482"/>
              <w:rPr>
                <w:rFonts w:hint="default"/>
                <w:b/>
                <w:color w:val="auto"/>
                <w:highlight w:val="none"/>
              </w:rPr>
            </w:pPr>
            <w:r>
              <w:rPr>
                <w:rFonts w:hint="eastAsia"/>
                <w:b/>
                <w:color w:val="auto"/>
                <w:highlight w:val="none"/>
              </w:rPr>
              <w:t>5、主要原辅材料及能源消耗</w:t>
            </w:r>
          </w:p>
          <w:p w14:paraId="50E4AD3F">
            <w:pPr>
              <w:keepNext w:val="0"/>
              <w:keepLines w:val="0"/>
              <w:suppressLineNumbers w:val="0"/>
              <w:spacing w:before="0" w:beforeAutospacing="0" w:after="0" w:afterAutospacing="0"/>
              <w:ind w:left="0" w:right="0" w:firstLine="480"/>
              <w:rPr>
                <w:rFonts w:hint="default"/>
                <w:color w:val="auto"/>
                <w:highlight w:val="none"/>
              </w:rPr>
            </w:pPr>
            <w:r>
              <w:rPr>
                <w:rFonts w:hint="default" w:ascii="Times New Roman" w:hAnsi="Times New Roman" w:cs="Times New Roman"/>
                <w:color w:val="auto"/>
                <w:sz w:val="24"/>
              </w:rPr>
              <w:t>根据建设单位提供资料，本项目原辅材料使用情况见下表</w:t>
            </w:r>
            <w:r>
              <w:rPr>
                <w:rFonts w:hint="default"/>
                <w:color w:val="auto"/>
                <w:highlight w:val="none"/>
              </w:rPr>
              <w:t>。</w:t>
            </w:r>
          </w:p>
          <w:p w14:paraId="5D76995B">
            <w:pPr>
              <w:pStyle w:val="77"/>
              <w:keepNext w:val="0"/>
              <w:keepLines w:val="0"/>
              <w:widowControl/>
              <w:suppressLineNumbers w:val="0"/>
              <w:spacing w:before="0" w:beforeLines="0" w:beforeAutospacing="0" w:after="0" w:afterAutospacing="0" w:line="240" w:lineRule="auto"/>
              <w:ind w:left="0" w:right="0"/>
              <w:rPr>
                <w:rFonts w:hint="eastAsia" w:eastAsia="宋体"/>
                <w:b/>
                <w:color w:val="auto"/>
                <w:kern w:val="0"/>
                <w:szCs w:val="21"/>
                <w:highlight w:val="none"/>
              </w:rPr>
            </w:pPr>
            <w:r>
              <w:rPr>
                <w:rFonts w:hint="eastAsia" w:eastAsia="宋体"/>
                <w:b/>
                <w:color w:val="auto"/>
                <w:kern w:val="0"/>
                <w:szCs w:val="21"/>
                <w:highlight w:val="none"/>
              </w:rPr>
              <w:t>表2-4   主要原辅材料及能源消耗</w:t>
            </w:r>
          </w:p>
          <w:tbl>
            <w:tblPr>
              <w:tblStyle w:val="37"/>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57"/>
              <w:gridCol w:w="1117"/>
              <w:gridCol w:w="1600"/>
              <w:gridCol w:w="1247"/>
              <w:gridCol w:w="1320"/>
              <w:gridCol w:w="1085"/>
              <w:gridCol w:w="1414"/>
            </w:tblGrid>
            <w:tr w14:paraId="6643FA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noWrap w:val="0"/>
                  <w:vAlign w:val="center"/>
                </w:tcPr>
                <w:p w14:paraId="3DAC032D">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序号</w:t>
                  </w:r>
                </w:p>
              </w:tc>
              <w:tc>
                <w:tcPr>
                  <w:tcW w:w="661" w:type="pct"/>
                  <w:tcBorders>
                    <w:tl2br w:val="nil"/>
                    <w:tr2bl w:val="nil"/>
                  </w:tcBorders>
                  <w:noWrap w:val="0"/>
                  <w:vAlign w:val="center"/>
                </w:tcPr>
                <w:p w14:paraId="27A50E90">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名称</w:t>
                  </w:r>
                </w:p>
              </w:tc>
              <w:tc>
                <w:tcPr>
                  <w:tcW w:w="947" w:type="pct"/>
                  <w:tcBorders>
                    <w:tl2br w:val="nil"/>
                    <w:tr2bl w:val="nil"/>
                  </w:tcBorders>
                  <w:noWrap w:val="0"/>
                  <w:vAlign w:val="center"/>
                </w:tcPr>
                <w:p w14:paraId="19C81304">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年用量</w:t>
                  </w:r>
                </w:p>
              </w:tc>
              <w:tc>
                <w:tcPr>
                  <w:tcW w:w="738" w:type="pct"/>
                  <w:tcBorders>
                    <w:tl2br w:val="nil"/>
                    <w:tr2bl w:val="nil"/>
                  </w:tcBorders>
                  <w:noWrap w:val="0"/>
                  <w:vAlign w:val="center"/>
                </w:tcPr>
                <w:p w14:paraId="6368622F">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储存位置</w:t>
                  </w:r>
                </w:p>
              </w:tc>
              <w:tc>
                <w:tcPr>
                  <w:tcW w:w="781" w:type="pct"/>
                  <w:tcBorders>
                    <w:tl2br w:val="nil"/>
                    <w:tr2bl w:val="nil"/>
                  </w:tcBorders>
                  <w:noWrap w:val="0"/>
                  <w:vAlign w:val="center"/>
                </w:tcPr>
                <w:p w14:paraId="43CCE943">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储存方式</w:t>
                  </w:r>
                </w:p>
              </w:tc>
              <w:tc>
                <w:tcPr>
                  <w:tcW w:w="642" w:type="pct"/>
                  <w:tcBorders>
                    <w:tl2br w:val="nil"/>
                    <w:tr2bl w:val="nil"/>
                  </w:tcBorders>
                  <w:noWrap w:val="0"/>
                  <w:vAlign w:val="center"/>
                </w:tcPr>
                <w:p w14:paraId="329F8E1C">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最大</w:t>
                  </w:r>
                  <w:r>
                    <w:rPr>
                      <w:rFonts w:hint="default" w:ascii="Times New Roman" w:hAnsi="Times New Roman" w:eastAsia="宋体" w:cs="Times New Roman"/>
                      <w:b w:val="0"/>
                      <w:bCs w:val="0"/>
                      <w:color w:val="auto"/>
                      <w:szCs w:val="20"/>
                      <w:highlight w:val="none"/>
                      <w:lang w:val="en-US" w:eastAsia="zh-CN"/>
                    </w:rPr>
                    <w:t>储存量</w:t>
                  </w:r>
                </w:p>
              </w:tc>
              <w:tc>
                <w:tcPr>
                  <w:tcW w:w="837" w:type="pct"/>
                  <w:tcBorders>
                    <w:tl2br w:val="nil"/>
                    <w:tr2bl w:val="nil"/>
                  </w:tcBorders>
                  <w:noWrap w:val="0"/>
                  <w:vAlign w:val="center"/>
                </w:tcPr>
                <w:p w14:paraId="1656AF16">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备注</w:t>
                  </w:r>
                </w:p>
              </w:tc>
            </w:tr>
            <w:tr w14:paraId="44764A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noWrap w:val="0"/>
                  <w:vAlign w:val="center"/>
                </w:tcPr>
                <w:p w14:paraId="2B14C634">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1</w:t>
                  </w:r>
                </w:p>
              </w:tc>
              <w:tc>
                <w:tcPr>
                  <w:tcW w:w="661" w:type="pct"/>
                  <w:tcBorders>
                    <w:tl2br w:val="nil"/>
                    <w:tr2bl w:val="nil"/>
                  </w:tcBorders>
                  <w:noWrap w:val="0"/>
                  <w:vAlign w:val="center"/>
                </w:tcPr>
                <w:p w14:paraId="5131432A">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蔬菜</w:t>
                  </w:r>
                </w:p>
              </w:tc>
              <w:tc>
                <w:tcPr>
                  <w:tcW w:w="947" w:type="pct"/>
                  <w:tcBorders>
                    <w:tl2br w:val="nil"/>
                    <w:tr2bl w:val="nil"/>
                  </w:tcBorders>
                  <w:noWrap w:val="0"/>
                  <w:vAlign w:val="center"/>
                </w:tcPr>
                <w:p w14:paraId="50B6952A">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120t</w:t>
                  </w:r>
                </w:p>
              </w:tc>
              <w:tc>
                <w:tcPr>
                  <w:tcW w:w="738" w:type="pct"/>
                  <w:tcBorders>
                    <w:tl2br w:val="nil"/>
                    <w:tr2bl w:val="nil"/>
                  </w:tcBorders>
                  <w:noWrap w:val="0"/>
                  <w:vAlign w:val="center"/>
                </w:tcPr>
                <w:p w14:paraId="783BA3DE">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原料仓库</w:t>
                  </w:r>
                </w:p>
              </w:tc>
              <w:tc>
                <w:tcPr>
                  <w:tcW w:w="781" w:type="pct"/>
                  <w:tcBorders>
                    <w:tl2br w:val="nil"/>
                    <w:tr2bl w:val="nil"/>
                  </w:tcBorders>
                  <w:noWrap w:val="0"/>
                  <w:vAlign w:val="center"/>
                </w:tcPr>
                <w:p w14:paraId="3102B295">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冷藏储存</w:t>
                  </w:r>
                </w:p>
              </w:tc>
              <w:tc>
                <w:tcPr>
                  <w:tcW w:w="642" w:type="pct"/>
                  <w:tcBorders>
                    <w:tl2br w:val="nil"/>
                    <w:tr2bl w:val="nil"/>
                  </w:tcBorders>
                  <w:noWrap w:val="0"/>
                  <w:vAlign w:val="center"/>
                </w:tcPr>
                <w:p w14:paraId="6A308651">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10t</w:t>
                  </w:r>
                </w:p>
              </w:tc>
              <w:tc>
                <w:tcPr>
                  <w:tcW w:w="837" w:type="pct"/>
                  <w:tcBorders>
                    <w:tl2br w:val="nil"/>
                    <w:tr2bl w:val="nil"/>
                  </w:tcBorders>
                  <w:noWrap w:val="0"/>
                  <w:vAlign w:val="center"/>
                </w:tcPr>
                <w:p w14:paraId="07B55BF5">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外购</w:t>
                  </w:r>
                </w:p>
              </w:tc>
            </w:tr>
            <w:tr w14:paraId="16F9BB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noWrap w:val="0"/>
                  <w:vAlign w:val="center"/>
                </w:tcPr>
                <w:p w14:paraId="5C84F3A5">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2</w:t>
                  </w:r>
                </w:p>
              </w:tc>
              <w:tc>
                <w:tcPr>
                  <w:tcW w:w="661" w:type="pct"/>
                  <w:tcBorders>
                    <w:tl2br w:val="nil"/>
                    <w:tr2bl w:val="nil"/>
                  </w:tcBorders>
                  <w:noWrap w:val="0"/>
                  <w:vAlign w:val="center"/>
                </w:tcPr>
                <w:p w14:paraId="32523B69">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肉</w:t>
                  </w:r>
                </w:p>
              </w:tc>
              <w:tc>
                <w:tcPr>
                  <w:tcW w:w="947" w:type="pct"/>
                  <w:tcBorders>
                    <w:tl2br w:val="nil"/>
                    <w:tr2bl w:val="nil"/>
                  </w:tcBorders>
                  <w:noWrap w:val="0"/>
                  <w:vAlign w:val="center"/>
                </w:tcPr>
                <w:p w14:paraId="1A720CAE">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3</w:t>
                  </w:r>
                  <w:r>
                    <w:rPr>
                      <w:rFonts w:hint="eastAsia" w:cs="Times New Roman"/>
                      <w:b w:val="0"/>
                      <w:bCs w:val="0"/>
                      <w:color w:val="auto"/>
                      <w:szCs w:val="20"/>
                      <w:highlight w:val="none"/>
                      <w:lang w:val="en-US" w:eastAsia="zh-CN"/>
                    </w:rPr>
                    <w:t>0</w:t>
                  </w:r>
                  <w:r>
                    <w:rPr>
                      <w:rFonts w:hint="default" w:ascii="Times New Roman" w:hAnsi="Times New Roman" w:eastAsia="宋体" w:cs="Times New Roman"/>
                      <w:b w:val="0"/>
                      <w:bCs w:val="0"/>
                      <w:color w:val="auto"/>
                      <w:szCs w:val="20"/>
                      <w:highlight w:val="none"/>
                      <w:lang w:val="en-US" w:eastAsia="zh-CN"/>
                    </w:rPr>
                    <w:t>t</w:t>
                  </w:r>
                </w:p>
              </w:tc>
              <w:tc>
                <w:tcPr>
                  <w:tcW w:w="738" w:type="pct"/>
                  <w:tcBorders>
                    <w:tl2br w:val="nil"/>
                    <w:tr2bl w:val="nil"/>
                  </w:tcBorders>
                  <w:noWrap w:val="0"/>
                  <w:vAlign w:val="center"/>
                </w:tcPr>
                <w:p w14:paraId="4C7E530C">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肉类半成品冷库</w:t>
                  </w:r>
                </w:p>
              </w:tc>
              <w:tc>
                <w:tcPr>
                  <w:tcW w:w="781" w:type="pct"/>
                  <w:tcBorders>
                    <w:tl2br w:val="nil"/>
                    <w:tr2bl w:val="nil"/>
                  </w:tcBorders>
                  <w:noWrap w:val="0"/>
                  <w:vAlign w:val="center"/>
                </w:tcPr>
                <w:p w14:paraId="1E192492">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冷藏储存</w:t>
                  </w:r>
                </w:p>
              </w:tc>
              <w:tc>
                <w:tcPr>
                  <w:tcW w:w="642" w:type="pct"/>
                  <w:tcBorders>
                    <w:tl2br w:val="nil"/>
                    <w:tr2bl w:val="nil"/>
                  </w:tcBorders>
                  <w:noWrap w:val="0"/>
                  <w:vAlign w:val="center"/>
                </w:tcPr>
                <w:p w14:paraId="2539FD37">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3t</w:t>
                  </w:r>
                </w:p>
              </w:tc>
              <w:tc>
                <w:tcPr>
                  <w:tcW w:w="837" w:type="pct"/>
                  <w:tcBorders>
                    <w:tl2br w:val="nil"/>
                    <w:tr2bl w:val="nil"/>
                  </w:tcBorders>
                  <w:noWrap w:val="0"/>
                  <w:vAlign w:val="center"/>
                </w:tcPr>
                <w:p w14:paraId="5FC68D2D">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外购</w:t>
                  </w:r>
                </w:p>
              </w:tc>
            </w:tr>
            <w:tr w14:paraId="4346B2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jc w:val="center"/>
              </w:trPr>
              <w:tc>
                <w:tcPr>
                  <w:tcW w:w="389" w:type="pct"/>
                  <w:tcBorders>
                    <w:tl2br w:val="nil"/>
                    <w:tr2bl w:val="nil"/>
                  </w:tcBorders>
                  <w:noWrap w:val="0"/>
                  <w:vAlign w:val="center"/>
                </w:tcPr>
                <w:p w14:paraId="6FBE79CE">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3</w:t>
                  </w:r>
                </w:p>
              </w:tc>
              <w:tc>
                <w:tcPr>
                  <w:tcW w:w="661" w:type="pct"/>
                  <w:tcBorders>
                    <w:tl2br w:val="nil"/>
                    <w:tr2bl w:val="nil"/>
                  </w:tcBorders>
                  <w:noWrap w:val="0"/>
                  <w:vAlign w:val="center"/>
                </w:tcPr>
                <w:p w14:paraId="3CA67DBF">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大米</w:t>
                  </w:r>
                </w:p>
              </w:tc>
              <w:tc>
                <w:tcPr>
                  <w:tcW w:w="947" w:type="pct"/>
                  <w:tcBorders>
                    <w:tl2br w:val="nil"/>
                    <w:tr2bl w:val="nil"/>
                  </w:tcBorders>
                  <w:noWrap w:val="0"/>
                  <w:vAlign w:val="center"/>
                </w:tcPr>
                <w:p w14:paraId="0AC2A66C">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20</w:t>
                  </w:r>
                  <w:r>
                    <w:rPr>
                      <w:rFonts w:hint="eastAsia" w:cs="Times New Roman"/>
                      <w:b w:val="0"/>
                      <w:bCs w:val="0"/>
                      <w:color w:val="auto"/>
                      <w:szCs w:val="20"/>
                      <w:highlight w:val="none"/>
                      <w:lang w:val="en-US" w:eastAsia="zh-CN"/>
                    </w:rPr>
                    <w:t>0</w:t>
                  </w:r>
                  <w:r>
                    <w:rPr>
                      <w:rFonts w:hint="default" w:ascii="Times New Roman" w:hAnsi="Times New Roman" w:eastAsia="宋体" w:cs="Times New Roman"/>
                      <w:b w:val="0"/>
                      <w:bCs w:val="0"/>
                      <w:color w:val="auto"/>
                      <w:szCs w:val="20"/>
                      <w:highlight w:val="none"/>
                      <w:lang w:val="en-US" w:eastAsia="zh-CN"/>
                    </w:rPr>
                    <w:t>t</w:t>
                  </w:r>
                </w:p>
              </w:tc>
              <w:tc>
                <w:tcPr>
                  <w:tcW w:w="738" w:type="pct"/>
                  <w:tcBorders>
                    <w:tl2br w:val="nil"/>
                    <w:tr2bl w:val="nil"/>
                  </w:tcBorders>
                  <w:noWrap w:val="0"/>
                  <w:vAlign w:val="center"/>
                </w:tcPr>
                <w:p w14:paraId="22D8F9DF">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原料仓库</w:t>
                  </w:r>
                </w:p>
              </w:tc>
              <w:tc>
                <w:tcPr>
                  <w:tcW w:w="781" w:type="pct"/>
                  <w:tcBorders>
                    <w:tl2br w:val="nil"/>
                    <w:tr2bl w:val="nil"/>
                  </w:tcBorders>
                  <w:noWrap w:val="0"/>
                  <w:vAlign w:val="center"/>
                </w:tcPr>
                <w:p w14:paraId="18E27698">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常温储存</w:t>
                  </w:r>
                </w:p>
              </w:tc>
              <w:tc>
                <w:tcPr>
                  <w:tcW w:w="642" w:type="pct"/>
                  <w:tcBorders>
                    <w:tl2br w:val="nil"/>
                    <w:tr2bl w:val="nil"/>
                  </w:tcBorders>
                  <w:noWrap w:val="0"/>
                  <w:vAlign w:val="center"/>
                </w:tcPr>
                <w:p w14:paraId="72F7770B">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18t</w:t>
                  </w:r>
                </w:p>
              </w:tc>
              <w:tc>
                <w:tcPr>
                  <w:tcW w:w="837" w:type="pct"/>
                  <w:tcBorders>
                    <w:tl2br w:val="nil"/>
                    <w:tr2bl w:val="nil"/>
                  </w:tcBorders>
                  <w:noWrap w:val="0"/>
                  <w:vAlign w:val="center"/>
                </w:tcPr>
                <w:p w14:paraId="6450DFB5">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外购</w:t>
                  </w:r>
                </w:p>
              </w:tc>
            </w:tr>
            <w:tr w14:paraId="5035CA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3F1417B3">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4</w:t>
                  </w:r>
                </w:p>
              </w:tc>
              <w:tc>
                <w:tcPr>
                  <w:tcW w:w="661" w:type="pct"/>
                  <w:tcBorders>
                    <w:tl2br w:val="nil"/>
                    <w:tr2bl w:val="nil"/>
                  </w:tcBorders>
                  <w:noWrap w:val="0"/>
                  <w:vAlign w:val="center"/>
                </w:tcPr>
                <w:p w14:paraId="4CED07B2">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豆类</w:t>
                  </w:r>
                </w:p>
              </w:tc>
              <w:tc>
                <w:tcPr>
                  <w:tcW w:w="947" w:type="pct"/>
                  <w:tcBorders>
                    <w:tl2br w:val="nil"/>
                    <w:tr2bl w:val="nil"/>
                  </w:tcBorders>
                  <w:noWrap w:val="0"/>
                  <w:vAlign w:val="center"/>
                </w:tcPr>
                <w:p w14:paraId="22D220C3">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2</w:t>
                  </w:r>
                  <w:r>
                    <w:rPr>
                      <w:rFonts w:hint="default" w:ascii="Times New Roman" w:hAnsi="Times New Roman" w:eastAsia="宋体" w:cs="Times New Roman"/>
                      <w:b w:val="0"/>
                      <w:bCs w:val="0"/>
                      <w:color w:val="auto"/>
                      <w:szCs w:val="20"/>
                      <w:highlight w:val="none"/>
                      <w:lang w:val="en-US" w:eastAsia="zh-CN"/>
                    </w:rPr>
                    <w:t>t</w:t>
                  </w:r>
                </w:p>
              </w:tc>
              <w:tc>
                <w:tcPr>
                  <w:tcW w:w="738" w:type="pct"/>
                  <w:tcBorders>
                    <w:tl2br w:val="nil"/>
                    <w:tr2bl w:val="nil"/>
                  </w:tcBorders>
                  <w:noWrap w:val="0"/>
                  <w:vAlign w:val="center"/>
                </w:tcPr>
                <w:p w14:paraId="0A63A219">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原料仓库</w:t>
                  </w:r>
                </w:p>
              </w:tc>
              <w:tc>
                <w:tcPr>
                  <w:tcW w:w="781" w:type="pct"/>
                  <w:tcBorders>
                    <w:tl2br w:val="nil"/>
                    <w:tr2bl w:val="nil"/>
                  </w:tcBorders>
                  <w:noWrap w:val="0"/>
                  <w:vAlign w:val="center"/>
                </w:tcPr>
                <w:p w14:paraId="77769B29">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常温储存</w:t>
                  </w:r>
                </w:p>
              </w:tc>
              <w:tc>
                <w:tcPr>
                  <w:tcW w:w="642" w:type="pct"/>
                  <w:tcBorders>
                    <w:tl2br w:val="nil"/>
                    <w:tr2bl w:val="nil"/>
                  </w:tcBorders>
                  <w:noWrap w:val="0"/>
                  <w:vAlign w:val="center"/>
                </w:tcPr>
                <w:p w14:paraId="3F73C29E">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0.5t</w:t>
                  </w:r>
                </w:p>
              </w:tc>
              <w:tc>
                <w:tcPr>
                  <w:tcW w:w="837" w:type="pct"/>
                  <w:tcBorders>
                    <w:tl2br w:val="nil"/>
                    <w:tr2bl w:val="nil"/>
                  </w:tcBorders>
                  <w:noWrap w:val="0"/>
                  <w:vAlign w:val="center"/>
                </w:tcPr>
                <w:p w14:paraId="235E8B53">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外购</w:t>
                  </w:r>
                </w:p>
              </w:tc>
            </w:tr>
            <w:tr w14:paraId="4A5CEE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71C2D868">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5</w:t>
                  </w:r>
                </w:p>
              </w:tc>
              <w:tc>
                <w:tcPr>
                  <w:tcW w:w="661" w:type="pct"/>
                  <w:tcBorders>
                    <w:tl2br w:val="nil"/>
                    <w:tr2bl w:val="nil"/>
                  </w:tcBorders>
                  <w:noWrap w:val="0"/>
                  <w:vAlign w:val="center"/>
                </w:tcPr>
                <w:p w14:paraId="14907E91">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面粉</w:t>
                  </w:r>
                </w:p>
              </w:tc>
              <w:tc>
                <w:tcPr>
                  <w:tcW w:w="947" w:type="pct"/>
                  <w:tcBorders>
                    <w:tl2br w:val="nil"/>
                    <w:tr2bl w:val="nil"/>
                  </w:tcBorders>
                  <w:noWrap w:val="0"/>
                  <w:vAlign w:val="center"/>
                </w:tcPr>
                <w:p w14:paraId="09CE7C3D">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3</w:t>
                  </w:r>
                  <w:r>
                    <w:rPr>
                      <w:rFonts w:hint="eastAsia" w:cs="Times New Roman"/>
                      <w:b w:val="0"/>
                      <w:bCs w:val="0"/>
                      <w:color w:val="auto"/>
                      <w:szCs w:val="20"/>
                      <w:highlight w:val="none"/>
                      <w:lang w:val="en-US" w:eastAsia="zh-CN"/>
                    </w:rPr>
                    <w:t>50</w:t>
                  </w:r>
                  <w:r>
                    <w:rPr>
                      <w:rFonts w:hint="default" w:ascii="Times New Roman" w:hAnsi="Times New Roman" w:eastAsia="宋体" w:cs="Times New Roman"/>
                      <w:b w:val="0"/>
                      <w:bCs w:val="0"/>
                      <w:color w:val="auto"/>
                      <w:szCs w:val="20"/>
                      <w:highlight w:val="none"/>
                      <w:lang w:val="en-US" w:eastAsia="zh-CN"/>
                    </w:rPr>
                    <w:t>t</w:t>
                  </w:r>
                </w:p>
              </w:tc>
              <w:tc>
                <w:tcPr>
                  <w:tcW w:w="738" w:type="pct"/>
                  <w:tcBorders>
                    <w:tl2br w:val="nil"/>
                    <w:tr2bl w:val="nil"/>
                  </w:tcBorders>
                  <w:noWrap w:val="0"/>
                  <w:vAlign w:val="center"/>
                </w:tcPr>
                <w:p w14:paraId="71AC2FF8">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原料仓库</w:t>
                  </w:r>
                </w:p>
              </w:tc>
              <w:tc>
                <w:tcPr>
                  <w:tcW w:w="781" w:type="pct"/>
                  <w:tcBorders>
                    <w:tl2br w:val="nil"/>
                    <w:tr2bl w:val="nil"/>
                  </w:tcBorders>
                  <w:noWrap w:val="0"/>
                  <w:vAlign w:val="center"/>
                </w:tcPr>
                <w:p w14:paraId="2B206313">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常温储存</w:t>
                  </w:r>
                </w:p>
              </w:tc>
              <w:tc>
                <w:tcPr>
                  <w:tcW w:w="642" w:type="pct"/>
                  <w:tcBorders>
                    <w:tl2br w:val="nil"/>
                    <w:tr2bl w:val="nil"/>
                  </w:tcBorders>
                  <w:noWrap w:val="0"/>
                  <w:vAlign w:val="center"/>
                </w:tcPr>
                <w:p w14:paraId="62D8E6F6">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30</w:t>
                  </w:r>
                  <w:r>
                    <w:rPr>
                      <w:rFonts w:hint="default" w:ascii="Times New Roman" w:hAnsi="Times New Roman" w:eastAsia="宋体" w:cs="Times New Roman"/>
                      <w:b w:val="0"/>
                      <w:bCs w:val="0"/>
                      <w:color w:val="auto"/>
                      <w:szCs w:val="20"/>
                      <w:highlight w:val="none"/>
                      <w:lang w:val="en-US" w:eastAsia="zh-CN"/>
                    </w:rPr>
                    <w:t>t</w:t>
                  </w:r>
                </w:p>
              </w:tc>
              <w:tc>
                <w:tcPr>
                  <w:tcW w:w="837" w:type="pct"/>
                  <w:tcBorders>
                    <w:tl2br w:val="nil"/>
                    <w:tr2bl w:val="nil"/>
                  </w:tcBorders>
                  <w:noWrap w:val="0"/>
                  <w:vAlign w:val="center"/>
                </w:tcPr>
                <w:p w14:paraId="04E4C946">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外购</w:t>
                  </w:r>
                </w:p>
              </w:tc>
            </w:tr>
            <w:tr w14:paraId="05160D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3E2746D4">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6</w:t>
                  </w:r>
                </w:p>
              </w:tc>
              <w:tc>
                <w:tcPr>
                  <w:tcW w:w="661" w:type="pct"/>
                  <w:tcBorders>
                    <w:tl2br w:val="nil"/>
                    <w:tr2bl w:val="nil"/>
                  </w:tcBorders>
                  <w:noWrap w:val="0"/>
                  <w:vAlign w:val="center"/>
                </w:tcPr>
                <w:p w14:paraId="5412F6B3">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低筋面粉</w:t>
                  </w:r>
                </w:p>
              </w:tc>
              <w:tc>
                <w:tcPr>
                  <w:tcW w:w="947" w:type="pct"/>
                  <w:tcBorders>
                    <w:tl2br w:val="nil"/>
                    <w:tr2bl w:val="nil"/>
                  </w:tcBorders>
                  <w:noWrap w:val="0"/>
                  <w:vAlign w:val="center"/>
                </w:tcPr>
                <w:p w14:paraId="29C0BB66">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150t</w:t>
                  </w:r>
                </w:p>
              </w:tc>
              <w:tc>
                <w:tcPr>
                  <w:tcW w:w="738" w:type="pct"/>
                  <w:tcBorders>
                    <w:tl2br w:val="nil"/>
                    <w:tr2bl w:val="nil"/>
                  </w:tcBorders>
                  <w:noWrap w:val="0"/>
                  <w:vAlign w:val="center"/>
                </w:tcPr>
                <w:p w14:paraId="2CC150E2">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原料仓库</w:t>
                  </w:r>
                </w:p>
              </w:tc>
              <w:tc>
                <w:tcPr>
                  <w:tcW w:w="781" w:type="pct"/>
                  <w:tcBorders>
                    <w:tl2br w:val="nil"/>
                    <w:tr2bl w:val="nil"/>
                  </w:tcBorders>
                  <w:noWrap w:val="0"/>
                  <w:vAlign w:val="center"/>
                </w:tcPr>
                <w:p w14:paraId="058F0923">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常温储存</w:t>
                  </w:r>
                </w:p>
              </w:tc>
              <w:tc>
                <w:tcPr>
                  <w:tcW w:w="642" w:type="pct"/>
                  <w:tcBorders>
                    <w:tl2br w:val="nil"/>
                    <w:tr2bl w:val="nil"/>
                  </w:tcBorders>
                  <w:noWrap w:val="0"/>
                  <w:vAlign w:val="center"/>
                </w:tcPr>
                <w:p w14:paraId="6695A753">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10</w:t>
                  </w:r>
                  <w:r>
                    <w:rPr>
                      <w:rFonts w:hint="default" w:ascii="Times New Roman" w:hAnsi="Times New Roman" w:eastAsia="宋体" w:cs="Times New Roman"/>
                      <w:b w:val="0"/>
                      <w:bCs w:val="0"/>
                      <w:color w:val="auto"/>
                      <w:szCs w:val="20"/>
                      <w:highlight w:val="none"/>
                      <w:lang w:val="en-US" w:eastAsia="zh-CN"/>
                    </w:rPr>
                    <w:t>t</w:t>
                  </w:r>
                </w:p>
              </w:tc>
              <w:tc>
                <w:tcPr>
                  <w:tcW w:w="837" w:type="pct"/>
                  <w:tcBorders>
                    <w:tl2br w:val="nil"/>
                    <w:tr2bl w:val="nil"/>
                  </w:tcBorders>
                  <w:noWrap w:val="0"/>
                  <w:vAlign w:val="center"/>
                </w:tcPr>
                <w:p w14:paraId="663A08FB">
                  <w:pPr>
                    <w:pStyle w:val="80"/>
                    <w:keepNext w:val="0"/>
                    <w:keepLines w:val="0"/>
                    <w:widowControl/>
                    <w:suppressLineNumbers w:val="0"/>
                    <w:snapToGrid w:val="0"/>
                    <w:spacing w:before="0" w:beforeAutospacing="0" w:after="0" w:afterAutospacing="0"/>
                    <w:ind w:left="0" w:right="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外购</w:t>
                  </w:r>
                </w:p>
              </w:tc>
            </w:tr>
            <w:tr w14:paraId="24C9E5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5DAA1343">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7</w:t>
                  </w:r>
                </w:p>
              </w:tc>
              <w:tc>
                <w:tcPr>
                  <w:tcW w:w="661" w:type="pct"/>
                  <w:tcBorders>
                    <w:tl2br w:val="nil"/>
                    <w:tr2bl w:val="nil"/>
                  </w:tcBorders>
                  <w:shd w:val="clear" w:color="auto" w:fill="auto"/>
                  <w:noWrap w:val="0"/>
                  <w:vAlign w:val="center"/>
                </w:tcPr>
                <w:p w14:paraId="24F69147">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鸡蛋</w:t>
                  </w:r>
                </w:p>
              </w:tc>
              <w:tc>
                <w:tcPr>
                  <w:tcW w:w="947" w:type="pct"/>
                  <w:tcBorders>
                    <w:tl2br w:val="nil"/>
                    <w:tr2bl w:val="nil"/>
                  </w:tcBorders>
                  <w:shd w:val="clear" w:color="auto" w:fill="auto"/>
                  <w:noWrap w:val="0"/>
                  <w:vAlign w:val="center"/>
                </w:tcPr>
                <w:p w14:paraId="22538A14">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1</w:t>
                  </w:r>
                  <w:r>
                    <w:rPr>
                      <w:rFonts w:hint="eastAsia" w:cs="Times New Roman"/>
                      <w:b w:val="0"/>
                      <w:bCs w:val="0"/>
                      <w:color w:val="auto"/>
                      <w:szCs w:val="20"/>
                      <w:highlight w:val="none"/>
                      <w:lang w:val="en-US" w:eastAsia="zh-CN"/>
                    </w:rPr>
                    <w:t>80</w:t>
                  </w:r>
                  <w:r>
                    <w:rPr>
                      <w:rFonts w:hint="default" w:ascii="Times New Roman" w:hAnsi="Times New Roman" w:eastAsia="宋体" w:cs="Times New Roman"/>
                      <w:b w:val="0"/>
                      <w:bCs w:val="0"/>
                      <w:color w:val="auto"/>
                      <w:szCs w:val="20"/>
                      <w:highlight w:val="none"/>
                      <w:lang w:val="en-US" w:eastAsia="zh-CN"/>
                    </w:rPr>
                    <w:t>t</w:t>
                  </w:r>
                </w:p>
              </w:tc>
              <w:tc>
                <w:tcPr>
                  <w:tcW w:w="738" w:type="pct"/>
                  <w:tcBorders>
                    <w:tl2br w:val="nil"/>
                    <w:tr2bl w:val="nil"/>
                  </w:tcBorders>
                  <w:shd w:val="clear" w:color="auto" w:fill="auto"/>
                  <w:noWrap w:val="0"/>
                  <w:vAlign w:val="center"/>
                </w:tcPr>
                <w:p w14:paraId="32FB44A2">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原料仓库</w:t>
                  </w:r>
                </w:p>
              </w:tc>
              <w:tc>
                <w:tcPr>
                  <w:tcW w:w="781" w:type="pct"/>
                  <w:tcBorders>
                    <w:tl2br w:val="nil"/>
                    <w:tr2bl w:val="nil"/>
                  </w:tcBorders>
                  <w:shd w:val="clear" w:color="auto" w:fill="auto"/>
                  <w:noWrap w:val="0"/>
                  <w:vAlign w:val="center"/>
                </w:tcPr>
                <w:p w14:paraId="69B23552">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常温储存</w:t>
                  </w:r>
                </w:p>
              </w:tc>
              <w:tc>
                <w:tcPr>
                  <w:tcW w:w="642" w:type="pct"/>
                  <w:tcBorders>
                    <w:tl2br w:val="nil"/>
                    <w:tr2bl w:val="nil"/>
                  </w:tcBorders>
                  <w:shd w:val="clear" w:color="auto" w:fill="auto"/>
                  <w:noWrap w:val="0"/>
                  <w:vAlign w:val="center"/>
                </w:tcPr>
                <w:p w14:paraId="1E7F3FF4">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1</w:t>
                  </w:r>
                  <w:r>
                    <w:rPr>
                      <w:rFonts w:hint="eastAsia" w:cs="Times New Roman"/>
                      <w:b w:val="0"/>
                      <w:bCs w:val="0"/>
                      <w:color w:val="auto"/>
                      <w:szCs w:val="20"/>
                      <w:highlight w:val="none"/>
                      <w:lang w:val="en-US" w:eastAsia="zh-CN"/>
                    </w:rPr>
                    <w:t>5</w:t>
                  </w:r>
                  <w:r>
                    <w:rPr>
                      <w:rFonts w:hint="default" w:ascii="Times New Roman" w:hAnsi="Times New Roman" w:eastAsia="宋体" w:cs="Times New Roman"/>
                      <w:b w:val="0"/>
                      <w:bCs w:val="0"/>
                      <w:color w:val="auto"/>
                      <w:szCs w:val="20"/>
                      <w:highlight w:val="none"/>
                      <w:lang w:val="en-US" w:eastAsia="zh-CN"/>
                    </w:rPr>
                    <w:t>t</w:t>
                  </w:r>
                </w:p>
              </w:tc>
              <w:tc>
                <w:tcPr>
                  <w:tcW w:w="837" w:type="pct"/>
                  <w:tcBorders>
                    <w:tl2br w:val="nil"/>
                    <w:tr2bl w:val="nil"/>
                  </w:tcBorders>
                  <w:shd w:val="clear" w:color="auto" w:fill="auto"/>
                  <w:noWrap w:val="0"/>
                  <w:vAlign w:val="center"/>
                </w:tcPr>
                <w:p w14:paraId="693BD268">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外购</w:t>
                  </w:r>
                </w:p>
              </w:tc>
            </w:tr>
            <w:tr w14:paraId="65D0CA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5A5EB75D">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8</w:t>
                  </w:r>
                </w:p>
              </w:tc>
              <w:tc>
                <w:tcPr>
                  <w:tcW w:w="661" w:type="pct"/>
                  <w:tcBorders>
                    <w:tl2br w:val="nil"/>
                    <w:tr2bl w:val="nil"/>
                  </w:tcBorders>
                  <w:shd w:val="clear" w:color="auto" w:fill="auto"/>
                  <w:noWrap w:val="0"/>
                  <w:vAlign w:val="center"/>
                </w:tcPr>
                <w:p w14:paraId="5E548DAF">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牛奶</w:t>
                  </w:r>
                </w:p>
              </w:tc>
              <w:tc>
                <w:tcPr>
                  <w:tcW w:w="947" w:type="pct"/>
                  <w:tcBorders>
                    <w:tl2br w:val="nil"/>
                    <w:tr2bl w:val="nil"/>
                  </w:tcBorders>
                  <w:shd w:val="clear" w:color="auto" w:fill="auto"/>
                  <w:noWrap w:val="0"/>
                  <w:vAlign w:val="center"/>
                </w:tcPr>
                <w:p w14:paraId="3918BCFC">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15t</w:t>
                  </w:r>
                </w:p>
              </w:tc>
              <w:tc>
                <w:tcPr>
                  <w:tcW w:w="738" w:type="pct"/>
                  <w:tcBorders>
                    <w:tl2br w:val="nil"/>
                    <w:tr2bl w:val="nil"/>
                  </w:tcBorders>
                  <w:shd w:val="clear" w:color="auto" w:fill="auto"/>
                  <w:noWrap w:val="0"/>
                  <w:vAlign w:val="center"/>
                </w:tcPr>
                <w:p w14:paraId="100E6424">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原料仓库</w:t>
                  </w:r>
                  <w:r>
                    <w:rPr>
                      <w:rFonts w:hint="eastAsia" w:cs="Times New Roman"/>
                      <w:b w:val="0"/>
                      <w:bCs w:val="0"/>
                      <w:color w:val="auto"/>
                      <w:szCs w:val="20"/>
                      <w:highlight w:val="none"/>
                      <w:lang w:val="en-US" w:eastAsia="zh-CN"/>
                    </w:rPr>
                    <w:t>冷库</w:t>
                  </w:r>
                </w:p>
              </w:tc>
              <w:tc>
                <w:tcPr>
                  <w:tcW w:w="781" w:type="pct"/>
                  <w:tcBorders>
                    <w:tl2br w:val="nil"/>
                    <w:tr2bl w:val="nil"/>
                  </w:tcBorders>
                  <w:shd w:val="clear" w:color="auto" w:fill="auto"/>
                  <w:noWrap w:val="0"/>
                  <w:vAlign w:val="center"/>
                </w:tcPr>
                <w:p w14:paraId="6696B661">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冷藏</w:t>
                  </w:r>
                  <w:r>
                    <w:rPr>
                      <w:rFonts w:hint="default" w:ascii="Times New Roman" w:hAnsi="Times New Roman" w:eastAsia="宋体" w:cs="Times New Roman"/>
                      <w:b w:val="0"/>
                      <w:bCs w:val="0"/>
                      <w:color w:val="auto"/>
                      <w:szCs w:val="20"/>
                      <w:highlight w:val="none"/>
                      <w:lang w:val="en-US" w:eastAsia="zh-CN"/>
                    </w:rPr>
                    <w:t>储存</w:t>
                  </w:r>
                </w:p>
              </w:tc>
              <w:tc>
                <w:tcPr>
                  <w:tcW w:w="642" w:type="pct"/>
                  <w:tcBorders>
                    <w:tl2br w:val="nil"/>
                    <w:tr2bl w:val="nil"/>
                  </w:tcBorders>
                  <w:shd w:val="clear" w:color="auto" w:fill="auto"/>
                  <w:noWrap w:val="0"/>
                  <w:vAlign w:val="center"/>
                </w:tcPr>
                <w:p w14:paraId="7DC8D850">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2</w:t>
                  </w:r>
                  <w:r>
                    <w:rPr>
                      <w:rFonts w:hint="default" w:ascii="Times New Roman" w:hAnsi="Times New Roman" w:eastAsia="宋体" w:cs="Times New Roman"/>
                      <w:b w:val="0"/>
                      <w:bCs w:val="0"/>
                      <w:color w:val="auto"/>
                      <w:szCs w:val="20"/>
                      <w:highlight w:val="none"/>
                      <w:lang w:val="en-US" w:eastAsia="zh-CN"/>
                    </w:rPr>
                    <w:t>t</w:t>
                  </w:r>
                </w:p>
              </w:tc>
              <w:tc>
                <w:tcPr>
                  <w:tcW w:w="837" w:type="pct"/>
                  <w:tcBorders>
                    <w:tl2br w:val="nil"/>
                    <w:tr2bl w:val="nil"/>
                  </w:tcBorders>
                  <w:shd w:val="clear" w:color="auto" w:fill="auto"/>
                  <w:noWrap w:val="0"/>
                  <w:vAlign w:val="center"/>
                </w:tcPr>
                <w:p w14:paraId="167CB4C4">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外购</w:t>
                  </w:r>
                </w:p>
              </w:tc>
            </w:tr>
            <w:tr w14:paraId="72F6CE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3E494E08">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9</w:t>
                  </w:r>
                </w:p>
              </w:tc>
              <w:tc>
                <w:tcPr>
                  <w:tcW w:w="661" w:type="pct"/>
                  <w:tcBorders>
                    <w:tl2br w:val="nil"/>
                    <w:tr2bl w:val="nil"/>
                  </w:tcBorders>
                  <w:shd w:val="clear" w:color="auto" w:fill="auto"/>
                  <w:noWrap w:val="0"/>
                  <w:vAlign w:val="center"/>
                </w:tcPr>
                <w:p w14:paraId="71E453E5">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食用油</w:t>
                  </w:r>
                </w:p>
              </w:tc>
              <w:tc>
                <w:tcPr>
                  <w:tcW w:w="947" w:type="pct"/>
                  <w:tcBorders>
                    <w:tl2br w:val="nil"/>
                    <w:tr2bl w:val="nil"/>
                  </w:tcBorders>
                  <w:shd w:val="clear" w:color="auto" w:fill="auto"/>
                  <w:noWrap w:val="0"/>
                  <w:vAlign w:val="center"/>
                </w:tcPr>
                <w:p w14:paraId="232923D6">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42</w:t>
                  </w:r>
                  <w:r>
                    <w:rPr>
                      <w:rFonts w:hint="default" w:ascii="Times New Roman" w:hAnsi="Times New Roman" w:eastAsia="宋体" w:cs="Times New Roman"/>
                      <w:b w:val="0"/>
                      <w:bCs w:val="0"/>
                      <w:color w:val="auto"/>
                      <w:szCs w:val="20"/>
                      <w:highlight w:val="none"/>
                      <w:lang w:val="en-US" w:eastAsia="zh-CN"/>
                    </w:rPr>
                    <w:t>t</w:t>
                  </w:r>
                </w:p>
              </w:tc>
              <w:tc>
                <w:tcPr>
                  <w:tcW w:w="738" w:type="pct"/>
                  <w:tcBorders>
                    <w:tl2br w:val="nil"/>
                    <w:tr2bl w:val="nil"/>
                  </w:tcBorders>
                  <w:shd w:val="clear" w:color="auto" w:fill="auto"/>
                  <w:noWrap w:val="0"/>
                  <w:vAlign w:val="center"/>
                </w:tcPr>
                <w:p w14:paraId="5FF3E64A">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原料仓库</w:t>
                  </w:r>
                </w:p>
              </w:tc>
              <w:tc>
                <w:tcPr>
                  <w:tcW w:w="781" w:type="pct"/>
                  <w:tcBorders>
                    <w:tl2br w:val="nil"/>
                    <w:tr2bl w:val="nil"/>
                  </w:tcBorders>
                  <w:shd w:val="clear" w:color="auto" w:fill="auto"/>
                  <w:noWrap w:val="0"/>
                  <w:vAlign w:val="center"/>
                </w:tcPr>
                <w:p w14:paraId="6B9614C0">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常温储存</w:t>
                  </w:r>
                </w:p>
              </w:tc>
              <w:tc>
                <w:tcPr>
                  <w:tcW w:w="642" w:type="pct"/>
                  <w:tcBorders>
                    <w:tl2br w:val="nil"/>
                    <w:tr2bl w:val="nil"/>
                  </w:tcBorders>
                  <w:shd w:val="clear" w:color="auto" w:fill="auto"/>
                  <w:noWrap w:val="0"/>
                  <w:vAlign w:val="center"/>
                </w:tcPr>
                <w:p w14:paraId="4AF2E19A">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2</w:t>
                  </w:r>
                  <w:r>
                    <w:rPr>
                      <w:rFonts w:hint="default" w:ascii="Times New Roman" w:hAnsi="Times New Roman" w:eastAsia="宋体" w:cs="Times New Roman"/>
                      <w:b w:val="0"/>
                      <w:bCs w:val="0"/>
                      <w:color w:val="auto"/>
                      <w:szCs w:val="20"/>
                      <w:highlight w:val="none"/>
                      <w:lang w:val="en-US" w:eastAsia="zh-CN"/>
                    </w:rPr>
                    <w:t>t</w:t>
                  </w:r>
                </w:p>
              </w:tc>
              <w:tc>
                <w:tcPr>
                  <w:tcW w:w="837" w:type="pct"/>
                  <w:tcBorders>
                    <w:tl2br w:val="nil"/>
                    <w:tr2bl w:val="nil"/>
                  </w:tcBorders>
                  <w:shd w:val="clear" w:color="auto" w:fill="auto"/>
                  <w:noWrap w:val="0"/>
                  <w:vAlign w:val="center"/>
                </w:tcPr>
                <w:p w14:paraId="1A324D5D">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外购</w:t>
                  </w:r>
                </w:p>
              </w:tc>
            </w:tr>
            <w:tr w14:paraId="28F2BB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241834D3">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10</w:t>
                  </w:r>
                </w:p>
              </w:tc>
              <w:tc>
                <w:tcPr>
                  <w:tcW w:w="661" w:type="pct"/>
                  <w:tcBorders>
                    <w:tl2br w:val="nil"/>
                    <w:tr2bl w:val="nil"/>
                  </w:tcBorders>
                  <w:shd w:val="clear" w:color="auto" w:fill="auto"/>
                  <w:noWrap w:val="0"/>
                  <w:vAlign w:val="center"/>
                </w:tcPr>
                <w:p w14:paraId="0C385081">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 w:val="21"/>
                      <w:szCs w:val="20"/>
                      <w:highlight w:val="none"/>
                      <w:lang w:val="en-US" w:eastAsia="zh-CN" w:bidi="ar-SA"/>
                    </w:rPr>
                    <w:t>玉米油</w:t>
                  </w:r>
                </w:p>
              </w:tc>
              <w:tc>
                <w:tcPr>
                  <w:tcW w:w="947" w:type="pct"/>
                  <w:tcBorders>
                    <w:tl2br w:val="nil"/>
                    <w:tr2bl w:val="nil"/>
                  </w:tcBorders>
                  <w:shd w:val="clear" w:color="auto" w:fill="auto"/>
                  <w:noWrap w:val="0"/>
                  <w:vAlign w:val="center"/>
                </w:tcPr>
                <w:p w14:paraId="0E7CAB68">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 w:val="21"/>
                      <w:szCs w:val="20"/>
                      <w:highlight w:val="none"/>
                      <w:lang w:val="en-US" w:eastAsia="zh-CN" w:bidi="ar-SA"/>
                    </w:rPr>
                    <w:t>8t</w:t>
                  </w:r>
                </w:p>
              </w:tc>
              <w:tc>
                <w:tcPr>
                  <w:tcW w:w="738" w:type="pct"/>
                  <w:tcBorders>
                    <w:tl2br w:val="nil"/>
                    <w:tr2bl w:val="nil"/>
                  </w:tcBorders>
                  <w:shd w:val="clear" w:color="auto" w:fill="auto"/>
                  <w:noWrap w:val="0"/>
                  <w:vAlign w:val="center"/>
                </w:tcPr>
                <w:p w14:paraId="1CB52C0B">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原料仓库</w:t>
                  </w:r>
                </w:p>
              </w:tc>
              <w:tc>
                <w:tcPr>
                  <w:tcW w:w="781" w:type="pct"/>
                  <w:tcBorders>
                    <w:tl2br w:val="nil"/>
                    <w:tr2bl w:val="nil"/>
                  </w:tcBorders>
                  <w:shd w:val="clear" w:color="auto" w:fill="auto"/>
                  <w:noWrap w:val="0"/>
                  <w:vAlign w:val="center"/>
                </w:tcPr>
                <w:p w14:paraId="33A86E9B">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常温储存</w:t>
                  </w:r>
                </w:p>
              </w:tc>
              <w:tc>
                <w:tcPr>
                  <w:tcW w:w="642" w:type="pct"/>
                  <w:tcBorders>
                    <w:tl2br w:val="nil"/>
                    <w:tr2bl w:val="nil"/>
                  </w:tcBorders>
                  <w:shd w:val="clear" w:color="auto" w:fill="auto"/>
                  <w:noWrap w:val="0"/>
                  <w:vAlign w:val="center"/>
                </w:tcPr>
                <w:p w14:paraId="4BAC1A31">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1</w:t>
                  </w:r>
                  <w:r>
                    <w:rPr>
                      <w:rFonts w:hint="default" w:ascii="Times New Roman" w:hAnsi="Times New Roman" w:eastAsia="宋体" w:cs="Times New Roman"/>
                      <w:b w:val="0"/>
                      <w:bCs w:val="0"/>
                      <w:color w:val="auto"/>
                      <w:szCs w:val="20"/>
                      <w:highlight w:val="none"/>
                      <w:lang w:val="en-US" w:eastAsia="zh-CN"/>
                    </w:rPr>
                    <w:t>t</w:t>
                  </w:r>
                </w:p>
              </w:tc>
              <w:tc>
                <w:tcPr>
                  <w:tcW w:w="837" w:type="pct"/>
                  <w:tcBorders>
                    <w:tl2br w:val="nil"/>
                    <w:tr2bl w:val="nil"/>
                  </w:tcBorders>
                  <w:shd w:val="clear" w:color="auto" w:fill="auto"/>
                  <w:noWrap w:val="0"/>
                  <w:vAlign w:val="center"/>
                </w:tcPr>
                <w:p w14:paraId="6770EB70">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外购</w:t>
                  </w:r>
                </w:p>
              </w:tc>
            </w:tr>
            <w:tr w14:paraId="1F8135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05091CBA">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11</w:t>
                  </w:r>
                </w:p>
              </w:tc>
              <w:tc>
                <w:tcPr>
                  <w:tcW w:w="661" w:type="pct"/>
                  <w:tcBorders>
                    <w:tl2br w:val="nil"/>
                    <w:tr2bl w:val="nil"/>
                  </w:tcBorders>
                  <w:shd w:val="clear" w:color="auto" w:fill="auto"/>
                  <w:noWrap w:val="0"/>
                  <w:vAlign w:val="center"/>
                </w:tcPr>
                <w:p w14:paraId="1241734D">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 w:val="21"/>
                      <w:szCs w:val="20"/>
                      <w:highlight w:val="none"/>
                      <w:lang w:val="en-US" w:eastAsia="zh-CN" w:bidi="ar-SA"/>
                    </w:rPr>
                    <w:t>白糖</w:t>
                  </w:r>
                </w:p>
              </w:tc>
              <w:tc>
                <w:tcPr>
                  <w:tcW w:w="947" w:type="pct"/>
                  <w:tcBorders>
                    <w:tl2br w:val="nil"/>
                    <w:tr2bl w:val="nil"/>
                  </w:tcBorders>
                  <w:shd w:val="clear" w:color="auto" w:fill="auto"/>
                  <w:noWrap w:val="0"/>
                  <w:vAlign w:val="center"/>
                </w:tcPr>
                <w:p w14:paraId="5EA867F8">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 w:val="21"/>
                      <w:szCs w:val="20"/>
                      <w:highlight w:val="none"/>
                      <w:lang w:val="en-US" w:eastAsia="zh-CN" w:bidi="ar-SA"/>
                    </w:rPr>
                    <w:t>15t</w:t>
                  </w:r>
                </w:p>
              </w:tc>
              <w:tc>
                <w:tcPr>
                  <w:tcW w:w="738" w:type="pct"/>
                  <w:tcBorders>
                    <w:tl2br w:val="nil"/>
                    <w:tr2bl w:val="nil"/>
                  </w:tcBorders>
                  <w:shd w:val="clear" w:color="auto" w:fill="auto"/>
                  <w:noWrap w:val="0"/>
                  <w:vAlign w:val="center"/>
                </w:tcPr>
                <w:p w14:paraId="3F54677A">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原料仓库</w:t>
                  </w:r>
                </w:p>
              </w:tc>
              <w:tc>
                <w:tcPr>
                  <w:tcW w:w="781" w:type="pct"/>
                  <w:tcBorders>
                    <w:tl2br w:val="nil"/>
                    <w:tr2bl w:val="nil"/>
                  </w:tcBorders>
                  <w:shd w:val="clear" w:color="auto" w:fill="auto"/>
                  <w:noWrap w:val="0"/>
                  <w:vAlign w:val="center"/>
                </w:tcPr>
                <w:p w14:paraId="6EE0B9A6">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常温储存</w:t>
                  </w:r>
                </w:p>
              </w:tc>
              <w:tc>
                <w:tcPr>
                  <w:tcW w:w="642" w:type="pct"/>
                  <w:tcBorders>
                    <w:tl2br w:val="nil"/>
                    <w:tr2bl w:val="nil"/>
                  </w:tcBorders>
                  <w:shd w:val="clear" w:color="auto" w:fill="auto"/>
                  <w:noWrap w:val="0"/>
                  <w:vAlign w:val="center"/>
                </w:tcPr>
                <w:p w14:paraId="0B289E05">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1</w:t>
                  </w:r>
                  <w:r>
                    <w:rPr>
                      <w:rFonts w:hint="default" w:ascii="Times New Roman" w:hAnsi="Times New Roman" w:eastAsia="宋体" w:cs="Times New Roman"/>
                      <w:b w:val="0"/>
                      <w:bCs w:val="0"/>
                      <w:color w:val="auto"/>
                      <w:szCs w:val="20"/>
                      <w:highlight w:val="none"/>
                      <w:lang w:val="en-US" w:eastAsia="zh-CN"/>
                    </w:rPr>
                    <w:t>t</w:t>
                  </w:r>
                </w:p>
              </w:tc>
              <w:tc>
                <w:tcPr>
                  <w:tcW w:w="837" w:type="pct"/>
                  <w:tcBorders>
                    <w:tl2br w:val="nil"/>
                    <w:tr2bl w:val="nil"/>
                  </w:tcBorders>
                  <w:shd w:val="clear" w:color="auto" w:fill="auto"/>
                  <w:noWrap w:val="0"/>
                  <w:vAlign w:val="center"/>
                </w:tcPr>
                <w:p w14:paraId="766994E5">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外购</w:t>
                  </w:r>
                </w:p>
              </w:tc>
            </w:tr>
            <w:tr w14:paraId="578F8F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034EB0DC">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12</w:t>
                  </w:r>
                </w:p>
              </w:tc>
              <w:tc>
                <w:tcPr>
                  <w:tcW w:w="661" w:type="pct"/>
                  <w:tcBorders>
                    <w:tl2br w:val="nil"/>
                    <w:tr2bl w:val="nil"/>
                  </w:tcBorders>
                  <w:shd w:val="clear" w:color="auto" w:fill="auto"/>
                  <w:noWrap w:val="0"/>
                  <w:vAlign w:val="center"/>
                </w:tcPr>
                <w:p w14:paraId="14AE5B98">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调味料</w:t>
                  </w:r>
                </w:p>
              </w:tc>
              <w:tc>
                <w:tcPr>
                  <w:tcW w:w="947" w:type="pct"/>
                  <w:tcBorders>
                    <w:tl2br w:val="nil"/>
                    <w:tr2bl w:val="nil"/>
                  </w:tcBorders>
                  <w:shd w:val="clear" w:color="auto" w:fill="auto"/>
                  <w:noWrap w:val="0"/>
                  <w:vAlign w:val="center"/>
                </w:tcPr>
                <w:p w14:paraId="242A875D">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20t</w:t>
                  </w:r>
                </w:p>
              </w:tc>
              <w:tc>
                <w:tcPr>
                  <w:tcW w:w="738" w:type="pct"/>
                  <w:tcBorders>
                    <w:tl2br w:val="nil"/>
                    <w:tr2bl w:val="nil"/>
                  </w:tcBorders>
                  <w:shd w:val="clear" w:color="auto" w:fill="auto"/>
                  <w:noWrap w:val="0"/>
                  <w:vAlign w:val="center"/>
                </w:tcPr>
                <w:p w14:paraId="333D1D1F">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原料仓库</w:t>
                  </w:r>
                </w:p>
              </w:tc>
              <w:tc>
                <w:tcPr>
                  <w:tcW w:w="781" w:type="pct"/>
                  <w:tcBorders>
                    <w:tl2br w:val="nil"/>
                    <w:tr2bl w:val="nil"/>
                  </w:tcBorders>
                  <w:shd w:val="clear" w:color="auto" w:fill="auto"/>
                  <w:noWrap w:val="0"/>
                  <w:vAlign w:val="center"/>
                </w:tcPr>
                <w:p w14:paraId="4158C7C6">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常温储存</w:t>
                  </w:r>
                </w:p>
              </w:tc>
              <w:tc>
                <w:tcPr>
                  <w:tcW w:w="642" w:type="pct"/>
                  <w:tcBorders>
                    <w:tl2br w:val="nil"/>
                    <w:tr2bl w:val="nil"/>
                  </w:tcBorders>
                  <w:shd w:val="clear" w:color="auto" w:fill="auto"/>
                  <w:noWrap w:val="0"/>
                  <w:vAlign w:val="center"/>
                </w:tcPr>
                <w:p w14:paraId="4C6A40E9">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1</w:t>
                  </w:r>
                  <w:r>
                    <w:rPr>
                      <w:rFonts w:hint="default" w:ascii="Times New Roman" w:hAnsi="Times New Roman" w:eastAsia="宋体" w:cs="Times New Roman"/>
                      <w:b w:val="0"/>
                      <w:bCs w:val="0"/>
                      <w:color w:val="auto"/>
                      <w:szCs w:val="20"/>
                      <w:highlight w:val="none"/>
                      <w:lang w:val="en-US" w:eastAsia="zh-CN"/>
                    </w:rPr>
                    <w:t>t</w:t>
                  </w:r>
                </w:p>
              </w:tc>
              <w:tc>
                <w:tcPr>
                  <w:tcW w:w="837" w:type="pct"/>
                  <w:tcBorders>
                    <w:tl2br w:val="nil"/>
                    <w:tr2bl w:val="nil"/>
                  </w:tcBorders>
                  <w:shd w:val="clear" w:color="auto" w:fill="auto"/>
                  <w:noWrap w:val="0"/>
                  <w:vAlign w:val="center"/>
                </w:tcPr>
                <w:p w14:paraId="68706AB2">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外购</w:t>
                  </w:r>
                </w:p>
              </w:tc>
            </w:tr>
            <w:tr w14:paraId="2799A2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2F212983">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13</w:t>
                  </w:r>
                </w:p>
              </w:tc>
              <w:tc>
                <w:tcPr>
                  <w:tcW w:w="661" w:type="pct"/>
                  <w:tcBorders>
                    <w:tl2br w:val="nil"/>
                    <w:tr2bl w:val="nil"/>
                  </w:tcBorders>
                  <w:shd w:val="clear" w:color="auto" w:fill="auto"/>
                  <w:noWrap w:val="0"/>
                  <w:vAlign w:val="center"/>
                </w:tcPr>
                <w:p w14:paraId="2DD25210">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包装材料</w:t>
                  </w:r>
                  <w:r>
                    <w:rPr>
                      <w:rFonts w:hint="eastAsia" w:cs="Times New Roman"/>
                      <w:b w:val="0"/>
                      <w:bCs w:val="0"/>
                      <w:color w:val="auto"/>
                      <w:szCs w:val="20"/>
                      <w:highlight w:val="none"/>
                      <w:lang w:val="en-US" w:eastAsia="zh-CN"/>
                    </w:rPr>
                    <w:t>（内包、外包）</w:t>
                  </w:r>
                </w:p>
              </w:tc>
              <w:tc>
                <w:tcPr>
                  <w:tcW w:w="947" w:type="pct"/>
                  <w:tcBorders>
                    <w:tl2br w:val="nil"/>
                    <w:tr2bl w:val="nil"/>
                  </w:tcBorders>
                  <w:shd w:val="clear" w:color="auto" w:fill="auto"/>
                  <w:noWrap w:val="0"/>
                  <w:vAlign w:val="center"/>
                </w:tcPr>
                <w:p w14:paraId="27292F51">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20t</w:t>
                  </w:r>
                </w:p>
              </w:tc>
              <w:tc>
                <w:tcPr>
                  <w:tcW w:w="738" w:type="pct"/>
                  <w:tcBorders>
                    <w:tl2br w:val="nil"/>
                    <w:tr2bl w:val="nil"/>
                  </w:tcBorders>
                  <w:shd w:val="clear" w:color="auto" w:fill="auto"/>
                  <w:noWrap w:val="0"/>
                  <w:vAlign w:val="center"/>
                </w:tcPr>
                <w:p w14:paraId="0DEA74BF">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原料仓库</w:t>
                  </w:r>
                </w:p>
              </w:tc>
              <w:tc>
                <w:tcPr>
                  <w:tcW w:w="781" w:type="pct"/>
                  <w:tcBorders>
                    <w:tl2br w:val="nil"/>
                    <w:tr2bl w:val="nil"/>
                  </w:tcBorders>
                  <w:shd w:val="clear" w:color="auto" w:fill="auto"/>
                  <w:noWrap w:val="0"/>
                  <w:vAlign w:val="center"/>
                </w:tcPr>
                <w:p w14:paraId="7AD79045">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常温储存</w:t>
                  </w:r>
                </w:p>
              </w:tc>
              <w:tc>
                <w:tcPr>
                  <w:tcW w:w="642" w:type="pct"/>
                  <w:tcBorders>
                    <w:tl2br w:val="nil"/>
                    <w:tr2bl w:val="nil"/>
                  </w:tcBorders>
                  <w:shd w:val="clear" w:color="auto" w:fill="auto"/>
                  <w:noWrap w:val="0"/>
                  <w:vAlign w:val="center"/>
                </w:tcPr>
                <w:p w14:paraId="558925D8">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1</w:t>
                  </w:r>
                  <w:r>
                    <w:rPr>
                      <w:rFonts w:hint="default" w:ascii="Times New Roman" w:hAnsi="Times New Roman" w:eastAsia="宋体" w:cs="Times New Roman"/>
                      <w:b w:val="0"/>
                      <w:bCs w:val="0"/>
                      <w:color w:val="auto"/>
                      <w:szCs w:val="20"/>
                      <w:highlight w:val="none"/>
                      <w:lang w:val="en-US" w:eastAsia="zh-CN"/>
                    </w:rPr>
                    <w:t>t</w:t>
                  </w:r>
                </w:p>
              </w:tc>
              <w:tc>
                <w:tcPr>
                  <w:tcW w:w="837" w:type="pct"/>
                  <w:tcBorders>
                    <w:tl2br w:val="nil"/>
                    <w:tr2bl w:val="nil"/>
                  </w:tcBorders>
                  <w:shd w:val="clear" w:color="auto" w:fill="auto"/>
                  <w:noWrap w:val="0"/>
                  <w:vAlign w:val="center"/>
                </w:tcPr>
                <w:p w14:paraId="2E805251">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外购</w:t>
                  </w:r>
                </w:p>
              </w:tc>
            </w:tr>
            <w:tr w14:paraId="35A8FC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4A944E2D">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14</w:t>
                  </w:r>
                </w:p>
              </w:tc>
              <w:tc>
                <w:tcPr>
                  <w:tcW w:w="661" w:type="pct"/>
                  <w:tcBorders>
                    <w:tl2br w:val="nil"/>
                    <w:tr2bl w:val="nil"/>
                  </w:tcBorders>
                  <w:shd w:val="clear" w:color="auto" w:fill="auto"/>
                  <w:noWrap w:val="0"/>
                  <w:vAlign w:val="center"/>
                </w:tcPr>
                <w:p w14:paraId="2532A879">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酵母菌</w:t>
                  </w:r>
                </w:p>
              </w:tc>
              <w:tc>
                <w:tcPr>
                  <w:tcW w:w="947" w:type="pct"/>
                  <w:tcBorders>
                    <w:tl2br w:val="nil"/>
                    <w:tr2bl w:val="nil"/>
                  </w:tcBorders>
                  <w:shd w:val="clear" w:color="auto" w:fill="auto"/>
                  <w:noWrap w:val="0"/>
                  <w:vAlign w:val="center"/>
                </w:tcPr>
                <w:p w14:paraId="253DDC00">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1</w:t>
                  </w:r>
                  <w:r>
                    <w:rPr>
                      <w:rFonts w:hint="default" w:ascii="Times New Roman" w:hAnsi="Times New Roman" w:eastAsia="宋体" w:cs="Times New Roman"/>
                      <w:b w:val="0"/>
                      <w:bCs w:val="0"/>
                      <w:color w:val="auto"/>
                      <w:szCs w:val="20"/>
                      <w:highlight w:val="none"/>
                      <w:lang w:val="en-US" w:eastAsia="zh-CN"/>
                    </w:rPr>
                    <w:t>0</w:t>
                  </w:r>
                  <w:r>
                    <w:rPr>
                      <w:rFonts w:hint="eastAsia" w:cs="Times New Roman"/>
                      <w:b w:val="0"/>
                      <w:bCs w:val="0"/>
                      <w:color w:val="auto"/>
                      <w:szCs w:val="20"/>
                      <w:highlight w:val="none"/>
                      <w:lang w:val="en-US" w:eastAsia="zh-CN"/>
                    </w:rPr>
                    <w:t>t</w:t>
                  </w:r>
                </w:p>
              </w:tc>
              <w:tc>
                <w:tcPr>
                  <w:tcW w:w="738" w:type="pct"/>
                  <w:tcBorders>
                    <w:tl2br w:val="nil"/>
                    <w:tr2bl w:val="nil"/>
                  </w:tcBorders>
                  <w:shd w:val="clear" w:color="auto" w:fill="auto"/>
                  <w:noWrap w:val="0"/>
                  <w:vAlign w:val="center"/>
                </w:tcPr>
                <w:p w14:paraId="1B940A57">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原料仓库</w:t>
                  </w:r>
                </w:p>
              </w:tc>
              <w:tc>
                <w:tcPr>
                  <w:tcW w:w="781" w:type="pct"/>
                  <w:tcBorders>
                    <w:tl2br w:val="nil"/>
                    <w:tr2bl w:val="nil"/>
                  </w:tcBorders>
                  <w:shd w:val="clear" w:color="auto" w:fill="auto"/>
                  <w:noWrap w:val="0"/>
                  <w:vAlign w:val="center"/>
                </w:tcPr>
                <w:p w14:paraId="4C00D963">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常温储存</w:t>
                  </w:r>
                </w:p>
              </w:tc>
              <w:tc>
                <w:tcPr>
                  <w:tcW w:w="642" w:type="pct"/>
                  <w:tcBorders>
                    <w:tl2br w:val="nil"/>
                    <w:tr2bl w:val="nil"/>
                  </w:tcBorders>
                  <w:shd w:val="clear" w:color="auto" w:fill="auto"/>
                  <w:noWrap w:val="0"/>
                  <w:vAlign w:val="center"/>
                </w:tcPr>
                <w:p w14:paraId="445A44A0">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1</w:t>
                  </w:r>
                  <w:r>
                    <w:rPr>
                      <w:rFonts w:hint="eastAsia" w:cs="Times New Roman"/>
                      <w:b w:val="0"/>
                      <w:bCs w:val="0"/>
                      <w:color w:val="auto"/>
                      <w:szCs w:val="20"/>
                      <w:highlight w:val="none"/>
                      <w:lang w:val="en-US" w:eastAsia="zh-CN"/>
                    </w:rPr>
                    <w:t>t</w:t>
                  </w:r>
                </w:p>
              </w:tc>
              <w:tc>
                <w:tcPr>
                  <w:tcW w:w="837" w:type="pct"/>
                  <w:tcBorders>
                    <w:tl2br w:val="nil"/>
                    <w:tr2bl w:val="nil"/>
                  </w:tcBorders>
                  <w:shd w:val="clear" w:color="auto" w:fill="auto"/>
                  <w:noWrap w:val="0"/>
                  <w:vAlign w:val="center"/>
                </w:tcPr>
                <w:p w14:paraId="16FF9E3F">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外购</w:t>
                  </w:r>
                </w:p>
              </w:tc>
            </w:tr>
            <w:tr w14:paraId="25B199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204AF52F">
                  <w:pPr>
                    <w:pStyle w:val="80"/>
                    <w:keepNext w:val="0"/>
                    <w:keepLines w:val="0"/>
                    <w:widowControl/>
                    <w:suppressLineNumbers w:val="0"/>
                    <w:snapToGrid w:val="0"/>
                    <w:spacing w:before="0" w:beforeAutospacing="0" w:after="0" w:afterAutospacing="0"/>
                    <w:ind w:left="0" w:leftChars="0" w:right="0" w:rightChars="0"/>
                    <w:rPr>
                      <w:rFonts w:hint="eastAsia"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15</w:t>
                  </w:r>
                </w:p>
              </w:tc>
              <w:tc>
                <w:tcPr>
                  <w:tcW w:w="661" w:type="pct"/>
                  <w:tcBorders>
                    <w:tl2br w:val="nil"/>
                    <w:tr2bl w:val="nil"/>
                  </w:tcBorders>
                  <w:shd w:val="clear" w:color="auto" w:fill="auto"/>
                  <w:noWrap w:val="0"/>
                  <w:vAlign w:val="center"/>
                </w:tcPr>
                <w:p w14:paraId="7CDA0A49">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ascii="Times New Roman" w:hAnsi="Times New Roman" w:eastAsia="宋体" w:cs="Times New Roman"/>
                      <w:b w:val="0"/>
                      <w:bCs w:val="0"/>
                      <w:color w:val="auto"/>
                      <w:szCs w:val="20"/>
                      <w:highlight w:val="none"/>
                      <w:lang w:val="en-US" w:eastAsia="zh-CN"/>
                    </w:rPr>
                    <w:t>平板计数琼脂培养基</w:t>
                  </w:r>
                </w:p>
              </w:tc>
              <w:tc>
                <w:tcPr>
                  <w:tcW w:w="947" w:type="pct"/>
                  <w:tcBorders>
                    <w:tl2br w:val="nil"/>
                    <w:tr2bl w:val="nil"/>
                  </w:tcBorders>
                  <w:shd w:val="clear" w:color="auto" w:fill="auto"/>
                  <w:noWrap w:val="0"/>
                  <w:vAlign w:val="center"/>
                </w:tcPr>
                <w:p w14:paraId="7AB82F20">
                  <w:pPr>
                    <w:pStyle w:val="80"/>
                    <w:keepNext w:val="0"/>
                    <w:keepLines w:val="0"/>
                    <w:widowControl/>
                    <w:suppressLineNumbers w:val="0"/>
                    <w:snapToGrid w:val="0"/>
                    <w:spacing w:before="0" w:beforeAutospacing="0" w:after="0" w:afterAutospacing="0"/>
                    <w:ind w:left="0" w:leftChars="0" w:right="0" w:rightChars="0"/>
                    <w:rPr>
                      <w:rFonts w:hint="default"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1.2kg</w:t>
                  </w:r>
                </w:p>
              </w:tc>
              <w:tc>
                <w:tcPr>
                  <w:tcW w:w="738" w:type="pct"/>
                  <w:tcBorders>
                    <w:tl2br w:val="nil"/>
                    <w:tr2bl w:val="nil"/>
                  </w:tcBorders>
                  <w:shd w:val="clear" w:color="auto" w:fill="auto"/>
                  <w:noWrap w:val="0"/>
                  <w:vAlign w:val="center"/>
                </w:tcPr>
                <w:p w14:paraId="08884819">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原料仓库</w:t>
                  </w:r>
                  <w:r>
                    <w:rPr>
                      <w:rFonts w:hint="eastAsia" w:cs="Times New Roman"/>
                      <w:b w:val="0"/>
                      <w:bCs w:val="0"/>
                      <w:color w:val="auto"/>
                      <w:szCs w:val="20"/>
                      <w:highlight w:val="none"/>
                      <w:lang w:val="en-US" w:eastAsia="zh-CN"/>
                    </w:rPr>
                    <w:t>冷库</w:t>
                  </w:r>
                </w:p>
              </w:tc>
              <w:tc>
                <w:tcPr>
                  <w:tcW w:w="781" w:type="pct"/>
                  <w:tcBorders>
                    <w:tl2br w:val="nil"/>
                    <w:tr2bl w:val="nil"/>
                  </w:tcBorders>
                  <w:shd w:val="clear" w:color="auto" w:fill="auto"/>
                  <w:noWrap w:val="0"/>
                  <w:vAlign w:val="center"/>
                </w:tcPr>
                <w:p w14:paraId="530128CB">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冷藏</w:t>
                  </w:r>
                  <w:r>
                    <w:rPr>
                      <w:rFonts w:hint="default" w:ascii="Times New Roman" w:hAnsi="Times New Roman" w:eastAsia="宋体" w:cs="Times New Roman"/>
                      <w:b w:val="0"/>
                      <w:bCs w:val="0"/>
                      <w:color w:val="auto"/>
                      <w:szCs w:val="20"/>
                      <w:highlight w:val="none"/>
                      <w:lang w:val="en-US" w:eastAsia="zh-CN"/>
                    </w:rPr>
                    <w:t>储存</w:t>
                  </w:r>
                </w:p>
              </w:tc>
              <w:tc>
                <w:tcPr>
                  <w:tcW w:w="642" w:type="pct"/>
                  <w:tcBorders>
                    <w:tl2br w:val="nil"/>
                    <w:tr2bl w:val="nil"/>
                  </w:tcBorders>
                  <w:shd w:val="clear" w:color="auto" w:fill="auto"/>
                  <w:noWrap w:val="0"/>
                  <w:vAlign w:val="center"/>
                </w:tcPr>
                <w:p w14:paraId="75CAFAD7">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0.5kg</w:t>
                  </w:r>
                </w:p>
              </w:tc>
              <w:tc>
                <w:tcPr>
                  <w:tcW w:w="837" w:type="pct"/>
                  <w:tcBorders>
                    <w:tl2br w:val="nil"/>
                    <w:tr2bl w:val="nil"/>
                  </w:tcBorders>
                  <w:shd w:val="clear" w:color="auto" w:fill="auto"/>
                  <w:noWrap w:val="0"/>
                  <w:vAlign w:val="center"/>
                </w:tcPr>
                <w:p w14:paraId="3958D6BB">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外购</w:t>
                  </w:r>
                </w:p>
              </w:tc>
            </w:tr>
            <w:tr w14:paraId="07AC95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195F0438">
                  <w:pPr>
                    <w:pStyle w:val="80"/>
                    <w:keepNext w:val="0"/>
                    <w:keepLines w:val="0"/>
                    <w:widowControl/>
                    <w:suppressLineNumbers w:val="0"/>
                    <w:snapToGrid w:val="0"/>
                    <w:spacing w:before="0" w:beforeAutospacing="0" w:after="0" w:afterAutospacing="0"/>
                    <w:ind w:left="0" w:leftChars="0" w:right="0" w:rightChars="0"/>
                    <w:rPr>
                      <w:rFonts w:hint="eastAsia"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16</w:t>
                  </w:r>
                </w:p>
              </w:tc>
              <w:tc>
                <w:tcPr>
                  <w:tcW w:w="661" w:type="pct"/>
                  <w:tcBorders>
                    <w:tl2br w:val="nil"/>
                    <w:tr2bl w:val="nil"/>
                  </w:tcBorders>
                  <w:shd w:val="clear" w:color="auto" w:fill="auto"/>
                  <w:noWrap w:val="0"/>
                  <w:vAlign w:val="center"/>
                </w:tcPr>
                <w:p w14:paraId="25DC194E">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ascii="Times New Roman" w:hAnsi="Times New Roman" w:eastAsia="宋体" w:cs="Times New Roman"/>
                      <w:b w:val="0"/>
                      <w:bCs w:val="0"/>
                      <w:color w:val="auto"/>
                      <w:szCs w:val="20"/>
                      <w:highlight w:val="none"/>
                      <w:lang w:val="en-US" w:eastAsia="zh-CN"/>
                    </w:rPr>
                    <w:t>淀粉指示液</w:t>
                  </w:r>
                </w:p>
              </w:tc>
              <w:tc>
                <w:tcPr>
                  <w:tcW w:w="947" w:type="pct"/>
                  <w:tcBorders>
                    <w:tl2br w:val="nil"/>
                    <w:tr2bl w:val="nil"/>
                  </w:tcBorders>
                  <w:shd w:val="clear" w:color="auto" w:fill="auto"/>
                  <w:noWrap w:val="0"/>
                  <w:vAlign w:val="center"/>
                </w:tcPr>
                <w:p w14:paraId="5EBD757F">
                  <w:pPr>
                    <w:pStyle w:val="80"/>
                    <w:keepNext w:val="0"/>
                    <w:keepLines w:val="0"/>
                    <w:widowControl/>
                    <w:suppressLineNumbers w:val="0"/>
                    <w:snapToGrid w:val="0"/>
                    <w:spacing w:before="0" w:beforeAutospacing="0" w:after="0" w:afterAutospacing="0"/>
                    <w:ind w:left="0" w:leftChars="0" w:right="0" w:rightChars="0"/>
                    <w:rPr>
                      <w:rFonts w:hint="default"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0.5L</w:t>
                  </w:r>
                </w:p>
              </w:tc>
              <w:tc>
                <w:tcPr>
                  <w:tcW w:w="738" w:type="pct"/>
                  <w:tcBorders>
                    <w:tl2br w:val="nil"/>
                    <w:tr2bl w:val="nil"/>
                  </w:tcBorders>
                  <w:shd w:val="clear" w:color="auto" w:fill="auto"/>
                  <w:noWrap w:val="0"/>
                  <w:vAlign w:val="center"/>
                </w:tcPr>
                <w:p w14:paraId="563B07F3">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检验室</w:t>
                  </w:r>
                </w:p>
              </w:tc>
              <w:tc>
                <w:tcPr>
                  <w:tcW w:w="781" w:type="pct"/>
                  <w:tcBorders>
                    <w:tl2br w:val="nil"/>
                    <w:tr2bl w:val="nil"/>
                  </w:tcBorders>
                  <w:shd w:val="clear" w:color="auto" w:fill="auto"/>
                  <w:noWrap w:val="0"/>
                  <w:vAlign w:val="center"/>
                </w:tcPr>
                <w:p w14:paraId="0BACD101">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常温储存</w:t>
                  </w:r>
                </w:p>
              </w:tc>
              <w:tc>
                <w:tcPr>
                  <w:tcW w:w="642" w:type="pct"/>
                  <w:tcBorders>
                    <w:tl2br w:val="nil"/>
                    <w:tr2bl w:val="nil"/>
                  </w:tcBorders>
                  <w:shd w:val="clear" w:color="auto" w:fill="auto"/>
                  <w:noWrap w:val="0"/>
                  <w:vAlign w:val="center"/>
                </w:tcPr>
                <w:p w14:paraId="61BBC87C">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0.5L</w:t>
                  </w:r>
                </w:p>
              </w:tc>
              <w:tc>
                <w:tcPr>
                  <w:tcW w:w="837" w:type="pct"/>
                  <w:tcBorders>
                    <w:tl2br w:val="nil"/>
                    <w:tr2bl w:val="nil"/>
                  </w:tcBorders>
                  <w:shd w:val="clear" w:color="auto" w:fill="auto"/>
                  <w:noWrap w:val="0"/>
                  <w:vAlign w:val="center"/>
                </w:tcPr>
                <w:p w14:paraId="28E1051E">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外购</w:t>
                  </w:r>
                </w:p>
              </w:tc>
            </w:tr>
            <w:tr w14:paraId="67B54B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jc w:val="center"/>
              </w:trPr>
              <w:tc>
                <w:tcPr>
                  <w:tcW w:w="389" w:type="pct"/>
                  <w:tcBorders>
                    <w:tl2br w:val="nil"/>
                    <w:tr2bl w:val="nil"/>
                  </w:tcBorders>
                  <w:shd w:val="clear" w:color="auto" w:fill="auto"/>
                  <w:noWrap w:val="0"/>
                  <w:vAlign w:val="center"/>
                </w:tcPr>
                <w:p w14:paraId="7863D9D9">
                  <w:pPr>
                    <w:pStyle w:val="80"/>
                    <w:keepNext w:val="0"/>
                    <w:keepLines w:val="0"/>
                    <w:widowControl/>
                    <w:suppressLineNumbers w:val="0"/>
                    <w:snapToGrid w:val="0"/>
                    <w:spacing w:before="0" w:beforeAutospacing="0" w:after="0" w:afterAutospacing="0"/>
                    <w:ind w:left="0" w:leftChars="0" w:right="0" w:rightChars="0"/>
                    <w:rPr>
                      <w:rFonts w:hint="eastAsia"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 w:val="21"/>
                      <w:szCs w:val="20"/>
                      <w:highlight w:val="none"/>
                      <w:lang w:val="en-US" w:eastAsia="zh-CN" w:bidi="ar-SA"/>
                    </w:rPr>
                    <w:t>17</w:t>
                  </w:r>
                </w:p>
              </w:tc>
              <w:tc>
                <w:tcPr>
                  <w:tcW w:w="661" w:type="pct"/>
                  <w:tcBorders>
                    <w:tl2br w:val="nil"/>
                    <w:tr2bl w:val="nil"/>
                  </w:tcBorders>
                  <w:shd w:val="clear" w:color="auto" w:fill="auto"/>
                  <w:noWrap w:val="0"/>
                  <w:vAlign w:val="center"/>
                </w:tcPr>
                <w:p w14:paraId="327CF5D9">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ascii="Times New Roman" w:hAnsi="Times New Roman" w:eastAsia="宋体" w:cs="Times New Roman"/>
                      <w:b w:val="0"/>
                      <w:bCs w:val="0"/>
                      <w:color w:val="auto"/>
                      <w:szCs w:val="20"/>
                      <w:highlight w:val="none"/>
                      <w:lang w:val="en-US" w:eastAsia="zh-CN"/>
                    </w:rPr>
                    <w:t>碘溶液</w:t>
                  </w:r>
                </w:p>
              </w:tc>
              <w:tc>
                <w:tcPr>
                  <w:tcW w:w="947" w:type="pct"/>
                  <w:tcBorders>
                    <w:tl2br w:val="nil"/>
                    <w:tr2bl w:val="nil"/>
                  </w:tcBorders>
                  <w:shd w:val="clear" w:color="auto" w:fill="auto"/>
                  <w:noWrap w:val="0"/>
                  <w:vAlign w:val="center"/>
                </w:tcPr>
                <w:p w14:paraId="6D30F143">
                  <w:pPr>
                    <w:pStyle w:val="80"/>
                    <w:keepNext w:val="0"/>
                    <w:keepLines w:val="0"/>
                    <w:widowControl/>
                    <w:suppressLineNumbers w:val="0"/>
                    <w:snapToGrid w:val="0"/>
                    <w:spacing w:before="0" w:beforeAutospacing="0" w:after="0" w:afterAutospacing="0"/>
                    <w:ind w:left="0" w:leftChars="0" w:right="0" w:rightChars="0"/>
                    <w:rPr>
                      <w:rFonts w:hint="default"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0.5L</w:t>
                  </w:r>
                </w:p>
              </w:tc>
              <w:tc>
                <w:tcPr>
                  <w:tcW w:w="738" w:type="pct"/>
                  <w:tcBorders>
                    <w:tl2br w:val="nil"/>
                    <w:tr2bl w:val="nil"/>
                  </w:tcBorders>
                  <w:shd w:val="clear" w:color="auto" w:fill="auto"/>
                  <w:noWrap w:val="0"/>
                  <w:vAlign w:val="center"/>
                </w:tcPr>
                <w:p w14:paraId="2693486C">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检验室</w:t>
                  </w:r>
                </w:p>
              </w:tc>
              <w:tc>
                <w:tcPr>
                  <w:tcW w:w="781" w:type="pct"/>
                  <w:tcBorders>
                    <w:tl2br w:val="nil"/>
                    <w:tr2bl w:val="nil"/>
                  </w:tcBorders>
                  <w:shd w:val="clear" w:color="auto" w:fill="auto"/>
                  <w:noWrap w:val="0"/>
                  <w:vAlign w:val="center"/>
                </w:tcPr>
                <w:p w14:paraId="27E33008">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常温储存</w:t>
                  </w:r>
                </w:p>
              </w:tc>
              <w:tc>
                <w:tcPr>
                  <w:tcW w:w="642" w:type="pct"/>
                  <w:tcBorders>
                    <w:tl2br w:val="nil"/>
                    <w:tr2bl w:val="nil"/>
                  </w:tcBorders>
                  <w:shd w:val="clear" w:color="auto" w:fill="auto"/>
                  <w:noWrap w:val="0"/>
                  <w:vAlign w:val="center"/>
                </w:tcPr>
                <w:p w14:paraId="10B164E1">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0.5L</w:t>
                  </w:r>
                </w:p>
              </w:tc>
              <w:tc>
                <w:tcPr>
                  <w:tcW w:w="837" w:type="pct"/>
                  <w:tcBorders>
                    <w:tl2br w:val="nil"/>
                    <w:tr2bl w:val="nil"/>
                  </w:tcBorders>
                  <w:shd w:val="clear" w:color="auto" w:fill="auto"/>
                  <w:noWrap w:val="0"/>
                  <w:vAlign w:val="center"/>
                </w:tcPr>
                <w:p w14:paraId="02984920">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外购</w:t>
                  </w:r>
                </w:p>
              </w:tc>
            </w:tr>
            <w:tr w14:paraId="631912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02216E77">
                  <w:pPr>
                    <w:pStyle w:val="80"/>
                    <w:keepNext w:val="0"/>
                    <w:keepLines w:val="0"/>
                    <w:widowControl/>
                    <w:suppressLineNumbers w:val="0"/>
                    <w:snapToGrid w:val="0"/>
                    <w:spacing w:before="0" w:beforeAutospacing="0" w:after="0" w:afterAutospacing="0"/>
                    <w:ind w:left="0" w:leftChars="0" w:right="0" w:rightChars="0"/>
                    <w:jc w:val="center"/>
                    <w:rPr>
                      <w:rFonts w:hint="eastAsia"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 w:val="21"/>
                      <w:szCs w:val="20"/>
                      <w:highlight w:val="none"/>
                      <w:lang w:val="en-US" w:eastAsia="zh-CN" w:bidi="ar-SA"/>
                    </w:rPr>
                    <w:t>18</w:t>
                  </w:r>
                </w:p>
              </w:tc>
              <w:tc>
                <w:tcPr>
                  <w:tcW w:w="661" w:type="pct"/>
                  <w:tcBorders>
                    <w:tl2br w:val="nil"/>
                    <w:tr2bl w:val="nil"/>
                  </w:tcBorders>
                  <w:shd w:val="clear" w:color="auto" w:fill="auto"/>
                  <w:noWrap w:val="0"/>
                  <w:vAlign w:val="center"/>
                </w:tcPr>
                <w:p w14:paraId="6076A3AA">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ascii="Times New Roman" w:hAnsi="Times New Roman" w:eastAsia="宋体" w:cs="Times New Roman"/>
                      <w:b w:val="0"/>
                      <w:bCs w:val="0"/>
                      <w:color w:val="auto"/>
                      <w:szCs w:val="20"/>
                      <w:highlight w:val="none"/>
                      <w:lang w:val="en-US" w:eastAsia="zh-CN"/>
                    </w:rPr>
                    <w:t>无菌生理盐水</w:t>
                  </w:r>
                </w:p>
              </w:tc>
              <w:tc>
                <w:tcPr>
                  <w:tcW w:w="947" w:type="pct"/>
                  <w:tcBorders>
                    <w:tl2br w:val="nil"/>
                    <w:tr2bl w:val="nil"/>
                  </w:tcBorders>
                  <w:shd w:val="clear" w:color="auto" w:fill="auto"/>
                  <w:noWrap w:val="0"/>
                  <w:vAlign w:val="center"/>
                </w:tcPr>
                <w:p w14:paraId="3BE9FBB9">
                  <w:pPr>
                    <w:pStyle w:val="80"/>
                    <w:keepNext w:val="0"/>
                    <w:keepLines w:val="0"/>
                    <w:widowControl/>
                    <w:suppressLineNumbers w:val="0"/>
                    <w:snapToGrid w:val="0"/>
                    <w:spacing w:before="0" w:beforeAutospacing="0" w:after="0" w:afterAutospacing="0"/>
                    <w:ind w:left="0" w:leftChars="0" w:right="0" w:rightChars="0"/>
                    <w:rPr>
                      <w:rFonts w:hint="default"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1L</w:t>
                  </w:r>
                </w:p>
              </w:tc>
              <w:tc>
                <w:tcPr>
                  <w:tcW w:w="738" w:type="pct"/>
                  <w:tcBorders>
                    <w:tl2br w:val="nil"/>
                    <w:tr2bl w:val="nil"/>
                  </w:tcBorders>
                  <w:shd w:val="clear" w:color="auto" w:fill="auto"/>
                  <w:noWrap w:val="0"/>
                  <w:vAlign w:val="center"/>
                </w:tcPr>
                <w:p w14:paraId="05E13D9A">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检验室</w:t>
                  </w:r>
                </w:p>
              </w:tc>
              <w:tc>
                <w:tcPr>
                  <w:tcW w:w="781" w:type="pct"/>
                  <w:tcBorders>
                    <w:tl2br w:val="nil"/>
                    <w:tr2bl w:val="nil"/>
                  </w:tcBorders>
                  <w:shd w:val="clear" w:color="auto" w:fill="auto"/>
                  <w:noWrap w:val="0"/>
                  <w:vAlign w:val="center"/>
                </w:tcPr>
                <w:p w14:paraId="4BC84C47">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常温储存</w:t>
                  </w:r>
                </w:p>
              </w:tc>
              <w:tc>
                <w:tcPr>
                  <w:tcW w:w="642" w:type="pct"/>
                  <w:tcBorders>
                    <w:tl2br w:val="nil"/>
                    <w:tr2bl w:val="nil"/>
                  </w:tcBorders>
                  <w:shd w:val="clear" w:color="auto" w:fill="auto"/>
                  <w:noWrap w:val="0"/>
                  <w:vAlign w:val="center"/>
                </w:tcPr>
                <w:p w14:paraId="47C30A85">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1L</w:t>
                  </w:r>
                </w:p>
              </w:tc>
              <w:tc>
                <w:tcPr>
                  <w:tcW w:w="837" w:type="pct"/>
                  <w:tcBorders>
                    <w:tl2br w:val="nil"/>
                    <w:tr2bl w:val="nil"/>
                  </w:tcBorders>
                  <w:shd w:val="clear" w:color="auto" w:fill="auto"/>
                  <w:noWrap w:val="0"/>
                  <w:vAlign w:val="center"/>
                </w:tcPr>
                <w:p w14:paraId="184A1D5B">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外购</w:t>
                  </w:r>
                </w:p>
              </w:tc>
            </w:tr>
            <w:tr w14:paraId="69B242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6461F315">
                  <w:pPr>
                    <w:pStyle w:val="80"/>
                    <w:keepNext w:val="0"/>
                    <w:keepLines w:val="0"/>
                    <w:widowControl/>
                    <w:suppressLineNumbers w:val="0"/>
                    <w:snapToGrid w:val="0"/>
                    <w:spacing w:before="0" w:beforeAutospacing="0" w:after="0" w:afterAutospacing="0"/>
                    <w:ind w:left="0" w:leftChars="0" w:right="0" w:rightChars="0"/>
                    <w:rPr>
                      <w:rFonts w:hint="default"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19</w:t>
                  </w:r>
                </w:p>
              </w:tc>
              <w:tc>
                <w:tcPr>
                  <w:tcW w:w="661" w:type="pct"/>
                  <w:tcBorders>
                    <w:tl2br w:val="nil"/>
                    <w:tr2bl w:val="nil"/>
                  </w:tcBorders>
                  <w:shd w:val="clear" w:color="auto" w:fill="auto"/>
                  <w:noWrap w:val="0"/>
                  <w:vAlign w:val="center"/>
                </w:tcPr>
                <w:p w14:paraId="7D4096BA">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ascii="Times New Roman" w:hAnsi="Times New Roman" w:eastAsia="宋体" w:cs="Times New Roman"/>
                      <w:b w:val="0"/>
                      <w:bCs w:val="0"/>
                      <w:color w:val="auto"/>
                      <w:szCs w:val="20"/>
                      <w:highlight w:val="none"/>
                      <w:lang w:val="en-US" w:eastAsia="zh-CN"/>
                    </w:rPr>
                    <w:t>月桂基硫酸盐胰蛋白陈肉汤</w:t>
                  </w:r>
                </w:p>
              </w:tc>
              <w:tc>
                <w:tcPr>
                  <w:tcW w:w="947" w:type="pct"/>
                  <w:tcBorders>
                    <w:tl2br w:val="nil"/>
                    <w:tr2bl w:val="nil"/>
                  </w:tcBorders>
                  <w:shd w:val="clear" w:color="auto" w:fill="auto"/>
                  <w:noWrap w:val="0"/>
                  <w:vAlign w:val="center"/>
                </w:tcPr>
                <w:p w14:paraId="697E32A0">
                  <w:pPr>
                    <w:pStyle w:val="80"/>
                    <w:keepNext w:val="0"/>
                    <w:keepLines w:val="0"/>
                    <w:widowControl/>
                    <w:suppressLineNumbers w:val="0"/>
                    <w:snapToGrid w:val="0"/>
                    <w:spacing w:before="0" w:beforeAutospacing="0" w:after="0" w:afterAutospacing="0"/>
                    <w:ind w:left="0" w:leftChars="0" w:right="0" w:rightChars="0"/>
                    <w:rPr>
                      <w:rFonts w:hint="default"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1L</w:t>
                  </w:r>
                </w:p>
              </w:tc>
              <w:tc>
                <w:tcPr>
                  <w:tcW w:w="738" w:type="pct"/>
                  <w:tcBorders>
                    <w:tl2br w:val="nil"/>
                    <w:tr2bl w:val="nil"/>
                  </w:tcBorders>
                  <w:shd w:val="clear" w:color="auto" w:fill="auto"/>
                  <w:noWrap w:val="0"/>
                  <w:vAlign w:val="center"/>
                </w:tcPr>
                <w:p w14:paraId="42876292">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原料仓库</w:t>
                  </w:r>
                  <w:r>
                    <w:rPr>
                      <w:rFonts w:hint="eastAsia" w:cs="Times New Roman"/>
                      <w:b w:val="0"/>
                      <w:bCs w:val="0"/>
                      <w:color w:val="auto"/>
                      <w:szCs w:val="20"/>
                      <w:highlight w:val="none"/>
                      <w:lang w:val="en-US" w:eastAsia="zh-CN"/>
                    </w:rPr>
                    <w:t>冷库</w:t>
                  </w:r>
                </w:p>
              </w:tc>
              <w:tc>
                <w:tcPr>
                  <w:tcW w:w="781" w:type="pct"/>
                  <w:tcBorders>
                    <w:tl2br w:val="nil"/>
                    <w:tr2bl w:val="nil"/>
                  </w:tcBorders>
                  <w:shd w:val="clear" w:color="auto" w:fill="auto"/>
                  <w:noWrap w:val="0"/>
                  <w:vAlign w:val="center"/>
                </w:tcPr>
                <w:p w14:paraId="6F9CC4C9">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冷藏</w:t>
                  </w:r>
                  <w:r>
                    <w:rPr>
                      <w:rFonts w:hint="default" w:ascii="Times New Roman" w:hAnsi="Times New Roman" w:eastAsia="宋体" w:cs="Times New Roman"/>
                      <w:b w:val="0"/>
                      <w:bCs w:val="0"/>
                      <w:color w:val="auto"/>
                      <w:szCs w:val="20"/>
                      <w:highlight w:val="none"/>
                      <w:lang w:val="en-US" w:eastAsia="zh-CN"/>
                    </w:rPr>
                    <w:t>储存</w:t>
                  </w:r>
                </w:p>
              </w:tc>
              <w:tc>
                <w:tcPr>
                  <w:tcW w:w="642" w:type="pct"/>
                  <w:tcBorders>
                    <w:tl2br w:val="nil"/>
                    <w:tr2bl w:val="nil"/>
                  </w:tcBorders>
                  <w:shd w:val="clear" w:color="auto" w:fill="auto"/>
                  <w:noWrap w:val="0"/>
                  <w:vAlign w:val="center"/>
                </w:tcPr>
                <w:p w14:paraId="76E87F1B">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1L</w:t>
                  </w:r>
                </w:p>
              </w:tc>
              <w:tc>
                <w:tcPr>
                  <w:tcW w:w="837" w:type="pct"/>
                  <w:tcBorders>
                    <w:tl2br w:val="nil"/>
                    <w:tr2bl w:val="nil"/>
                  </w:tcBorders>
                  <w:shd w:val="clear" w:color="auto" w:fill="auto"/>
                  <w:noWrap w:val="0"/>
                  <w:vAlign w:val="center"/>
                </w:tcPr>
                <w:p w14:paraId="34613A09">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外购</w:t>
                  </w:r>
                </w:p>
              </w:tc>
            </w:tr>
            <w:tr w14:paraId="31B3E1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jc w:val="center"/>
              </w:trPr>
              <w:tc>
                <w:tcPr>
                  <w:tcW w:w="389" w:type="pct"/>
                  <w:tcBorders>
                    <w:tl2br w:val="nil"/>
                    <w:tr2bl w:val="nil"/>
                  </w:tcBorders>
                  <w:shd w:val="clear" w:color="auto" w:fill="auto"/>
                  <w:noWrap w:val="0"/>
                  <w:vAlign w:val="center"/>
                </w:tcPr>
                <w:p w14:paraId="6721544F">
                  <w:pPr>
                    <w:pStyle w:val="80"/>
                    <w:keepNext w:val="0"/>
                    <w:keepLines w:val="0"/>
                    <w:widowControl/>
                    <w:suppressLineNumbers w:val="0"/>
                    <w:snapToGrid w:val="0"/>
                    <w:spacing w:before="0" w:beforeAutospacing="0" w:after="0" w:afterAutospacing="0"/>
                    <w:ind w:left="0" w:leftChars="0" w:right="0" w:rightChars="0"/>
                    <w:rPr>
                      <w:rFonts w:hint="default"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20</w:t>
                  </w:r>
                </w:p>
              </w:tc>
              <w:tc>
                <w:tcPr>
                  <w:tcW w:w="661" w:type="pct"/>
                  <w:tcBorders>
                    <w:tl2br w:val="nil"/>
                    <w:tr2bl w:val="nil"/>
                  </w:tcBorders>
                  <w:shd w:val="clear" w:color="auto" w:fill="auto"/>
                  <w:noWrap w:val="0"/>
                  <w:vAlign w:val="center"/>
                </w:tcPr>
                <w:p w14:paraId="04740D08">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ascii="Times New Roman" w:hAnsi="Times New Roman" w:eastAsia="宋体" w:cs="Times New Roman"/>
                      <w:b w:val="0"/>
                      <w:bCs w:val="0"/>
                      <w:color w:val="auto"/>
                      <w:szCs w:val="20"/>
                      <w:highlight w:val="none"/>
                      <w:lang w:val="en-US" w:eastAsia="zh-CN"/>
                    </w:rPr>
                    <w:t>结晶紫中性红胆盐琼脂</w:t>
                  </w:r>
                </w:p>
              </w:tc>
              <w:tc>
                <w:tcPr>
                  <w:tcW w:w="947" w:type="pct"/>
                  <w:tcBorders>
                    <w:tl2br w:val="nil"/>
                    <w:tr2bl w:val="nil"/>
                  </w:tcBorders>
                  <w:shd w:val="clear" w:color="auto" w:fill="auto"/>
                  <w:noWrap w:val="0"/>
                  <w:vAlign w:val="center"/>
                </w:tcPr>
                <w:p w14:paraId="30522A0B">
                  <w:pPr>
                    <w:pStyle w:val="80"/>
                    <w:keepNext w:val="0"/>
                    <w:keepLines w:val="0"/>
                    <w:widowControl/>
                    <w:suppressLineNumbers w:val="0"/>
                    <w:snapToGrid w:val="0"/>
                    <w:spacing w:before="0" w:beforeAutospacing="0" w:after="0" w:afterAutospacing="0"/>
                    <w:ind w:left="0" w:leftChars="0" w:right="0" w:rightChars="0"/>
                    <w:rPr>
                      <w:rFonts w:hint="default"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2kg</w:t>
                  </w:r>
                </w:p>
              </w:tc>
              <w:tc>
                <w:tcPr>
                  <w:tcW w:w="738" w:type="pct"/>
                  <w:tcBorders>
                    <w:tl2br w:val="nil"/>
                    <w:tr2bl w:val="nil"/>
                  </w:tcBorders>
                  <w:shd w:val="clear" w:color="auto" w:fill="auto"/>
                  <w:noWrap w:val="0"/>
                  <w:vAlign w:val="center"/>
                </w:tcPr>
                <w:p w14:paraId="62578957">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原料仓库</w:t>
                  </w:r>
                  <w:r>
                    <w:rPr>
                      <w:rFonts w:hint="eastAsia" w:cs="Times New Roman"/>
                      <w:b w:val="0"/>
                      <w:bCs w:val="0"/>
                      <w:color w:val="auto"/>
                      <w:szCs w:val="20"/>
                      <w:highlight w:val="none"/>
                      <w:lang w:val="en-US" w:eastAsia="zh-CN"/>
                    </w:rPr>
                    <w:t>冷库</w:t>
                  </w:r>
                </w:p>
              </w:tc>
              <w:tc>
                <w:tcPr>
                  <w:tcW w:w="781" w:type="pct"/>
                  <w:tcBorders>
                    <w:tl2br w:val="nil"/>
                    <w:tr2bl w:val="nil"/>
                  </w:tcBorders>
                  <w:shd w:val="clear" w:color="auto" w:fill="auto"/>
                  <w:noWrap w:val="0"/>
                  <w:vAlign w:val="center"/>
                </w:tcPr>
                <w:p w14:paraId="2EDDC7BC">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冷藏</w:t>
                  </w:r>
                  <w:r>
                    <w:rPr>
                      <w:rFonts w:hint="default" w:ascii="Times New Roman" w:hAnsi="Times New Roman" w:eastAsia="宋体" w:cs="Times New Roman"/>
                      <w:b w:val="0"/>
                      <w:bCs w:val="0"/>
                      <w:color w:val="auto"/>
                      <w:szCs w:val="20"/>
                      <w:highlight w:val="none"/>
                      <w:lang w:val="en-US" w:eastAsia="zh-CN"/>
                    </w:rPr>
                    <w:t>储存</w:t>
                  </w:r>
                </w:p>
              </w:tc>
              <w:tc>
                <w:tcPr>
                  <w:tcW w:w="642" w:type="pct"/>
                  <w:tcBorders>
                    <w:tl2br w:val="nil"/>
                    <w:tr2bl w:val="nil"/>
                  </w:tcBorders>
                  <w:shd w:val="clear" w:color="auto" w:fill="auto"/>
                  <w:noWrap w:val="0"/>
                  <w:vAlign w:val="center"/>
                </w:tcPr>
                <w:p w14:paraId="64D079D8">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2kg</w:t>
                  </w:r>
                </w:p>
              </w:tc>
              <w:tc>
                <w:tcPr>
                  <w:tcW w:w="837" w:type="pct"/>
                  <w:tcBorders>
                    <w:tl2br w:val="nil"/>
                    <w:tr2bl w:val="nil"/>
                  </w:tcBorders>
                  <w:shd w:val="clear" w:color="auto" w:fill="auto"/>
                  <w:noWrap w:val="0"/>
                  <w:vAlign w:val="center"/>
                </w:tcPr>
                <w:p w14:paraId="08FDE7F5">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外购</w:t>
                  </w:r>
                </w:p>
              </w:tc>
            </w:tr>
            <w:tr w14:paraId="43CFB6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16B139A3">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 w:val="21"/>
                      <w:szCs w:val="20"/>
                      <w:highlight w:val="none"/>
                      <w:lang w:val="en-US" w:eastAsia="zh-CN" w:bidi="ar-SA"/>
                    </w:rPr>
                    <w:t>21</w:t>
                  </w:r>
                </w:p>
              </w:tc>
              <w:tc>
                <w:tcPr>
                  <w:tcW w:w="661" w:type="pct"/>
                  <w:tcBorders>
                    <w:tl2br w:val="nil"/>
                    <w:tr2bl w:val="nil"/>
                  </w:tcBorders>
                  <w:shd w:val="clear" w:color="auto" w:fill="auto"/>
                  <w:noWrap w:val="0"/>
                  <w:vAlign w:val="center"/>
                </w:tcPr>
                <w:p w14:paraId="40DDE690">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天然气</w:t>
                  </w:r>
                </w:p>
              </w:tc>
              <w:tc>
                <w:tcPr>
                  <w:tcW w:w="947" w:type="pct"/>
                  <w:tcBorders>
                    <w:tl2br w:val="nil"/>
                    <w:tr2bl w:val="nil"/>
                  </w:tcBorders>
                  <w:shd w:val="clear" w:color="auto" w:fill="auto"/>
                  <w:noWrap w:val="0"/>
                  <w:vAlign w:val="center"/>
                </w:tcPr>
                <w:p w14:paraId="71EC8DB9">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52.5</w:t>
                  </w:r>
                  <w:r>
                    <w:rPr>
                      <w:rFonts w:hint="default" w:ascii="Times New Roman" w:hAnsi="Times New Roman" w:eastAsia="宋体" w:cs="Times New Roman"/>
                      <w:b w:val="0"/>
                      <w:bCs w:val="0"/>
                      <w:color w:val="auto"/>
                      <w:szCs w:val="20"/>
                      <w:highlight w:val="none"/>
                      <w:lang w:val="en-US" w:eastAsia="zh-CN"/>
                    </w:rPr>
                    <w:t>万Nm</w:t>
                  </w:r>
                  <w:r>
                    <w:rPr>
                      <w:rFonts w:hint="default" w:ascii="Times New Roman" w:hAnsi="Times New Roman" w:eastAsia="宋体" w:cs="Times New Roman"/>
                      <w:b w:val="0"/>
                      <w:bCs w:val="0"/>
                      <w:color w:val="auto"/>
                      <w:szCs w:val="20"/>
                      <w:highlight w:val="none"/>
                      <w:vertAlign w:val="superscript"/>
                      <w:lang w:val="en-US" w:eastAsia="zh-CN"/>
                    </w:rPr>
                    <w:t>3</w:t>
                  </w:r>
                  <w:r>
                    <w:rPr>
                      <w:rFonts w:hint="default" w:ascii="Times New Roman" w:hAnsi="Times New Roman" w:eastAsia="宋体" w:cs="Times New Roman"/>
                      <w:b w:val="0"/>
                      <w:bCs w:val="0"/>
                      <w:color w:val="auto"/>
                      <w:szCs w:val="20"/>
                      <w:highlight w:val="none"/>
                      <w:lang w:val="en-US" w:eastAsia="zh-CN"/>
                    </w:rPr>
                    <w:t>/a</w:t>
                  </w:r>
                </w:p>
              </w:tc>
              <w:tc>
                <w:tcPr>
                  <w:tcW w:w="738" w:type="pct"/>
                  <w:tcBorders>
                    <w:tl2br w:val="nil"/>
                    <w:tr2bl w:val="nil"/>
                  </w:tcBorders>
                  <w:shd w:val="clear" w:color="auto" w:fill="auto"/>
                  <w:noWrap w:val="0"/>
                  <w:vAlign w:val="center"/>
                </w:tcPr>
                <w:p w14:paraId="06B6344E">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w:t>
                  </w:r>
                </w:p>
              </w:tc>
              <w:tc>
                <w:tcPr>
                  <w:tcW w:w="781" w:type="pct"/>
                  <w:tcBorders>
                    <w:tl2br w:val="nil"/>
                    <w:tr2bl w:val="nil"/>
                  </w:tcBorders>
                  <w:shd w:val="clear" w:color="auto" w:fill="auto"/>
                  <w:noWrap w:val="0"/>
                  <w:vAlign w:val="center"/>
                </w:tcPr>
                <w:p w14:paraId="5E77F2B8">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w:t>
                  </w:r>
                </w:p>
              </w:tc>
              <w:tc>
                <w:tcPr>
                  <w:tcW w:w="642" w:type="pct"/>
                  <w:tcBorders>
                    <w:tl2br w:val="nil"/>
                    <w:tr2bl w:val="nil"/>
                  </w:tcBorders>
                  <w:shd w:val="clear" w:color="auto" w:fill="auto"/>
                  <w:noWrap w:val="0"/>
                  <w:vAlign w:val="center"/>
                </w:tcPr>
                <w:p w14:paraId="36884166">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w:t>
                  </w:r>
                </w:p>
              </w:tc>
              <w:tc>
                <w:tcPr>
                  <w:tcW w:w="837" w:type="pct"/>
                  <w:tcBorders>
                    <w:tl2br w:val="nil"/>
                    <w:tr2bl w:val="nil"/>
                  </w:tcBorders>
                  <w:shd w:val="clear" w:color="auto" w:fill="auto"/>
                  <w:noWrap w:val="0"/>
                  <w:vAlign w:val="center"/>
                </w:tcPr>
                <w:p w14:paraId="0CA749B2">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市政天然气管道</w:t>
                  </w:r>
                </w:p>
              </w:tc>
            </w:tr>
            <w:tr w14:paraId="0F1CB5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16F52735">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 w:val="21"/>
                      <w:szCs w:val="20"/>
                      <w:highlight w:val="none"/>
                      <w:lang w:val="en-US" w:eastAsia="zh-CN" w:bidi="ar-SA"/>
                    </w:rPr>
                    <w:t>22</w:t>
                  </w:r>
                </w:p>
              </w:tc>
              <w:tc>
                <w:tcPr>
                  <w:tcW w:w="661" w:type="pct"/>
                  <w:tcBorders>
                    <w:tl2br w:val="nil"/>
                    <w:tr2bl w:val="nil"/>
                  </w:tcBorders>
                  <w:shd w:val="clear" w:color="auto" w:fill="auto"/>
                  <w:noWrap w:val="0"/>
                  <w:vAlign w:val="center"/>
                </w:tcPr>
                <w:p w14:paraId="562A4202">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制冷剂</w:t>
                  </w:r>
                </w:p>
              </w:tc>
              <w:tc>
                <w:tcPr>
                  <w:tcW w:w="947" w:type="pct"/>
                  <w:tcBorders>
                    <w:tl2br w:val="nil"/>
                    <w:tr2bl w:val="nil"/>
                  </w:tcBorders>
                  <w:shd w:val="clear" w:color="auto" w:fill="auto"/>
                  <w:noWrap w:val="0"/>
                  <w:vAlign w:val="center"/>
                </w:tcPr>
                <w:p w14:paraId="79D96615">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30kg</w:t>
                  </w:r>
                </w:p>
              </w:tc>
              <w:tc>
                <w:tcPr>
                  <w:tcW w:w="738" w:type="pct"/>
                  <w:tcBorders>
                    <w:tl2br w:val="nil"/>
                    <w:tr2bl w:val="nil"/>
                  </w:tcBorders>
                  <w:shd w:val="clear" w:color="auto" w:fill="auto"/>
                  <w:noWrap w:val="0"/>
                  <w:vAlign w:val="center"/>
                </w:tcPr>
                <w:p w14:paraId="617AFAE4">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w:t>
                  </w:r>
                </w:p>
              </w:tc>
              <w:tc>
                <w:tcPr>
                  <w:tcW w:w="781" w:type="pct"/>
                  <w:tcBorders>
                    <w:tl2br w:val="nil"/>
                    <w:tr2bl w:val="nil"/>
                  </w:tcBorders>
                  <w:shd w:val="clear" w:color="auto" w:fill="auto"/>
                  <w:noWrap w:val="0"/>
                  <w:vAlign w:val="center"/>
                </w:tcPr>
                <w:p w14:paraId="37137120">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w:t>
                  </w:r>
                </w:p>
              </w:tc>
              <w:tc>
                <w:tcPr>
                  <w:tcW w:w="642" w:type="pct"/>
                  <w:tcBorders>
                    <w:tl2br w:val="nil"/>
                    <w:tr2bl w:val="nil"/>
                  </w:tcBorders>
                  <w:shd w:val="clear" w:color="auto" w:fill="auto"/>
                  <w:noWrap w:val="0"/>
                  <w:vAlign w:val="center"/>
                </w:tcPr>
                <w:p w14:paraId="2E4443D0">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w:t>
                  </w:r>
                </w:p>
              </w:tc>
              <w:tc>
                <w:tcPr>
                  <w:tcW w:w="837" w:type="pct"/>
                  <w:tcBorders>
                    <w:tl2br w:val="nil"/>
                    <w:tr2bl w:val="nil"/>
                  </w:tcBorders>
                  <w:shd w:val="clear" w:color="auto" w:fill="auto"/>
                  <w:noWrap w:val="0"/>
                  <w:vAlign w:val="center"/>
                </w:tcPr>
                <w:p w14:paraId="41EA15FD">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冷库原料一次性填充</w:t>
                  </w:r>
                </w:p>
              </w:tc>
            </w:tr>
            <w:tr w14:paraId="0AAAE6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2BF939E4">
                  <w:pPr>
                    <w:pStyle w:val="80"/>
                    <w:keepNext w:val="0"/>
                    <w:keepLines w:val="0"/>
                    <w:widowControl/>
                    <w:suppressLineNumbers w:val="0"/>
                    <w:snapToGrid w:val="0"/>
                    <w:spacing w:before="0" w:beforeAutospacing="0" w:after="0" w:afterAutospacing="0"/>
                    <w:ind w:left="0" w:leftChars="0" w:right="0" w:rightChars="0"/>
                    <w:rPr>
                      <w:rFonts w:hint="eastAsia"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 w:val="21"/>
                      <w:szCs w:val="20"/>
                      <w:highlight w:val="none"/>
                      <w:lang w:val="en-US" w:eastAsia="zh-CN" w:bidi="ar-SA"/>
                    </w:rPr>
                    <w:t>23</w:t>
                  </w:r>
                </w:p>
              </w:tc>
              <w:tc>
                <w:tcPr>
                  <w:tcW w:w="661" w:type="pct"/>
                  <w:tcBorders>
                    <w:tl2br w:val="nil"/>
                    <w:tr2bl w:val="nil"/>
                  </w:tcBorders>
                  <w:shd w:val="clear" w:color="auto" w:fill="auto"/>
                  <w:noWrap w:val="0"/>
                  <w:vAlign w:val="center"/>
                </w:tcPr>
                <w:p w14:paraId="40D47A28">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生物除臭剂</w:t>
                  </w:r>
                </w:p>
              </w:tc>
              <w:tc>
                <w:tcPr>
                  <w:tcW w:w="947" w:type="pct"/>
                  <w:tcBorders>
                    <w:tl2br w:val="nil"/>
                    <w:tr2bl w:val="nil"/>
                  </w:tcBorders>
                  <w:shd w:val="clear" w:color="auto" w:fill="auto"/>
                  <w:noWrap w:val="0"/>
                  <w:vAlign w:val="center"/>
                </w:tcPr>
                <w:p w14:paraId="610D71D8">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10</w:t>
                  </w:r>
                  <w:r>
                    <w:rPr>
                      <w:rFonts w:hint="default" w:ascii="Times New Roman" w:hAnsi="Times New Roman" w:eastAsia="宋体" w:cs="Times New Roman"/>
                      <w:b w:val="0"/>
                      <w:bCs w:val="0"/>
                      <w:color w:val="auto"/>
                      <w:szCs w:val="20"/>
                      <w:highlight w:val="none"/>
                      <w:lang w:val="en-US" w:eastAsia="zh-CN"/>
                    </w:rPr>
                    <w:t>kg</w:t>
                  </w:r>
                </w:p>
              </w:tc>
              <w:tc>
                <w:tcPr>
                  <w:tcW w:w="738" w:type="pct"/>
                  <w:tcBorders>
                    <w:tl2br w:val="nil"/>
                    <w:tr2bl w:val="nil"/>
                  </w:tcBorders>
                  <w:shd w:val="clear" w:color="auto" w:fill="auto"/>
                  <w:noWrap w:val="0"/>
                  <w:vAlign w:val="center"/>
                </w:tcPr>
                <w:p w14:paraId="196E98E4">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原料仓库</w:t>
                  </w:r>
                </w:p>
              </w:tc>
              <w:tc>
                <w:tcPr>
                  <w:tcW w:w="781" w:type="pct"/>
                  <w:tcBorders>
                    <w:tl2br w:val="nil"/>
                    <w:tr2bl w:val="nil"/>
                  </w:tcBorders>
                  <w:shd w:val="clear" w:color="auto" w:fill="auto"/>
                  <w:noWrap w:val="0"/>
                  <w:vAlign w:val="center"/>
                </w:tcPr>
                <w:p w14:paraId="326D65D8">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常温储存</w:t>
                  </w:r>
                </w:p>
              </w:tc>
              <w:tc>
                <w:tcPr>
                  <w:tcW w:w="642" w:type="pct"/>
                  <w:tcBorders>
                    <w:tl2br w:val="nil"/>
                    <w:tr2bl w:val="nil"/>
                  </w:tcBorders>
                  <w:shd w:val="clear" w:color="auto" w:fill="auto"/>
                  <w:noWrap w:val="0"/>
                  <w:vAlign w:val="center"/>
                </w:tcPr>
                <w:p w14:paraId="0F2A086C">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eastAsia" w:cs="Times New Roman"/>
                      <w:b w:val="0"/>
                      <w:bCs w:val="0"/>
                      <w:color w:val="auto"/>
                      <w:szCs w:val="20"/>
                      <w:highlight w:val="none"/>
                      <w:lang w:val="en-US" w:eastAsia="zh-CN"/>
                    </w:rPr>
                    <w:t>2kg</w:t>
                  </w:r>
                </w:p>
              </w:tc>
              <w:tc>
                <w:tcPr>
                  <w:tcW w:w="837" w:type="pct"/>
                  <w:tcBorders>
                    <w:tl2br w:val="nil"/>
                    <w:tr2bl w:val="nil"/>
                  </w:tcBorders>
                  <w:shd w:val="clear" w:color="auto" w:fill="auto"/>
                  <w:noWrap w:val="0"/>
                  <w:vAlign w:val="center"/>
                </w:tcPr>
                <w:p w14:paraId="3BECF48A">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Cs w:val="20"/>
                      <w:highlight w:val="none"/>
                      <w:lang w:val="en-US" w:eastAsia="zh-CN"/>
                    </w:rPr>
                  </w:pPr>
                  <w:r>
                    <w:rPr>
                      <w:rFonts w:hint="default" w:ascii="Times New Roman" w:hAnsi="Times New Roman" w:eastAsia="宋体" w:cs="Times New Roman"/>
                      <w:b w:val="0"/>
                      <w:bCs w:val="0"/>
                      <w:color w:val="auto"/>
                      <w:szCs w:val="20"/>
                      <w:highlight w:val="none"/>
                      <w:lang w:val="en-US" w:eastAsia="zh-CN"/>
                    </w:rPr>
                    <w:t>外购</w:t>
                  </w:r>
                </w:p>
              </w:tc>
            </w:tr>
            <w:tr w14:paraId="2E4C9E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tcBorders>
                    <w:tl2br w:val="nil"/>
                    <w:tr2bl w:val="nil"/>
                  </w:tcBorders>
                  <w:shd w:val="clear" w:color="auto" w:fill="auto"/>
                  <w:noWrap w:val="0"/>
                  <w:vAlign w:val="center"/>
                </w:tcPr>
                <w:p w14:paraId="6024688D">
                  <w:pPr>
                    <w:pStyle w:val="80"/>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 w:val="21"/>
                      <w:szCs w:val="20"/>
                      <w:highlight w:val="none"/>
                      <w:lang w:val="en-US" w:eastAsia="zh-CN" w:bidi="ar-SA"/>
                    </w:rPr>
                    <w:t>24</w:t>
                  </w:r>
                </w:p>
              </w:tc>
              <w:tc>
                <w:tcPr>
                  <w:tcW w:w="661" w:type="pct"/>
                  <w:tcBorders>
                    <w:tl2br w:val="nil"/>
                    <w:tr2bl w:val="nil"/>
                  </w:tcBorders>
                  <w:shd w:val="clear" w:color="auto" w:fill="auto"/>
                  <w:noWrap w:val="0"/>
                  <w:vAlign w:val="center"/>
                </w:tcPr>
                <w:p w14:paraId="3D03E309">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水</w:t>
                  </w:r>
                </w:p>
              </w:tc>
              <w:tc>
                <w:tcPr>
                  <w:tcW w:w="947" w:type="pct"/>
                  <w:tcBorders>
                    <w:tl2br w:val="nil"/>
                    <w:tr2bl w:val="nil"/>
                  </w:tcBorders>
                  <w:shd w:val="clear" w:color="auto" w:fill="auto"/>
                  <w:noWrap w:val="0"/>
                  <w:vAlign w:val="center"/>
                </w:tcPr>
                <w:p w14:paraId="07CFF00B">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14889</w:t>
                  </w:r>
                  <w:r>
                    <w:rPr>
                      <w:rFonts w:hint="eastAsia" w:ascii="Times New Roman" w:hAnsi="Times New Roman" w:eastAsia="宋体" w:cs="Times New Roman"/>
                      <w:b w:val="0"/>
                      <w:bCs w:val="0"/>
                      <w:color w:val="auto"/>
                      <w:szCs w:val="20"/>
                      <w:highlight w:val="none"/>
                      <w:lang w:val="en-US" w:eastAsia="zh-CN"/>
                    </w:rPr>
                    <w:t>m</w:t>
                  </w:r>
                  <w:r>
                    <w:rPr>
                      <w:rFonts w:hint="eastAsia" w:ascii="Times New Roman" w:hAnsi="Times New Roman" w:eastAsia="宋体" w:cs="Times New Roman"/>
                      <w:b w:val="0"/>
                      <w:bCs w:val="0"/>
                      <w:color w:val="auto"/>
                      <w:szCs w:val="20"/>
                      <w:highlight w:val="none"/>
                      <w:vertAlign w:val="superscript"/>
                      <w:lang w:val="en-US" w:eastAsia="zh-CN"/>
                    </w:rPr>
                    <w:t>3</w:t>
                  </w:r>
                  <w:r>
                    <w:rPr>
                      <w:rFonts w:hint="eastAsia" w:ascii="Times New Roman" w:hAnsi="Times New Roman" w:eastAsia="宋体" w:cs="Times New Roman"/>
                      <w:b w:val="0"/>
                      <w:bCs w:val="0"/>
                      <w:color w:val="auto"/>
                      <w:szCs w:val="20"/>
                      <w:highlight w:val="none"/>
                      <w:lang w:val="en-US" w:eastAsia="zh-CN"/>
                    </w:rPr>
                    <w:t>/a</w:t>
                  </w:r>
                </w:p>
              </w:tc>
              <w:tc>
                <w:tcPr>
                  <w:tcW w:w="738" w:type="pct"/>
                  <w:tcBorders>
                    <w:tl2br w:val="nil"/>
                    <w:tr2bl w:val="nil"/>
                  </w:tcBorders>
                  <w:shd w:val="clear" w:color="auto" w:fill="auto"/>
                  <w:noWrap w:val="0"/>
                  <w:vAlign w:val="center"/>
                </w:tcPr>
                <w:p w14:paraId="18D9D16B">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w:t>
                  </w:r>
                </w:p>
              </w:tc>
              <w:tc>
                <w:tcPr>
                  <w:tcW w:w="781" w:type="pct"/>
                  <w:tcBorders>
                    <w:tl2br w:val="nil"/>
                    <w:tr2bl w:val="nil"/>
                  </w:tcBorders>
                  <w:shd w:val="clear" w:color="auto" w:fill="auto"/>
                  <w:noWrap w:val="0"/>
                  <w:vAlign w:val="center"/>
                </w:tcPr>
                <w:p w14:paraId="3E0D1236">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w:t>
                  </w:r>
                </w:p>
              </w:tc>
              <w:tc>
                <w:tcPr>
                  <w:tcW w:w="642" w:type="pct"/>
                  <w:tcBorders>
                    <w:tl2br w:val="nil"/>
                    <w:tr2bl w:val="nil"/>
                  </w:tcBorders>
                  <w:shd w:val="clear" w:color="auto" w:fill="auto"/>
                  <w:noWrap w:val="0"/>
                  <w:vAlign w:val="center"/>
                </w:tcPr>
                <w:p w14:paraId="26B63465">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w:t>
                  </w:r>
                </w:p>
              </w:tc>
              <w:tc>
                <w:tcPr>
                  <w:tcW w:w="837" w:type="pct"/>
                  <w:tcBorders>
                    <w:tl2br w:val="nil"/>
                    <w:tr2bl w:val="nil"/>
                  </w:tcBorders>
                  <w:shd w:val="clear" w:color="auto" w:fill="auto"/>
                  <w:noWrap w:val="0"/>
                  <w:vAlign w:val="center"/>
                </w:tcPr>
                <w:p w14:paraId="4349FC5F">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市政供水</w:t>
                  </w:r>
                </w:p>
              </w:tc>
            </w:tr>
            <w:tr w14:paraId="39FA65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vAlign w:val="center"/>
                </w:tcPr>
                <w:p w14:paraId="215B52FC">
                  <w:pPr>
                    <w:pStyle w:val="80"/>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 w:val="21"/>
                      <w:szCs w:val="20"/>
                      <w:highlight w:val="none"/>
                      <w:lang w:val="en-US" w:eastAsia="zh-CN" w:bidi="ar-SA"/>
                    </w:rPr>
                    <w:t>25</w:t>
                  </w:r>
                </w:p>
              </w:tc>
              <w:tc>
                <w:tcPr>
                  <w:tcW w:w="661" w:type="pct"/>
                  <w:shd w:val="clear" w:color="auto" w:fill="auto"/>
                  <w:vAlign w:val="center"/>
                </w:tcPr>
                <w:p w14:paraId="1921051A">
                  <w:pPr>
                    <w:pStyle w:val="80"/>
                    <w:keepNext w:val="0"/>
                    <w:keepLines w:val="0"/>
                    <w:widowControl/>
                    <w:suppressLineNumbers w:val="0"/>
                    <w:snapToGrid w:val="0"/>
                    <w:spacing w:before="0" w:beforeAutospacing="0" w:after="0" w:afterAutospacing="0"/>
                    <w:ind w:left="0" w:leftChars="0" w:right="0" w:rightChars="0"/>
                    <w:jc w:val="center"/>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电</w:t>
                  </w:r>
                </w:p>
              </w:tc>
              <w:tc>
                <w:tcPr>
                  <w:tcW w:w="947" w:type="pct"/>
                  <w:shd w:val="clear" w:color="auto" w:fill="auto"/>
                  <w:vAlign w:val="center"/>
                </w:tcPr>
                <w:p w14:paraId="5B0ED29C">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ascii="Times New Roman" w:hAnsi="Times New Roman" w:eastAsia="宋体" w:cs="Times New Roman"/>
                      <w:b w:val="0"/>
                      <w:bCs w:val="0"/>
                      <w:color w:val="auto"/>
                      <w:szCs w:val="20"/>
                      <w:highlight w:val="none"/>
                      <w:lang w:val="en-US" w:eastAsia="zh-CN"/>
                    </w:rPr>
                    <w:t>30万KWh</w:t>
                  </w:r>
                </w:p>
              </w:tc>
              <w:tc>
                <w:tcPr>
                  <w:tcW w:w="0" w:type="auto"/>
                  <w:shd w:val="clear" w:color="auto" w:fill="auto"/>
                  <w:vAlign w:val="center"/>
                </w:tcPr>
                <w:p w14:paraId="7F52667A">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w:t>
                  </w:r>
                </w:p>
              </w:tc>
              <w:tc>
                <w:tcPr>
                  <w:tcW w:w="0" w:type="auto"/>
                  <w:shd w:val="clear" w:color="auto" w:fill="auto"/>
                  <w:vAlign w:val="center"/>
                </w:tcPr>
                <w:p w14:paraId="48B5D6B2">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w:t>
                  </w:r>
                </w:p>
              </w:tc>
              <w:tc>
                <w:tcPr>
                  <w:tcW w:w="0" w:type="auto"/>
                  <w:shd w:val="clear" w:color="auto" w:fill="auto"/>
                  <w:vAlign w:val="center"/>
                </w:tcPr>
                <w:p w14:paraId="44BD8699">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default" w:ascii="Times New Roman" w:hAnsi="Times New Roman" w:eastAsia="宋体" w:cs="Times New Roman"/>
                      <w:b w:val="0"/>
                      <w:bCs w:val="0"/>
                      <w:color w:val="auto"/>
                      <w:szCs w:val="20"/>
                      <w:highlight w:val="none"/>
                      <w:lang w:val="en-US" w:eastAsia="zh-CN"/>
                    </w:rPr>
                    <w:t>/</w:t>
                  </w:r>
                </w:p>
              </w:tc>
              <w:tc>
                <w:tcPr>
                  <w:tcW w:w="0" w:type="auto"/>
                  <w:shd w:val="clear" w:color="auto" w:fill="auto"/>
                  <w:vAlign w:val="center"/>
                </w:tcPr>
                <w:p w14:paraId="35B7F16F">
                  <w:pPr>
                    <w:pStyle w:val="80"/>
                    <w:keepNext w:val="0"/>
                    <w:keepLines w:val="0"/>
                    <w:widowControl/>
                    <w:suppressLineNumbers w:val="0"/>
                    <w:snapToGrid w:val="0"/>
                    <w:spacing w:before="0" w:beforeAutospacing="0" w:after="0" w:afterAutospacing="0"/>
                    <w:ind w:left="0" w:leftChars="0" w:right="0" w:rightChars="0"/>
                    <w:rPr>
                      <w:rFonts w:hint="default" w:ascii="Times New Roman" w:hAnsi="Times New Roman" w:eastAsia="宋体" w:cs="Times New Roman"/>
                      <w:b w:val="0"/>
                      <w:bCs w:val="0"/>
                      <w:color w:val="auto"/>
                      <w:sz w:val="21"/>
                      <w:szCs w:val="20"/>
                      <w:highlight w:val="none"/>
                      <w:lang w:val="en-US" w:eastAsia="zh-CN" w:bidi="ar-SA"/>
                    </w:rPr>
                  </w:pPr>
                  <w:r>
                    <w:rPr>
                      <w:rFonts w:hint="eastAsia" w:cs="Times New Roman"/>
                      <w:b w:val="0"/>
                      <w:bCs w:val="0"/>
                      <w:color w:val="auto"/>
                      <w:szCs w:val="20"/>
                      <w:highlight w:val="none"/>
                      <w:lang w:val="en-US" w:eastAsia="zh-CN"/>
                    </w:rPr>
                    <w:t>市政电网</w:t>
                  </w:r>
                </w:p>
              </w:tc>
            </w:tr>
          </w:tbl>
          <w:p w14:paraId="6B829D21">
            <w:pPr>
              <w:pStyle w:val="77"/>
              <w:keepNext w:val="0"/>
              <w:keepLines w:val="0"/>
              <w:widowControl/>
              <w:suppressLineNumbers w:val="0"/>
              <w:spacing w:before="0" w:beforeLines="0" w:beforeAutospacing="0" w:after="0" w:afterAutospacing="0" w:line="240" w:lineRule="auto"/>
              <w:ind w:left="0" w:right="0"/>
              <w:rPr>
                <w:rFonts w:hint="default" w:eastAsia="宋体"/>
                <w:b/>
                <w:color w:val="auto"/>
                <w:kern w:val="0"/>
                <w:szCs w:val="21"/>
                <w:highlight w:val="none"/>
              </w:rPr>
            </w:pPr>
          </w:p>
          <w:p w14:paraId="4A46B3D5">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主要</w:t>
            </w:r>
            <w:r>
              <w:rPr>
                <w:rFonts w:hint="default"/>
                <w:color w:val="auto"/>
                <w:highlight w:val="none"/>
              </w:rPr>
              <w:t>原辅材料</w:t>
            </w:r>
            <w:r>
              <w:rPr>
                <w:rFonts w:hint="eastAsia"/>
                <w:color w:val="auto"/>
                <w:highlight w:val="none"/>
              </w:rPr>
              <w:t>理化性质</w:t>
            </w:r>
            <w:r>
              <w:rPr>
                <w:rFonts w:hint="default"/>
                <w:color w:val="auto"/>
                <w:highlight w:val="none"/>
              </w:rPr>
              <w:t>如下：</w:t>
            </w:r>
          </w:p>
          <w:p w14:paraId="0F442F90">
            <w:pPr>
              <w:pStyle w:val="77"/>
              <w:keepNext w:val="0"/>
              <w:keepLines w:val="0"/>
              <w:widowControl/>
              <w:suppressLineNumbers w:val="0"/>
              <w:spacing w:before="0" w:beforeLines="0" w:beforeAutospacing="0" w:after="0" w:afterAutospacing="0" w:line="240" w:lineRule="auto"/>
              <w:ind w:left="0" w:right="0"/>
              <w:rPr>
                <w:rFonts w:hint="default" w:eastAsia="宋体"/>
                <w:b/>
                <w:color w:val="auto"/>
                <w:kern w:val="0"/>
                <w:szCs w:val="21"/>
                <w:highlight w:val="none"/>
              </w:rPr>
            </w:pPr>
            <w:r>
              <w:rPr>
                <w:rFonts w:hint="eastAsia" w:eastAsia="宋体"/>
                <w:b/>
                <w:color w:val="auto"/>
                <w:kern w:val="0"/>
                <w:szCs w:val="21"/>
                <w:highlight w:val="none"/>
              </w:rPr>
              <w:t>表2-</w:t>
            </w:r>
            <w:r>
              <w:rPr>
                <w:rFonts w:hint="eastAsia" w:eastAsia="宋体"/>
                <w:b/>
                <w:color w:val="auto"/>
                <w:kern w:val="0"/>
                <w:szCs w:val="21"/>
                <w:highlight w:val="none"/>
                <w:lang w:val="en-US" w:eastAsia="zh-CN"/>
              </w:rPr>
              <w:t>6</w:t>
            </w:r>
            <w:r>
              <w:rPr>
                <w:rFonts w:hint="eastAsia" w:eastAsia="宋体"/>
                <w:b/>
                <w:color w:val="auto"/>
                <w:kern w:val="0"/>
                <w:szCs w:val="21"/>
                <w:highlight w:val="none"/>
              </w:rPr>
              <w:t xml:space="preserve">  主要原辅材料理化性质一览表</w:t>
            </w:r>
          </w:p>
          <w:tbl>
            <w:tblPr>
              <w:tblStyle w:val="37"/>
              <w:tblW w:w="5031"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6" w:space="0"/>
              </w:tblBorders>
              <w:tblLayout w:type="autofit"/>
              <w:tblCellMar>
                <w:top w:w="0" w:type="dxa"/>
                <w:left w:w="108" w:type="dxa"/>
                <w:bottom w:w="0" w:type="dxa"/>
                <w:right w:w="108" w:type="dxa"/>
              </w:tblCellMar>
            </w:tblPr>
            <w:tblGrid>
              <w:gridCol w:w="1124"/>
              <w:gridCol w:w="7376"/>
            </w:tblGrid>
            <w:tr w14:paraId="4D9D57D1">
              <w:tblPrEx>
                <w:tblBorders>
                  <w:top w:val="single" w:color="auto" w:sz="12" w:space="0"/>
                  <w:left w:val="none" w:color="auto" w:sz="0" w:space="0"/>
                  <w:bottom w:val="single" w:color="auto" w:sz="12" w:space="0"/>
                  <w:right w:val="none" w:color="auto" w:sz="0" w:space="0"/>
                  <w:insideH w:val="single" w:color="000000" w:sz="4" w:space="0"/>
                  <w:insideV w:val="single" w:color="000000" w:sz="6" w:space="0"/>
                </w:tblBorders>
                <w:tblCellMar>
                  <w:top w:w="0" w:type="dxa"/>
                  <w:left w:w="108" w:type="dxa"/>
                  <w:bottom w:w="0" w:type="dxa"/>
                  <w:right w:w="108" w:type="dxa"/>
                </w:tblCellMar>
              </w:tblPrEx>
              <w:trPr>
                <w:trHeight w:val="397" w:hRule="atLeast"/>
                <w:jc w:val="center"/>
              </w:trPr>
              <w:tc>
                <w:tcPr>
                  <w:tcW w:w="661" w:type="pct"/>
                  <w:tcBorders>
                    <w:tl2br w:val="nil"/>
                    <w:tr2bl w:val="nil"/>
                  </w:tcBorders>
                  <w:vAlign w:val="center"/>
                </w:tcPr>
                <w:p w14:paraId="72036876">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原料名称</w:t>
                  </w:r>
                </w:p>
              </w:tc>
              <w:tc>
                <w:tcPr>
                  <w:tcW w:w="4338" w:type="pct"/>
                  <w:tcBorders>
                    <w:tl2br w:val="nil"/>
                    <w:tr2bl w:val="nil"/>
                  </w:tcBorders>
                  <w:vAlign w:val="center"/>
                </w:tcPr>
                <w:p w14:paraId="6EED9A2F">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理化性质</w:t>
                  </w:r>
                </w:p>
              </w:tc>
            </w:tr>
            <w:tr w14:paraId="1582DA66">
              <w:tblPrEx>
                <w:tblBorders>
                  <w:top w:val="single" w:color="auto" w:sz="12" w:space="0"/>
                  <w:left w:val="none" w:color="auto" w:sz="0" w:space="0"/>
                  <w:bottom w:val="single" w:color="auto" w:sz="12" w:space="0"/>
                  <w:right w:val="none" w:color="auto" w:sz="0" w:space="0"/>
                  <w:insideH w:val="single" w:color="000000" w:sz="4" w:space="0"/>
                  <w:insideV w:val="single" w:color="000000" w:sz="6" w:space="0"/>
                </w:tblBorders>
                <w:tblCellMar>
                  <w:top w:w="0" w:type="dxa"/>
                  <w:left w:w="108" w:type="dxa"/>
                  <w:bottom w:w="0" w:type="dxa"/>
                  <w:right w:w="108" w:type="dxa"/>
                </w:tblCellMar>
              </w:tblPrEx>
              <w:trPr>
                <w:trHeight w:val="397" w:hRule="atLeast"/>
                <w:jc w:val="center"/>
              </w:trPr>
              <w:tc>
                <w:tcPr>
                  <w:tcW w:w="661" w:type="pct"/>
                  <w:tcBorders>
                    <w:bottom w:val="single" w:color="auto" w:sz="4" w:space="0"/>
                    <w:tl2br w:val="nil"/>
                    <w:tr2bl w:val="nil"/>
                  </w:tcBorders>
                  <w:vAlign w:val="center"/>
                </w:tcPr>
                <w:p w14:paraId="667AF961">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color w:val="auto"/>
                      <w:szCs w:val="20"/>
                      <w:highlight w:val="none"/>
                      <w:lang w:eastAsia="zh-CN"/>
                    </w:rPr>
                  </w:pPr>
                  <w:r>
                    <w:rPr>
                      <w:rFonts w:hint="default" w:ascii="Times New Roman" w:hAnsi="Times New Roman" w:eastAsia="宋体" w:cs="Times New Roman"/>
                      <w:color w:val="auto"/>
                      <w:szCs w:val="20"/>
                      <w:highlight w:val="none"/>
                    </w:rPr>
                    <w:t>制冷剂R404A</w:t>
                  </w:r>
                </w:p>
              </w:tc>
              <w:tc>
                <w:tcPr>
                  <w:tcW w:w="4338" w:type="pct"/>
                  <w:tcBorders>
                    <w:bottom w:val="single" w:color="auto" w:sz="4" w:space="0"/>
                    <w:tl2br w:val="nil"/>
                    <w:tr2bl w:val="nil"/>
                  </w:tcBorders>
                  <w:vAlign w:val="center"/>
                </w:tcPr>
                <w:p w14:paraId="29BE1929">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color w:val="auto"/>
                      <w:szCs w:val="20"/>
                      <w:highlight w:val="none"/>
                    </w:rPr>
                  </w:pPr>
                  <w:r>
                    <w:rPr>
                      <w:rFonts w:hint="default" w:ascii="Times New Roman" w:hAnsi="Times New Roman" w:eastAsia="宋体" w:cs="Times New Roman"/>
                      <w:color w:val="auto"/>
                      <w:szCs w:val="20"/>
                      <w:highlight w:val="none"/>
                    </w:rPr>
                    <w:t>是由HFC125、HFC-134a和HFC-143混合而成，主要成分为五氟乙烷、三氟乙烷、四氟乙烷，是一种不破坏臭氧层的环保制冷剂，ODP值为零，不含任何破坏臭氧层的物质，沸点为-46.1℃。R404A作为当今广泛使用的中低温制冷剂，常应用于冷库、食品冷冻设备、船用制冷设备、工业低温制冷、商业低温制冷、交通运输制冷设备（</w:t>
                  </w:r>
                  <w:r>
                    <w:rPr>
                      <w:rFonts w:hint="default" w:ascii="Times New Roman" w:hAnsi="Times New Roman" w:eastAsia="宋体" w:cs="Times New Roman"/>
                      <w:color w:val="auto"/>
                      <w:szCs w:val="20"/>
                      <w:highlight w:val="none"/>
                    </w:rPr>
                    <w:fldChar w:fldCharType="begin"/>
                  </w:r>
                  <w:r>
                    <w:rPr>
                      <w:rFonts w:hint="default" w:ascii="Times New Roman" w:hAnsi="Times New Roman" w:eastAsia="宋体" w:cs="Times New Roman"/>
                      <w:color w:val="auto"/>
                      <w:szCs w:val="20"/>
                      <w:highlight w:val="none"/>
                    </w:rPr>
                    <w:instrText xml:space="preserve"> HYPERLINK "https://baike.sogou.com/lemma/ShowInnerLink.htm?lemmaId=7841257&amp;ss_c=ssc.citiao.link" \t "https://baike.sogou.com/_blank" </w:instrText>
                  </w:r>
                  <w:r>
                    <w:rPr>
                      <w:rFonts w:hint="default" w:ascii="Times New Roman" w:hAnsi="Times New Roman" w:eastAsia="宋体" w:cs="Times New Roman"/>
                      <w:color w:val="auto"/>
                      <w:szCs w:val="20"/>
                      <w:highlight w:val="none"/>
                    </w:rPr>
                    <w:fldChar w:fldCharType="separate"/>
                  </w:r>
                  <w:r>
                    <w:rPr>
                      <w:rFonts w:hint="default" w:ascii="Times New Roman" w:hAnsi="Times New Roman" w:eastAsia="宋体" w:cs="Times New Roman"/>
                      <w:color w:val="auto"/>
                      <w:szCs w:val="20"/>
                      <w:highlight w:val="none"/>
                    </w:rPr>
                    <w:t>冷藏车</w:t>
                  </w:r>
                  <w:r>
                    <w:rPr>
                      <w:rFonts w:hint="default" w:ascii="Times New Roman" w:hAnsi="Times New Roman" w:eastAsia="宋体" w:cs="Times New Roman"/>
                      <w:color w:val="auto"/>
                      <w:szCs w:val="20"/>
                      <w:highlight w:val="none"/>
                    </w:rPr>
                    <w:fldChar w:fldCharType="end"/>
                  </w:r>
                  <w:r>
                    <w:rPr>
                      <w:rFonts w:hint="default" w:ascii="Times New Roman" w:hAnsi="Times New Roman" w:eastAsia="宋体" w:cs="Times New Roman"/>
                      <w:color w:val="auto"/>
                      <w:szCs w:val="20"/>
                      <w:highlight w:val="none"/>
                    </w:rPr>
                    <w:t>等）、冷冻冷凝机组、</w:t>
                  </w:r>
                  <w:r>
                    <w:rPr>
                      <w:rFonts w:hint="default" w:ascii="Times New Roman" w:hAnsi="Times New Roman" w:eastAsia="宋体" w:cs="Times New Roman"/>
                      <w:color w:val="auto"/>
                      <w:szCs w:val="20"/>
                      <w:highlight w:val="none"/>
                    </w:rPr>
                    <w:fldChar w:fldCharType="begin"/>
                  </w:r>
                  <w:r>
                    <w:rPr>
                      <w:rFonts w:hint="default" w:ascii="Times New Roman" w:hAnsi="Times New Roman" w:eastAsia="宋体" w:cs="Times New Roman"/>
                      <w:color w:val="auto"/>
                      <w:szCs w:val="20"/>
                      <w:highlight w:val="none"/>
                    </w:rPr>
                    <w:instrText xml:space="preserve"> HYPERLINK "https://baike.sogou.com/lemma/ShowInnerLink.htm?lemmaId=31620045&amp;ss_c=ssc.citiao.link" \t "https://baike.sogou.com/_blank" </w:instrText>
                  </w:r>
                  <w:r>
                    <w:rPr>
                      <w:rFonts w:hint="default" w:ascii="Times New Roman" w:hAnsi="Times New Roman" w:eastAsia="宋体" w:cs="Times New Roman"/>
                      <w:color w:val="auto"/>
                      <w:szCs w:val="20"/>
                      <w:highlight w:val="none"/>
                    </w:rPr>
                    <w:fldChar w:fldCharType="separate"/>
                  </w:r>
                  <w:r>
                    <w:rPr>
                      <w:rFonts w:hint="default" w:ascii="Times New Roman" w:hAnsi="Times New Roman" w:eastAsia="宋体" w:cs="Times New Roman"/>
                      <w:color w:val="auto"/>
                      <w:szCs w:val="20"/>
                      <w:highlight w:val="none"/>
                    </w:rPr>
                    <w:t>超市陈列</w:t>
                  </w:r>
                  <w:r>
                    <w:rPr>
                      <w:rFonts w:hint="default" w:ascii="Times New Roman" w:hAnsi="Times New Roman" w:eastAsia="宋体" w:cs="Times New Roman"/>
                      <w:color w:val="auto"/>
                      <w:szCs w:val="20"/>
                      <w:highlight w:val="none"/>
                    </w:rPr>
                    <w:fldChar w:fldCharType="end"/>
                  </w:r>
                  <w:r>
                    <w:rPr>
                      <w:rFonts w:hint="default" w:ascii="Times New Roman" w:hAnsi="Times New Roman" w:eastAsia="宋体" w:cs="Times New Roman"/>
                      <w:color w:val="auto"/>
                      <w:szCs w:val="20"/>
                      <w:highlight w:val="none"/>
                    </w:rPr>
                    <w:fldChar w:fldCharType="begin"/>
                  </w:r>
                  <w:r>
                    <w:rPr>
                      <w:rFonts w:hint="default" w:ascii="Times New Roman" w:hAnsi="Times New Roman" w:eastAsia="宋体" w:cs="Times New Roman"/>
                      <w:color w:val="auto"/>
                      <w:szCs w:val="20"/>
                      <w:highlight w:val="none"/>
                    </w:rPr>
                    <w:instrText xml:space="preserve"> HYPERLINK "https://baike.sogou.com/lemma/ShowInnerLink.htm?lemmaId=1972453&amp;ss_c=ssc.citiao.link" \t "https://baike.sogou.com/_blank" </w:instrText>
                  </w:r>
                  <w:r>
                    <w:rPr>
                      <w:rFonts w:hint="default" w:ascii="Times New Roman" w:hAnsi="Times New Roman" w:eastAsia="宋体" w:cs="Times New Roman"/>
                      <w:color w:val="auto"/>
                      <w:szCs w:val="20"/>
                      <w:highlight w:val="none"/>
                    </w:rPr>
                    <w:fldChar w:fldCharType="separate"/>
                  </w:r>
                  <w:r>
                    <w:rPr>
                      <w:rFonts w:hint="default" w:ascii="Times New Roman" w:hAnsi="Times New Roman" w:eastAsia="宋体" w:cs="Times New Roman"/>
                      <w:color w:val="auto"/>
                      <w:szCs w:val="20"/>
                      <w:highlight w:val="none"/>
                    </w:rPr>
                    <w:t>展示柜</w:t>
                  </w:r>
                  <w:r>
                    <w:rPr>
                      <w:rFonts w:hint="default" w:ascii="Times New Roman" w:hAnsi="Times New Roman" w:eastAsia="宋体" w:cs="Times New Roman"/>
                      <w:color w:val="auto"/>
                      <w:szCs w:val="20"/>
                      <w:highlight w:val="none"/>
                    </w:rPr>
                    <w:fldChar w:fldCharType="end"/>
                  </w:r>
                  <w:r>
                    <w:rPr>
                      <w:rFonts w:hint="default" w:ascii="Times New Roman" w:hAnsi="Times New Roman" w:eastAsia="宋体" w:cs="Times New Roman"/>
                      <w:color w:val="auto"/>
                      <w:szCs w:val="20"/>
                      <w:highlight w:val="none"/>
                    </w:rPr>
                    <w:t>等制冷设备。</w:t>
                  </w:r>
                </w:p>
              </w:tc>
            </w:tr>
          </w:tbl>
          <w:p w14:paraId="2168DBFF">
            <w:pPr>
              <w:pStyle w:val="182"/>
              <w:keepNext w:val="0"/>
              <w:keepLines w:val="0"/>
              <w:suppressLineNumbers w:val="0"/>
              <w:spacing w:beforeAutospacing="0" w:after="0" w:afterAutospacing="0"/>
              <w:ind w:left="0" w:right="0" w:firstLine="482"/>
              <w:rPr>
                <w:rFonts w:hint="default"/>
                <w:b/>
                <w:color w:val="auto"/>
                <w:highlight w:val="none"/>
              </w:rPr>
            </w:pPr>
            <w:r>
              <w:rPr>
                <w:rFonts w:hint="eastAsia"/>
                <w:b/>
                <w:color w:val="auto"/>
                <w:highlight w:val="none"/>
              </w:rPr>
              <w:t>6、劳动定员及工作制度</w:t>
            </w:r>
          </w:p>
          <w:p w14:paraId="5140B6B0">
            <w:pPr>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本项目劳动定员</w:t>
            </w:r>
            <w:r>
              <w:rPr>
                <w:rFonts w:hint="eastAsia"/>
                <w:color w:val="auto"/>
                <w:highlight w:val="none"/>
                <w:lang w:val="en-US" w:eastAsia="zh-CN"/>
              </w:rPr>
              <w:t>80</w:t>
            </w:r>
            <w:r>
              <w:rPr>
                <w:rFonts w:hint="default"/>
                <w:color w:val="auto"/>
                <w:highlight w:val="none"/>
              </w:rPr>
              <w:t>人，</w:t>
            </w:r>
            <w:r>
              <w:rPr>
                <w:rFonts w:hint="eastAsia" w:cs="Times New Roman"/>
                <w:color w:val="auto"/>
                <w:highlight w:val="none"/>
                <w:lang w:val="en-US" w:eastAsia="zh-CN"/>
              </w:rPr>
              <w:t>其中15人在厂内住宿</w:t>
            </w:r>
            <w:r>
              <w:rPr>
                <w:rFonts w:hint="eastAsia"/>
                <w:color w:val="auto"/>
                <w:highlight w:val="none"/>
              </w:rPr>
              <w:t>；</w:t>
            </w:r>
            <w:r>
              <w:rPr>
                <w:rFonts w:hint="default"/>
                <w:color w:val="auto"/>
                <w:highlight w:val="none"/>
              </w:rPr>
              <w:t>年工作</w:t>
            </w:r>
            <w:r>
              <w:rPr>
                <w:rFonts w:hint="eastAsia"/>
                <w:color w:val="auto"/>
                <w:highlight w:val="none"/>
                <w:lang w:val="en-US" w:eastAsia="zh-CN"/>
              </w:rPr>
              <w:t>2</w:t>
            </w:r>
            <w:r>
              <w:rPr>
                <w:rFonts w:hint="default"/>
                <w:color w:val="auto"/>
                <w:highlight w:val="none"/>
              </w:rPr>
              <w:t>00天，</w:t>
            </w:r>
            <w:r>
              <w:rPr>
                <w:rFonts w:hint="eastAsia"/>
                <w:color w:val="auto"/>
                <w:highlight w:val="none"/>
              </w:rPr>
              <w:t>每天</w:t>
            </w:r>
            <w:r>
              <w:rPr>
                <w:rFonts w:hint="eastAsia"/>
                <w:color w:val="auto"/>
                <w:highlight w:val="none"/>
                <w:lang w:val="en-US" w:eastAsia="zh-CN"/>
              </w:rPr>
              <w:t>两班、每班8</w:t>
            </w:r>
            <w:r>
              <w:rPr>
                <w:rFonts w:hint="default"/>
                <w:color w:val="auto"/>
                <w:highlight w:val="none"/>
              </w:rPr>
              <w:t>小时</w:t>
            </w:r>
            <w:r>
              <w:rPr>
                <w:rFonts w:hint="eastAsia"/>
                <w:color w:val="auto"/>
                <w:highlight w:val="none"/>
                <w:lang w:eastAsia="zh-CN"/>
              </w:rPr>
              <w:t>；</w:t>
            </w:r>
            <w:r>
              <w:rPr>
                <w:rFonts w:hint="eastAsia"/>
                <w:color w:val="auto"/>
                <w:highlight w:val="none"/>
              </w:rPr>
              <w:t>工作</w:t>
            </w:r>
            <w:r>
              <w:rPr>
                <w:rFonts w:hint="eastAsia"/>
                <w:color w:val="auto"/>
                <w:highlight w:val="none"/>
                <w:lang w:val="en-US" w:eastAsia="zh-CN"/>
              </w:rPr>
              <w:t>运行时间为16h/d、32</w:t>
            </w:r>
            <w:r>
              <w:rPr>
                <w:rFonts w:hint="eastAsia"/>
                <w:color w:val="auto"/>
                <w:highlight w:val="none"/>
              </w:rPr>
              <w:t>00h</w:t>
            </w:r>
            <w:r>
              <w:rPr>
                <w:rFonts w:hint="eastAsia"/>
                <w:color w:val="auto"/>
                <w:highlight w:val="none"/>
                <w:lang w:val="en-US" w:eastAsia="zh-CN"/>
              </w:rPr>
              <w:t>/a</w:t>
            </w:r>
            <w:r>
              <w:rPr>
                <w:rFonts w:hint="default"/>
                <w:color w:val="auto"/>
                <w:highlight w:val="none"/>
              </w:rPr>
              <w:t>。</w:t>
            </w:r>
          </w:p>
          <w:p w14:paraId="6FF82DE0">
            <w:pPr>
              <w:pStyle w:val="182"/>
              <w:keepNext w:val="0"/>
              <w:keepLines w:val="0"/>
              <w:suppressLineNumbers w:val="0"/>
              <w:spacing w:beforeAutospacing="0" w:after="0" w:afterAutospacing="0"/>
              <w:ind w:left="0" w:right="0" w:firstLine="482"/>
              <w:rPr>
                <w:rFonts w:hint="default"/>
                <w:b/>
                <w:color w:val="auto"/>
                <w:highlight w:val="none"/>
              </w:rPr>
            </w:pPr>
            <w:r>
              <w:rPr>
                <w:rFonts w:hint="eastAsia"/>
                <w:b/>
                <w:color w:val="auto"/>
                <w:highlight w:val="none"/>
              </w:rPr>
              <w:t>7、平面布置</w:t>
            </w:r>
          </w:p>
          <w:p w14:paraId="4767F975">
            <w:pPr>
              <w:keepNext w:val="0"/>
              <w:keepLines w:val="0"/>
              <w:suppressLineNumbers w:val="0"/>
              <w:spacing w:before="0" w:beforeAutospacing="0" w:after="0" w:afterAutospacing="0"/>
              <w:ind w:left="0" w:right="0" w:firstLine="480"/>
              <w:rPr>
                <w:rFonts w:hint="default" w:eastAsia="宋体"/>
                <w:color w:val="auto"/>
                <w:highlight w:val="yellow"/>
                <w:lang w:val="en-US" w:eastAsia="zh-CN"/>
              </w:rPr>
            </w:pPr>
            <w:r>
              <w:rPr>
                <w:rFonts w:hint="eastAsia"/>
                <w:color w:val="auto"/>
                <w:highlight w:val="none"/>
              </w:rPr>
              <w:t>本项目</w:t>
            </w:r>
            <w:r>
              <w:rPr>
                <w:rFonts w:hint="eastAsia"/>
                <w:color w:val="auto"/>
                <w:highlight w:val="none"/>
                <w:lang w:val="en-US" w:eastAsia="zh-CN"/>
              </w:rPr>
              <w:t>位于西咸新区</w:t>
            </w:r>
            <w:r>
              <w:rPr>
                <w:rFonts w:hint="eastAsia"/>
                <w:color w:val="auto"/>
                <w:highlight w:val="none"/>
                <w:lang w:eastAsia="zh-CN"/>
              </w:rPr>
              <w:t>泾河新城泾干街道泾晨路西</w:t>
            </w:r>
            <w:r>
              <w:rPr>
                <w:rFonts w:hint="eastAsia"/>
                <w:color w:val="auto"/>
                <w:highlight w:val="none"/>
              </w:rPr>
              <w:t>，</w:t>
            </w:r>
            <w:r>
              <w:rPr>
                <w:rFonts w:hint="eastAsia"/>
                <w:color w:val="auto"/>
                <w:highlight w:val="none"/>
                <w:lang w:val="en-US" w:eastAsia="zh-CN"/>
              </w:rPr>
              <w:t>项目厂区北部自西向东依次分布宿舍楼、凉皮加工车间及1#锅炉房；1#锅炉房南侧相邻为地埋式污水处理设施；凉皮加工车间南侧为库房（含冷库）及办公区域；其中库房西北角设</w:t>
            </w:r>
            <w:r>
              <w:rPr>
                <w:rFonts w:hint="eastAsia"/>
                <w:color w:val="auto"/>
                <w:highlight w:val="none"/>
              </w:rPr>
              <w:t>一般固废暂存</w:t>
            </w:r>
            <w:r>
              <w:rPr>
                <w:rFonts w:hint="eastAsia"/>
                <w:color w:val="auto"/>
                <w:highlight w:val="none"/>
                <w:lang w:val="en-US" w:eastAsia="zh-CN"/>
              </w:rPr>
              <w:t>间</w:t>
            </w:r>
            <w:r>
              <w:rPr>
                <w:rFonts w:hint="eastAsia"/>
                <w:color w:val="auto"/>
                <w:highlight w:val="none"/>
              </w:rPr>
              <w:t>。</w:t>
            </w:r>
            <w:r>
              <w:rPr>
                <w:rFonts w:hint="eastAsia"/>
                <w:color w:val="auto"/>
                <w:highlight w:val="none"/>
                <w:lang w:val="en-US" w:eastAsia="zh-CN"/>
              </w:rPr>
              <w:t>厂区大门进场北侧为门卫及值班室；厂区南部自西向东依次分布中央厨房、2#锅炉房及预留空地。</w:t>
            </w:r>
            <w:r>
              <w:rPr>
                <w:rFonts w:hint="eastAsia"/>
                <w:color w:val="auto"/>
                <w:lang w:val="en-US" w:eastAsia="zh-CN"/>
              </w:rPr>
              <w:t>根据泾河新城主导风向为东北风，污水处理设施位于厂区东部，相较处于主导风向下风向范围，整体布局有利于工艺操作，厂区空间分布合理。</w:t>
            </w:r>
          </w:p>
          <w:p w14:paraId="0F22F59F">
            <w:pPr>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详见附图</w:t>
            </w:r>
            <w:r>
              <w:rPr>
                <w:rFonts w:hint="eastAsia"/>
                <w:color w:val="auto"/>
                <w:highlight w:val="none"/>
              </w:rPr>
              <w:t>3</w:t>
            </w:r>
            <w:r>
              <w:rPr>
                <w:rFonts w:hint="eastAsia"/>
                <w:color w:val="auto"/>
                <w:highlight w:val="none"/>
                <w:lang w:val="en-US" w:eastAsia="zh-CN"/>
              </w:rPr>
              <w:t>-1（总平面布置图及各楼层分布图）至</w:t>
            </w:r>
            <w:r>
              <w:rPr>
                <w:rFonts w:hint="default"/>
                <w:color w:val="auto"/>
                <w:highlight w:val="none"/>
              </w:rPr>
              <w:t>图</w:t>
            </w:r>
            <w:r>
              <w:rPr>
                <w:rFonts w:hint="eastAsia"/>
                <w:color w:val="auto"/>
                <w:highlight w:val="none"/>
                <w:lang w:val="en-US" w:eastAsia="zh-CN"/>
              </w:rPr>
              <w:t>3-7</w:t>
            </w:r>
            <w:r>
              <w:rPr>
                <w:rFonts w:hint="default"/>
                <w:color w:val="auto"/>
                <w:highlight w:val="none"/>
              </w:rPr>
              <w:t>。</w:t>
            </w:r>
          </w:p>
          <w:p w14:paraId="252FC81F">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rPr>
              <w:t>三</w:t>
            </w:r>
            <w:r>
              <w:rPr>
                <w:rFonts w:hint="default"/>
                <w:b/>
                <w:color w:val="auto"/>
                <w:highlight w:val="none"/>
              </w:rPr>
              <w:t>、公用工程</w:t>
            </w:r>
          </w:p>
          <w:p w14:paraId="5640C667">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rPr>
              <w:t>1、给水、排水</w:t>
            </w:r>
          </w:p>
          <w:p w14:paraId="59F64821">
            <w:pPr>
              <w:keepNext w:val="0"/>
              <w:keepLines w:val="0"/>
              <w:suppressLineNumbers w:val="0"/>
              <w:spacing w:before="0" w:beforeAutospacing="0" w:after="0" w:afterAutospacing="0"/>
              <w:ind w:left="0" w:right="0" w:firstLine="480"/>
              <w:rPr>
                <w:rFonts w:hint="default"/>
                <w:color w:val="auto"/>
                <w:highlight w:val="yellow"/>
              </w:rPr>
            </w:pPr>
            <w:r>
              <w:rPr>
                <w:rFonts w:hint="default"/>
                <w:color w:val="auto"/>
                <w:highlight w:val="none"/>
              </w:rPr>
              <w:t>项目</w:t>
            </w:r>
            <w:r>
              <w:rPr>
                <w:rFonts w:hint="eastAsia"/>
                <w:color w:val="auto"/>
                <w:highlight w:val="none"/>
              </w:rPr>
              <w:t>用水</w:t>
            </w:r>
            <w:r>
              <w:rPr>
                <w:rFonts w:hint="eastAsia"/>
                <w:color w:val="auto"/>
                <w:highlight w:val="none"/>
                <w:lang w:val="en-US" w:eastAsia="zh-CN"/>
              </w:rPr>
              <w:t>主要来自市政</w:t>
            </w:r>
            <w:r>
              <w:rPr>
                <w:rFonts w:hint="eastAsia"/>
                <w:color w:val="auto"/>
                <w:highlight w:val="none"/>
              </w:rPr>
              <w:t>管网供给，</w:t>
            </w:r>
            <w:r>
              <w:rPr>
                <w:rFonts w:hint="eastAsia"/>
                <w:color w:val="auto"/>
                <w:highlight w:val="none"/>
                <w:lang w:val="en-US" w:eastAsia="zh-CN"/>
              </w:rPr>
              <w:t>主要为</w:t>
            </w:r>
            <w:r>
              <w:rPr>
                <w:rFonts w:hint="eastAsia"/>
                <w:color w:val="auto"/>
                <w:highlight w:val="none"/>
              </w:rPr>
              <w:t>办公生活用水</w:t>
            </w:r>
            <w:r>
              <w:rPr>
                <w:rFonts w:hint="eastAsia"/>
                <w:color w:val="auto"/>
                <w:highlight w:val="none"/>
                <w:lang w:val="en-US" w:eastAsia="zh-CN"/>
              </w:rPr>
              <w:t>和生产用水，其中生产用水包括食品加工用水、食材清洗用水、洗手用水、餐具设备清洗用水、地面清洗用水以及锅炉用水</w:t>
            </w:r>
            <w:r>
              <w:rPr>
                <w:rFonts w:hint="eastAsia"/>
                <w:color w:val="auto"/>
                <w:highlight w:val="none"/>
              </w:rPr>
              <w:t>。</w:t>
            </w:r>
          </w:p>
          <w:p w14:paraId="7ED8B7AE">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①办公生活用水</w:t>
            </w:r>
          </w:p>
          <w:p w14:paraId="448554BD">
            <w:pPr>
              <w:pStyle w:val="10"/>
              <w:keepNext w:val="0"/>
              <w:keepLines w:val="0"/>
              <w:suppressLineNumbers w:val="0"/>
              <w:spacing w:before="0" w:beforeAutospacing="0" w:after="0" w:afterAutospacing="0"/>
              <w:ind w:left="0" w:right="0"/>
              <w:rPr>
                <w:rFonts w:hint="eastAsia" w:eastAsia="宋体"/>
                <w:color w:val="auto"/>
                <w:sz w:val="24"/>
                <w:szCs w:val="24"/>
                <w:highlight w:val="none"/>
                <w:lang w:val="en-US" w:eastAsia="zh-CN"/>
              </w:rPr>
            </w:pPr>
            <w:r>
              <w:rPr>
                <w:rFonts w:hint="eastAsia"/>
                <w:color w:val="auto"/>
                <w:highlight w:val="none"/>
              </w:rPr>
              <w:t>项目劳动定员</w:t>
            </w:r>
            <w:r>
              <w:rPr>
                <w:rFonts w:hint="eastAsia"/>
                <w:color w:val="auto"/>
                <w:highlight w:val="none"/>
                <w:lang w:val="en-US" w:eastAsia="zh-CN"/>
              </w:rPr>
              <w:t>80</w:t>
            </w:r>
            <w:r>
              <w:rPr>
                <w:rFonts w:hint="eastAsia"/>
                <w:color w:val="auto"/>
                <w:highlight w:val="none"/>
              </w:rPr>
              <w:t>人，提供</w:t>
            </w:r>
            <w:r>
              <w:rPr>
                <w:rFonts w:hint="eastAsia"/>
                <w:color w:val="auto"/>
                <w:highlight w:val="none"/>
                <w:lang w:val="en-US" w:eastAsia="zh-CN"/>
              </w:rPr>
              <w:t>食宿，其中15人在厂内住宿</w:t>
            </w:r>
            <w:r>
              <w:rPr>
                <w:rFonts w:hint="eastAsia"/>
                <w:color w:val="auto"/>
                <w:highlight w:val="none"/>
              </w:rPr>
              <w:t>；参考《行业用水定额》（DB61/T943-2020）行政办公用水量</w:t>
            </w:r>
            <w:r>
              <w:rPr>
                <w:rFonts w:hint="eastAsia"/>
                <w:color w:val="auto"/>
                <w:highlight w:val="none"/>
                <w:lang w:eastAsia="zh-CN"/>
              </w:rPr>
              <w:t>：</w:t>
            </w:r>
            <w:r>
              <w:rPr>
                <w:rFonts w:hint="eastAsia"/>
                <w:color w:val="auto"/>
                <w:highlight w:val="none"/>
                <w:lang w:val="en-US" w:eastAsia="zh-CN"/>
              </w:rPr>
              <w:t>厂内不住宿人员（65人）</w:t>
            </w:r>
            <w:r>
              <w:rPr>
                <w:rFonts w:hint="eastAsia"/>
                <w:color w:val="auto"/>
                <w:highlight w:val="none"/>
              </w:rPr>
              <w:t>用水量25m</w:t>
            </w:r>
            <w:r>
              <w:rPr>
                <w:rFonts w:hint="eastAsia"/>
                <w:color w:val="auto"/>
                <w:highlight w:val="none"/>
                <w:vertAlign w:val="superscript"/>
              </w:rPr>
              <w:t>3</w:t>
            </w:r>
            <w:r>
              <w:rPr>
                <w:rFonts w:hint="eastAsia"/>
                <w:color w:val="auto"/>
                <w:highlight w:val="none"/>
              </w:rPr>
              <w:t>/（人·a），</w:t>
            </w:r>
            <w:r>
              <w:rPr>
                <w:rFonts w:hint="eastAsia"/>
                <w:color w:val="auto"/>
                <w:highlight w:val="none"/>
                <w:lang w:val="en-US" w:eastAsia="zh-CN"/>
              </w:rPr>
              <w:t>即</w:t>
            </w:r>
            <w:r>
              <w:rPr>
                <w:rFonts w:hint="eastAsia"/>
                <w:color w:val="auto"/>
                <w:highlight w:val="none"/>
              </w:rPr>
              <w:t>用水量为</w:t>
            </w:r>
            <w:r>
              <w:rPr>
                <w:rFonts w:hint="eastAsia"/>
                <w:color w:val="auto"/>
                <w:highlight w:val="none"/>
                <w:lang w:val="en-US" w:eastAsia="zh-CN"/>
              </w:rPr>
              <w:t>8.125</w:t>
            </w:r>
            <w:r>
              <w:rPr>
                <w:rFonts w:hint="eastAsia"/>
                <w:color w:val="auto"/>
                <w:highlight w:val="none"/>
              </w:rPr>
              <w:t>m</w:t>
            </w:r>
            <w:r>
              <w:rPr>
                <w:rFonts w:hint="eastAsia"/>
                <w:color w:val="auto"/>
                <w:highlight w:val="none"/>
                <w:vertAlign w:val="superscript"/>
              </w:rPr>
              <w:t>3</w:t>
            </w:r>
            <w:r>
              <w:rPr>
                <w:rFonts w:hint="eastAsia"/>
                <w:color w:val="auto"/>
                <w:highlight w:val="none"/>
              </w:rPr>
              <w:t>/d</w:t>
            </w:r>
            <w:r>
              <w:rPr>
                <w:rFonts w:hint="eastAsia"/>
                <w:color w:val="auto"/>
                <w:highlight w:val="none"/>
                <w:lang w:eastAsia="zh-CN"/>
              </w:rPr>
              <w:t>、</w:t>
            </w:r>
            <w:r>
              <w:rPr>
                <w:rFonts w:hint="eastAsia"/>
                <w:color w:val="auto"/>
                <w:highlight w:val="none"/>
                <w:lang w:val="en-US" w:eastAsia="zh-CN"/>
              </w:rPr>
              <w:t>1625</w:t>
            </w:r>
            <w:r>
              <w:rPr>
                <w:rFonts w:hint="eastAsia"/>
                <w:color w:val="auto"/>
                <w:highlight w:val="none"/>
              </w:rPr>
              <w:t>m</w:t>
            </w:r>
            <w:r>
              <w:rPr>
                <w:rFonts w:hint="eastAsia"/>
                <w:color w:val="auto"/>
                <w:highlight w:val="none"/>
                <w:vertAlign w:val="superscript"/>
              </w:rPr>
              <w:t>3</w:t>
            </w:r>
            <w:r>
              <w:rPr>
                <w:rFonts w:hint="eastAsia"/>
                <w:color w:val="auto"/>
                <w:highlight w:val="none"/>
              </w:rPr>
              <w:t>/a</w:t>
            </w:r>
            <w:r>
              <w:rPr>
                <w:rFonts w:hint="eastAsia"/>
                <w:color w:val="auto"/>
                <w:highlight w:val="none"/>
                <w:lang w:eastAsia="zh-CN"/>
              </w:rPr>
              <w:t>；</w:t>
            </w:r>
            <w:r>
              <w:rPr>
                <w:rFonts w:hint="eastAsia"/>
                <w:color w:val="auto"/>
                <w:highlight w:val="none"/>
                <w:lang w:val="en-US" w:eastAsia="zh-CN"/>
              </w:rPr>
              <w:t>住宿人员</w:t>
            </w:r>
            <w:r>
              <w:rPr>
                <w:rFonts w:hint="eastAsia"/>
                <w:color w:val="auto"/>
                <w:highlight w:val="none"/>
              </w:rPr>
              <w:t>用水量</w:t>
            </w:r>
            <w:r>
              <w:rPr>
                <w:rFonts w:hint="eastAsia"/>
                <w:color w:val="auto"/>
                <w:highlight w:val="none"/>
                <w:lang w:val="en-US" w:eastAsia="zh-CN"/>
              </w:rPr>
              <w:t>按140L</w:t>
            </w:r>
            <w:r>
              <w:rPr>
                <w:rFonts w:hint="eastAsia"/>
                <w:color w:val="auto"/>
                <w:highlight w:val="none"/>
              </w:rPr>
              <w:t>/人·</w:t>
            </w:r>
            <w:r>
              <w:rPr>
                <w:rFonts w:hint="eastAsia"/>
                <w:color w:val="auto"/>
                <w:highlight w:val="none"/>
                <w:lang w:val="en-US" w:eastAsia="zh-CN"/>
              </w:rPr>
              <w:t>d</w:t>
            </w:r>
            <w:r>
              <w:rPr>
                <w:rFonts w:hint="eastAsia"/>
                <w:color w:val="auto"/>
                <w:lang w:val="en-US" w:eastAsia="zh-CN"/>
              </w:rPr>
              <w:t>计</w:t>
            </w:r>
            <w:r>
              <w:rPr>
                <w:rFonts w:hint="eastAsia"/>
                <w:color w:val="auto"/>
                <w:highlight w:val="none"/>
              </w:rPr>
              <w:t>，</w:t>
            </w:r>
            <w:r>
              <w:rPr>
                <w:rFonts w:hint="default"/>
                <w:color w:val="auto"/>
                <w:lang w:val="en-US" w:eastAsia="zh-CN"/>
              </w:rPr>
              <w:t>即用水量为</w:t>
            </w:r>
            <w:r>
              <w:rPr>
                <w:rFonts w:hint="eastAsia"/>
                <w:color w:val="auto"/>
                <w:lang w:val="en-US" w:eastAsia="zh-CN"/>
              </w:rPr>
              <w:t>2.1</w:t>
            </w:r>
            <w:r>
              <w:rPr>
                <w:rFonts w:hint="default"/>
                <w:color w:val="auto"/>
                <w:lang w:val="en-US" w:eastAsia="zh-CN"/>
              </w:rPr>
              <w:t>m</w:t>
            </w:r>
            <w:r>
              <w:rPr>
                <w:rFonts w:hint="default"/>
                <w:color w:val="auto"/>
                <w:vertAlign w:val="superscript"/>
                <w:lang w:val="en-US" w:eastAsia="zh-CN"/>
              </w:rPr>
              <w:t>3</w:t>
            </w:r>
            <w:r>
              <w:rPr>
                <w:rFonts w:hint="default"/>
                <w:color w:val="auto"/>
                <w:lang w:val="en-US" w:eastAsia="zh-CN"/>
              </w:rPr>
              <w:t>/d、</w:t>
            </w:r>
            <w:r>
              <w:rPr>
                <w:rFonts w:hint="eastAsia"/>
                <w:color w:val="auto"/>
                <w:lang w:val="en-US" w:eastAsia="zh-CN"/>
              </w:rPr>
              <w:t>420</w:t>
            </w:r>
            <w:r>
              <w:rPr>
                <w:rFonts w:hint="default"/>
                <w:color w:val="auto"/>
                <w:lang w:val="en-US" w:eastAsia="zh-CN"/>
              </w:rPr>
              <w:t>m</w:t>
            </w:r>
            <w:r>
              <w:rPr>
                <w:rFonts w:hint="default"/>
                <w:color w:val="auto"/>
                <w:vertAlign w:val="superscript"/>
                <w:lang w:val="en-US" w:eastAsia="zh-CN"/>
              </w:rPr>
              <w:t>3</w:t>
            </w:r>
            <w:r>
              <w:rPr>
                <w:rFonts w:hint="default"/>
                <w:color w:val="auto"/>
                <w:lang w:val="en-US" w:eastAsia="zh-CN"/>
              </w:rPr>
              <w:t>/a。</w:t>
            </w:r>
            <w:r>
              <w:rPr>
                <w:rFonts w:hint="eastAsia"/>
                <w:color w:val="auto"/>
                <w:lang w:val="en-US" w:eastAsia="zh-CN"/>
              </w:rPr>
              <w:t>则年生活用水量为</w:t>
            </w:r>
            <w:r>
              <w:rPr>
                <w:rFonts w:hint="eastAsia"/>
                <w:color w:val="auto"/>
                <w:vertAlign w:val="baseline"/>
                <w:lang w:val="en-US" w:eastAsia="zh-CN"/>
              </w:rPr>
              <w:t>10.225m</w:t>
            </w:r>
            <w:r>
              <w:rPr>
                <w:rFonts w:hint="eastAsia"/>
                <w:color w:val="auto"/>
                <w:vertAlign w:val="superscript"/>
                <w:lang w:val="en-US" w:eastAsia="zh-CN"/>
              </w:rPr>
              <w:t>3</w:t>
            </w:r>
            <w:r>
              <w:rPr>
                <w:rFonts w:hint="eastAsia"/>
                <w:color w:val="auto"/>
                <w:vertAlign w:val="baseline"/>
                <w:lang w:val="en-US" w:eastAsia="zh-CN"/>
              </w:rPr>
              <w:t>/d</w:t>
            </w:r>
            <w:r>
              <w:rPr>
                <w:rFonts w:hint="eastAsia"/>
                <w:color w:val="auto"/>
                <w:lang w:val="en-US" w:eastAsia="zh-CN"/>
              </w:rPr>
              <w:t>、2045m</w:t>
            </w:r>
            <w:r>
              <w:rPr>
                <w:rFonts w:hint="eastAsia"/>
                <w:color w:val="auto"/>
                <w:vertAlign w:val="superscript"/>
                <w:lang w:val="en-US" w:eastAsia="zh-CN"/>
              </w:rPr>
              <w:t>3</w:t>
            </w:r>
            <w:r>
              <w:rPr>
                <w:rFonts w:hint="eastAsia"/>
                <w:color w:val="auto"/>
                <w:vertAlign w:val="baseline"/>
                <w:lang w:val="en-US" w:eastAsia="zh-CN"/>
              </w:rPr>
              <w:t>。</w:t>
            </w:r>
            <w:r>
              <w:rPr>
                <w:rFonts w:hint="default"/>
                <w:color w:val="auto"/>
                <w:lang w:val="en-US" w:eastAsia="zh-CN"/>
              </w:rPr>
              <w:t>产污系数</w:t>
            </w:r>
            <w:r>
              <w:rPr>
                <w:rFonts w:hint="eastAsia"/>
                <w:color w:val="auto"/>
                <w:lang w:val="en-US" w:eastAsia="zh-CN"/>
              </w:rPr>
              <w:t>取</w:t>
            </w:r>
            <w:r>
              <w:rPr>
                <w:rFonts w:hint="default"/>
                <w:color w:val="auto"/>
                <w:lang w:val="en-US" w:eastAsia="zh-CN"/>
              </w:rPr>
              <w:t>0.8，则</w:t>
            </w:r>
            <w:r>
              <w:rPr>
                <w:rFonts w:hint="eastAsia"/>
                <w:color w:val="auto"/>
                <w:lang w:val="en-US" w:eastAsia="zh-CN"/>
              </w:rPr>
              <w:t>生活污水产生</w:t>
            </w:r>
            <w:r>
              <w:rPr>
                <w:rFonts w:hint="default"/>
                <w:color w:val="auto"/>
                <w:lang w:val="en-US" w:eastAsia="zh-CN"/>
              </w:rPr>
              <w:t>量为</w:t>
            </w:r>
            <w:r>
              <w:rPr>
                <w:rFonts w:hint="eastAsia"/>
                <w:color w:val="auto"/>
                <w:lang w:val="en-US" w:eastAsia="zh-CN"/>
              </w:rPr>
              <w:t>8.18</w:t>
            </w:r>
            <w:r>
              <w:rPr>
                <w:rFonts w:hint="default"/>
                <w:color w:val="auto"/>
                <w:lang w:val="en-US" w:eastAsia="zh-CN"/>
              </w:rPr>
              <w:t>m</w:t>
            </w:r>
            <w:r>
              <w:rPr>
                <w:rFonts w:hint="default"/>
                <w:color w:val="auto"/>
                <w:vertAlign w:val="superscript"/>
                <w:lang w:val="en-US" w:eastAsia="zh-CN"/>
              </w:rPr>
              <w:t>3</w:t>
            </w:r>
            <w:r>
              <w:rPr>
                <w:rFonts w:hint="default"/>
                <w:color w:val="auto"/>
                <w:lang w:val="en-US" w:eastAsia="zh-CN"/>
              </w:rPr>
              <w:t>/</w:t>
            </w:r>
            <w:r>
              <w:rPr>
                <w:rFonts w:hint="eastAsia"/>
                <w:color w:val="auto"/>
                <w:lang w:val="en-US" w:eastAsia="zh-CN"/>
              </w:rPr>
              <w:t>d、1636</w:t>
            </w:r>
            <w:r>
              <w:rPr>
                <w:rFonts w:hint="default"/>
                <w:color w:val="auto"/>
                <w:lang w:val="en-US" w:eastAsia="zh-CN"/>
              </w:rPr>
              <w:t>m</w:t>
            </w:r>
            <w:r>
              <w:rPr>
                <w:rFonts w:hint="default"/>
                <w:color w:val="auto"/>
                <w:vertAlign w:val="superscript"/>
                <w:lang w:val="en-US" w:eastAsia="zh-CN"/>
              </w:rPr>
              <w:t>3</w:t>
            </w:r>
            <w:r>
              <w:rPr>
                <w:rFonts w:hint="default"/>
                <w:color w:val="auto"/>
                <w:lang w:val="en-US" w:eastAsia="zh-CN"/>
              </w:rPr>
              <w:t>/</w:t>
            </w:r>
            <w:r>
              <w:rPr>
                <w:rFonts w:hint="eastAsia"/>
                <w:color w:val="auto"/>
                <w:lang w:val="en-US" w:eastAsia="zh-CN"/>
              </w:rPr>
              <w:t>a</w:t>
            </w:r>
            <w:r>
              <w:rPr>
                <w:rFonts w:hint="default"/>
                <w:color w:val="auto"/>
                <w:sz w:val="24"/>
                <w:szCs w:val="24"/>
                <w:highlight w:val="none"/>
              </w:rPr>
              <w:t>。</w:t>
            </w:r>
            <w:r>
              <w:rPr>
                <w:rFonts w:hint="eastAsia"/>
                <w:color w:val="auto"/>
                <w:sz w:val="24"/>
                <w:szCs w:val="24"/>
                <w:highlight w:val="none"/>
                <w:lang w:val="en-US" w:eastAsia="zh-CN"/>
              </w:rPr>
              <w:t>办公生活污水经</w:t>
            </w:r>
            <w:r>
              <w:rPr>
                <w:rFonts w:hint="eastAsia"/>
                <w:color w:val="auto"/>
                <w:sz w:val="24"/>
                <w:szCs w:val="24"/>
                <w:highlight w:val="none"/>
              </w:rPr>
              <w:t>化粪池</w:t>
            </w:r>
            <w:r>
              <w:rPr>
                <w:rFonts w:hint="eastAsia"/>
                <w:color w:val="auto"/>
                <w:sz w:val="24"/>
                <w:szCs w:val="24"/>
                <w:highlight w:val="none"/>
                <w:lang w:val="en-US" w:eastAsia="zh-CN"/>
              </w:rPr>
              <w:t>处理后</w:t>
            </w:r>
            <w:r>
              <w:rPr>
                <w:rFonts w:hint="eastAsia"/>
                <w:color w:val="auto"/>
                <w:lang w:val="en-US" w:eastAsia="zh-CN"/>
              </w:rPr>
              <w:t>与生产废水一同进地埋式污水处理装置处理后，</w:t>
            </w:r>
            <w:r>
              <w:rPr>
                <w:rFonts w:hint="eastAsia"/>
                <w:color w:val="auto"/>
                <w:sz w:val="24"/>
                <w:szCs w:val="24"/>
                <w:highlight w:val="none"/>
              </w:rPr>
              <w:t>经市政管网排入泾河新城第二污水处理厂</w:t>
            </w:r>
            <w:r>
              <w:rPr>
                <w:rFonts w:hint="eastAsia"/>
                <w:color w:val="auto"/>
                <w:sz w:val="24"/>
                <w:szCs w:val="24"/>
                <w:highlight w:val="none"/>
                <w:lang w:eastAsia="zh-CN"/>
              </w:rPr>
              <w:t>。</w:t>
            </w:r>
          </w:p>
          <w:p w14:paraId="741E7BE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eastAsia="zh-CN"/>
              </w:rPr>
            </w:pPr>
            <w:r>
              <w:rPr>
                <w:rFonts w:hint="eastAsia"/>
                <w:color w:val="auto"/>
                <w:highlight w:val="none"/>
              </w:rPr>
              <w:t>②</w:t>
            </w:r>
            <w:r>
              <w:rPr>
                <w:rFonts w:hint="default" w:ascii="Times New Roman" w:hAnsi="Times New Roman" w:cs="Times New Roman"/>
                <w:bCs/>
                <w:color w:val="auto"/>
                <w:sz w:val="24"/>
                <w:highlight w:val="none"/>
                <w:lang w:eastAsia="zh-CN"/>
              </w:rPr>
              <w:t>食品加工用水</w:t>
            </w:r>
          </w:p>
          <w:p w14:paraId="5C6D451A">
            <w:pPr>
              <w:keepNext w:val="0"/>
              <w:keepLines w:val="0"/>
              <w:suppressLineNumbers w:val="0"/>
              <w:spacing w:before="0" w:beforeAutospacing="0" w:after="0" w:afterAutospacing="0"/>
              <w:ind w:left="0" w:right="0" w:firstLine="480"/>
              <w:rPr>
                <w:rFonts w:hint="default" w:eastAsia="宋体"/>
                <w:color w:val="auto"/>
                <w:highlight w:val="none"/>
                <w:lang w:val="en-US" w:eastAsia="zh-CN"/>
              </w:rPr>
            </w:pPr>
            <w:r>
              <w:rPr>
                <w:rFonts w:hint="default" w:ascii="Times New Roman" w:hAnsi="Times New Roman" w:eastAsia="宋体" w:cs="Times New Roman"/>
                <w:color w:val="auto"/>
                <w:kern w:val="0"/>
                <w:sz w:val="24"/>
                <w:szCs w:val="22"/>
                <w:highlight w:val="none"/>
                <w:lang w:eastAsia="zh-CN" w:bidi="en-US"/>
              </w:rPr>
              <w:t>食品加工用水主要包括米饭蒸制、面点类加工过程中的用水以及炒菜和炖肉过程中的用水。</w:t>
            </w:r>
            <w:r>
              <w:rPr>
                <w:rFonts w:hint="default" w:ascii="Times New Roman" w:hAnsi="Times New Roman" w:eastAsia="宋体" w:cs="Times New Roman"/>
                <w:color w:val="auto"/>
                <w:kern w:val="0"/>
                <w:sz w:val="24"/>
                <w:szCs w:val="22"/>
                <w:highlight w:val="none"/>
                <w:lang w:val="en-US" w:eastAsia="zh-CN" w:bidi="en-US"/>
              </w:rPr>
              <w:t>根据</w:t>
            </w:r>
            <w:r>
              <w:rPr>
                <w:rFonts w:hint="default" w:ascii="Times New Roman" w:hAnsi="Times New Roman" w:eastAsia="宋体" w:cs="Times New Roman"/>
                <w:color w:val="auto"/>
                <w:kern w:val="0"/>
                <w:sz w:val="24"/>
                <w:szCs w:val="22"/>
                <w:lang w:eastAsia="zh-CN" w:bidi="en-US"/>
              </w:rPr>
              <w:t>建设单位</w:t>
            </w:r>
            <w:r>
              <w:rPr>
                <w:rFonts w:hint="default" w:ascii="Times New Roman" w:hAnsi="Times New Roman" w:eastAsia="宋体" w:cs="Times New Roman"/>
                <w:color w:val="auto"/>
                <w:kern w:val="0"/>
                <w:sz w:val="24"/>
                <w:szCs w:val="22"/>
                <w:highlight w:val="none"/>
                <w:lang w:val="en-US" w:eastAsia="zh-CN" w:bidi="en-US"/>
              </w:rPr>
              <w:t>提供</w:t>
            </w:r>
            <w:r>
              <w:rPr>
                <w:rFonts w:hint="eastAsia" w:cs="Times New Roman"/>
                <w:color w:val="auto"/>
                <w:kern w:val="0"/>
                <w:sz w:val="24"/>
                <w:szCs w:val="22"/>
                <w:highlight w:val="none"/>
                <w:lang w:val="en-US" w:eastAsia="zh-CN" w:bidi="en-US"/>
              </w:rPr>
              <w:t>数据，</w:t>
            </w:r>
            <w:r>
              <w:rPr>
                <w:rFonts w:hint="default" w:ascii="Times New Roman" w:hAnsi="Times New Roman" w:eastAsia="宋体" w:cs="Times New Roman"/>
                <w:color w:val="auto"/>
                <w:kern w:val="0"/>
                <w:sz w:val="24"/>
                <w:szCs w:val="22"/>
                <w:highlight w:val="none"/>
                <w:lang w:eastAsia="zh-CN" w:bidi="en-US"/>
              </w:rPr>
              <w:t>米饭蒸制、面点类加工</w:t>
            </w:r>
            <w:r>
              <w:rPr>
                <w:rFonts w:hint="eastAsia" w:ascii="Times New Roman" w:hAnsi="Times New Roman" w:eastAsia="宋体" w:cs="Times New Roman"/>
                <w:color w:val="auto"/>
                <w:kern w:val="0"/>
                <w:sz w:val="24"/>
                <w:szCs w:val="22"/>
                <w:highlight w:val="none"/>
                <w:lang w:val="en-US" w:eastAsia="zh-CN" w:bidi="en-US"/>
              </w:rPr>
              <w:t>用水一般为面粉用量的5%~10%，</w:t>
            </w:r>
            <w:r>
              <w:rPr>
                <w:rFonts w:hint="eastAsia" w:cs="Times New Roman"/>
                <w:color w:val="auto"/>
                <w:kern w:val="0"/>
                <w:sz w:val="24"/>
                <w:szCs w:val="22"/>
                <w:highlight w:val="none"/>
                <w:lang w:val="en-US" w:eastAsia="zh-CN" w:bidi="en-US"/>
              </w:rPr>
              <w:t>本项目按</w:t>
            </w:r>
            <w:r>
              <w:rPr>
                <w:rFonts w:hint="eastAsia" w:ascii="Times New Roman" w:hAnsi="Times New Roman" w:eastAsia="宋体" w:cs="Times New Roman"/>
                <w:color w:val="auto"/>
                <w:kern w:val="0"/>
                <w:sz w:val="24"/>
                <w:szCs w:val="22"/>
                <w:highlight w:val="none"/>
                <w:lang w:val="en-US" w:eastAsia="zh-CN" w:bidi="en-US"/>
              </w:rPr>
              <w:t>10%计；</w:t>
            </w:r>
            <w:r>
              <w:rPr>
                <w:rFonts w:hint="default" w:ascii="Times New Roman" w:hAnsi="Times New Roman" w:eastAsia="宋体" w:cs="Times New Roman"/>
                <w:color w:val="auto"/>
                <w:kern w:val="0"/>
                <w:sz w:val="24"/>
                <w:szCs w:val="22"/>
                <w:highlight w:val="none"/>
                <w:lang w:eastAsia="zh-CN" w:bidi="en-US"/>
              </w:rPr>
              <w:t>炒菜和炖肉加工</w:t>
            </w:r>
            <w:r>
              <w:rPr>
                <w:rFonts w:hint="eastAsia" w:ascii="Times New Roman" w:hAnsi="Times New Roman" w:eastAsia="宋体" w:cs="Times New Roman"/>
                <w:color w:val="auto"/>
                <w:kern w:val="0"/>
                <w:sz w:val="24"/>
                <w:szCs w:val="22"/>
                <w:highlight w:val="none"/>
                <w:lang w:val="en-US" w:eastAsia="zh-CN" w:bidi="en-US"/>
              </w:rPr>
              <w:t>用水一般为原料用量的30%~35%，</w:t>
            </w:r>
            <w:r>
              <w:rPr>
                <w:rFonts w:hint="eastAsia" w:cs="Times New Roman"/>
                <w:color w:val="auto"/>
                <w:kern w:val="0"/>
                <w:sz w:val="24"/>
                <w:szCs w:val="22"/>
                <w:highlight w:val="none"/>
                <w:lang w:val="en-US" w:eastAsia="zh-CN" w:bidi="en-US"/>
              </w:rPr>
              <w:t>本项目按</w:t>
            </w:r>
            <w:r>
              <w:rPr>
                <w:rFonts w:hint="eastAsia" w:ascii="Times New Roman" w:hAnsi="Times New Roman" w:eastAsia="宋体" w:cs="Times New Roman"/>
                <w:color w:val="auto"/>
                <w:kern w:val="0"/>
                <w:sz w:val="24"/>
                <w:szCs w:val="22"/>
                <w:highlight w:val="none"/>
                <w:lang w:val="en-US" w:eastAsia="zh-CN" w:bidi="en-US"/>
              </w:rPr>
              <w:t>35%计。</w:t>
            </w:r>
            <w:r>
              <w:rPr>
                <w:rFonts w:hint="eastAsia"/>
                <w:color w:val="auto"/>
                <w:lang w:val="en-US" w:eastAsia="zh-CN"/>
              </w:rPr>
              <w:t>根据原辅料用量本项目米、面用</w:t>
            </w:r>
            <w:r>
              <w:rPr>
                <w:rFonts w:hint="eastAsia"/>
                <w:color w:val="auto"/>
                <w:highlight w:val="none"/>
                <w:lang w:val="en-US" w:eastAsia="zh-CN"/>
              </w:rPr>
              <w:t>量共700t/a，则用水量为70</w:t>
            </w:r>
            <w:r>
              <w:rPr>
                <w:rFonts w:hint="eastAsia" w:ascii="Times New Roman" w:hAnsi="Times New Roman" w:eastAsia="宋体" w:cs="Times New Roman"/>
                <w:color w:val="auto"/>
                <w:kern w:val="0"/>
                <w:sz w:val="24"/>
                <w:szCs w:val="22"/>
                <w:highlight w:val="none"/>
                <w:lang w:val="en-US" w:eastAsia="zh-CN" w:bidi="en-US"/>
              </w:rPr>
              <w:t>t</w:t>
            </w:r>
            <w:r>
              <w:rPr>
                <w:rFonts w:hint="eastAsia" w:cs="Times New Roman"/>
                <w:color w:val="auto"/>
                <w:kern w:val="0"/>
                <w:sz w:val="24"/>
                <w:szCs w:val="22"/>
                <w:highlight w:val="none"/>
                <w:lang w:val="en-US" w:eastAsia="zh-CN" w:bidi="en-US"/>
              </w:rPr>
              <w:t>/a</w:t>
            </w:r>
            <w:r>
              <w:rPr>
                <w:rFonts w:hint="eastAsia" w:ascii="Times New Roman" w:hAnsi="Times New Roman" w:eastAsia="宋体" w:cs="Times New Roman"/>
                <w:color w:val="auto"/>
                <w:kern w:val="0"/>
                <w:sz w:val="24"/>
                <w:szCs w:val="22"/>
                <w:highlight w:val="none"/>
                <w:lang w:val="en-US" w:eastAsia="zh-CN" w:bidi="en-US"/>
              </w:rPr>
              <w:t>；蔬菜、肉类用量共150t</w:t>
            </w:r>
            <w:r>
              <w:rPr>
                <w:rFonts w:hint="eastAsia" w:cs="Times New Roman"/>
                <w:color w:val="auto"/>
                <w:kern w:val="0"/>
                <w:sz w:val="24"/>
                <w:szCs w:val="22"/>
                <w:highlight w:val="none"/>
                <w:lang w:val="en-US" w:eastAsia="zh-CN" w:bidi="en-US"/>
              </w:rPr>
              <w:t>/a</w:t>
            </w:r>
            <w:r>
              <w:rPr>
                <w:rFonts w:hint="eastAsia" w:ascii="Times New Roman" w:hAnsi="Times New Roman" w:eastAsia="宋体" w:cs="Times New Roman"/>
                <w:color w:val="auto"/>
                <w:kern w:val="0"/>
                <w:sz w:val="24"/>
                <w:szCs w:val="22"/>
                <w:highlight w:val="none"/>
                <w:lang w:val="en-US" w:eastAsia="zh-CN" w:bidi="en-US"/>
              </w:rPr>
              <w:t>，用水量为52.5t</w:t>
            </w:r>
            <w:r>
              <w:rPr>
                <w:rFonts w:hint="eastAsia" w:cs="Times New Roman"/>
                <w:color w:val="auto"/>
                <w:kern w:val="0"/>
                <w:sz w:val="24"/>
                <w:szCs w:val="22"/>
                <w:highlight w:val="none"/>
                <w:lang w:val="en-US" w:eastAsia="zh-CN" w:bidi="en-US"/>
              </w:rPr>
              <w:t>/a</w:t>
            </w:r>
            <w:r>
              <w:rPr>
                <w:rFonts w:hint="eastAsia" w:ascii="Times New Roman" w:hAnsi="Times New Roman" w:eastAsia="宋体" w:cs="Times New Roman"/>
                <w:color w:val="auto"/>
                <w:kern w:val="0"/>
                <w:sz w:val="24"/>
                <w:szCs w:val="22"/>
                <w:highlight w:val="none"/>
                <w:lang w:val="en-US" w:eastAsia="zh-CN" w:bidi="en-US"/>
              </w:rPr>
              <w:t>；用水量共计122.5</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eastAsia" w:ascii="Times New Roman" w:hAnsi="Times New Roman" w:eastAsia="宋体" w:cs="Times New Roman"/>
                <w:color w:val="auto"/>
                <w:kern w:val="0"/>
                <w:sz w:val="24"/>
                <w:szCs w:val="22"/>
                <w:highlight w:val="none"/>
                <w:lang w:val="en-US" w:eastAsia="zh-CN" w:bidi="en-US"/>
              </w:rPr>
              <w:t>/a</w:t>
            </w:r>
            <w:r>
              <w:rPr>
                <w:rFonts w:hint="eastAsia" w:cs="Times New Roman"/>
                <w:color w:val="auto"/>
                <w:kern w:val="0"/>
                <w:sz w:val="24"/>
                <w:szCs w:val="22"/>
                <w:highlight w:val="none"/>
                <w:lang w:eastAsia="zh-CN" w:bidi="en-US"/>
              </w:rPr>
              <w:t>、</w:t>
            </w:r>
            <w:r>
              <w:rPr>
                <w:rFonts w:hint="eastAsia" w:cs="Times New Roman"/>
                <w:color w:val="auto"/>
                <w:kern w:val="0"/>
                <w:sz w:val="24"/>
                <w:szCs w:val="22"/>
                <w:highlight w:val="none"/>
                <w:lang w:val="en-US" w:eastAsia="zh-CN" w:bidi="en-US"/>
              </w:rPr>
              <w:t>0.6125</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eastAsia" w:cs="Times New Roman"/>
                <w:color w:val="auto"/>
                <w:kern w:val="0"/>
                <w:sz w:val="24"/>
                <w:szCs w:val="22"/>
                <w:highlight w:val="none"/>
                <w:lang w:val="en-US" w:eastAsia="zh-CN" w:bidi="en-US"/>
              </w:rPr>
              <w:t>/d</w:t>
            </w:r>
            <w:r>
              <w:rPr>
                <w:rFonts w:hint="default" w:ascii="Times New Roman" w:hAnsi="Times New Roman" w:eastAsia="宋体" w:cs="Times New Roman"/>
                <w:color w:val="auto"/>
                <w:kern w:val="0"/>
                <w:sz w:val="24"/>
                <w:szCs w:val="22"/>
                <w:highlight w:val="none"/>
                <w:lang w:eastAsia="zh-CN" w:bidi="en-US"/>
              </w:rPr>
              <w:t>，该部分用水均</w:t>
            </w:r>
            <w:r>
              <w:rPr>
                <w:rFonts w:hint="eastAsia" w:cs="Times New Roman"/>
                <w:color w:val="auto"/>
                <w:kern w:val="0"/>
                <w:sz w:val="24"/>
                <w:szCs w:val="22"/>
                <w:highlight w:val="none"/>
                <w:lang w:val="en-US" w:eastAsia="zh-CN" w:bidi="en-US"/>
              </w:rPr>
              <w:t>采用纯水，生产中全部</w:t>
            </w:r>
            <w:r>
              <w:rPr>
                <w:rFonts w:hint="default" w:ascii="Times New Roman" w:hAnsi="Times New Roman" w:eastAsia="宋体" w:cs="Times New Roman"/>
                <w:color w:val="auto"/>
                <w:kern w:val="0"/>
                <w:sz w:val="24"/>
                <w:szCs w:val="22"/>
                <w:highlight w:val="none"/>
                <w:lang w:eastAsia="zh-CN" w:bidi="en-US"/>
              </w:rPr>
              <w:t>进入产品</w:t>
            </w:r>
            <w:r>
              <w:rPr>
                <w:rFonts w:hint="eastAsia" w:cs="Times New Roman"/>
                <w:color w:val="auto"/>
                <w:kern w:val="0"/>
                <w:sz w:val="24"/>
                <w:szCs w:val="22"/>
                <w:highlight w:val="none"/>
                <w:lang w:val="en-US" w:eastAsia="zh-CN" w:bidi="en-US"/>
              </w:rPr>
              <w:t>或蒸发</w:t>
            </w:r>
            <w:r>
              <w:rPr>
                <w:rFonts w:hint="default" w:ascii="Times New Roman" w:hAnsi="Times New Roman" w:eastAsia="宋体" w:cs="Times New Roman"/>
                <w:color w:val="auto"/>
                <w:kern w:val="0"/>
                <w:sz w:val="24"/>
                <w:szCs w:val="22"/>
                <w:highlight w:val="none"/>
                <w:lang w:eastAsia="zh-CN" w:bidi="en-US"/>
              </w:rPr>
              <w:t>，因此不会产生废水</w:t>
            </w:r>
            <w:r>
              <w:rPr>
                <w:rFonts w:hint="default" w:ascii="Times New Roman" w:hAnsi="Times New Roman" w:cs="Times New Roman"/>
                <w:color w:val="auto"/>
                <w:kern w:val="0"/>
                <w:sz w:val="24"/>
                <w:szCs w:val="22"/>
                <w:highlight w:val="none"/>
                <w:lang w:eastAsia="zh-CN" w:bidi="en-US"/>
              </w:rPr>
              <w:t>。</w:t>
            </w:r>
          </w:p>
          <w:p w14:paraId="095819C9">
            <w:pPr>
              <w:keepNext w:val="0"/>
              <w:keepLines w:val="0"/>
              <w:widowControl/>
              <w:suppressLineNumbers w:val="0"/>
              <w:spacing w:before="0" w:beforeAutospacing="0" w:after="0" w:afterAutospacing="0" w:line="360" w:lineRule="auto"/>
              <w:ind w:left="-7" w:leftChars="-3" w:right="0" w:firstLine="480" w:firstLineChars="200"/>
              <w:jc w:val="left"/>
              <w:rPr>
                <w:rFonts w:hint="default"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highlight w:val="none"/>
                <w:lang w:val="en-US" w:eastAsia="zh-CN"/>
              </w:rPr>
              <w:fldChar w:fldCharType="begin"/>
            </w:r>
            <w:r>
              <w:rPr>
                <w:rFonts w:hint="default" w:ascii="Times New Roman" w:hAnsi="Times New Roman" w:cs="Times New Roman"/>
                <w:bCs/>
                <w:color w:val="auto"/>
                <w:sz w:val="24"/>
                <w:highlight w:val="none"/>
                <w:lang w:val="en-US" w:eastAsia="zh-CN"/>
              </w:rPr>
              <w:instrText xml:space="preserve"> = 3 \* GB3 \* MERGEFORMAT </w:instrText>
            </w:r>
            <w:r>
              <w:rPr>
                <w:rFonts w:hint="default" w:ascii="Times New Roman" w:hAnsi="Times New Roman" w:cs="Times New Roman"/>
                <w:bCs/>
                <w:color w:val="auto"/>
                <w:sz w:val="24"/>
                <w:highlight w:val="none"/>
                <w:lang w:val="en-US" w:eastAsia="zh-CN"/>
              </w:rPr>
              <w:fldChar w:fldCharType="separate"/>
            </w:r>
            <w:r>
              <w:rPr>
                <w:rFonts w:hint="default" w:ascii="Times New Roman" w:hAnsi="Times New Roman" w:cs="Times New Roman"/>
                <w:color w:val="auto"/>
                <w:highlight w:val="none"/>
              </w:rPr>
              <w:t>③</w:t>
            </w:r>
            <w:r>
              <w:rPr>
                <w:rFonts w:hint="default" w:ascii="Times New Roman" w:hAnsi="Times New Roman" w:cs="Times New Roman"/>
                <w:bCs/>
                <w:color w:val="auto"/>
                <w:sz w:val="24"/>
                <w:highlight w:val="none"/>
                <w:lang w:val="en-US" w:eastAsia="zh-CN"/>
              </w:rPr>
              <w:fldChar w:fldCharType="end"/>
            </w:r>
            <w:r>
              <w:rPr>
                <w:rFonts w:hint="default" w:ascii="Times New Roman" w:hAnsi="Times New Roman" w:cs="Times New Roman"/>
                <w:bCs/>
                <w:color w:val="auto"/>
                <w:sz w:val="24"/>
                <w:highlight w:val="none"/>
                <w:lang w:val="en-US" w:eastAsia="zh-CN"/>
              </w:rPr>
              <w:t>清洗用水</w:t>
            </w:r>
          </w:p>
          <w:p w14:paraId="70EC28B9">
            <w:pPr>
              <w:keepNext w:val="0"/>
              <w:keepLines w:val="0"/>
              <w:widowControl/>
              <w:suppressLineNumbers w:val="0"/>
              <w:spacing w:before="0" w:beforeAutospacing="0" w:after="0" w:afterAutospacing="0" w:line="360" w:lineRule="auto"/>
              <w:ind w:left="-7" w:leftChars="-3" w:right="0" w:firstLine="480" w:firstLineChars="200"/>
              <w:jc w:val="left"/>
              <w:rPr>
                <w:rFonts w:hint="default" w:ascii="Times New Roman" w:hAnsi="Times New Roman" w:cs="Times New Roman"/>
                <w:color w:val="auto"/>
                <w:kern w:val="0"/>
                <w:sz w:val="24"/>
                <w:szCs w:val="22"/>
                <w:highlight w:val="none"/>
                <w:lang w:val="en-US" w:eastAsia="zh-CN" w:bidi="en-US"/>
              </w:rPr>
            </w:pPr>
            <w:r>
              <w:rPr>
                <w:rFonts w:hint="default" w:ascii="Times New Roman" w:hAnsi="Times New Roman" w:eastAsia="宋体" w:cs="Times New Roman"/>
                <w:color w:val="auto"/>
                <w:kern w:val="0"/>
                <w:sz w:val="24"/>
                <w:szCs w:val="22"/>
                <w:highlight w:val="none"/>
                <w:lang w:eastAsia="zh-CN" w:bidi="en-US"/>
              </w:rPr>
              <w:t>食材清洗用水：本项目需要对采购回来的大米、肉制品和蔬菜等食材在加工前进行清洗，</w:t>
            </w:r>
            <w:r>
              <w:rPr>
                <w:rFonts w:hint="default" w:ascii="Times New Roman" w:hAnsi="Times New Roman" w:eastAsia="宋体" w:cs="Times New Roman"/>
                <w:color w:val="auto"/>
                <w:kern w:val="0"/>
                <w:sz w:val="24"/>
                <w:szCs w:val="22"/>
                <w:highlight w:val="none"/>
                <w:lang w:val="en-US" w:eastAsia="zh-CN" w:bidi="en-US"/>
              </w:rPr>
              <w:t>根据</w:t>
            </w:r>
            <w:r>
              <w:rPr>
                <w:rFonts w:hint="default" w:ascii="Times New Roman" w:hAnsi="Times New Roman" w:eastAsia="宋体" w:cs="Times New Roman"/>
                <w:color w:val="auto"/>
                <w:kern w:val="0"/>
                <w:sz w:val="24"/>
                <w:szCs w:val="22"/>
                <w:lang w:eastAsia="zh-CN" w:bidi="en-US"/>
              </w:rPr>
              <w:t>建设单位</w:t>
            </w:r>
            <w:r>
              <w:rPr>
                <w:rFonts w:hint="default" w:ascii="Times New Roman" w:hAnsi="Times New Roman" w:eastAsia="宋体" w:cs="Times New Roman"/>
                <w:color w:val="auto"/>
                <w:kern w:val="0"/>
                <w:sz w:val="24"/>
                <w:szCs w:val="22"/>
                <w:highlight w:val="none"/>
                <w:lang w:val="en-US" w:eastAsia="zh-CN" w:bidi="en-US"/>
              </w:rPr>
              <w:t>提供</w:t>
            </w:r>
            <w:r>
              <w:rPr>
                <w:rFonts w:hint="eastAsia" w:cs="Times New Roman"/>
                <w:color w:val="auto"/>
                <w:kern w:val="0"/>
                <w:sz w:val="24"/>
                <w:szCs w:val="22"/>
                <w:highlight w:val="none"/>
                <w:lang w:val="en-US" w:eastAsia="zh-CN" w:bidi="en-US"/>
              </w:rPr>
              <w:t>数据食材清洗用水量约为食材量的2倍</w:t>
            </w:r>
            <w:r>
              <w:rPr>
                <w:rFonts w:hint="default" w:ascii="Times New Roman" w:hAnsi="Times New Roman" w:eastAsia="宋体" w:cs="Times New Roman"/>
                <w:color w:val="auto"/>
                <w:kern w:val="0"/>
                <w:sz w:val="24"/>
                <w:szCs w:val="22"/>
                <w:highlight w:val="none"/>
                <w:lang w:val="en-US" w:eastAsia="zh-CN" w:bidi="en-US"/>
              </w:rPr>
              <w:t>，</w:t>
            </w:r>
            <w:r>
              <w:rPr>
                <w:rFonts w:hint="eastAsia" w:cs="Times New Roman"/>
                <w:color w:val="auto"/>
                <w:kern w:val="0"/>
                <w:sz w:val="24"/>
                <w:szCs w:val="22"/>
                <w:highlight w:val="none"/>
                <w:lang w:val="en-US" w:eastAsia="zh-CN" w:bidi="en-US"/>
              </w:rPr>
              <w:t>项目食材用量总计350t/a，则</w:t>
            </w:r>
            <w:r>
              <w:rPr>
                <w:rFonts w:hint="default" w:ascii="Times New Roman" w:hAnsi="Times New Roman" w:eastAsia="宋体" w:cs="Times New Roman"/>
                <w:color w:val="auto"/>
                <w:kern w:val="0"/>
                <w:sz w:val="24"/>
                <w:szCs w:val="22"/>
                <w:highlight w:val="none"/>
                <w:lang w:eastAsia="zh-CN" w:bidi="en-US"/>
              </w:rPr>
              <w:t>食材清洗用水量为</w:t>
            </w:r>
            <w:r>
              <w:rPr>
                <w:rFonts w:hint="eastAsia" w:cs="Times New Roman"/>
                <w:color w:val="auto"/>
                <w:kern w:val="0"/>
                <w:sz w:val="24"/>
                <w:szCs w:val="22"/>
                <w:highlight w:val="none"/>
                <w:lang w:val="en-US" w:eastAsia="zh-CN" w:bidi="en-US"/>
              </w:rPr>
              <w:t>3.5</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default" w:ascii="Times New Roman" w:hAnsi="Times New Roman" w:eastAsia="宋体" w:cs="Times New Roman"/>
                <w:color w:val="auto"/>
                <w:kern w:val="0"/>
                <w:sz w:val="24"/>
                <w:szCs w:val="22"/>
                <w:highlight w:val="none"/>
                <w:lang w:eastAsia="zh-CN" w:bidi="en-US"/>
              </w:rPr>
              <w:t>/d</w:t>
            </w:r>
            <w:r>
              <w:rPr>
                <w:rFonts w:hint="eastAsia" w:cs="Times New Roman"/>
                <w:color w:val="auto"/>
                <w:kern w:val="0"/>
                <w:sz w:val="24"/>
                <w:szCs w:val="22"/>
                <w:highlight w:val="none"/>
                <w:lang w:eastAsia="zh-CN" w:bidi="en-US"/>
              </w:rPr>
              <w:t>、</w:t>
            </w:r>
            <w:r>
              <w:rPr>
                <w:rFonts w:hint="eastAsia" w:cs="Times New Roman"/>
                <w:color w:val="auto"/>
                <w:kern w:val="0"/>
                <w:sz w:val="24"/>
                <w:szCs w:val="22"/>
                <w:highlight w:val="none"/>
                <w:lang w:val="en-US" w:eastAsia="zh-CN" w:bidi="en-US"/>
              </w:rPr>
              <w:t>7</w:t>
            </w:r>
            <w:r>
              <w:rPr>
                <w:rFonts w:hint="eastAsia" w:ascii="Times New Roman" w:hAnsi="Times New Roman" w:cs="Times New Roman"/>
                <w:color w:val="auto"/>
                <w:kern w:val="0"/>
                <w:sz w:val="24"/>
                <w:szCs w:val="22"/>
                <w:highlight w:val="none"/>
                <w:lang w:val="en-US" w:eastAsia="zh-CN" w:bidi="en-US"/>
              </w:rPr>
              <w:t>00</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default" w:ascii="Times New Roman" w:hAnsi="Times New Roman" w:eastAsia="宋体" w:cs="Times New Roman"/>
                <w:color w:val="auto"/>
                <w:kern w:val="0"/>
                <w:sz w:val="24"/>
                <w:szCs w:val="22"/>
                <w:highlight w:val="none"/>
                <w:lang w:eastAsia="zh-CN" w:bidi="en-US"/>
              </w:rPr>
              <w:t>/a</w:t>
            </w:r>
            <w:r>
              <w:rPr>
                <w:rFonts w:hint="default" w:ascii="Times New Roman" w:hAnsi="Times New Roman" w:cs="Times New Roman"/>
                <w:color w:val="auto"/>
                <w:kern w:val="0"/>
                <w:sz w:val="24"/>
                <w:szCs w:val="22"/>
                <w:highlight w:val="none"/>
                <w:lang w:eastAsia="zh-CN" w:bidi="en-US"/>
              </w:rPr>
              <w:t>；</w:t>
            </w:r>
          </w:p>
          <w:p w14:paraId="7077AC0A">
            <w:pPr>
              <w:keepNext w:val="0"/>
              <w:keepLines w:val="0"/>
              <w:widowControl/>
              <w:suppressLineNumbers w:val="0"/>
              <w:spacing w:before="0" w:beforeAutospacing="0" w:after="0" w:afterAutospacing="0" w:line="360" w:lineRule="auto"/>
              <w:ind w:left="-7" w:leftChars="-3" w:right="0" w:firstLine="480" w:firstLineChars="200"/>
              <w:jc w:val="left"/>
              <w:rPr>
                <w:rFonts w:hint="default" w:ascii="Times New Roman" w:hAnsi="Times New Roman" w:eastAsia="宋体" w:cs="Times New Roman"/>
                <w:color w:val="auto"/>
                <w:kern w:val="0"/>
                <w:sz w:val="24"/>
                <w:szCs w:val="22"/>
                <w:lang w:eastAsia="zh-CN" w:bidi="en-US"/>
              </w:rPr>
            </w:pPr>
            <w:r>
              <w:rPr>
                <w:rFonts w:hint="default" w:ascii="Times New Roman" w:hAnsi="Times New Roman" w:eastAsia="宋体" w:cs="Times New Roman"/>
                <w:color w:val="auto"/>
                <w:kern w:val="0"/>
                <w:sz w:val="24"/>
                <w:szCs w:val="22"/>
                <w:lang w:eastAsia="zh-CN" w:bidi="en-US"/>
              </w:rPr>
              <w:t>洗手用水：根据建设单位提供</w:t>
            </w:r>
            <w:r>
              <w:rPr>
                <w:rFonts w:hint="eastAsia" w:cs="Times New Roman"/>
                <w:color w:val="auto"/>
                <w:kern w:val="0"/>
                <w:sz w:val="24"/>
                <w:szCs w:val="22"/>
                <w:highlight w:val="none"/>
                <w:lang w:val="en-US" w:eastAsia="zh-CN" w:bidi="en-US"/>
              </w:rPr>
              <w:t>数据</w:t>
            </w:r>
            <w:r>
              <w:rPr>
                <w:rFonts w:hint="default" w:ascii="Times New Roman" w:hAnsi="Times New Roman" w:eastAsia="宋体" w:cs="Times New Roman"/>
                <w:color w:val="auto"/>
                <w:kern w:val="0"/>
                <w:sz w:val="24"/>
                <w:szCs w:val="22"/>
                <w:lang w:eastAsia="zh-CN" w:bidi="en-US"/>
              </w:rPr>
              <w:t>，后厨操作人员约为</w:t>
            </w:r>
            <w:r>
              <w:rPr>
                <w:rFonts w:hint="eastAsia" w:ascii="Times New Roman" w:hAnsi="Times New Roman" w:eastAsia="宋体" w:cs="Times New Roman"/>
                <w:color w:val="auto"/>
                <w:kern w:val="0"/>
                <w:sz w:val="24"/>
                <w:szCs w:val="22"/>
                <w:lang w:val="en-US" w:eastAsia="zh-CN" w:bidi="en-US"/>
              </w:rPr>
              <w:t>4</w:t>
            </w:r>
            <w:r>
              <w:rPr>
                <w:rFonts w:hint="default" w:ascii="Times New Roman" w:hAnsi="Times New Roman" w:eastAsia="宋体" w:cs="Times New Roman"/>
                <w:color w:val="auto"/>
                <w:kern w:val="0"/>
                <w:sz w:val="24"/>
                <w:szCs w:val="22"/>
                <w:lang w:eastAsia="zh-CN" w:bidi="en-US"/>
              </w:rPr>
              <w:t>0人，</w:t>
            </w:r>
            <w:r>
              <w:rPr>
                <w:rFonts w:hint="eastAsia"/>
                <w:color w:val="auto"/>
                <w:highlight w:val="none"/>
              </w:rPr>
              <w:t>参考《行业用水定额》（DB61/T943-2020）</w:t>
            </w:r>
            <w:r>
              <w:rPr>
                <w:rFonts w:hint="default" w:ascii="Times New Roman" w:hAnsi="Times New Roman" w:eastAsia="宋体" w:cs="Times New Roman"/>
                <w:color w:val="auto"/>
                <w:kern w:val="0"/>
                <w:sz w:val="24"/>
                <w:szCs w:val="22"/>
                <w:lang w:eastAsia="zh-CN" w:bidi="en-US"/>
              </w:rPr>
              <w:t>洗手用水量按5L/人.d计，则洗手用水量约为</w:t>
            </w:r>
            <w:r>
              <w:rPr>
                <w:rFonts w:hint="default" w:ascii="Times New Roman" w:hAnsi="Times New Roman" w:eastAsia="宋体" w:cs="Times New Roman"/>
                <w:color w:val="auto"/>
                <w:kern w:val="0"/>
                <w:sz w:val="24"/>
                <w:szCs w:val="22"/>
                <w:lang w:val="en-US" w:eastAsia="zh-CN" w:bidi="en-US"/>
              </w:rPr>
              <w:t>0.2</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default" w:ascii="Times New Roman" w:hAnsi="Times New Roman" w:eastAsia="宋体" w:cs="Times New Roman"/>
                <w:color w:val="auto"/>
                <w:kern w:val="0"/>
                <w:sz w:val="24"/>
                <w:szCs w:val="22"/>
                <w:lang w:eastAsia="zh-CN" w:bidi="en-US"/>
              </w:rPr>
              <w:t>/d</w:t>
            </w:r>
            <w:r>
              <w:rPr>
                <w:rFonts w:hint="eastAsia" w:cs="Times New Roman"/>
                <w:color w:val="auto"/>
                <w:kern w:val="0"/>
                <w:sz w:val="24"/>
                <w:szCs w:val="22"/>
                <w:lang w:eastAsia="zh-CN" w:bidi="en-US"/>
              </w:rPr>
              <w:t>、</w:t>
            </w:r>
            <w:r>
              <w:rPr>
                <w:rFonts w:hint="eastAsia" w:ascii="Times New Roman" w:hAnsi="Times New Roman" w:cs="Times New Roman"/>
                <w:color w:val="auto"/>
                <w:kern w:val="0"/>
                <w:sz w:val="24"/>
                <w:szCs w:val="22"/>
                <w:lang w:val="en-US" w:eastAsia="zh-CN" w:bidi="en-US"/>
              </w:rPr>
              <w:t>4</w:t>
            </w:r>
            <w:r>
              <w:rPr>
                <w:rFonts w:hint="default" w:ascii="Times New Roman" w:hAnsi="Times New Roman" w:cs="Times New Roman"/>
                <w:color w:val="auto"/>
                <w:kern w:val="0"/>
                <w:sz w:val="24"/>
                <w:szCs w:val="22"/>
                <w:lang w:val="en-US" w:eastAsia="zh-CN" w:bidi="en-US"/>
              </w:rPr>
              <w:t>0</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default" w:ascii="Times New Roman" w:hAnsi="Times New Roman" w:eastAsia="宋体" w:cs="Times New Roman"/>
                <w:color w:val="auto"/>
                <w:kern w:val="0"/>
                <w:sz w:val="24"/>
                <w:szCs w:val="22"/>
                <w:lang w:eastAsia="zh-CN" w:bidi="en-US"/>
              </w:rPr>
              <w:t>/a；</w:t>
            </w:r>
          </w:p>
          <w:p w14:paraId="0907AB23">
            <w:pPr>
              <w:keepNext w:val="0"/>
              <w:keepLines w:val="0"/>
              <w:widowControl/>
              <w:suppressLineNumbers w:val="0"/>
              <w:spacing w:before="0" w:beforeAutospacing="0" w:after="0" w:afterAutospacing="0" w:line="360" w:lineRule="auto"/>
              <w:ind w:left="-7" w:leftChars="-3" w:right="0" w:firstLine="480" w:firstLineChars="200"/>
              <w:jc w:val="left"/>
              <w:rPr>
                <w:rFonts w:hint="default" w:ascii="Times New Roman" w:hAnsi="Times New Roman" w:eastAsia="宋体" w:cs="Times New Roman"/>
                <w:color w:val="auto"/>
                <w:kern w:val="0"/>
                <w:sz w:val="24"/>
                <w:szCs w:val="22"/>
                <w:lang w:eastAsia="zh-CN" w:bidi="en-US"/>
              </w:rPr>
            </w:pPr>
            <w:r>
              <w:rPr>
                <w:rFonts w:hint="default" w:ascii="Times New Roman" w:hAnsi="Times New Roman" w:eastAsia="宋体" w:cs="Times New Roman"/>
                <w:color w:val="auto"/>
                <w:kern w:val="0"/>
                <w:sz w:val="24"/>
                <w:szCs w:val="22"/>
                <w:lang w:eastAsia="zh-CN" w:bidi="en-US"/>
              </w:rPr>
              <w:t>工具、</w:t>
            </w:r>
            <w:r>
              <w:rPr>
                <w:rFonts w:hint="eastAsia" w:ascii="Times New Roman" w:hAnsi="Times New Roman" w:eastAsia="宋体" w:cs="Times New Roman"/>
                <w:color w:val="auto"/>
                <w:kern w:val="0"/>
                <w:sz w:val="24"/>
                <w:szCs w:val="22"/>
                <w:lang w:val="en-US" w:eastAsia="zh-CN" w:bidi="en-US"/>
              </w:rPr>
              <w:t>餐具</w:t>
            </w:r>
            <w:r>
              <w:rPr>
                <w:rFonts w:hint="default" w:ascii="Times New Roman" w:hAnsi="Times New Roman" w:eastAsia="宋体" w:cs="Times New Roman"/>
                <w:color w:val="auto"/>
                <w:kern w:val="0"/>
                <w:sz w:val="24"/>
                <w:szCs w:val="22"/>
                <w:lang w:eastAsia="zh-CN" w:bidi="en-US"/>
              </w:rPr>
              <w:t>容器、设备清洗用水</w:t>
            </w:r>
            <w:r>
              <w:rPr>
                <w:rFonts w:hint="eastAsia" w:cs="Times New Roman"/>
                <w:color w:val="auto"/>
                <w:kern w:val="0"/>
                <w:sz w:val="24"/>
                <w:szCs w:val="22"/>
                <w:lang w:eastAsia="zh-CN" w:bidi="en-US"/>
              </w:rPr>
              <w:t>（</w:t>
            </w:r>
            <w:r>
              <w:rPr>
                <w:rFonts w:hint="eastAsia" w:cs="Times New Roman"/>
                <w:color w:val="auto"/>
                <w:kern w:val="0"/>
                <w:sz w:val="24"/>
                <w:szCs w:val="22"/>
                <w:lang w:val="en-US" w:eastAsia="zh-CN" w:bidi="en-US"/>
              </w:rPr>
              <w:t>含检验室设备清洗</w:t>
            </w:r>
            <w:r>
              <w:rPr>
                <w:rFonts w:hint="eastAsia" w:cs="Times New Roman"/>
                <w:color w:val="auto"/>
                <w:kern w:val="0"/>
                <w:sz w:val="24"/>
                <w:szCs w:val="22"/>
                <w:lang w:eastAsia="zh-CN" w:bidi="en-US"/>
              </w:rPr>
              <w:t>）</w:t>
            </w:r>
            <w:r>
              <w:rPr>
                <w:rFonts w:hint="default" w:ascii="Times New Roman" w:hAnsi="Times New Roman" w:eastAsia="宋体" w:cs="Times New Roman"/>
                <w:color w:val="auto"/>
                <w:kern w:val="0"/>
                <w:sz w:val="24"/>
                <w:szCs w:val="22"/>
                <w:lang w:eastAsia="zh-CN" w:bidi="en-US"/>
              </w:rPr>
              <w:t>：该部分用水量因工具、</w:t>
            </w:r>
            <w:r>
              <w:rPr>
                <w:rFonts w:hint="eastAsia" w:ascii="Times New Roman" w:hAnsi="Times New Roman" w:eastAsia="宋体" w:cs="Times New Roman"/>
                <w:color w:val="auto"/>
                <w:kern w:val="0"/>
                <w:sz w:val="24"/>
                <w:szCs w:val="22"/>
                <w:lang w:val="en-US" w:eastAsia="zh-CN" w:bidi="en-US"/>
              </w:rPr>
              <w:t>餐具</w:t>
            </w:r>
            <w:r>
              <w:rPr>
                <w:rFonts w:hint="default" w:ascii="Times New Roman" w:hAnsi="Times New Roman" w:eastAsia="宋体" w:cs="Times New Roman"/>
                <w:color w:val="auto"/>
                <w:kern w:val="0"/>
                <w:sz w:val="24"/>
                <w:szCs w:val="22"/>
                <w:lang w:eastAsia="zh-CN" w:bidi="en-US"/>
              </w:rPr>
              <w:t>容器和设备使用数量而不同，根据建设单位提供</w:t>
            </w:r>
            <w:r>
              <w:rPr>
                <w:rFonts w:hint="default" w:ascii="Times New Roman" w:hAnsi="Times New Roman" w:eastAsia="宋体" w:cs="Times New Roman"/>
                <w:color w:val="auto"/>
                <w:kern w:val="0"/>
                <w:sz w:val="24"/>
                <w:szCs w:val="22"/>
                <w:highlight w:val="none"/>
                <w:lang w:val="en-US" w:eastAsia="zh-CN" w:bidi="en-US"/>
              </w:rPr>
              <w:t>资料</w:t>
            </w:r>
            <w:r>
              <w:rPr>
                <w:rFonts w:hint="default" w:ascii="Times New Roman" w:hAnsi="Times New Roman" w:eastAsia="宋体" w:cs="Times New Roman"/>
                <w:color w:val="auto"/>
                <w:kern w:val="0"/>
                <w:sz w:val="24"/>
                <w:szCs w:val="22"/>
                <w:lang w:eastAsia="zh-CN" w:bidi="en-US"/>
              </w:rPr>
              <w:t>，该部分用水量约为</w:t>
            </w:r>
            <w:r>
              <w:rPr>
                <w:rFonts w:hint="eastAsia" w:ascii="Times New Roman" w:hAnsi="Times New Roman" w:cs="Times New Roman"/>
                <w:color w:val="auto"/>
                <w:kern w:val="0"/>
                <w:sz w:val="24"/>
                <w:szCs w:val="22"/>
                <w:lang w:val="en-US" w:eastAsia="zh-CN" w:bidi="en-US"/>
              </w:rPr>
              <w:t>5</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default" w:ascii="Times New Roman" w:hAnsi="Times New Roman" w:eastAsia="宋体" w:cs="Times New Roman"/>
                <w:color w:val="auto"/>
                <w:kern w:val="0"/>
                <w:sz w:val="24"/>
                <w:szCs w:val="22"/>
                <w:lang w:eastAsia="zh-CN" w:bidi="en-US"/>
              </w:rPr>
              <w:t>/d</w:t>
            </w:r>
            <w:r>
              <w:rPr>
                <w:rFonts w:hint="eastAsia" w:cs="Times New Roman"/>
                <w:color w:val="auto"/>
                <w:kern w:val="0"/>
                <w:sz w:val="24"/>
                <w:szCs w:val="22"/>
                <w:lang w:eastAsia="zh-CN" w:bidi="en-US"/>
              </w:rPr>
              <w:t>、</w:t>
            </w:r>
            <w:r>
              <w:rPr>
                <w:rFonts w:hint="eastAsia" w:ascii="Times New Roman" w:hAnsi="Times New Roman" w:cs="Times New Roman"/>
                <w:color w:val="auto"/>
                <w:kern w:val="0"/>
                <w:sz w:val="24"/>
                <w:szCs w:val="22"/>
                <w:lang w:val="en-US" w:eastAsia="zh-CN" w:bidi="en-US"/>
              </w:rPr>
              <w:t>1000</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default" w:ascii="Times New Roman" w:hAnsi="Times New Roman" w:eastAsia="宋体" w:cs="Times New Roman"/>
                <w:color w:val="auto"/>
                <w:kern w:val="0"/>
                <w:sz w:val="24"/>
                <w:szCs w:val="22"/>
                <w:lang w:eastAsia="zh-CN" w:bidi="en-US"/>
              </w:rPr>
              <w:t>/a；</w:t>
            </w:r>
          </w:p>
          <w:p w14:paraId="5544BC6C">
            <w:pPr>
              <w:keepNext w:val="0"/>
              <w:keepLines w:val="0"/>
              <w:widowControl/>
              <w:suppressLineNumbers w:val="0"/>
              <w:spacing w:before="0" w:beforeAutospacing="0" w:after="0" w:afterAutospacing="0" w:line="360" w:lineRule="auto"/>
              <w:ind w:left="-7" w:leftChars="-3" w:right="0" w:firstLine="480" w:firstLineChars="200"/>
              <w:jc w:val="left"/>
              <w:rPr>
                <w:rFonts w:hint="default" w:ascii="Times New Roman" w:hAnsi="Times New Roman" w:eastAsia="宋体" w:cs="Times New Roman"/>
                <w:color w:val="auto"/>
                <w:kern w:val="0"/>
                <w:sz w:val="24"/>
                <w:szCs w:val="22"/>
                <w:highlight w:val="none"/>
                <w:lang w:eastAsia="zh-CN" w:bidi="en-US"/>
              </w:rPr>
            </w:pPr>
            <w:r>
              <w:rPr>
                <w:rFonts w:hint="default" w:ascii="Times New Roman" w:hAnsi="Times New Roman" w:eastAsia="宋体" w:cs="Times New Roman"/>
                <w:color w:val="auto"/>
                <w:kern w:val="0"/>
                <w:sz w:val="24"/>
                <w:szCs w:val="22"/>
                <w:lang w:eastAsia="zh-CN" w:bidi="en-US"/>
              </w:rPr>
              <w:t>地面清洗用水：</w:t>
            </w:r>
            <w:r>
              <w:rPr>
                <w:rFonts w:hint="eastAsia"/>
                <w:color w:val="auto"/>
                <w:highlight w:val="none"/>
              </w:rPr>
              <w:t>参考《行业用水定额》（DB61/T943-2020）</w:t>
            </w:r>
            <w:r>
              <w:rPr>
                <w:rFonts w:hint="default" w:ascii="Times New Roman" w:hAnsi="Times New Roman" w:eastAsia="宋体" w:cs="Times New Roman"/>
                <w:color w:val="auto"/>
                <w:kern w:val="0"/>
                <w:sz w:val="24"/>
                <w:szCs w:val="22"/>
                <w:lang w:eastAsia="zh-CN" w:bidi="en-US"/>
              </w:rPr>
              <w:t>该部分用水按照2L/</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2</w:t>
            </w:r>
            <w:r>
              <w:rPr>
                <w:rFonts w:hint="default" w:ascii="Times New Roman" w:hAnsi="Times New Roman" w:eastAsia="宋体" w:cs="Times New Roman"/>
                <w:color w:val="auto"/>
                <w:kern w:val="0"/>
                <w:sz w:val="24"/>
                <w:szCs w:val="22"/>
                <w:lang w:eastAsia="zh-CN" w:bidi="en-US"/>
              </w:rPr>
              <w:t>计</w:t>
            </w:r>
            <w:r>
              <w:rPr>
                <w:rFonts w:hint="default" w:ascii="Times New Roman" w:hAnsi="Times New Roman" w:eastAsia="宋体" w:cs="Times New Roman"/>
                <w:color w:val="auto"/>
                <w:kern w:val="0"/>
                <w:sz w:val="24"/>
                <w:szCs w:val="22"/>
                <w:highlight w:val="none"/>
                <w:lang w:eastAsia="zh-CN" w:bidi="en-US"/>
              </w:rPr>
              <w:t>，本项目</w:t>
            </w:r>
            <w:r>
              <w:rPr>
                <w:rFonts w:hint="eastAsia" w:ascii="Times New Roman" w:hAnsi="Times New Roman" w:eastAsia="宋体" w:cs="Times New Roman"/>
                <w:color w:val="auto"/>
                <w:kern w:val="0"/>
                <w:sz w:val="24"/>
                <w:szCs w:val="22"/>
                <w:highlight w:val="none"/>
                <w:lang w:val="en-US" w:eastAsia="zh-CN" w:bidi="en-US"/>
              </w:rPr>
              <w:t>凉皮加工区</w:t>
            </w:r>
            <w:r>
              <w:rPr>
                <w:rFonts w:hint="eastAsia" w:cs="Times New Roman"/>
                <w:color w:val="auto"/>
                <w:kern w:val="0"/>
                <w:sz w:val="24"/>
                <w:szCs w:val="22"/>
                <w:highlight w:val="none"/>
                <w:lang w:val="en-US" w:eastAsia="zh-CN" w:bidi="en-US"/>
              </w:rPr>
              <w:t>需清洗地面</w:t>
            </w:r>
            <w:r>
              <w:rPr>
                <w:rFonts w:hint="default" w:ascii="Times New Roman" w:hAnsi="Times New Roman" w:eastAsia="宋体" w:cs="Times New Roman"/>
                <w:color w:val="auto"/>
                <w:kern w:val="0"/>
                <w:sz w:val="24"/>
                <w:szCs w:val="22"/>
                <w:highlight w:val="none"/>
                <w:lang w:eastAsia="zh-CN" w:bidi="en-US"/>
              </w:rPr>
              <w:t>面积</w:t>
            </w:r>
            <w:r>
              <w:rPr>
                <w:rFonts w:hint="eastAsia" w:cs="Times New Roman"/>
                <w:color w:val="auto"/>
                <w:kern w:val="0"/>
                <w:sz w:val="24"/>
                <w:szCs w:val="22"/>
                <w:highlight w:val="none"/>
                <w:lang w:val="en-US" w:eastAsia="zh-CN" w:bidi="en-US"/>
              </w:rPr>
              <w:t>约</w:t>
            </w:r>
            <w:r>
              <w:rPr>
                <w:rFonts w:hint="default" w:ascii="Times New Roman" w:hAnsi="Times New Roman" w:eastAsia="宋体" w:cs="Times New Roman"/>
                <w:color w:val="auto"/>
                <w:kern w:val="0"/>
                <w:sz w:val="24"/>
                <w:szCs w:val="22"/>
                <w:highlight w:val="none"/>
                <w:lang w:eastAsia="zh-CN" w:bidi="en-US"/>
              </w:rPr>
              <w:t>为</w:t>
            </w:r>
            <w:r>
              <w:rPr>
                <w:rFonts w:hint="eastAsia" w:cs="Times New Roman"/>
                <w:color w:val="auto"/>
                <w:kern w:val="0"/>
                <w:sz w:val="24"/>
                <w:szCs w:val="22"/>
                <w:highlight w:val="none"/>
                <w:lang w:val="en-US" w:eastAsia="zh-CN" w:bidi="en-US"/>
              </w:rPr>
              <w:t>2000</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default" w:ascii="Times New Roman" w:hAnsi="Times New Roman" w:eastAsia="宋体" w:cs="Times New Roman"/>
                <w:color w:val="auto"/>
                <w:kern w:val="0"/>
                <w:sz w:val="24"/>
                <w:szCs w:val="22"/>
                <w:highlight w:val="none"/>
                <w:lang w:eastAsia="zh-CN" w:bidi="en-US"/>
              </w:rPr>
              <w:t>，</w:t>
            </w:r>
            <w:r>
              <w:rPr>
                <w:rFonts w:hint="eastAsia" w:cs="Times New Roman"/>
                <w:color w:val="auto"/>
                <w:kern w:val="0"/>
                <w:sz w:val="24"/>
                <w:szCs w:val="22"/>
                <w:highlight w:val="none"/>
                <w:lang w:val="en-US" w:eastAsia="zh-CN" w:bidi="en-US"/>
              </w:rPr>
              <w:t>中央厨房需清洗地面</w:t>
            </w:r>
            <w:r>
              <w:rPr>
                <w:rFonts w:hint="default" w:ascii="Times New Roman" w:hAnsi="Times New Roman" w:eastAsia="宋体" w:cs="Times New Roman"/>
                <w:color w:val="auto"/>
                <w:kern w:val="0"/>
                <w:sz w:val="24"/>
                <w:szCs w:val="22"/>
                <w:highlight w:val="none"/>
                <w:lang w:eastAsia="zh-CN" w:bidi="en-US"/>
              </w:rPr>
              <w:t>面积</w:t>
            </w:r>
            <w:r>
              <w:rPr>
                <w:rFonts w:hint="eastAsia" w:cs="Times New Roman"/>
                <w:color w:val="auto"/>
                <w:kern w:val="0"/>
                <w:sz w:val="24"/>
                <w:szCs w:val="22"/>
                <w:highlight w:val="none"/>
                <w:lang w:eastAsia="zh-CN" w:bidi="en-US"/>
              </w:rPr>
              <w:t>（</w:t>
            </w:r>
            <w:r>
              <w:rPr>
                <w:rFonts w:hint="eastAsia" w:cs="Times New Roman"/>
                <w:color w:val="auto"/>
                <w:kern w:val="0"/>
                <w:sz w:val="24"/>
                <w:szCs w:val="22"/>
                <w:highlight w:val="none"/>
                <w:lang w:val="en-US" w:eastAsia="zh-CN" w:bidi="en-US"/>
              </w:rPr>
              <w:t>一楼净菜加工区及清洗区</w:t>
            </w:r>
            <w:r>
              <w:rPr>
                <w:rFonts w:hint="eastAsia" w:cs="Times New Roman"/>
                <w:color w:val="auto"/>
                <w:kern w:val="0"/>
                <w:sz w:val="24"/>
                <w:szCs w:val="22"/>
                <w:highlight w:val="none"/>
                <w:lang w:eastAsia="zh-CN" w:bidi="en-US"/>
              </w:rPr>
              <w:t>）</w:t>
            </w:r>
            <w:r>
              <w:rPr>
                <w:rFonts w:hint="eastAsia" w:cs="Times New Roman"/>
                <w:color w:val="auto"/>
                <w:kern w:val="0"/>
                <w:sz w:val="24"/>
                <w:szCs w:val="22"/>
                <w:highlight w:val="none"/>
                <w:lang w:val="en-US" w:eastAsia="zh-CN" w:bidi="en-US"/>
              </w:rPr>
              <w:t>约</w:t>
            </w:r>
            <w:r>
              <w:rPr>
                <w:rFonts w:hint="default" w:ascii="Times New Roman" w:hAnsi="Times New Roman" w:eastAsia="宋体" w:cs="Times New Roman"/>
                <w:color w:val="auto"/>
                <w:kern w:val="0"/>
                <w:sz w:val="24"/>
                <w:szCs w:val="22"/>
                <w:highlight w:val="none"/>
                <w:lang w:eastAsia="zh-CN" w:bidi="en-US"/>
              </w:rPr>
              <w:t>为</w:t>
            </w:r>
            <w:r>
              <w:rPr>
                <w:rFonts w:hint="eastAsia" w:cs="Times New Roman"/>
                <w:color w:val="auto"/>
                <w:kern w:val="0"/>
                <w:sz w:val="24"/>
                <w:szCs w:val="22"/>
                <w:highlight w:val="none"/>
                <w:lang w:val="en-US" w:eastAsia="zh-CN" w:bidi="en-US"/>
              </w:rPr>
              <w:t>150</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default" w:ascii="Times New Roman" w:hAnsi="Times New Roman" w:eastAsia="宋体" w:cs="Times New Roman"/>
                <w:color w:val="auto"/>
                <w:kern w:val="0"/>
                <w:sz w:val="24"/>
                <w:szCs w:val="22"/>
                <w:highlight w:val="none"/>
                <w:lang w:eastAsia="zh-CN" w:bidi="en-US"/>
              </w:rPr>
              <w:t>，则地面清洗用水量约为</w:t>
            </w:r>
            <w:r>
              <w:rPr>
                <w:rFonts w:hint="eastAsia" w:cs="Times New Roman"/>
                <w:color w:val="auto"/>
                <w:kern w:val="0"/>
                <w:sz w:val="24"/>
                <w:szCs w:val="22"/>
                <w:highlight w:val="none"/>
                <w:lang w:val="en-US" w:eastAsia="zh-CN" w:bidi="en-US"/>
              </w:rPr>
              <w:t>4.3</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default" w:ascii="Times New Roman" w:hAnsi="Times New Roman" w:eastAsia="宋体" w:cs="Times New Roman"/>
                <w:color w:val="auto"/>
                <w:kern w:val="0"/>
                <w:sz w:val="24"/>
                <w:szCs w:val="22"/>
                <w:highlight w:val="none"/>
                <w:lang w:eastAsia="zh-CN" w:bidi="en-US"/>
              </w:rPr>
              <w:t>/d</w:t>
            </w:r>
            <w:r>
              <w:rPr>
                <w:rFonts w:hint="eastAsia" w:cs="Times New Roman"/>
                <w:color w:val="auto"/>
                <w:kern w:val="0"/>
                <w:sz w:val="24"/>
                <w:szCs w:val="22"/>
                <w:highlight w:val="none"/>
                <w:lang w:eastAsia="zh-CN" w:bidi="en-US"/>
              </w:rPr>
              <w:t>、</w:t>
            </w:r>
            <w:r>
              <w:rPr>
                <w:rFonts w:hint="eastAsia" w:cs="Times New Roman"/>
                <w:color w:val="auto"/>
                <w:kern w:val="0"/>
                <w:sz w:val="24"/>
                <w:szCs w:val="22"/>
                <w:highlight w:val="none"/>
                <w:lang w:val="en-US" w:eastAsia="zh-CN" w:bidi="en-US"/>
              </w:rPr>
              <w:t>860</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default" w:ascii="Times New Roman" w:hAnsi="Times New Roman" w:eastAsia="宋体" w:cs="Times New Roman"/>
                <w:color w:val="auto"/>
                <w:kern w:val="0"/>
                <w:sz w:val="24"/>
                <w:szCs w:val="22"/>
                <w:highlight w:val="none"/>
                <w:lang w:eastAsia="zh-CN" w:bidi="en-US"/>
              </w:rPr>
              <w:t>/a；</w:t>
            </w:r>
          </w:p>
          <w:p w14:paraId="606FFE50">
            <w:pPr>
              <w:keepNext w:val="0"/>
              <w:keepLines w:val="0"/>
              <w:widowControl/>
              <w:suppressLineNumbers w:val="0"/>
              <w:spacing w:before="0" w:beforeAutospacing="0" w:after="0" w:afterAutospacing="0" w:line="360" w:lineRule="auto"/>
              <w:ind w:left="-7" w:leftChars="-3" w:right="0" w:firstLine="480" w:firstLineChars="200"/>
              <w:jc w:val="left"/>
              <w:rPr>
                <w:rFonts w:hint="default" w:ascii="Times New Roman" w:hAnsi="Times New Roman" w:eastAsia="宋体" w:cs="Times New Roman"/>
                <w:color w:val="auto"/>
                <w:kern w:val="0"/>
                <w:sz w:val="24"/>
                <w:szCs w:val="22"/>
                <w:highlight w:val="yellow"/>
                <w:lang w:eastAsia="zh-CN" w:bidi="en-US"/>
              </w:rPr>
            </w:pPr>
            <w:r>
              <w:rPr>
                <w:rFonts w:hint="default" w:ascii="Times New Roman" w:hAnsi="Times New Roman" w:eastAsia="宋体" w:cs="Times New Roman"/>
                <w:color w:val="auto"/>
                <w:kern w:val="0"/>
                <w:sz w:val="24"/>
                <w:szCs w:val="22"/>
                <w:lang w:eastAsia="zh-CN" w:bidi="en-US"/>
              </w:rPr>
              <w:t>综合以上，</w:t>
            </w:r>
            <w:r>
              <w:rPr>
                <w:rFonts w:hint="default" w:ascii="Times New Roman" w:hAnsi="Times New Roman" w:eastAsia="宋体" w:cs="Times New Roman"/>
                <w:color w:val="auto"/>
                <w:kern w:val="0"/>
                <w:sz w:val="24"/>
                <w:szCs w:val="22"/>
                <w:highlight w:val="none"/>
                <w:lang w:eastAsia="zh-CN" w:bidi="en-US"/>
              </w:rPr>
              <w:t>各类清洗用水量约为</w:t>
            </w:r>
            <w:r>
              <w:rPr>
                <w:rFonts w:hint="eastAsia" w:cs="Times New Roman"/>
                <w:color w:val="auto"/>
                <w:kern w:val="0"/>
                <w:sz w:val="24"/>
                <w:szCs w:val="22"/>
                <w:highlight w:val="none"/>
                <w:lang w:val="en-US" w:eastAsia="zh-CN" w:bidi="en-US"/>
              </w:rPr>
              <w:t>13</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default" w:ascii="Times New Roman" w:hAnsi="Times New Roman" w:eastAsia="宋体" w:cs="Times New Roman"/>
                <w:color w:val="auto"/>
                <w:kern w:val="0"/>
                <w:sz w:val="24"/>
                <w:szCs w:val="22"/>
                <w:highlight w:val="none"/>
                <w:lang w:eastAsia="zh-CN" w:bidi="en-US"/>
              </w:rPr>
              <w:t>/d</w:t>
            </w:r>
            <w:r>
              <w:rPr>
                <w:rFonts w:hint="eastAsia" w:cs="Times New Roman"/>
                <w:color w:val="auto"/>
                <w:kern w:val="0"/>
                <w:sz w:val="24"/>
                <w:szCs w:val="22"/>
                <w:highlight w:val="none"/>
                <w:lang w:eastAsia="zh-CN" w:bidi="en-US"/>
              </w:rPr>
              <w:t>、</w:t>
            </w:r>
            <w:r>
              <w:rPr>
                <w:rFonts w:hint="eastAsia" w:cs="Times New Roman"/>
                <w:color w:val="auto"/>
                <w:kern w:val="0"/>
                <w:sz w:val="24"/>
                <w:szCs w:val="22"/>
                <w:highlight w:val="none"/>
                <w:lang w:val="en-US" w:eastAsia="zh-CN" w:bidi="en-US"/>
              </w:rPr>
              <w:t>2600</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default" w:ascii="Times New Roman" w:hAnsi="Times New Roman" w:eastAsia="宋体" w:cs="Times New Roman"/>
                <w:color w:val="auto"/>
                <w:kern w:val="0"/>
                <w:sz w:val="24"/>
                <w:szCs w:val="22"/>
                <w:highlight w:val="none"/>
                <w:lang w:eastAsia="zh-CN" w:bidi="en-US"/>
              </w:rPr>
              <w:t>/a，其废水产生量按用水量的90%计，则</w:t>
            </w:r>
            <w:r>
              <w:rPr>
                <w:rFonts w:hint="eastAsia" w:cs="Times New Roman"/>
                <w:color w:val="auto"/>
                <w:kern w:val="0"/>
                <w:sz w:val="24"/>
                <w:szCs w:val="22"/>
                <w:highlight w:val="none"/>
                <w:lang w:val="en-US" w:eastAsia="zh-CN" w:bidi="en-US"/>
              </w:rPr>
              <w:t>清洗</w:t>
            </w:r>
            <w:r>
              <w:rPr>
                <w:rFonts w:hint="default" w:ascii="Times New Roman" w:hAnsi="Times New Roman" w:eastAsia="宋体" w:cs="Times New Roman"/>
                <w:color w:val="auto"/>
                <w:kern w:val="0"/>
                <w:sz w:val="24"/>
                <w:szCs w:val="22"/>
                <w:highlight w:val="none"/>
                <w:lang w:eastAsia="zh-CN" w:bidi="en-US"/>
              </w:rPr>
              <w:t>废水产生量约为</w:t>
            </w:r>
            <w:r>
              <w:rPr>
                <w:rFonts w:hint="eastAsia" w:cs="Times New Roman"/>
                <w:color w:val="auto"/>
                <w:kern w:val="0"/>
                <w:sz w:val="24"/>
                <w:szCs w:val="22"/>
                <w:highlight w:val="none"/>
                <w:lang w:val="en-US" w:eastAsia="zh-CN" w:bidi="en-US"/>
              </w:rPr>
              <w:t>11.7</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default" w:ascii="Times New Roman" w:hAnsi="Times New Roman" w:eastAsia="宋体" w:cs="Times New Roman"/>
                <w:color w:val="auto"/>
                <w:kern w:val="0"/>
                <w:sz w:val="24"/>
                <w:szCs w:val="22"/>
                <w:highlight w:val="none"/>
                <w:lang w:eastAsia="zh-CN" w:bidi="en-US"/>
              </w:rPr>
              <w:t>/d</w:t>
            </w:r>
            <w:r>
              <w:rPr>
                <w:rFonts w:hint="eastAsia" w:cs="Times New Roman"/>
                <w:color w:val="auto"/>
                <w:kern w:val="0"/>
                <w:sz w:val="24"/>
                <w:szCs w:val="22"/>
                <w:highlight w:val="none"/>
                <w:lang w:eastAsia="zh-CN" w:bidi="en-US"/>
              </w:rPr>
              <w:t>、</w:t>
            </w:r>
            <w:r>
              <w:rPr>
                <w:rFonts w:hint="eastAsia" w:cs="Times New Roman"/>
                <w:color w:val="auto"/>
                <w:kern w:val="0"/>
                <w:sz w:val="24"/>
                <w:szCs w:val="22"/>
                <w:highlight w:val="none"/>
                <w:lang w:val="en-US" w:eastAsia="zh-CN" w:bidi="en-US"/>
              </w:rPr>
              <w:t>2340</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default" w:ascii="Times New Roman" w:hAnsi="Times New Roman" w:eastAsia="宋体" w:cs="Times New Roman"/>
                <w:color w:val="auto"/>
                <w:kern w:val="0"/>
                <w:sz w:val="24"/>
                <w:szCs w:val="22"/>
                <w:highlight w:val="none"/>
                <w:lang w:eastAsia="zh-CN" w:bidi="en-US"/>
              </w:rPr>
              <w:t>/a。</w:t>
            </w:r>
          </w:p>
          <w:p w14:paraId="65F5388F">
            <w:pPr>
              <w:keepNext w:val="0"/>
              <w:keepLines w:val="0"/>
              <w:widowControl/>
              <w:suppressLineNumbers w:val="0"/>
              <w:spacing w:before="0" w:beforeAutospacing="0" w:after="0" w:afterAutospacing="0" w:line="360" w:lineRule="auto"/>
              <w:ind w:left="-7" w:leftChars="-3" w:right="0" w:firstLine="480" w:firstLineChars="200"/>
              <w:jc w:val="left"/>
              <w:rPr>
                <w:rFonts w:hint="default" w:ascii="Times New Roman" w:hAnsi="Times New Roman" w:eastAsia="宋体" w:cs="Times New Roman"/>
                <w:color w:val="auto"/>
                <w:kern w:val="0"/>
                <w:sz w:val="24"/>
                <w:szCs w:val="22"/>
                <w:lang w:eastAsia="zh-CN" w:bidi="en-US"/>
              </w:rPr>
            </w:pPr>
            <w:r>
              <w:rPr>
                <w:rFonts w:hint="default" w:ascii="Times New Roman" w:hAnsi="Times New Roman" w:eastAsia="宋体" w:cs="Times New Roman"/>
                <w:color w:val="auto"/>
                <w:kern w:val="0"/>
                <w:sz w:val="24"/>
                <w:szCs w:val="22"/>
                <w:lang w:val="en-US" w:eastAsia="zh-CN" w:bidi="en-US"/>
              </w:rPr>
              <w:t>④</w:t>
            </w:r>
            <w:r>
              <w:rPr>
                <w:rFonts w:hint="default" w:ascii="Times New Roman" w:hAnsi="Times New Roman" w:eastAsia="宋体" w:cs="Times New Roman"/>
                <w:color w:val="auto"/>
                <w:kern w:val="0"/>
                <w:sz w:val="24"/>
                <w:szCs w:val="22"/>
                <w:lang w:eastAsia="zh-CN" w:bidi="en-US"/>
              </w:rPr>
              <w:t>锅炉用水</w:t>
            </w:r>
          </w:p>
          <w:p w14:paraId="69D546A2">
            <w:pPr>
              <w:keepNext w:val="0"/>
              <w:keepLines w:val="0"/>
              <w:widowControl/>
              <w:suppressLineNumbers w:val="0"/>
              <w:spacing w:before="0" w:beforeAutospacing="0" w:after="0" w:afterAutospacing="0" w:line="360" w:lineRule="auto"/>
              <w:ind w:left="-7" w:leftChars="-3" w:right="0" w:firstLine="480" w:firstLineChars="200"/>
              <w:jc w:val="left"/>
              <w:rPr>
                <w:rFonts w:hint="default" w:ascii="Times New Roman" w:hAnsi="Times New Roman" w:eastAsia="宋体" w:cs="Times New Roman"/>
                <w:color w:val="auto"/>
                <w:kern w:val="0"/>
                <w:sz w:val="24"/>
                <w:szCs w:val="22"/>
                <w:highlight w:val="none"/>
                <w:lang w:eastAsia="zh-CN" w:bidi="en-US"/>
              </w:rPr>
            </w:pPr>
            <w:r>
              <w:rPr>
                <w:rFonts w:hint="default" w:ascii="Times New Roman" w:hAnsi="Times New Roman" w:eastAsia="宋体" w:cs="Times New Roman"/>
                <w:color w:val="auto"/>
                <w:kern w:val="0"/>
                <w:sz w:val="24"/>
                <w:szCs w:val="22"/>
                <w:lang w:val="en-US" w:eastAsia="zh-CN" w:bidi="en-US"/>
              </w:rPr>
              <w:t>本项目</w:t>
            </w:r>
            <w:r>
              <w:rPr>
                <w:rFonts w:hint="eastAsia" w:cs="Times New Roman"/>
                <w:color w:val="auto"/>
                <w:kern w:val="0"/>
                <w:sz w:val="24"/>
                <w:szCs w:val="22"/>
                <w:lang w:val="en-US" w:eastAsia="zh-CN" w:bidi="en-US"/>
              </w:rPr>
              <w:t>共设2间</w:t>
            </w:r>
            <w:r>
              <w:rPr>
                <w:rFonts w:hint="default" w:ascii="Times New Roman" w:hAnsi="Times New Roman" w:eastAsia="宋体" w:cs="Times New Roman"/>
                <w:color w:val="auto"/>
                <w:kern w:val="0"/>
                <w:sz w:val="24"/>
                <w:szCs w:val="22"/>
                <w:lang w:eastAsia="zh-CN" w:bidi="en-US"/>
              </w:rPr>
              <w:t>锅炉</w:t>
            </w:r>
            <w:r>
              <w:rPr>
                <w:rFonts w:hint="eastAsia" w:cs="Times New Roman"/>
                <w:color w:val="auto"/>
                <w:kern w:val="0"/>
                <w:sz w:val="24"/>
                <w:szCs w:val="22"/>
                <w:lang w:val="en-US" w:eastAsia="zh-CN" w:bidi="en-US"/>
              </w:rPr>
              <w:t>间；其中凉皮加工区域配设1间，内置3台</w:t>
            </w:r>
            <w:r>
              <w:rPr>
                <w:rFonts w:hint="default" w:ascii="Times New Roman" w:hAnsi="Times New Roman" w:eastAsia="宋体" w:cs="Times New Roman"/>
                <w:color w:val="auto"/>
                <w:kern w:val="0"/>
                <w:sz w:val="24"/>
                <w:szCs w:val="22"/>
                <w:lang w:eastAsia="zh-CN" w:bidi="en-US"/>
              </w:rPr>
              <w:t>1t/h</w:t>
            </w:r>
            <w:r>
              <w:rPr>
                <w:rFonts w:hint="eastAsia" w:cs="Times New Roman"/>
                <w:color w:val="auto"/>
                <w:kern w:val="0"/>
                <w:sz w:val="24"/>
                <w:szCs w:val="22"/>
                <w:lang w:eastAsia="zh-CN" w:bidi="en-US"/>
              </w:rPr>
              <w:t>燃气锅炉</w:t>
            </w:r>
            <w:r>
              <w:rPr>
                <w:rFonts w:hint="eastAsia" w:ascii="Times New Roman" w:hAnsi="Times New Roman" w:eastAsia="宋体" w:cs="Times New Roman"/>
                <w:color w:val="auto"/>
                <w:kern w:val="0"/>
                <w:sz w:val="24"/>
                <w:szCs w:val="22"/>
                <w:lang w:eastAsia="zh-CN" w:bidi="en-US"/>
              </w:rPr>
              <w:t>；</w:t>
            </w:r>
            <w:r>
              <w:rPr>
                <w:rFonts w:hint="eastAsia" w:ascii="Times New Roman" w:hAnsi="Times New Roman" w:eastAsia="宋体" w:cs="Times New Roman"/>
                <w:color w:val="auto"/>
                <w:kern w:val="0"/>
                <w:sz w:val="24"/>
                <w:szCs w:val="22"/>
                <w:lang w:val="en-US" w:eastAsia="zh-CN" w:bidi="en-US"/>
              </w:rPr>
              <w:t>中央厨房设1间，内置4台</w:t>
            </w:r>
            <w:r>
              <w:rPr>
                <w:rFonts w:hint="default" w:ascii="Times New Roman" w:hAnsi="Times New Roman" w:eastAsia="宋体" w:cs="Times New Roman"/>
                <w:color w:val="auto"/>
                <w:kern w:val="0"/>
                <w:sz w:val="24"/>
                <w:szCs w:val="22"/>
                <w:lang w:eastAsia="zh-CN" w:bidi="en-US"/>
              </w:rPr>
              <w:t>1t/h</w:t>
            </w:r>
            <w:r>
              <w:rPr>
                <w:rFonts w:hint="eastAsia" w:cs="Times New Roman"/>
                <w:color w:val="auto"/>
                <w:kern w:val="0"/>
                <w:sz w:val="24"/>
                <w:szCs w:val="22"/>
                <w:lang w:eastAsia="zh-CN" w:bidi="en-US"/>
              </w:rPr>
              <w:t>燃气锅炉</w:t>
            </w:r>
            <w:r>
              <w:rPr>
                <w:rFonts w:hint="default" w:ascii="Times New Roman" w:hAnsi="Times New Roman" w:eastAsia="宋体" w:cs="Times New Roman"/>
                <w:color w:val="auto"/>
                <w:kern w:val="0"/>
                <w:sz w:val="24"/>
                <w:szCs w:val="22"/>
                <w:lang w:eastAsia="zh-CN" w:bidi="en-US"/>
              </w:rPr>
              <w:t>，共安装</w:t>
            </w:r>
            <w:r>
              <w:rPr>
                <w:rFonts w:hint="eastAsia" w:cs="Times New Roman"/>
                <w:color w:val="auto"/>
                <w:kern w:val="0"/>
                <w:sz w:val="24"/>
                <w:szCs w:val="22"/>
                <w:lang w:val="en-US" w:eastAsia="zh-CN" w:bidi="en-US"/>
              </w:rPr>
              <w:t>7</w:t>
            </w:r>
            <w:r>
              <w:rPr>
                <w:rFonts w:hint="default" w:ascii="Times New Roman" w:hAnsi="Times New Roman" w:eastAsia="宋体" w:cs="Times New Roman"/>
                <w:color w:val="auto"/>
                <w:kern w:val="0"/>
                <w:sz w:val="24"/>
                <w:szCs w:val="22"/>
                <w:lang w:eastAsia="zh-CN" w:bidi="en-US"/>
              </w:rPr>
              <w:t>台1t/h</w:t>
            </w:r>
            <w:r>
              <w:rPr>
                <w:rFonts w:hint="eastAsia" w:cs="Times New Roman"/>
                <w:color w:val="auto"/>
                <w:kern w:val="0"/>
                <w:sz w:val="24"/>
                <w:szCs w:val="22"/>
                <w:lang w:eastAsia="zh-CN" w:bidi="en-US"/>
              </w:rPr>
              <w:t>燃气锅炉</w:t>
            </w:r>
            <w:r>
              <w:rPr>
                <w:rFonts w:hint="default" w:ascii="Times New Roman" w:hAnsi="Times New Roman" w:eastAsia="宋体" w:cs="Times New Roman"/>
                <w:color w:val="auto"/>
                <w:kern w:val="0"/>
                <w:sz w:val="24"/>
                <w:szCs w:val="22"/>
                <w:lang w:eastAsia="zh-CN" w:bidi="en-US"/>
              </w:rPr>
              <w:t>，提供</w:t>
            </w:r>
            <w:r>
              <w:rPr>
                <w:rFonts w:hint="eastAsia" w:cs="Times New Roman"/>
                <w:color w:val="auto"/>
                <w:kern w:val="0"/>
                <w:sz w:val="24"/>
                <w:szCs w:val="22"/>
                <w:lang w:val="en-US" w:eastAsia="zh-CN" w:bidi="en-US"/>
              </w:rPr>
              <w:t>蒸煮</w:t>
            </w:r>
            <w:r>
              <w:rPr>
                <w:rFonts w:hint="default" w:ascii="Times New Roman" w:hAnsi="Times New Roman" w:eastAsia="宋体" w:cs="Times New Roman"/>
                <w:color w:val="auto"/>
                <w:kern w:val="0"/>
                <w:sz w:val="24"/>
                <w:szCs w:val="22"/>
                <w:lang w:eastAsia="zh-CN" w:bidi="en-US"/>
              </w:rPr>
              <w:t>生产用热</w:t>
            </w:r>
            <w:r>
              <w:rPr>
                <w:rFonts w:hint="default" w:ascii="Times New Roman" w:hAnsi="Times New Roman" w:eastAsia="宋体" w:cs="Times New Roman"/>
                <w:color w:val="auto"/>
                <w:kern w:val="0"/>
                <w:sz w:val="24"/>
                <w:szCs w:val="22"/>
                <w:lang w:val="en-US" w:eastAsia="zh-CN" w:bidi="en-US"/>
              </w:rPr>
              <w:t>蒸汽</w:t>
            </w:r>
            <w:r>
              <w:rPr>
                <w:rFonts w:hint="eastAsia" w:cs="Times New Roman"/>
                <w:color w:val="auto"/>
                <w:kern w:val="0"/>
                <w:sz w:val="24"/>
                <w:szCs w:val="22"/>
                <w:lang w:val="en-US" w:eastAsia="zh-CN" w:bidi="en-US"/>
              </w:rPr>
              <w:t>，</w:t>
            </w:r>
            <w:r>
              <w:rPr>
                <w:rFonts w:hint="eastAsia" w:cs="Times New Roman"/>
                <w:color w:val="auto"/>
                <w:kern w:val="0"/>
                <w:sz w:val="24"/>
                <w:szCs w:val="22"/>
                <w:highlight w:val="none"/>
                <w:lang w:val="en-US" w:eastAsia="zh-CN" w:bidi="en-US"/>
              </w:rPr>
              <w:t>年运行时间1000h</w:t>
            </w:r>
            <w:r>
              <w:rPr>
                <w:rFonts w:hint="default" w:ascii="Times New Roman" w:hAnsi="Times New Roman" w:eastAsia="宋体" w:cs="Times New Roman"/>
                <w:color w:val="auto"/>
                <w:kern w:val="0"/>
                <w:sz w:val="24"/>
                <w:szCs w:val="22"/>
                <w:highlight w:val="none"/>
                <w:lang w:eastAsia="zh-CN" w:bidi="en-US"/>
              </w:rPr>
              <w:t>。</w:t>
            </w:r>
            <w:r>
              <w:rPr>
                <w:rFonts w:hint="eastAsia" w:cs="Times New Roman"/>
                <w:color w:val="auto"/>
                <w:kern w:val="0"/>
                <w:sz w:val="24"/>
                <w:szCs w:val="22"/>
                <w:highlight w:val="none"/>
                <w:lang w:val="en-US" w:eastAsia="zh-CN" w:bidi="en-US"/>
              </w:rPr>
              <w:t>本项目</w:t>
            </w:r>
            <w:r>
              <w:rPr>
                <w:rFonts w:hint="default" w:ascii="Times New Roman" w:hAnsi="Times New Roman" w:eastAsia="宋体" w:cs="Times New Roman"/>
                <w:color w:val="auto"/>
                <w:kern w:val="2"/>
                <w:sz w:val="24"/>
                <w:szCs w:val="24"/>
                <w:highlight w:val="none"/>
                <w:lang w:val="en-US" w:eastAsia="zh-CN" w:bidi="ar-SA"/>
              </w:rPr>
              <w:t>锅炉用水</w:t>
            </w:r>
            <w:r>
              <w:rPr>
                <w:rFonts w:hint="eastAsia" w:cs="Times New Roman"/>
                <w:color w:val="auto"/>
                <w:kern w:val="2"/>
                <w:sz w:val="24"/>
                <w:szCs w:val="24"/>
                <w:highlight w:val="none"/>
                <w:lang w:val="en-US" w:eastAsia="zh-CN" w:bidi="ar-SA"/>
              </w:rPr>
              <w:t>均</w:t>
            </w:r>
            <w:r>
              <w:rPr>
                <w:rFonts w:hint="default" w:ascii="Times New Roman" w:hAnsi="Times New Roman" w:eastAsia="宋体" w:cs="Times New Roman"/>
                <w:color w:val="auto"/>
                <w:kern w:val="2"/>
                <w:sz w:val="24"/>
                <w:szCs w:val="24"/>
                <w:highlight w:val="none"/>
                <w:lang w:val="en-US" w:eastAsia="zh-CN" w:bidi="ar-SA"/>
              </w:rPr>
              <w:t>采用纯水</w:t>
            </w:r>
            <w:r>
              <w:rPr>
                <w:rFonts w:hint="eastAsia" w:cs="Times New Roman"/>
                <w:color w:val="auto"/>
                <w:kern w:val="2"/>
                <w:sz w:val="24"/>
                <w:szCs w:val="24"/>
                <w:highlight w:val="none"/>
                <w:lang w:val="en-US" w:eastAsia="zh-CN" w:bidi="ar-SA"/>
              </w:rPr>
              <w:t>，包括蒸发量、管道损失</w:t>
            </w:r>
            <w:r>
              <w:rPr>
                <w:rFonts w:hint="default" w:ascii="Times New Roman" w:hAnsi="Times New Roman" w:eastAsia="宋体" w:cs="Times New Roman"/>
                <w:color w:val="auto"/>
                <w:kern w:val="2"/>
                <w:sz w:val="24"/>
                <w:szCs w:val="24"/>
                <w:highlight w:val="none"/>
                <w:lang w:val="en-US" w:eastAsia="zh-CN" w:bidi="ar-SA"/>
              </w:rPr>
              <w:t>和锅炉定期排污</w:t>
            </w:r>
            <w:r>
              <w:rPr>
                <w:rFonts w:hint="eastAsia" w:cs="Times New Roman"/>
                <w:color w:val="auto"/>
                <w:kern w:val="2"/>
                <w:sz w:val="24"/>
                <w:szCs w:val="24"/>
                <w:highlight w:val="none"/>
                <w:lang w:val="en-US" w:eastAsia="zh-CN" w:bidi="ar-SA"/>
              </w:rPr>
              <w:t>。</w:t>
            </w:r>
            <w:r>
              <w:rPr>
                <w:rFonts w:hint="eastAsia"/>
                <w:color w:val="auto"/>
                <w:sz w:val="24"/>
                <w:highlight w:val="none"/>
              </w:rPr>
              <w:t>其中，锅炉</w:t>
            </w:r>
            <w:r>
              <w:rPr>
                <w:rFonts w:hint="eastAsia"/>
                <w:color w:val="auto"/>
                <w:sz w:val="24"/>
                <w:highlight w:val="none"/>
                <w:lang w:val="en-US" w:eastAsia="zh-CN"/>
              </w:rPr>
              <w:t>定期</w:t>
            </w:r>
            <w:r>
              <w:rPr>
                <w:rFonts w:hint="eastAsia"/>
                <w:color w:val="auto"/>
                <w:sz w:val="24"/>
                <w:highlight w:val="none"/>
              </w:rPr>
              <w:t>排污与给水品质的好坏有关，一般都为1%-5%。而管道损失一般都为3%。据此计算，本项目为</w:t>
            </w:r>
            <w:r>
              <w:rPr>
                <w:rFonts w:hint="eastAsia"/>
                <w:color w:val="auto"/>
                <w:sz w:val="24"/>
                <w:highlight w:val="none"/>
                <w:lang w:val="en-US" w:eastAsia="zh-CN"/>
              </w:rPr>
              <w:t>7台1</w:t>
            </w:r>
            <w:r>
              <w:rPr>
                <w:rFonts w:hint="eastAsia"/>
                <w:color w:val="auto"/>
                <w:sz w:val="24"/>
                <w:highlight w:val="none"/>
              </w:rPr>
              <w:t>t/h蒸汽锅炉，每小时的用水量=</w:t>
            </w:r>
            <w:r>
              <w:rPr>
                <w:rFonts w:hint="eastAsia"/>
                <w:color w:val="auto"/>
                <w:sz w:val="24"/>
                <w:highlight w:val="none"/>
                <w:lang w:val="en-US" w:eastAsia="zh-CN"/>
              </w:rPr>
              <w:t>7</w:t>
            </w:r>
            <w:r>
              <w:rPr>
                <w:rFonts w:hint="eastAsia"/>
                <w:color w:val="auto"/>
                <w:sz w:val="24"/>
                <w:highlight w:val="none"/>
              </w:rPr>
              <w:t>t+</w:t>
            </w:r>
            <w:r>
              <w:rPr>
                <w:rFonts w:hint="eastAsia"/>
                <w:color w:val="auto"/>
                <w:sz w:val="24"/>
                <w:highlight w:val="none"/>
                <w:lang w:val="en-US" w:eastAsia="zh-CN"/>
              </w:rPr>
              <w:t>7</w:t>
            </w:r>
            <w:r>
              <w:rPr>
                <w:rFonts w:hint="eastAsia"/>
                <w:color w:val="auto"/>
                <w:sz w:val="24"/>
                <w:highlight w:val="none"/>
              </w:rPr>
              <w:t>t×5%（排污量按5%计算）+</w:t>
            </w:r>
            <w:r>
              <w:rPr>
                <w:rFonts w:hint="eastAsia"/>
                <w:color w:val="auto"/>
                <w:sz w:val="24"/>
                <w:highlight w:val="none"/>
                <w:lang w:val="en-US" w:eastAsia="zh-CN"/>
              </w:rPr>
              <w:t>7</w:t>
            </w:r>
            <w:r>
              <w:rPr>
                <w:rFonts w:hint="eastAsia"/>
                <w:color w:val="auto"/>
                <w:sz w:val="24"/>
                <w:highlight w:val="none"/>
              </w:rPr>
              <w:t>t×3%，合计为</w:t>
            </w:r>
            <w:r>
              <w:rPr>
                <w:rFonts w:hint="eastAsia"/>
                <w:color w:val="auto"/>
                <w:sz w:val="24"/>
                <w:highlight w:val="none"/>
                <w:lang w:val="en-US" w:eastAsia="zh-CN"/>
              </w:rPr>
              <w:t>7.56</w:t>
            </w:r>
            <w:r>
              <w:rPr>
                <w:rFonts w:hint="eastAsia"/>
                <w:color w:val="auto"/>
                <w:sz w:val="24"/>
                <w:highlight w:val="none"/>
              </w:rPr>
              <w:t>t/h，</w:t>
            </w:r>
            <w:r>
              <w:rPr>
                <w:rFonts w:hint="eastAsia"/>
                <w:color w:val="auto"/>
                <w:sz w:val="24"/>
                <w:highlight w:val="none"/>
                <w:lang w:val="en-US" w:eastAsia="zh-CN"/>
              </w:rPr>
              <w:t>37.8</w:t>
            </w:r>
            <w:r>
              <w:rPr>
                <w:rFonts w:hint="default"/>
                <w:color w:val="auto"/>
                <w:sz w:val="24"/>
                <w:highlight w:val="none"/>
              </w:rPr>
              <w:t>m</w:t>
            </w:r>
            <w:r>
              <w:rPr>
                <w:rFonts w:hint="default"/>
                <w:color w:val="auto"/>
                <w:sz w:val="24"/>
                <w:highlight w:val="none"/>
                <w:vertAlign w:val="superscript"/>
              </w:rPr>
              <w:t>3</w:t>
            </w:r>
            <w:r>
              <w:rPr>
                <w:rFonts w:hint="eastAsia"/>
                <w:color w:val="auto"/>
                <w:sz w:val="24"/>
                <w:highlight w:val="none"/>
              </w:rPr>
              <w:t>/</w:t>
            </w:r>
            <w:r>
              <w:rPr>
                <w:rFonts w:hint="eastAsia"/>
                <w:color w:val="auto"/>
                <w:sz w:val="24"/>
                <w:highlight w:val="none"/>
                <w:lang w:val="en-US" w:eastAsia="zh-CN"/>
              </w:rPr>
              <w:t>d</w:t>
            </w:r>
            <w:r>
              <w:rPr>
                <w:rFonts w:hint="eastAsia"/>
                <w:color w:val="auto"/>
                <w:sz w:val="24"/>
                <w:highlight w:val="none"/>
              </w:rPr>
              <w:t>。则锅炉</w:t>
            </w:r>
            <w:r>
              <w:rPr>
                <w:rFonts w:hint="eastAsia"/>
                <w:color w:val="auto"/>
                <w:sz w:val="24"/>
                <w:highlight w:val="none"/>
                <w:lang w:val="en-US" w:eastAsia="zh-CN"/>
              </w:rPr>
              <w:t>年</w:t>
            </w:r>
            <w:r>
              <w:rPr>
                <w:rFonts w:hint="eastAsia"/>
                <w:color w:val="auto"/>
                <w:sz w:val="24"/>
                <w:highlight w:val="none"/>
              </w:rPr>
              <w:t>补水量为</w:t>
            </w:r>
            <w:r>
              <w:rPr>
                <w:rFonts w:hint="eastAsia"/>
                <w:color w:val="auto"/>
                <w:sz w:val="24"/>
                <w:highlight w:val="none"/>
                <w:lang w:val="en-US" w:eastAsia="zh-CN"/>
              </w:rPr>
              <w:t>7560</w:t>
            </w:r>
            <w:r>
              <w:rPr>
                <w:rFonts w:hint="default"/>
                <w:color w:val="auto"/>
                <w:sz w:val="24"/>
                <w:highlight w:val="none"/>
              </w:rPr>
              <w:t>m</w:t>
            </w:r>
            <w:r>
              <w:rPr>
                <w:rFonts w:hint="default"/>
                <w:color w:val="auto"/>
                <w:sz w:val="24"/>
                <w:highlight w:val="none"/>
                <w:vertAlign w:val="superscript"/>
              </w:rPr>
              <w:t>3</w:t>
            </w:r>
            <w:r>
              <w:rPr>
                <w:rFonts w:hint="eastAsia"/>
                <w:color w:val="auto"/>
                <w:sz w:val="24"/>
                <w:highlight w:val="none"/>
              </w:rPr>
              <w:t>/a。管道汽水损失量为0.</w:t>
            </w:r>
            <w:r>
              <w:rPr>
                <w:rFonts w:hint="eastAsia"/>
                <w:color w:val="auto"/>
                <w:sz w:val="24"/>
                <w:highlight w:val="none"/>
                <w:lang w:val="en-US" w:eastAsia="zh-CN"/>
              </w:rPr>
              <w:t>21</w:t>
            </w:r>
            <w:r>
              <w:rPr>
                <w:rFonts w:hint="default"/>
                <w:color w:val="auto"/>
                <w:sz w:val="24"/>
                <w:highlight w:val="none"/>
              </w:rPr>
              <w:t>m</w:t>
            </w:r>
            <w:r>
              <w:rPr>
                <w:rFonts w:hint="default"/>
                <w:color w:val="auto"/>
                <w:sz w:val="24"/>
                <w:highlight w:val="none"/>
                <w:vertAlign w:val="superscript"/>
              </w:rPr>
              <w:t>3</w:t>
            </w:r>
            <w:r>
              <w:rPr>
                <w:rFonts w:hint="eastAsia"/>
                <w:color w:val="auto"/>
                <w:sz w:val="24"/>
                <w:highlight w:val="none"/>
              </w:rPr>
              <w:t>/h，</w:t>
            </w:r>
            <w:r>
              <w:rPr>
                <w:rFonts w:hint="eastAsia"/>
                <w:color w:val="auto"/>
                <w:sz w:val="24"/>
                <w:highlight w:val="none"/>
                <w:lang w:val="en-US" w:eastAsia="zh-CN"/>
              </w:rPr>
              <w:t>1.05</w:t>
            </w:r>
            <w:r>
              <w:rPr>
                <w:rFonts w:hint="default"/>
                <w:color w:val="auto"/>
                <w:sz w:val="24"/>
                <w:highlight w:val="none"/>
              </w:rPr>
              <w:t>m</w:t>
            </w:r>
            <w:r>
              <w:rPr>
                <w:rFonts w:hint="default"/>
                <w:color w:val="auto"/>
                <w:sz w:val="24"/>
                <w:highlight w:val="none"/>
                <w:vertAlign w:val="superscript"/>
              </w:rPr>
              <w:t>3</w:t>
            </w:r>
            <w:r>
              <w:rPr>
                <w:rFonts w:hint="eastAsia"/>
                <w:color w:val="auto"/>
                <w:sz w:val="24"/>
                <w:highlight w:val="none"/>
              </w:rPr>
              <w:t>/</w:t>
            </w:r>
            <w:r>
              <w:rPr>
                <w:rFonts w:hint="eastAsia"/>
                <w:color w:val="auto"/>
                <w:sz w:val="24"/>
                <w:highlight w:val="none"/>
                <w:lang w:val="en-US" w:eastAsia="zh-CN"/>
              </w:rPr>
              <w:t>d</w:t>
            </w:r>
            <w:r>
              <w:rPr>
                <w:rFonts w:hint="eastAsia"/>
                <w:color w:val="auto"/>
                <w:sz w:val="24"/>
                <w:highlight w:val="none"/>
              </w:rPr>
              <w:t>。</w:t>
            </w:r>
            <w:r>
              <w:rPr>
                <w:rFonts w:hint="eastAsia"/>
                <w:color w:val="auto"/>
                <w:sz w:val="24"/>
                <w:highlight w:val="none"/>
                <w:lang w:val="en-US" w:eastAsia="zh-CN"/>
              </w:rPr>
              <w:t>排污</w:t>
            </w:r>
            <w:r>
              <w:rPr>
                <w:rFonts w:hint="eastAsia"/>
                <w:color w:val="auto"/>
                <w:sz w:val="24"/>
                <w:highlight w:val="none"/>
              </w:rPr>
              <w:t>量为0.</w:t>
            </w:r>
            <w:r>
              <w:rPr>
                <w:rFonts w:hint="eastAsia"/>
                <w:color w:val="auto"/>
                <w:sz w:val="24"/>
                <w:highlight w:val="none"/>
                <w:lang w:val="en-US" w:eastAsia="zh-CN"/>
              </w:rPr>
              <w:t>35</w:t>
            </w:r>
            <w:r>
              <w:rPr>
                <w:rFonts w:hint="default"/>
                <w:color w:val="auto"/>
                <w:sz w:val="24"/>
                <w:highlight w:val="none"/>
              </w:rPr>
              <w:t>m</w:t>
            </w:r>
            <w:r>
              <w:rPr>
                <w:rFonts w:hint="default"/>
                <w:color w:val="auto"/>
                <w:sz w:val="24"/>
                <w:highlight w:val="none"/>
                <w:vertAlign w:val="superscript"/>
              </w:rPr>
              <w:t>3</w:t>
            </w:r>
            <w:r>
              <w:rPr>
                <w:rFonts w:hint="eastAsia"/>
                <w:color w:val="auto"/>
                <w:sz w:val="24"/>
                <w:highlight w:val="none"/>
              </w:rPr>
              <w:t>/h，</w:t>
            </w:r>
            <w:r>
              <w:rPr>
                <w:rFonts w:hint="eastAsia"/>
                <w:color w:val="auto"/>
                <w:sz w:val="24"/>
                <w:highlight w:val="none"/>
                <w:lang w:val="en-US" w:eastAsia="zh-CN"/>
              </w:rPr>
              <w:t>1.75</w:t>
            </w:r>
            <w:r>
              <w:rPr>
                <w:rFonts w:hint="default"/>
                <w:color w:val="auto"/>
                <w:sz w:val="24"/>
                <w:highlight w:val="none"/>
              </w:rPr>
              <w:t>m</w:t>
            </w:r>
            <w:r>
              <w:rPr>
                <w:rFonts w:hint="default"/>
                <w:color w:val="auto"/>
                <w:sz w:val="24"/>
                <w:highlight w:val="none"/>
                <w:vertAlign w:val="superscript"/>
              </w:rPr>
              <w:t>3</w:t>
            </w:r>
            <w:r>
              <w:rPr>
                <w:rFonts w:hint="eastAsia"/>
                <w:color w:val="auto"/>
                <w:sz w:val="24"/>
                <w:highlight w:val="none"/>
              </w:rPr>
              <w:t>/</w:t>
            </w:r>
            <w:r>
              <w:rPr>
                <w:rFonts w:hint="eastAsia"/>
                <w:color w:val="auto"/>
                <w:sz w:val="24"/>
                <w:highlight w:val="none"/>
                <w:lang w:val="en-US" w:eastAsia="zh-CN"/>
              </w:rPr>
              <w:t>d</w:t>
            </w:r>
            <w:r>
              <w:rPr>
                <w:rFonts w:hint="eastAsia"/>
                <w:color w:val="auto"/>
                <w:sz w:val="24"/>
                <w:highlight w:val="none"/>
              </w:rPr>
              <w:t>。</w:t>
            </w:r>
          </w:p>
          <w:p w14:paraId="7DDC3D83">
            <w:pPr>
              <w:keepNext w:val="0"/>
              <w:keepLines w:val="0"/>
              <w:widowControl/>
              <w:suppressLineNumbers w:val="0"/>
              <w:spacing w:before="0" w:beforeAutospacing="0" w:after="0" w:afterAutospacing="0" w:line="360" w:lineRule="auto"/>
              <w:ind w:left="-7" w:leftChars="-3" w:right="0" w:firstLine="480" w:firstLineChars="200"/>
              <w:jc w:val="left"/>
              <w:rPr>
                <w:rFonts w:hint="default" w:ascii="Times New Roman" w:hAnsi="Times New Roman" w:eastAsia="宋体" w:cs="Times New Roman"/>
                <w:color w:val="auto"/>
                <w:kern w:val="0"/>
                <w:sz w:val="24"/>
                <w:szCs w:val="22"/>
                <w:lang w:val="en-US" w:eastAsia="zh-CN" w:bidi="en-US"/>
              </w:rPr>
            </w:pPr>
            <w:r>
              <w:rPr>
                <w:rFonts w:hint="default" w:ascii="Times New Roman" w:hAnsi="Times New Roman" w:eastAsia="宋体" w:cs="Times New Roman"/>
                <w:color w:val="auto"/>
                <w:kern w:val="2"/>
                <w:sz w:val="24"/>
                <w:szCs w:val="24"/>
                <w:lang w:val="en-US" w:eastAsia="zh-CN" w:bidi="ar-SA"/>
              </w:rPr>
              <w:t>锅炉</w:t>
            </w:r>
            <w:r>
              <w:rPr>
                <w:rFonts w:hint="eastAsia" w:cs="Times New Roman"/>
                <w:color w:val="auto"/>
                <w:kern w:val="2"/>
                <w:sz w:val="24"/>
                <w:szCs w:val="24"/>
                <w:lang w:val="en-US" w:eastAsia="zh-CN" w:bidi="ar-SA"/>
              </w:rPr>
              <w:t>蒸发量、管道损失</w:t>
            </w:r>
            <w:r>
              <w:rPr>
                <w:rFonts w:hint="default" w:ascii="Times New Roman" w:hAnsi="Times New Roman" w:eastAsia="宋体" w:cs="Times New Roman"/>
                <w:color w:val="auto"/>
                <w:kern w:val="2"/>
                <w:sz w:val="24"/>
                <w:szCs w:val="24"/>
                <w:lang w:val="en-US" w:eastAsia="zh-CN" w:bidi="ar-SA"/>
              </w:rPr>
              <w:t>全部挥发，不产生废水，锅炉</w:t>
            </w:r>
            <w:r>
              <w:rPr>
                <w:rFonts w:hint="eastAsia" w:cs="Times New Roman"/>
                <w:color w:val="auto"/>
                <w:kern w:val="2"/>
                <w:sz w:val="24"/>
                <w:szCs w:val="24"/>
                <w:lang w:val="en-US" w:eastAsia="zh-CN" w:bidi="ar-SA"/>
              </w:rPr>
              <w:t>定期</w:t>
            </w:r>
            <w:r>
              <w:rPr>
                <w:rFonts w:hint="default" w:ascii="Times New Roman" w:hAnsi="Times New Roman" w:eastAsia="宋体" w:cs="Times New Roman"/>
                <w:color w:val="auto"/>
                <w:kern w:val="2"/>
                <w:sz w:val="24"/>
                <w:szCs w:val="24"/>
                <w:lang w:val="en-US" w:eastAsia="zh-CN" w:bidi="ar-SA"/>
              </w:rPr>
              <w:t>排污为清净下水（主要污染物为悬浮物），</w:t>
            </w:r>
            <w:r>
              <w:rPr>
                <w:rFonts w:hint="default" w:ascii="Times New Roman" w:hAnsi="Times New Roman" w:eastAsia="宋体" w:cs="Times New Roman"/>
                <w:color w:val="auto"/>
                <w:sz w:val="24"/>
                <w:szCs w:val="24"/>
                <w:highlight w:val="none"/>
              </w:rPr>
              <w:t>经市政管网排入泾河新城第二污水处理厂</w:t>
            </w:r>
            <w:r>
              <w:rPr>
                <w:rFonts w:hint="default" w:ascii="Times New Roman" w:hAnsi="Times New Roman" w:eastAsia="宋体" w:cs="Times New Roman"/>
                <w:color w:val="auto"/>
                <w:kern w:val="2"/>
                <w:sz w:val="24"/>
                <w:szCs w:val="24"/>
                <w:lang w:val="en-US" w:eastAsia="zh-CN" w:bidi="ar-SA"/>
              </w:rPr>
              <w:t>。</w:t>
            </w:r>
          </w:p>
          <w:p w14:paraId="677D45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⑤纯水制备用水</w:t>
            </w:r>
          </w:p>
          <w:p w14:paraId="64AF3F6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项目</w:t>
            </w:r>
            <w:r>
              <w:rPr>
                <w:rFonts w:hint="default" w:ascii="Times New Roman" w:hAnsi="Times New Roman" w:eastAsia="宋体" w:cs="Times New Roman"/>
                <w:color w:val="auto"/>
                <w:sz w:val="24"/>
                <w:lang w:val="en-US" w:eastAsia="zh-CN"/>
              </w:rPr>
              <w:t>食品加工用水及锅炉补水均使用纯水，</w:t>
            </w:r>
            <w:r>
              <w:rPr>
                <w:rFonts w:hint="default" w:ascii="Times New Roman" w:hAnsi="Times New Roman" w:eastAsia="宋体" w:cs="Times New Roman"/>
                <w:color w:val="auto"/>
                <w:sz w:val="24"/>
                <w:szCs w:val="24"/>
              </w:rPr>
              <w:t>纯水机采用采用全自动制水，储罐水满自动停机，设备处于待机状态，储罐缺水时自动运行。</w:t>
            </w:r>
            <w:r>
              <w:rPr>
                <w:rFonts w:hint="default" w:ascii="Times New Roman" w:hAnsi="Times New Roman" w:eastAsia="宋体" w:cs="Times New Roman"/>
                <w:color w:val="auto"/>
                <w:sz w:val="24"/>
                <w:lang w:val="en-US" w:eastAsia="zh-CN"/>
              </w:rPr>
              <w:t>纯水用量为</w:t>
            </w:r>
            <w:r>
              <w:rPr>
                <w:rFonts w:hint="eastAsia" w:cs="Times New Roman"/>
                <w:color w:val="auto"/>
                <w:sz w:val="24"/>
                <w:lang w:val="en-US" w:eastAsia="zh-CN"/>
              </w:rPr>
              <w:t>38.41</w:t>
            </w:r>
            <w:r>
              <w:rPr>
                <w:rFonts w:hint="default" w:ascii="Times New Roman" w:hAnsi="Times New Roman" w:eastAsia="宋体" w:cs="Times New Roman"/>
                <w:color w:val="auto"/>
                <w:sz w:val="24"/>
                <w:lang w:val="en-US" w:eastAsia="zh-CN"/>
              </w:rPr>
              <w:t>25</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/d、</w:t>
            </w:r>
            <w:r>
              <w:rPr>
                <w:rFonts w:hint="eastAsia" w:cs="Times New Roman"/>
                <w:color w:val="auto"/>
                <w:kern w:val="2"/>
                <w:sz w:val="24"/>
                <w:szCs w:val="24"/>
                <w:lang w:val="en-US" w:eastAsia="zh-CN" w:bidi="ar-SA"/>
              </w:rPr>
              <w:t>7682.5</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/a，纯水制备效率为75%，则新鲜水用量为</w:t>
            </w:r>
            <w:r>
              <w:rPr>
                <w:rFonts w:hint="eastAsia" w:cs="Times New Roman"/>
                <w:color w:val="auto"/>
                <w:kern w:val="2"/>
                <w:sz w:val="24"/>
                <w:szCs w:val="24"/>
                <w:lang w:val="en-US" w:eastAsia="zh-CN" w:bidi="ar-SA"/>
              </w:rPr>
              <w:t>51.22</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/d、</w:t>
            </w:r>
            <w:r>
              <w:rPr>
                <w:rFonts w:hint="eastAsia" w:cs="Times New Roman"/>
                <w:color w:val="auto"/>
                <w:kern w:val="2"/>
                <w:sz w:val="24"/>
                <w:szCs w:val="24"/>
                <w:lang w:val="en-US" w:eastAsia="zh-CN" w:bidi="ar-SA"/>
              </w:rPr>
              <w:t>10243.3</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/a。</w:t>
            </w:r>
          </w:p>
          <w:p w14:paraId="29129C5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纯水制备系统浓水产生量为</w:t>
            </w:r>
            <w:r>
              <w:rPr>
                <w:rFonts w:hint="eastAsia" w:cs="Times New Roman"/>
                <w:color w:val="auto"/>
                <w:kern w:val="2"/>
                <w:sz w:val="24"/>
                <w:szCs w:val="24"/>
                <w:lang w:val="en-US" w:eastAsia="zh-CN" w:bidi="ar-SA"/>
              </w:rPr>
              <w:t>12.8075</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/d、</w:t>
            </w:r>
            <w:r>
              <w:rPr>
                <w:rFonts w:hint="eastAsia" w:cs="Times New Roman"/>
                <w:color w:val="auto"/>
                <w:kern w:val="2"/>
                <w:sz w:val="24"/>
                <w:szCs w:val="24"/>
                <w:lang w:val="en-US" w:eastAsia="zh-CN" w:bidi="ar-SA"/>
              </w:rPr>
              <w:t>2561.5</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/a，此部分废水为清净下水，</w:t>
            </w:r>
            <w:r>
              <w:rPr>
                <w:rFonts w:hint="eastAsia"/>
                <w:color w:val="auto"/>
                <w:sz w:val="24"/>
                <w:szCs w:val="24"/>
                <w:highlight w:val="none"/>
              </w:rPr>
              <w:t>经市政管网排入泾河新城第二污水处理厂</w:t>
            </w:r>
            <w:r>
              <w:rPr>
                <w:rFonts w:hint="default" w:ascii="Times New Roman" w:hAnsi="Times New Roman" w:eastAsia="宋体" w:cs="Times New Roman"/>
                <w:color w:val="auto"/>
                <w:kern w:val="2"/>
                <w:sz w:val="24"/>
                <w:szCs w:val="24"/>
                <w:lang w:val="en-US" w:eastAsia="zh-CN" w:bidi="ar-SA"/>
              </w:rPr>
              <w:t>。</w:t>
            </w:r>
          </w:p>
          <w:p w14:paraId="3E80E6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kern w:val="0"/>
                <w:sz w:val="24"/>
                <w:szCs w:val="22"/>
                <w:highlight w:val="none"/>
                <w:lang w:eastAsia="zh-CN" w:bidi="en-US"/>
              </w:rPr>
              <w:t>综上所述，本项目总用水量为</w:t>
            </w:r>
            <w:r>
              <w:rPr>
                <w:rFonts w:hint="eastAsia" w:cs="Times New Roman"/>
                <w:color w:val="auto"/>
                <w:kern w:val="0"/>
                <w:sz w:val="24"/>
                <w:szCs w:val="22"/>
                <w:highlight w:val="none"/>
                <w:lang w:val="en-US" w:eastAsia="zh-CN" w:bidi="en-US"/>
              </w:rPr>
              <w:t>74.445</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default" w:ascii="Times New Roman" w:hAnsi="Times New Roman" w:eastAsia="宋体" w:cs="Times New Roman"/>
                <w:color w:val="auto"/>
                <w:kern w:val="0"/>
                <w:sz w:val="24"/>
                <w:szCs w:val="22"/>
                <w:highlight w:val="none"/>
                <w:lang w:eastAsia="zh-CN" w:bidi="en-US"/>
              </w:rPr>
              <w:t>/d</w:t>
            </w:r>
            <w:r>
              <w:rPr>
                <w:rFonts w:hint="eastAsia" w:cs="Times New Roman"/>
                <w:color w:val="auto"/>
                <w:kern w:val="0"/>
                <w:sz w:val="24"/>
                <w:szCs w:val="22"/>
                <w:highlight w:val="none"/>
                <w:lang w:eastAsia="zh-CN" w:bidi="en-US"/>
              </w:rPr>
              <w:t>、</w:t>
            </w:r>
            <w:r>
              <w:rPr>
                <w:rFonts w:hint="eastAsia" w:cs="Times New Roman"/>
                <w:color w:val="auto"/>
                <w:kern w:val="0"/>
                <w:sz w:val="24"/>
                <w:szCs w:val="22"/>
                <w:highlight w:val="none"/>
                <w:lang w:val="en-US" w:eastAsia="zh-CN" w:bidi="en-US"/>
              </w:rPr>
              <w:t>14889</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default" w:ascii="Times New Roman" w:hAnsi="Times New Roman" w:eastAsia="宋体" w:cs="Times New Roman"/>
                <w:color w:val="auto"/>
                <w:kern w:val="0"/>
                <w:sz w:val="24"/>
                <w:szCs w:val="22"/>
                <w:highlight w:val="none"/>
                <w:lang w:eastAsia="zh-CN" w:bidi="en-US"/>
              </w:rPr>
              <w:t>/a，</w:t>
            </w:r>
            <w:r>
              <w:rPr>
                <w:rFonts w:hint="eastAsia" w:ascii="Times New Roman" w:hAnsi="Times New Roman" w:eastAsia="宋体" w:cs="Times New Roman"/>
                <w:color w:val="auto"/>
                <w:kern w:val="0"/>
                <w:sz w:val="24"/>
                <w:szCs w:val="22"/>
                <w:highlight w:val="none"/>
                <w:lang w:val="en-US" w:eastAsia="zh-CN" w:bidi="en-US"/>
              </w:rPr>
              <w:t>废水</w:t>
            </w:r>
            <w:r>
              <w:rPr>
                <w:rFonts w:hint="default" w:ascii="Times New Roman" w:hAnsi="Times New Roman" w:eastAsia="宋体" w:cs="Times New Roman"/>
                <w:color w:val="auto"/>
                <w:kern w:val="0"/>
                <w:sz w:val="24"/>
                <w:szCs w:val="22"/>
                <w:highlight w:val="none"/>
                <w:lang w:eastAsia="zh-CN" w:bidi="en-US"/>
              </w:rPr>
              <w:t>总排水量为</w:t>
            </w:r>
            <w:r>
              <w:rPr>
                <w:rFonts w:hint="eastAsia" w:cs="Times New Roman"/>
                <w:color w:val="auto"/>
                <w:kern w:val="0"/>
                <w:sz w:val="24"/>
                <w:szCs w:val="22"/>
                <w:highlight w:val="none"/>
                <w:lang w:val="en-US" w:eastAsia="zh-CN" w:bidi="en-US"/>
              </w:rPr>
              <w:t>34.4375</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default" w:ascii="Times New Roman" w:hAnsi="Times New Roman" w:eastAsia="宋体" w:cs="Times New Roman"/>
                <w:color w:val="auto"/>
                <w:kern w:val="0"/>
                <w:sz w:val="24"/>
                <w:szCs w:val="22"/>
                <w:highlight w:val="none"/>
                <w:lang w:eastAsia="zh-CN" w:bidi="en-US"/>
              </w:rPr>
              <w:t>/</w:t>
            </w:r>
            <w:r>
              <w:rPr>
                <w:rFonts w:hint="eastAsia" w:cs="Times New Roman"/>
                <w:color w:val="auto"/>
                <w:kern w:val="0"/>
                <w:sz w:val="24"/>
                <w:szCs w:val="22"/>
                <w:highlight w:val="none"/>
                <w:lang w:val="en-US" w:eastAsia="zh-CN" w:bidi="en-US"/>
              </w:rPr>
              <w:t>d</w:t>
            </w:r>
            <w:r>
              <w:rPr>
                <w:rFonts w:hint="eastAsia" w:cs="Times New Roman"/>
                <w:color w:val="auto"/>
                <w:kern w:val="0"/>
                <w:sz w:val="24"/>
                <w:szCs w:val="22"/>
                <w:highlight w:val="none"/>
                <w:lang w:eastAsia="zh-CN" w:bidi="en-US"/>
              </w:rPr>
              <w:t>、</w:t>
            </w:r>
            <w:r>
              <w:rPr>
                <w:rFonts w:hint="eastAsia" w:cs="Times New Roman"/>
                <w:color w:val="auto"/>
                <w:kern w:val="0"/>
                <w:sz w:val="24"/>
                <w:szCs w:val="22"/>
                <w:highlight w:val="none"/>
                <w:lang w:val="en-US" w:eastAsia="zh-CN" w:bidi="en-US"/>
              </w:rPr>
              <w:t>6887.5</w:t>
            </w:r>
            <w:r>
              <w:rPr>
                <w:rFonts w:hint="default" w:ascii="Times New Roman" w:hAnsi="Times New Roman" w:eastAsia="宋体" w:cs="Times New Roman"/>
                <w:color w:val="auto"/>
                <w:kern w:val="0"/>
                <w:sz w:val="24"/>
                <w:szCs w:val="22"/>
                <w:highlight w:val="none"/>
                <w:lang w:eastAsia="zh-CN" w:bidi="en-US"/>
              </w:rPr>
              <w:t>m</w:t>
            </w:r>
            <w:r>
              <w:rPr>
                <w:rFonts w:hint="default" w:ascii="Times New Roman" w:hAnsi="Times New Roman" w:eastAsia="宋体" w:cs="Times New Roman"/>
                <w:color w:val="auto"/>
                <w:kern w:val="0"/>
                <w:sz w:val="24"/>
                <w:szCs w:val="22"/>
                <w:highlight w:val="none"/>
                <w:vertAlign w:val="superscript"/>
                <w:lang w:val="en-US" w:eastAsia="zh-CN" w:bidi="en-US"/>
              </w:rPr>
              <w:t>3</w:t>
            </w:r>
            <w:r>
              <w:rPr>
                <w:rFonts w:hint="default" w:ascii="Times New Roman" w:hAnsi="Times New Roman" w:eastAsia="宋体" w:cs="Times New Roman"/>
                <w:color w:val="auto"/>
                <w:kern w:val="0"/>
                <w:sz w:val="24"/>
                <w:szCs w:val="22"/>
                <w:highlight w:val="none"/>
                <w:lang w:eastAsia="zh-CN" w:bidi="en-US"/>
              </w:rPr>
              <w:t>/a</w:t>
            </w:r>
            <w:r>
              <w:rPr>
                <w:rFonts w:hint="eastAsia" w:cs="Times New Roman"/>
                <w:color w:val="auto"/>
                <w:kern w:val="0"/>
                <w:sz w:val="24"/>
                <w:szCs w:val="22"/>
                <w:highlight w:val="none"/>
                <w:lang w:eastAsia="zh-CN" w:bidi="en-US"/>
              </w:rPr>
              <w:t>。</w:t>
            </w:r>
          </w:p>
          <w:p w14:paraId="303A4511">
            <w:pPr>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项目用</w:t>
            </w:r>
            <w:r>
              <w:rPr>
                <w:rFonts w:hint="eastAsia"/>
                <w:color w:val="auto"/>
                <w:highlight w:val="none"/>
              </w:rPr>
              <w:t>水</w:t>
            </w:r>
            <w:r>
              <w:rPr>
                <w:rFonts w:hint="default"/>
                <w:color w:val="auto"/>
                <w:highlight w:val="none"/>
              </w:rPr>
              <w:t>、排水情况见表</w:t>
            </w:r>
            <w:r>
              <w:rPr>
                <w:rFonts w:hint="eastAsia"/>
                <w:color w:val="auto"/>
                <w:highlight w:val="none"/>
              </w:rPr>
              <w:t>2-</w:t>
            </w:r>
            <w:r>
              <w:rPr>
                <w:rFonts w:hint="eastAsia"/>
                <w:color w:val="auto"/>
                <w:highlight w:val="none"/>
                <w:lang w:val="en-US" w:eastAsia="zh-CN"/>
              </w:rPr>
              <w:t>7</w:t>
            </w:r>
            <w:r>
              <w:rPr>
                <w:rFonts w:hint="default"/>
                <w:color w:val="auto"/>
                <w:highlight w:val="none"/>
              </w:rPr>
              <w:t>，水平衡图见图</w:t>
            </w:r>
            <w:r>
              <w:rPr>
                <w:rFonts w:hint="eastAsia"/>
                <w:color w:val="auto"/>
                <w:highlight w:val="none"/>
              </w:rPr>
              <w:t>2-1</w:t>
            </w:r>
            <w:r>
              <w:rPr>
                <w:rFonts w:hint="default"/>
                <w:color w:val="auto"/>
                <w:highlight w:val="none"/>
              </w:rPr>
              <w:t>。</w:t>
            </w:r>
          </w:p>
          <w:p w14:paraId="3B0C7DE6">
            <w:pPr>
              <w:pStyle w:val="36"/>
              <w:keepNext w:val="0"/>
              <w:keepLines w:val="0"/>
              <w:suppressLineNumbers w:val="0"/>
              <w:spacing w:before="0" w:beforeAutospacing="0" w:after="0" w:afterAutospacing="0" w:line="240" w:lineRule="auto"/>
              <w:ind w:left="0" w:leftChars="0" w:right="0" w:firstLine="482"/>
              <w:jc w:val="center"/>
              <w:rPr>
                <w:rFonts w:hint="eastAsia" w:eastAsia="宋体"/>
                <w:b/>
                <w:bCs/>
                <w:color w:val="auto"/>
                <w:szCs w:val="21"/>
                <w:highlight w:val="none"/>
                <w:lang w:val="en-US" w:eastAsia="zh-CN"/>
              </w:rPr>
            </w:pPr>
            <w:r>
              <w:rPr>
                <w:rFonts w:hint="eastAsia"/>
                <w:b/>
                <w:bCs/>
                <w:color w:val="auto"/>
                <w:szCs w:val="21"/>
                <w:highlight w:val="none"/>
              </w:rPr>
              <w:t>表2-</w:t>
            </w:r>
            <w:r>
              <w:rPr>
                <w:rFonts w:hint="eastAsia"/>
                <w:b/>
                <w:bCs/>
                <w:color w:val="auto"/>
                <w:szCs w:val="21"/>
                <w:highlight w:val="none"/>
                <w:lang w:val="en-US" w:eastAsia="zh-CN"/>
              </w:rPr>
              <w:t>7</w:t>
            </w:r>
            <w:r>
              <w:rPr>
                <w:rFonts w:hint="eastAsia"/>
                <w:b/>
                <w:bCs/>
                <w:color w:val="auto"/>
                <w:szCs w:val="21"/>
                <w:highlight w:val="none"/>
              </w:rPr>
              <w:t xml:space="preserve">  项目用水、排水情况表    单位：m</w:t>
            </w:r>
            <w:r>
              <w:rPr>
                <w:rFonts w:hint="eastAsia"/>
                <w:b/>
                <w:bCs/>
                <w:color w:val="auto"/>
                <w:szCs w:val="21"/>
                <w:highlight w:val="none"/>
                <w:vertAlign w:val="superscript"/>
              </w:rPr>
              <w:t>3</w:t>
            </w:r>
            <w:r>
              <w:rPr>
                <w:rFonts w:hint="eastAsia"/>
                <w:b/>
                <w:bCs/>
                <w:color w:val="auto"/>
                <w:szCs w:val="21"/>
                <w:highlight w:val="none"/>
              </w:rPr>
              <w:t>/</w:t>
            </w:r>
            <w:r>
              <w:rPr>
                <w:rFonts w:hint="eastAsia"/>
                <w:b/>
                <w:bCs/>
                <w:color w:val="auto"/>
                <w:szCs w:val="21"/>
                <w:highlight w:val="none"/>
                <w:lang w:val="en-US" w:eastAsia="zh-CN"/>
              </w:rPr>
              <w:t>d</w:t>
            </w:r>
          </w:p>
          <w:tbl>
            <w:tblPr>
              <w:tblStyle w:val="3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443"/>
              <w:gridCol w:w="2096"/>
              <w:gridCol w:w="1125"/>
              <w:gridCol w:w="910"/>
              <w:gridCol w:w="1929"/>
              <w:gridCol w:w="1212"/>
            </w:tblGrid>
            <w:tr w14:paraId="76886C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tcBorders>
                    <w:tl2br w:val="nil"/>
                    <w:tr2bl w:val="nil"/>
                  </w:tcBorders>
                  <w:vAlign w:val="center"/>
                </w:tcPr>
                <w:p w14:paraId="4EB974C1">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序号</w:t>
                  </w:r>
                </w:p>
              </w:tc>
              <w:tc>
                <w:tcPr>
                  <w:tcW w:w="1503" w:type="pct"/>
                  <w:gridSpan w:val="2"/>
                  <w:tcBorders>
                    <w:tl2br w:val="nil"/>
                    <w:tr2bl w:val="nil"/>
                  </w:tcBorders>
                  <w:vAlign w:val="center"/>
                </w:tcPr>
                <w:p w14:paraId="786ABD3B">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名称</w:t>
                  </w:r>
                </w:p>
              </w:tc>
              <w:tc>
                <w:tcPr>
                  <w:tcW w:w="666" w:type="pct"/>
                  <w:tcBorders>
                    <w:tl2br w:val="nil"/>
                    <w:tr2bl w:val="nil"/>
                  </w:tcBorders>
                  <w:vAlign w:val="center"/>
                </w:tcPr>
                <w:p w14:paraId="67FE3F0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新鲜水</w:t>
                  </w:r>
                </w:p>
              </w:tc>
              <w:tc>
                <w:tcPr>
                  <w:tcW w:w="539" w:type="pct"/>
                  <w:tcBorders>
                    <w:tl2br w:val="nil"/>
                    <w:tr2bl w:val="nil"/>
                  </w:tcBorders>
                  <w:vAlign w:val="center"/>
                </w:tcPr>
                <w:p w14:paraId="3798EE06">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纯水量</w:t>
                  </w:r>
                </w:p>
              </w:tc>
              <w:tc>
                <w:tcPr>
                  <w:tcW w:w="1142" w:type="pct"/>
                  <w:tcBorders>
                    <w:tl2br w:val="nil"/>
                    <w:tr2bl w:val="nil"/>
                  </w:tcBorders>
                  <w:vAlign w:val="center"/>
                </w:tcPr>
                <w:p w14:paraId="34ACD81A">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损失</w:t>
                  </w:r>
                  <w:r>
                    <w:rPr>
                      <w:rFonts w:hint="default"/>
                      <w:color w:val="auto"/>
                      <w:szCs w:val="20"/>
                      <w:highlight w:val="none"/>
                    </w:rPr>
                    <w:t>量</w:t>
                  </w:r>
                </w:p>
              </w:tc>
              <w:tc>
                <w:tcPr>
                  <w:tcW w:w="717" w:type="pct"/>
                  <w:tcBorders>
                    <w:tl2br w:val="nil"/>
                    <w:tr2bl w:val="nil"/>
                  </w:tcBorders>
                  <w:vAlign w:val="center"/>
                </w:tcPr>
                <w:p w14:paraId="4A38B69D">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排放</w:t>
                  </w:r>
                  <w:r>
                    <w:rPr>
                      <w:rFonts w:hint="default"/>
                      <w:color w:val="auto"/>
                      <w:szCs w:val="20"/>
                      <w:highlight w:val="none"/>
                    </w:rPr>
                    <w:t>量</w:t>
                  </w:r>
                </w:p>
              </w:tc>
            </w:tr>
            <w:tr w14:paraId="2B53DE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tcBorders>
                    <w:tl2br w:val="nil"/>
                    <w:tr2bl w:val="nil"/>
                  </w:tcBorders>
                  <w:vAlign w:val="center"/>
                </w:tcPr>
                <w:p w14:paraId="344C8C5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1</w:t>
                  </w:r>
                </w:p>
              </w:tc>
              <w:tc>
                <w:tcPr>
                  <w:tcW w:w="1503" w:type="pct"/>
                  <w:gridSpan w:val="2"/>
                  <w:tcBorders>
                    <w:tl2br w:val="nil"/>
                    <w:tr2bl w:val="nil"/>
                  </w:tcBorders>
                  <w:vAlign w:val="center"/>
                </w:tcPr>
                <w:p w14:paraId="4E42F089">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default"/>
                      <w:color w:val="auto"/>
                      <w:szCs w:val="20"/>
                      <w:highlight w:val="none"/>
                    </w:rPr>
                    <w:t>生活用水</w:t>
                  </w:r>
                </w:p>
              </w:tc>
              <w:tc>
                <w:tcPr>
                  <w:tcW w:w="666" w:type="pct"/>
                  <w:tcBorders>
                    <w:tl2br w:val="nil"/>
                    <w:tr2bl w:val="nil"/>
                  </w:tcBorders>
                  <w:vAlign w:val="center"/>
                </w:tcPr>
                <w:p w14:paraId="259A9F85">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10.225</w:t>
                  </w:r>
                </w:p>
              </w:tc>
              <w:tc>
                <w:tcPr>
                  <w:tcW w:w="539" w:type="pct"/>
                  <w:tcBorders>
                    <w:tl2br w:val="nil"/>
                    <w:tr2bl w:val="nil"/>
                  </w:tcBorders>
                  <w:vAlign w:val="center"/>
                </w:tcPr>
                <w:p w14:paraId="44D6C329">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0</w:t>
                  </w:r>
                </w:p>
              </w:tc>
              <w:tc>
                <w:tcPr>
                  <w:tcW w:w="1142" w:type="pct"/>
                  <w:tcBorders>
                    <w:tl2br w:val="nil"/>
                    <w:tr2bl w:val="nil"/>
                  </w:tcBorders>
                  <w:vAlign w:val="center"/>
                </w:tcPr>
                <w:p w14:paraId="6B077510">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2.045</w:t>
                  </w:r>
                </w:p>
              </w:tc>
              <w:tc>
                <w:tcPr>
                  <w:tcW w:w="717" w:type="pct"/>
                  <w:tcBorders>
                    <w:tl2br w:val="nil"/>
                    <w:tr2bl w:val="nil"/>
                  </w:tcBorders>
                  <w:vAlign w:val="center"/>
                </w:tcPr>
                <w:p w14:paraId="2F325BC7">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8.18</w:t>
                  </w:r>
                </w:p>
              </w:tc>
            </w:tr>
            <w:tr w14:paraId="4BFFA1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tcBorders>
                    <w:tl2br w:val="nil"/>
                    <w:tr2bl w:val="nil"/>
                  </w:tcBorders>
                  <w:vAlign w:val="center"/>
                </w:tcPr>
                <w:p w14:paraId="54198D1D">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2</w:t>
                  </w:r>
                </w:p>
              </w:tc>
              <w:tc>
                <w:tcPr>
                  <w:tcW w:w="1503" w:type="pct"/>
                  <w:gridSpan w:val="2"/>
                  <w:tcBorders>
                    <w:tl2br w:val="nil"/>
                    <w:tr2bl w:val="nil"/>
                  </w:tcBorders>
                  <w:vAlign w:val="center"/>
                </w:tcPr>
                <w:p w14:paraId="7A6F9128">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lang w:val="en-US" w:eastAsia="zh-CN"/>
                    </w:rPr>
                    <w:t>食品加工</w:t>
                  </w:r>
                  <w:r>
                    <w:rPr>
                      <w:rFonts w:hint="eastAsia"/>
                      <w:color w:val="auto"/>
                      <w:szCs w:val="20"/>
                      <w:highlight w:val="none"/>
                    </w:rPr>
                    <w:t>用水</w:t>
                  </w:r>
                </w:p>
              </w:tc>
              <w:tc>
                <w:tcPr>
                  <w:tcW w:w="666" w:type="pct"/>
                  <w:tcBorders>
                    <w:tl2br w:val="nil"/>
                    <w:tr2bl w:val="nil"/>
                  </w:tcBorders>
                  <w:vAlign w:val="center"/>
                </w:tcPr>
                <w:p w14:paraId="26DDADBF">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0</w:t>
                  </w:r>
                </w:p>
              </w:tc>
              <w:tc>
                <w:tcPr>
                  <w:tcW w:w="539" w:type="pct"/>
                  <w:tcBorders>
                    <w:tl2br w:val="nil"/>
                    <w:tr2bl w:val="nil"/>
                  </w:tcBorders>
                  <w:vAlign w:val="center"/>
                </w:tcPr>
                <w:p w14:paraId="4BC892A1">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0.6125</w:t>
                  </w:r>
                </w:p>
              </w:tc>
              <w:tc>
                <w:tcPr>
                  <w:tcW w:w="1142" w:type="pct"/>
                  <w:tcBorders>
                    <w:tl2br w:val="nil"/>
                    <w:tr2bl w:val="nil"/>
                  </w:tcBorders>
                  <w:vAlign w:val="center"/>
                </w:tcPr>
                <w:p w14:paraId="73759D46">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0.6125（进入产品）</w:t>
                  </w:r>
                </w:p>
              </w:tc>
              <w:tc>
                <w:tcPr>
                  <w:tcW w:w="717" w:type="pct"/>
                  <w:tcBorders>
                    <w:tl2br w:val="nil"/>
                    <w:tr2bl w:val="nil"/>
                  </w:tcBorders>
                  <w:vAlign w:val="center"/>
                </w:tcPr>
                <w:p w14:paraId="50469EDE">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0</w:t>
                  </w:r>
                </w:p>
              </w:tc>
            </w:tr>
            <w:tr w14:paraId="2BE56E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vMerge w:val="restart"/>
                  <w:tcBorders>
                    <w:tl2br w:val="nil"/>
                    <w:tr2bl w:val="nil"/>
                  </w:tcBorders>
                  <w:vAlign w:val="center"/>
                </w:tcPr>
                <w:p w14:paraId="01EE0EFC">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3</w:t>
                  </w:r>
                </w:p>
              </w:tc>
              <w:tc>
                <w:tcPr>
                  <w:tcW w:w="262" w:type="pct"/>
                  <w:vMerge w:val="restart"/>
                  <w:tcBorders>
                    <w:tl2br w:val="nil"/>
                    <w:tr2bl w:val="nil"/>
                  </w:tcBorders>
                  <w:vAlign w:val="center"/>
                </w:tcPr>
                <w:p w14:paraId="2DD0194E">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清洗用水</w:t>
                  </w:r>
                </w:p>
              </w:tc>
              <w:tc>
                <w:tcPr>
                  <w:tcW w:w="1240" w:type="pct"/>
                  <w:tcBorders>
                    <w:tl2br w:val="nil"/>
                    <w:tr2bl w:val="nil"/>
                  </w:tcBorders>
                  <w:vAlign w:val="center"/>
                </w:tcPr>
                <w:p w14:paraId="0AA1EE27">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食材清洗</w:t>
                  </w:r>
                </w:p>
              </w:tc>
              <w:tc>
                <w:tcPr>
                  <w:tcW w:w="666" w:type="pct"/>
                  <w:tcBorders>
                    <w:tl2br w:val="nil"/>
                    <w:tr2bl w:val="nil"/>
                  </w:tcBorders>
                  <w:vAlign w:val="center"/>
                </w:tcPr>
                <w:p w14:paraId="43D9F6F7">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3.5</w:t>
                  </w:r>
                </w:p>
              </w:tc>
              <w:tc>
                <w:tcPr>
                  <w:tcW w:w="539" w:type="pct"/>
                  <w:tcBorders>
                    <w:tl2br w:val="nil"/>
                    <w:tr2bl w:val="nil"/>
                  </w:tcBorders>
                  <w:vAlign w:val="center"/>
                </w:tcPr>
                <w:p w14:paraId="21501AE8">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0</w:t>
                  </w:r>
                </w:p>
              </w:tc>
              <w:tc>
                <w:tcPr>
                  <w:tcW w:w="1142" w:type="pct"/>
                  <w:tcBorders>
                    <w:tl2br w:val="nil"/>
                    <w:tr2bl w:val="nil"/>
                  </w:tcBorders>
                  <w:vAlign w:val="center"/>
                </w:tcPr>
                <w:p w14:paraId="3B9B85D2">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0.35</w:t>
                  </w:r>
                </w:p>
              </w:tc>
              <w:tc>
                <w:tcPr>
                  <w:tcW w:w="717" w:type="pct"/>
                  <w:tcBorders>
                    <w:tl2br w:val="nil"/>
                    <w:tr2bl w:val="nil"/>
                  </w:tcBorders>
                  <w:vAlign w:val="center"/>
                </w:tcPr>
                <w:p w14:paraId="1EEE28CA">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3.15</w:t>
                  </w:r>
                </w:p>
              </w:tc>
            </w:tr>
            <w:tr w14:paraId="4C8448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vMerge w:val="continue"/>
                  <w:tcBorders>
                    <w:tl2br w:val="nil"/>
                    <w:tr2bl w:val="nil"/>
                  </w:tcBorders>
                  <w:vAlign w:val="center"/>
                </w:tcPr>
                <w:p w14:paraId="437D09BB">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262" w:type="pct"/>
                  <w:vMerge w:val="continue"/>
                  <w:tcBorders>
                    <w:tl2br w:val="nil"/>
                    <w:tr2bl w:val="nil"/>
                  </w:tcBorders>
                  <w:vAlign w:val="center"/>
                </w:tcPr>
                <w:p w14:paraId="600621CA">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1240" w:type="pct"/>
                  <w:tcBorders>
                    <w:tl2br w:val="nil"/>
                    <w:tr2bl w:val="nil"/>
                  </w:tcBorders>
                  <w:vAlign w:val="center"/>
                </w:tcPr>
                <w:p w14:paraId="7F8448D9">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洗手</w:t>
                  </w:r>
                </w:p>
              </w:tc>
              <w:tc>
                <w:tcPr>
                  <w:tcW w:w="666" w:type="pct"/>
                  <w:tcBorders>
                    <w:tl2br w:val="nil"/>
                    <w:tr2bl w:val="nil"/>
                  </w:tcBorders>
                  <w:vAlign w:val="center"/>
                </w:tcPr>
                <w:p w14:paraId="59C68766">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0.2</w:t>
                  </w:r>
                </w:p>
              </w:tc>
              <w:tc>
                <w:tcPr>
                  <w:tcW w:w="539" w:type="pct"/>
                  <w:tcBorders>
                    <w:tl2br w:val="nil"/>
                    <w:tr2bl w:val="nil"/>
                  </w:tcBorders>
                  <w:vAlign w:val="center"/>
                </w:tcPr>
                <w:p w14:paraId="2EE64776">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0</w:t>
                  </w:r>
                </w:p>
              </w:tc>
              <w:tc>
                <w:tcPr>
                  <w:tcW w:w="1142" w:type="pct"/>
                  <w:tcBorders>
                    <w:tl2br w:val="nil"/>
                    <w:tr2bl w:val="nil"/>
                  </w:tcBorders>
                  <w:vAlign w:val="center"/>
                </w:tcPr>
                <w:p w14:paraId="5F18A7A4">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0.02</w:t>
                  </w:r>
                </w:p>
              </w:tc>
              <w:tc>
                <w:tcPr>
                  <w:tcW w:w="717" w:type="pct"/>
                  <w:tcBorders>
                    <w:tl2br w:val="nil"/>
                    <w:tr2bl w:val="nil"/>
                  </w:tcBorders>
                  <w:vAlign w:val="center"/>
                </w:tcPr>
                <w:p w14:paraId="4148BCAB">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0.18</w:t>
                  </w:r>
                </w:p>
              </w:tc>
            </w:tr>
            <w:tr w14:paraId="245693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vMerge w:val="continue"/>
                  <w:tcBorders>
                    <w:tl2br w:val="nil"/>
                    <w:tr2bl w:val="nil"/>
                  </w:tcBorders>
                  <w:vAlign w:val="center"/>
                </w:tcPr>
                <w:p w14:paraId="5F8E7FF7">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262" w:type="pct"/>
                  <w:vMerge w:val="continue"/>
                  <w:tcBorders>
                    <w:tl2br w:val="nil"/>
                    <w:tr2bl w:val="nil"/>
                  </w:tcBorders>
                  <w:vAlign w:val="center"/>
                </w:tcPr>
                <w:p w14:paraId="48B667DE">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1240" w:type="pct"/>
                  <w:tcBorders>
                    <w:tl2br w:val="nil"/>
                    <w:tr2bl w:val="nil"/>
                  </w:tcBorders>
                  <w:vAlign w:val="center"/>
                </w:tcPr>
                <w:p w14:paraId="05D85DF2">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工具、餐具容器、设备清洗（含检验室设备清洗）</w:t>
                  </w:r>
                </w:p>
              </w:tc>
              <w:tc>
                <w:tcPr>
                  <w:tcW w:w="666" w:type="pct"/>
                  <w:tcBorders>
                    <w:tl2br w:val="nil"/>
                    <w:tr2bl w:val="nil"/>
                  </w:tcBorders>
                  <w:vAlign w:val="center"/>
                </w:tcPr>
                <w:p w14:paraId="5CB3087D">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5</w:t>
                  </w:r>
                </w:p>
              </w:tc>
              <w:tc>
                <w:tcPr>
                  <w:tcW w:w="539" w:type="pct"/>
                  <w:tcBorders>
                    <w:tl2br w:val="nil"/>
                    <w:tr2bl w:val="nil"/>
                  </w:tcBorders>
                  <w:vAlign w:val="center"/>
                </w:tcPr>
                <w:p w14:paraId="46CB49E0">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0</w:t>
                  </w:r>
                </w:p>
              </w:tc>
              <w:tc>
                <w:tcPr>
                  <w:tcW w:w="1142" w:type="pct"/>
                  <w:tcBorders>
                    <w:tl2br w:val="nil"/>
                    <w:tr2bl w:val="nil"/>
                  </w:tcBorders>
                  <w:vAlign w:val="center"/>
                </w:tcPr>
                <w:p w14:paraId="5CF70EF8">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0.5</w:t>
                  </w:r>
                </w:p>
              </w:tc>
              <w:tc>
                <w:tcPr>
                  <w:tcW w:w="717" w:type="pct"/>
                  <w:tcBorders>
                    <w:tl2br w:val="nil"/>
                    <w:tr2bl w:val="nil"/>
                  </w:tcBorders>
                  <w:vAlign w:val="center"/>
                </w:tcPr>
                <w:p w14:paraId="17013063">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4.5</w:t>
                  </w:r>
                </w:p>
              </w:tc>
            </w:tr>
            <w:tr w14:paraId="7C789E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vMerge w:val="continue"/>
                  <w:tcBorders>
                    <w:tl2br w:val="nil"/>
                    <w:tr2bl w:val="nil"/>
                  </w:tcBorders>
                  <w:vAlign w:val="center"/>
                </w:tcPr>
                <w:p w14:paraId="2158F880">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262" w:type="pct"/>
                  <w:vMerge w:val="continue"/>
                  <w:tcBorders>
                    <w:tl2br w:val="nil"/>
                    <w:tr2bl w:val="nil"/>
                  </w:tcBorders>
                  <w:vAlign w:val="center"/>
                </w:tcPr>
                <w:p w14:paraId="6AAD2DCE">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1240" w:type="pct"/>
                  <w:tcBorders>
                    <w:tl2br w:val="nil"/>
                    <w:tr2bl w:val="nil"/>
                  </w:tcBorders>
                  <w:vAlign w:val="center"/>
                </w:tcPr>
                <w:p w14:paraId="125A6166">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地面清洗</w:t>
                  </w:r>
                </w:p>
              </w:tc>
              <w:tc>
                <w:tcPr>
                  <w:tcW w:w="666" w:type="pct"/>
                  <w:tcBorders>
                    <w:tl2br w:val="nil"/>
                    <w:tr2bl w:val="nil"/>
                  </w:tcBorders>
                  <w:vAlign w:val="center"/>
                </w:tcPr>
                <w:p w14:paraId="0A311323">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4.3</w:t>
                  </w:r>
                </w:p>
              </w:tc>
              <w:tc>
                <w:tcPr>
                  <w:tcW w:w="539" w:type="pct"/>
                  <w:tcBorders>
                    <w:tl2br w:val="nil"/>
                    <w:tr2bl w:val="nil"/>
                  </w:tcBorders>
                  <w:vAlign w:val="center"/>
                </w:tcPr>
                <w:p w14:paraId="0303E53D">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0</w:t>
                  </w:r>
                </w:p>
              </w:tc>
              <w:tc>
                <w:tcPr>
                  <w:tcW w:w="1142" w:type="pct"/>
                  <w:tcBorders>
                    <w:tl2br w:val="nil"/>
                    <w:tr2bl w:val="nil"/>
                  </w:tcBorders>
                  <w:vAlign w:val="center"/>
                </w:tcPr>
                <w:p w14:paraId="0B2E73E7">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0.43</w:t>
                  </w:r>
                </w:p>
              </w:tc>
              <w:tc>
                <w:tcPr>
                  <w:tcW w:w="717" w:type="pct"/>
                  <w:tcBorders>
                    <w:tl2br w:val="nil"/>
                    <w:tr2bl w:val="nil"/>
                  </w:tcBorders>
                  <w:vAlign w:val="center"/>
                </w:tcPr>
                <w:p w14:paraId="45250214">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3.87</w:t>
                  </w:r>
                </w:p>
              </w:tc>
            </w:tr>
            <w:tr w14:paraId="4DA557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tcBorders>
                    <w:tl2br w:val="nil"/>
                    <w:tr2bl w:val="nil"/>
                  </w:tcBorders>
                  <w:vAlign w:val="center"/>
                </w:tcPr>
                <w:p w14:paraId="4F262F6A">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4</w:t>
                  </w:r>
                </w:p>
              </w:tc>
              <w:tc>
                <w:tcPr>
                  <w:tcW w:w="1503" w:type="pct"/>
                  <w:gridSpan w:val="2"/>
                  <w:tcBorders>
                    <w:tl2br w:val="nil"/>
                    <w:tr2bl w:val="nil"/>
                  </w:tcBorders>
                  <w:vAlign w:val="center"/>
                </w:tcPr>
                <w:p w14:paraId="2967862E">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锅炉用水</w:t>
                  </w:r>
                </w:p>
              </w:tc>
              <w:tc>
                <w:tcPr>
                  <w:tcW w:w="666" w:type="pct"/>
                  <w:tcBorders>
                    <w:tl2br w:val="nil"/>
                    <w:tr2bl w:val="nil"/>
                  </w:tcBorders>
                  <w:vAlign w:val="center"/>
                </w:tcPr>
                <w:p w14:paraId="11C5C709">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0</w:t>
                  </w:r>
                </w:p>
              </w:tc>
              <w:tc>
                <w:tcPr>
                  <w:tcW w:w="539" w:type="pct"/>
                  <w:tcBorders>
                    <w:tl2br w:val="nil"/>
                    <w:tr2bl w:val="nil"/>
                  </w:tcBorders>
                  <w:vAlign w:val="center"/>
                </w:tcPr>
                <w:p w14:paraId="339165D3">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37.8</w:t>
                  </w:r>
                </w:p>
              </w:tc>
              <w:tc>
                <w:tcPr>
                  <w:tcW w:w="1142" w:type="pct"/>
                  <w:tcBorders>
                    <w:tl2br w:val="nil"/>
                    <w:tr2bl w:val="nil"/>
                  </w:tcBorders>
                  <w:vAlign w:val="center"/>
                </w:tcPr>
                <w:p w14:paraId="13F3DB4E">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r>
                    <w:rPr>
                      <w:rFonts w:hint="eastAsia"/>
                      <w:color w:val="auto"/>
                      <w:szCs w:val="20"/>
                      <w:highlight w:val="none"/>
                      <w:lang w:val="en-US" w:eastAsia="zh-CN"/>
                    </w:rPr>
                    <w:t>35（蒸汽蒸发）</w:t>
                  </w:r>
                </w:p>
                <w:p w14:paraId="17F60B13">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1.05（管道损耗）</w:t>
                  </w:r>
                </w:p>
              </w:tc>
              <w:tc>
                <w:tcPr>
                  <w:tcW w:w="717" w:type="pct"/>
                  <w:tcBorders>
                    <w:tl2br w:val="nil"/>
                    <w:tr2bl w:val="nil"/>
                  </w:tcBorders>
                  <w:vAlign w:val="center"/>
                </w:tcPr>
                <w:p w14:paraId="673DF029">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1.75</w:t>
                  </w:r>
                </w:p>
              </w:tc>
            </w:tr>
            <w:tr w14:paraId="0574C9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tcBorders>
                    <w:tl2br w:val="nil"/>
                    <w:tr2bl w:val="nil"/>
                  </w:tcBorders>
                  <w:vAlign w:val="center"/>
                </w:tcPr>
                <w:p w14:paraId="0D90FEE5">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r>
                    <w:rPr>
                      <w:rFonts w:hint="eastAsia"/>
                      <w:color w:val="auto"/>
                      <w:szCs w:val="20"/>
                      <w:highlight w:val="none"/>
                      <w:lang w:val="en-US" w:eastAsia="zh-CN"/>
                    </w:rPr>
                    <w:t>5</w:t>
                  </w:r>
                </w:p>
              </w:tc>
              <w:tc>
                <w:tcPr>
                  <w:tcW w:w="1503" w:type="pct"/>
                  <w:gridSpan w:val="2"/>
                  <w:tcBorders>
                    <w:tl2br w:val="nil"/>
                    <w:tr2bl w:val="nil"/>
                  </w:tcBorders>
                  <w:vAlign w:val="center"/>
                </w:tcPr>
                <w:p w14:paraId="39F22A67">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纯水制备用水</w:t>
                  </w:r>
                </w:p>
              </w:tc>
              <w:tc>
                <w:tcPr>
                  <w:tcW w:w="666" w:type="pct"/>
                  <w:tcBorders>
                    <w:tl2br w:val="nil"/>
                    <w:tr2bl w:val="nil"/>
                  </w:tcBorders>
                  <w:vAlign w:val="center"/>
                </w:tcPr>
                <w:p w14:paraId="4D80C2DC">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51.22</w:t>
                  </w:r>
                </w:p>
              </w:tc>
              <w:tc>
                <w:tcPr>
                  <w:tcW w:w="539" w:type="pct"/>
                  <w:tcBorders>
                    <w:tl2br w:val="nil"/>
                    <w:tr2bl w:val="nil"/>
                  </w:tcBorders>
                  <w:vAlign w:val="center"/>
                </w:tcPr>
                <w:p w14:paraId="68E8A7A3">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38.4125</w:t>
                  </w:r>
                </w:p>
              </w:tc>
              <w:tc>
                <w:tcPr>
                  <w:tcW w:w="1142" w:type="pct"/>
                  <w:tcBorders>
                    <w:tl2br w:val="nil"/>
                    <w:tr2bl w:val="nil"/>
                  </w:tcBorders>
                  <w:vAlign w:val="center"/>
                </w:tcPr>
                <w:p w14:paraId="02DA8EFB">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0</w:t>
                  </w:r>
                </w:p>
              </w:tc>
              <w:tc>
                <w:tcPr>
                  <w:tcW w:w="717" w:type="pct"/>
                  <w:tcBorders>
                    <w:tl2br w:val="nil"/>
                    <w:tr2bl w:val="nil"/>
                  </w:tcBorders>
                  <w:vAlign w:val="center"/>
                </w:tcPr>
                <w:p w14:paraId="33E09B5B">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12.8075</w:t>
                  </w:r>
                </w:p>
              </w:tc>
            </w:tr>
            <w:tr w14:paraId="749068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tcBorders>
                    <w:tl2br w:val="nil"/>
                    <w:tr2bl w:val="nil"/>
                  </w:tcBorders>
                  <w:vAlign w:val="center"/>
                </w:tcPr>
                <w:p w14:paraId="15AF76FF">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6</w:t>
                  </w:r>
                </w:p>
              </w:tc>
              <w:tc>
                <w:tcPr>
                  <w:tcW w:w="1503" w:type="pct"/>
                  <w:gridSpan w:val="2"/>
                  <w:tcBorders>
                    <w:tl2br w:val="nil"/>
                    <w:tr2bl w:val="nil"/>
                  </w:tcBorders>
                  <w:vAlign w:val="center"/>
                </w:tcPr>
                <w:p w14:paraId="5441D117">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合计</w:t>
                  </w:r>
                </w:p>
              </w:tc>
              <w:tc>
                <w:tcPr>
                  <w:tcW w:w="1125" w:type="dxa"/>
                  <w:tcBorders>
                    <w:tl2br w:val="nil"/>
                    <w:tr2bl w:val="nil"/>
                  </w:tcBorders>
                  <w:vAlign w:val="center"/>
                </w:tcPr>
                <w:p w14:paraId="334E05DF">
                  <w:pPr>
                    <w:pStyle w:val="80"/>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0"/>
                      <w:highlight w:val="none"/>
                      <w:lang w:val="en-US" w:eastAsia="zh-CN"/>
                    </w:rPr>
                  </w:pPr>
                  <w:r>
                    <w:rPr>
                      <w:rFonts w:hint="eastAsia" w:ascii="Times New Roman" w:hAnsi="Times New Roman" w:cs="Times New Roman"/>
                      <w:color w:val="auto"/>
                      <w:szCs w:val="20"/>
                      <w:highlight w:val="none"/>
                      <w:lang w:val="en-US" w:eastAsia="zh-CN"/>
                    </w:rPr>
                    <w:t>74.445</w:t>
                  </w:r>
                </w:p>
              </w:tc>
              <w:tc>
                <w:tcPr>
                  <w:tcW w:w="910" w:type="dxa"/>
                  <w:tcBorders>
                    <w:tl2br w:val="nil"/>
                    <w:tr2bl w:val="nil"/>
                  </w:tcBorders>
                  <w:vAlign w:val="center"/>
                </w:tcPr>
                <w:p w14:paraId="569F255B">
                  <w:pPr>
                    <w:pStyle w:val="80"/>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szCs w:val="20"/>
                      <w:highlight w:val="none"/>
                      <w:lang w:val="en-US" w:eastAsia="zh-CN"/>
                    </w:rPr>
                  </w:pPr>
                  <w:r>
                    <w:rPr>
                      <w:rFonts w:hint="eastAsia" w:ascii="Times New Roman" w:hAnsi="Times New Roman" w:cs="Times New Roman"/>
                      <w:color w:val="auto"/>
                      <w:szCs w:val="20"/>
                      <w:highlight w:val="none"/>
                      <w:lang w:val="en-US" w:eastAsia="zh-CN"/>
                    </w:rPr>
                    <w:t>76.825</w:t>
                  </w:r>
                </w:p>
              </w:tc>
              <w:tc>
                <w:tcPr>
                  <w:tcW w:w="1929" w:type="dxa"/>
                  <w:tcBorders>
                    <w:tl2br w:val="nil"/>
                    <w:tr2bl w:val="nil"/>
                  </w:tcBorders>
                  <w:vAlign w:val="center"/>
                </w:tcPr>
                <w:p w14:paraId="24FB8E10">
                  <w:pPr>
                    <w:pStyle w:val="80"/>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0"/>
                      <w:highlight w:val="none"/>
                      <w:lang w:val="en-US" w:eastAsia="zh-CN"/>
                    </w:rPr>
                  </w:pPr>
                  <w:r>
                    <w:rPr>
                      <w:rFonts w:hint="eastAsia" w:ascii="Times New Roman" w:hAnsi="Times New Roman" w:cs="Times New Roman"/>
                      <w:color w:val="auto"/>
                      <w:szCs w:val="20"/>
                      <w:highlight w:val="none"/>
                      <w:lang w:val="en-US" w:eastAsia="zh-CN"/>
                    </w:rPr>
                    <w:t>40.0075</w:t>
                  </w:r>
                </w:p>
              </w:tc>
              <w:tc>
                <w:tcPr>
                  <w:tcW w:w="1212" w:type="dxa"/>
                  <w:tcBorders>
                    <w:tl2br w:val="nil"/>
                    <w:tr2bl w:val="nil"/>
                  </w:tcBorders>
                  <w:vAlign w:val="center"/>
                </w:tcPr>
                <w:p w14:paraId="77A07D47">
                  <w:pPr>
                    <w:pStyle w:val="80"/>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0"/>
                      <w:highlight w:val="none"/>
                      <w:lang w:val="en-US" w:eastAsia="zh-CN"/>
                    </w:rPr>
                  </w:pPr>
                  <w:r>
                    <w:rPr>
                      <w:rFonts w:hint="eastAsia" w:ascii="Times New Roman" w:hAnsi="Times New Roman" w:cs="Times New Roman"/>
                      <w:color w:val="auto"/>
                      <w:szCs w:val="20"/>
                      <w:highlight w:val="none"/>
                      <w:lang w:val="en-US" w:eastAsia="zh-CN"/>
                    </w:rPr>
                    <w:t>34.4375</w:t>
                  </w:r>
                </w:p>
              </w:tc>
            </w:tr>
          </w:tbl>
          <w:p w14:paraId="23B9DB91">
            <w:pPr>
              <w:pStyle w:val="36"/>
              <w:keepNext w:val="0"/>
              <w:keepLines w:val="0"/>
              <w:suppressLineNumbers w:val="0"/>
              <w:spacing w:before="0" w:beforeAutospacing="0" w:after="0" w:afterAutospacing="0"/>
              <w:ind w:left="0" w:leftChars="0" w:right="0" w:firstLine="0" w:firstLineChars="0"/>
              <w:jc w:val="center"/>
              <w:rPr>
                <w:rFonts w:hint="eastAsia"/>
                <w:b/>
                <w:bCs/>
                <w:color w:val="auto"/>
                <w:szCs w:val="24"/>
                <w:highlight w:val="none"/>
              </w:rPr>
            </w:pPr>
            <w:r>
              <w:rPr>
                <w:rFonts w:hint="eastAsia"/>
                <w:b/>
                <w:bCs/>
                <w:color w:val="auto"/>
                <w:szCs w:val="24"/>
                <w:highlight w:val="none"/>
              </w:rPr>
              <w:object>
                <v:shape id="_x0000_i1025" o:spt="75" type="#_x0000_t75" style="height:203pt;width:424.45pt;" o:ole="t" filled="f" o:preferrelative="t" stroked="f" coordsize="21600,21600">
                  <v:path/>
                  <v:fill on="f" focussize="0,0"/>
                  <v:stroke on="f"/>
                  <v:imagedata r:id="rId17" o:title=""/>
                  <o:lock v:ext="edit" aspectratio="f"/>
                  <w10:wrap type="none"/>
                  <w10:anchorlock/>
                </v:shape>
                <o:OLEObject Type="Embed" ProgID="Visio.Drawing.11" ShapeID="_x0000_i1025" DrawAspect="Content" ObjectID="_1468075725" r:id="rId16">
                  <o:LockedField>false</o:LockedField>
                </o:OLEObject>
              </w:object>
            </w:r>
          </w:p>
          <w:p w14:paraId="2AD5987A">
            <w:pPr>
              <w:pStyle w:val="36"/>
              <w:keepNext w:val="0"/>
              <w:keepLines w:val="0"/>
              <w:suppressLineNumbers w:val="0"/>
              <w:spacing w:before="0" w:beforeAutospacing="0" w:after="0" w:afterAutospacing="0"/>
              <w:ind w:left="0" w:leftChars="0" w:right="0" w:firstLine="0" w:firstLineChars="0"/>
              <w:jc w:val="center"/>
              <w:rPr>
                <w:rFonts w:hint="default"/>
                <w:b/>
                <w:bCs/>
                <w:color w:val="auto"/>
                <w:szCs w:val="24"/>
                <w:highlight w:val="none"/>
              </w:rPr>
            </w:pPr>
            <w:r>
              <w:rPr>
                <w:rFonts w:hint="eastAsia"/>
                <w:b/>
                <w:bCs/>
                <w:color w:val="auto"/>
                <w:szCs w:val="24"/>
                <w:highlight w:val="none"/>
              </w:rPr>
              <w:t>图2-1  水平衡图 （</w:t>
            </w:r>
            <w:r>
              <w:rPr>
                <w:rFonts w:hint="default"/>
                <w:b/>
                <w:bCs/>
                <w:color w:val="auto"/>
                <w:szCs w:val="24"/>
                <w:highlight w:val="none"/>
              </w:rPr>
              <w:t>m</w:t>
            </w:r>
            <w:r>
              <w:rPr>
                <w:rFonts w:hint="default"/>
                <w:b/>
                <w:bCs/>
                <w:color w:val="auto"/>
                <w:szCs w:val="24"/>
                <w:highlight w:val="none"/>
                <w:vertAlign w:val="superscript"/>
              </w:rPr>
              <w:t>3</w:t>
            </w:r>
            <w:r>
              <w:rPr>
                <w:rFonts w:hint="default"/>
                <w:b/>
                <w:bCs/>
                <w:color w:val="auto"/>
                <w:szCs w:val="24"/>
                <w:highlight w:val="none"/>
              </w:rPr>
              <w:t>/</w:t>
            </w:r>
            <w:r>
              <w:rPr>
                <w:rFonts w:hint="eastAsia"/>
                <w:b/>
                <w:bCs/>
                <w:color w:val="auto"/>
                <w:szCs w:val="24"/>
                <w:highlight w:val="none"/>
                <w:lang w:val="en-US" w:eastAsia="zh-CN"/>
              </w:rPr>
              <w:t>d</w:t>
            </w:r>
            <w:r>
              <w:rPr>
                <w:rFonts w:hint="eastAsia"/>
                <w:b/>
                <w:bCs/>
                <w:color w:val="auto"/>
                <w:szCs w:val="24"/>
                <w:highlight w:val="none"/>
              </w:rPr>
              <w:t>）</w:t>
            </w:r>
          </w:p>
          <w:p w14:paraId="7599B860">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2、</w:t>
            </w:r>
            <w:r>
              <w:rPr>
                <w:rFonts w:hint="default"/>
                <w:color w:val="auto"/>
                <w:highlight w:val="none"/>
              </w:rPr>
              <w:t>供电</w:t>
            </w:r>
          </w:p>
          <w:p w14:paraId="28F3710C">
            <w:pPr>
              <w:keepNext w:val="0"/>
              <w:keepLines w:val="0"/>
              <w:suppressLineNumbers w:val="0"/>
              <w:spacing w:before="0" w:beforeAutospacing="0" w:after="0" w:afterAutospacing="0"/>
              <w:ind w:left="0" w:right="0" w:firstLine="480"/>
              <w:outlineLvl w:val="2"/>
              <w:rPr>
                <w:rFonts w:hint="default"/>
                <w:color w:val="auto"/>
                <w:highlight w:val="none"/>
              </w:rPr>
            </w:pPr>
            <w:r>
              <w:rPr>
                <w:rFonts w:hint="default"/>
                <w:color w:val="auto"/>
                <w:highlight w:val="none"/>
              </w:rPr>
              <w:t>项目</w:t>
            </w:r>
            <w:r>
              <w:rPr>
                <w:rFonts w:hint="eastAsia"/>
                <w:color w:val="auto"/>
                <w:highlight w:val="none"/>
              </w:rPr>
              <w:t>生产和办公用电由市政电网供电。项目不设备用发电机</w:t>
            </w:r>
            <w:r>
              <w:rPr>
                <w:rFonts w:hint="default"/>
                <w:color w:val="auto"/>
                <w:highlight w:val="none"/>
              </w:rPr>
              <w:t>。</w:t>
            </w:r>
          </w:p>
          <w:p w14:paraId="0B535987">
            <w:pPr>
              <w:keepNext w:val="0"/>
              <w:keepLines w:val="0"/>
              <w:suppressLineNumbers w:val="0"/>
              <w:autoSpaceDE w:val="0"/>
              <w:autoSpaceDN w:val="0"/>
              <w:spacing w:before="0" w:beforeAutospacing="0" w:after="0" w:afterAutospacing="0"/>
              <w:ind w:left="0" w:right="0" w:firstLine="480"/>
              <w:contextualSpacing/>
              <w:rPr>
                <w:rFonts w:hint="default"/>
                <w:color w:val="auto"/>
                <w:highlight w:val="none"/>
              </w:rPr>
            </w:pPr>
            <w:r>
              <w:rPr>
                <w:rFonts w:hint="eastAsia"/>
                <w:color w:val="auto"/>
                <w:highlight w:val="none"/>
              </w:rPr>
              <w:t>3</w:t>
            </w:r>
            <w:r>
              <w:rPr>
                <w:rFonts w:hint="default"/>
                <w:color w:val="auto"/>
                <w:highlight w:val="none"/>
              </w:rPr>
              <w:t>、</w:t>
            </w:r>
            <w:r>
              <w:rPr>
                <w:rFonts w:hint="eastAsia"/>
                <w:color w:val="auto"/>
                <w:highlight w:val="none"/>
              </w:rPr>
              <w:t>供暖、制冷</w:t>
            </w:r>
          </w:p>
          <w:p w14:paraId="4D2B2494">
            <w:pPr>
              <w:keepNext w:val="0"/>
              <w:keepLines w:val="0"/>
              <w:suppressLineNumbers w:val="0"/>
              <w:spacing w:before="0" w:beforeAutospacing="0" w:after="0" w:afterAutospacing="0"/>
              <w:ind w:left="0" w:right="0" w:firstLine="480"/>
              <w:outlineLvl w:val="2"/>
              <w:rPr>
                <w:rFonts w:hint="default"/>
                <w:color w:val="auto"/>
                <w:highlight w:val="none"/>
                <w:lang w:eastAsia="zh-CN"/>
              </w:rPr>
            </w:pPr>
            <w:r>
              <w:rPr>
                <w:rFonts w:hint="default"/>
                <w:color w:val="auto"/>
                <w:highlight w:val="none"/>
                <w:lang w:eastAsia="zh-CN"/>
              </w:rPr>
              <w:t>加工过程中，炒制</w:t>
            </w:r>
            <w:r>
              <w:rPr>
                <w:rFonts w:hint="default"/>
                <w:color w:val="auto"/>
                <w:highlight w:val="none"/>
                <w:lang w:val="en-US" w:eastAsia="zh-CN"/>
              </w:rPr>
              <w:t>燃料采用</w:t>
            </w:r>
            <w:r>
              <w:rPr>
                <w:rFonts w:hint="default"/>
                <w:color w:val="auto"/>
                <w:highlight w:val="none"/>
                <w:lang w:eastAsia="zh-CN"/>
              </w:rPr>
              <w:t>天然气，蒸、煮等采用自建锅炉蒸汽供热，其他采用电加热；生产制冷采用制冷机组；制冷剂为R404A</w:t>
            </w:r>
            <w:r>
              <w:rPr>
                <w:rFonts w:hint="eastAsia"/>
                <w:color w:val="auto"/>
                <w:highlight w:val="none"/>
                <w:lang w:eastAsia="zh-CN"/>
              </w:rPr>
              <w:t>。</w:t>
            </w:r>
          </w:p>
          <w:p w14:paraId="44BBC7B9">
            <w:pPr>
              <w:keepNext w:val="0"/>
              <w:keepLines w:val="0"/>
              <w:suppressLineNumbers w:val="0"/>
              <w:spacing w:before="0" w:beforeAutospacing="0" w:after="0" w:afterAutospacing="0"/>
              <w:ind w:left="0" w:right="0" w:firstLine="480"/>
              <w:outlineLvl w:val="2"/>
              <w:rPr>
                <w:rFonts w:hint="default"/>
                <w:color w:val="auto"/>
                <w:highlight w:val="none"/>
              </w:rPr>
            </w:pPr>
            <w:r>
              <w:rPr>
                <w:rFonts w:hint="default"/>
                <w:color w:val="auto"/>
                <w:highlight w:val="none"/>
                <w:lang w:eastAsia="zh-CN"/>
              </w:rPr>
              <w:t>厂房内冬季采暖，夏季制冷均采用中央空调系统</w:t>
            </w:r>
            <w:r>
              <w:rPr>
                <w:rFonts w:hint="eastAsia"/>
                <w:color w:val="auto"/>
                <w:highlight w:val="none"/>
              </w:rPr>
              <w:t>。</w:t>
            </w:r>
          </w:p>
        </w:tc>
      </w:tr>
      <w:tr w14:paraId="0B794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trPr>
        <w:tc>
          <w:tcPr>
            <w:tcW w:w="817" w:type="dxa"/>
          </w:tcPr>
          <w:p w14:paraId="000E0C6F">
            <w:pPr>
              <w:pStyle w:val="32"/>
              <w:keepNext w:val="0"/>
              <w:keepLines w:val="0"/>
              <w:suppressLineNumbers w:val="0"/>
              <w:adjustRightInd w:val="0"/>
              <w:snapToGrid w:val="0"/>
              <w:spacing w:before="0" w:beforeAutospacing="0" w:after="0" w:afterAutospacing="0"/>
              <w:ind w:left="0" w:right="0" w:firstLine="0" w:firstLineChars="0"/>
              <w:jc w:val="left"/>
              <w:rPr>
                <w:rFonts w:hint="default" w:ascii="Times New Roman" w:hAnsi="Times New Roman"/>
                <w:color w:val="auto"/>
                <w:sz w:val="21"/>
                <w:szCs w:val="21"/>
                <w:highlight w:val="none"/>
              </w:rPr>
            </w:pPr>
            <w:r>
              <w:rPr>
                <w:rFonts w:hint="default" w:ascii="Times New Roman" w:hAnsi="Times New Roman"/>
                <w:bCs/>
                <w:color w:val="auto"/>
                <w:kern w:val="2"/>
                <w:szCs w:val="24"/>
                <w:highlight w:val="none"/>
              </w:rPr>
              <w:t>工艺流程和产排污环节</w:t>
            </w:r>
          </w:p>
        </w:tc>
        <w:tc>
          <w:tcPr>
            <w:tcW w:w="8300" w:type="dxa"/>
          </w:tcPr>
          <w:p w14:paraId="64F5C214">
            <w:pPr>
              <w:keepNext w:val="0"/>
              <w:keepLines w:val="0"/>
              <w:suppressLineNumbers w:val="0"/>
              <w:spacing w:before="0" w:beforeAutospacing="0" w:after="0" w:afterAutospacing="0"/>
              <w:ind w:left="0" w:right="0" w:firstLine="482"/>
              <w:rPr>
                <w:rFonts w:hint="default"/>
                <w:b/>
                <w:bCs/>
                <w:color w:val="auto"/>
                <w:highlight w:val="none"/>
              </w:rPr>
            </w:pPr>
            <w:r>
              <w:rPr>
                <w:rFonts w:hint="eastAsia"/>
                <w:b/>
                <w:bCs/>
                <w:color w:val="auto"/>
                <w:highlight w:val="none"/>
              </w:rPr>
              <w:t>一</w:t>
            </w:r>
            <w:r>
              <w:rPr>
                <w:rFonts w:hint="default"/>
                <w:b/>
                <w:bCs/>
                <w:color w:val="auto"/>
                <w:highlight w:val="none"/>
              </w:rPr>
              <w:t>、施工期工艺流程</w:t>
            </w:r>
          </w:p>
          <w:p w14:paraId="7F23ABF1">
            <w:pPr>
              <w:pStyle w:val="7"/>
              <w:keepNext w:val="0"/>
              <w:keepLines w:val="0"/>
              <w:suppressLineNumbers w:val="0"/>
              <w:spacing w:before="0" w:beforeAutospacing="0" w:after="0" w:afterAutospacing="0"/>
              <w:ind w:left="0" w:right="0" w:firstLine="480"/>
              <w:rPr>
                <w:rFonts w:hint="default"/>
                <w:color w:val="auto"/>
                <w:sz w:val="24"/>
                <w:szCs w:val="24"/>
                <w:highlight w:val="none"/>
              </w:rPr>
            </w:pPr>
            <w:r>
              <w:rPr>
                <w:rFonts w:hint="default"/>
                <w:color w:val="auto"/>
                <w:sz w:val="24"/>
                <w:szCs w:val="24"/>
                <w:highlight w:val="none"/>
              </w:rPr>
              <w:t>本项目</w:t>
            </w:r>
            <w:r>
              <w:rPr>
                <w:rFonts w:hint="eastAsia"/>
                <w:color w:val="auto"/>
                <w:sz w:val="24"/>
                <w:szCs w:val="24"/>
                <w:highlight w:val="none"/>
                <w:lang w:val="en-US" w:eastAsia="zh-CN"/>
              </w:rPr>
              <w:t>在已有</w:t>
            </w:r>
            <w:r>
              <w:rPr>
                <w:rFonts w:hint="eastAsia"/>
                <w:color w:val="auto"/>
                <w:sz w:val="24"/>
                <w:szCs w:val="24"/>
                <w:highlight w:val="none"/>
              </w:rPr>
              <w:t>空</w:t>
            </w:r>
            <w:r>
              <w:rPr>
                <w:rFonts w:hint="default"/>
                <w:color w:val="auto"/>
                <w:sz w:val="24"/>
                <w:szCs w:val="24"/>
                <w:highlight w:val="none"/>
              </w:rPr>
              <w:t>厂房</w:t>
            </w:r>
            <w:r>
              <w:rPr>
                <w:rFonts w:hint="eastAsia"/>
                <w:color w:val="auto"/>
                <w:sz w:val="24"/>
                <w:szCs w:val="24"/>
                <w:highlight w:val="none"/>
                <w:lang w:val="en-US" w:eastAsia="zh-CN"/>
              </w:rPr>
              <w:t>内</w:t>
            </w:r>
            <w:r>
              <w:rPr>
                <w:rFonts w:hint="default"/>
                <w:color w:val="auto"/>
                <w:sz w:val="24"/>
                <w:szCs w:val="24"/>
                <w:highlight w:val="none"/>
              </w:rPr>
              <w:t>进行建设，不涉及</w:t>
            </w:r>
            <w:r>
              <w:rPr>
                <w:rFonts w:hint="eastAsia"/>
                <w:color w:val="auto"/>
                <w:sz w:val="24"/>
                <w:szCs w:val="24"/>
                <w:highlight w:val="none"/>
                <w:lang w:val="en-US" w:eastAsia="zh-CN"/>
              </w:rPr>
              <w:t>土建施工</w:t>
            </w:r>
            <w:r>
              <w:rPr>
                <w:rFonts w:hint="default"/>
                <w:color w:val="auto"/>
                <w:sz w:val="24"/>
                <w:szCs w:val="24"/>
                <w:highlight w:val="none"/>
              </w:rPr>
              <w:t>，施工期仅进行局部装修、设备安装等，</w:t>
            </w:r>
            <w:r>
              <w:rPr>
                <w:rFonts w:hint="eastAsia"/>
                <w:color w:val="auto"/>
                <w:sz w:val="24"/>
                <w:szCs w:val="24"/>
                <w:highlight w:val="none"/>
                <w:lang w:val="en-US" w:eastAsia="zh-CN"/>
              </w:rPr>
              <w:t>主要产污包括：</w:t>
            </w:r>
          </w:p>
          <w:p w14:paraId="2129FAE2">
            <w:pPr>
              <w:keepNext w:val="0"/>
              <w:keepLines w:val="0"/>
              <w:suppressLineNumbers w:val="0"/>
              <w:adjustRightInd w:val="0"/>
              <w:snapToGrid w:val="0"/>
              <w:spacing w:before="0" w:beforeAutospacing="0" w:after="0" w:afterAutospacing="0"/>
              <w:ind w:left="0" w:right="0" w:firstLine="480"/>
              <w:rPr>
                <w:rFonts w:hint="default"/>
                <w:bCs/>
                <w:color w:val="auto"/>
                <w:highlight w:val="none"/>
              </w:rPr>
            </w:pPr>
            <w:r>
              <w:rPr>
                <w:rFonts w:hint="default"/>
                <w:bCs/>
                <w:color w:val="auto"/>
                <w:highlight w:val="none"/>
              </w:rPr>
              <w:t>1</w:t>
            </w:r>
            <w:r>
              <w:rPr>
                <w:rFonts w:hint="eastAsia"/>
                <w:bCs/>
                <w:color w:val="auto"/>
                <w:highlight w:val="none"/>
              </w:rPr>
              <w:t>、</w:t>
            </w:r>
            <w:r>
              <w:rPr>
                <w:rFonts w:hint="default"/>
                <w:bCs/>
                <w:color w:val="auto"/>
                <w:highlight w:val="none"/>
              </w:rPr>
              <w:t>厂房装修</w:t>
            </w:r>
          </w:p>
          <w:p w14:paraId="46578926">
            <w:pPr>
              <w:keepNext w:val="0"/>
              <w:keepLines w:val="0"/>
              <w:suppressLineNumbers w:val="0"/>
              <w:adjustRightInd w:val="0"/>
              <w:snapToGrid w:val="0"/>
              <w:spacing w:before="0" w:beforeAutospacing="0" w:after="0" w:afterAutospacing="0"/>
              <w:ind w:left="0" w:right="0" w:firstLine="480"/>
              <w:rPr>
                <w:rFonts w:hint="default"/>
                <w:bCs/>
                <w:color w:val="auto"/>
                <w:highlight w:val="none"/>
              </w:rPr>
            </w:pPr>
            <w:r>
              <w:rPr>
                <w:rFonts w:hint="default"/>
                <w:bCs/>
                <w:color w:val="auto"/>
                <w:highlight w:val="none"/>
              </w:rPr>
              <w:t>厂房装修期间</w:t>
            </w:r>
            <w:r>
              <w:rPr>
                <w:rFonts w:hint="eastAsia"/>
                <w:bCs/>
                <w:color w:val="auto"/>
                <w:highlight w:val="none"/>
              </w:rPr>
              <w:t>会</w:t>
            </w:r>
            <w:r>
              <w:rPr>
                <w:rFonts w:hint="default"/>
                <w:bCs/>
                <w:color w:val="auto"/>
                <w:highlight w:val="none"/>
              </w:rPr>
              <w:t>产生少量的装修废气</w:t>
            </w:r>
            <w:r>
              <w:rPr>
                <w:rFonts w:hint="eastAsia"/>
                <w:bCs/>
                <w:color w:val="auto"/>
                <w:highlight w:val="none"/>
              </w:rPr>
              <w:t>、</w:t>
            </w:r>
            <w:r>
              <w:rPr>
                <w:rFonts w:hint="default"/>
                <w:bCs/>
                <w:color w:val="auto"/>
                <w:highlight w:val="none"/>
              </w:rPr>
              <w:t>噪声和</w:t>
            </w:r>
            <w:r>
              <w:rPr>
                <w:rFonts w:hint="eastAsia"/>
                <w:bCs/>
                <w:color w:val="auto"/>
                <w:highlight w:val="none"/>
              </w:rPr>
              <w:t>一些</w:t>
            </w:r>
            <w:r>
              <w:rPr>
                <w:rFonts w:hint="default"/>
                <w:bCs/>
                <w:color w:val="auto"/>
                <w:highlight w:val="none"/>
              </w:rPr>
              <w:t>建筑垃圾。</w:t>
            </w:r>
          </w:p>
          <w:p w14:paraId="00D7435E">
            <w:pPr>
              <w:keepNext w:val="0"/>
              <w:keepLines w:val="0"/>
              <w:suppressLineNumbers w:val="0"/>
              <w:adjustRightInd w:val="0"/>
              <w:snapToGrid w:val="0"/>
              <w:spacing w:before="0" w:beforeAutospacing="0" w:after="0" w:afterAutospacing="0"/>
              <w:ind w:left="0" w:right="0" w:firstLine="480"/>
              <w:rPr>
                <w:rFonts w:hint="default"/>
                <w:bCs/>
                <w:color w:val="auto"/>
                <w:highlight w:val="none"/>
              </w:rPr>
            </w:pPr>
            <w:r>
              <w:rPr>
                <w:rFonts w:hint="default"/>
                <w:bCs/>
                <w:color w:val="auto"/>
                <w:highlight w:val="none"/>
              </w:rPr>
              <w:t>2</w:t>
            </w:r>
            <w:r>
              <w:rPr>
                <w:rFonts w:hint="eastAsia"/>
                <w:bCs/>
                <w:color w:val="auto"/>
                <w:highlight w:val="none"/>
              </w:rPr>
              <w:t>、</w:t>
            </w:r>
            <w:r>
              <w:rPr>
                <w:rFonts w:hint="default"/>
                <w:bCs/>
                <w:color w:val="auto"/>
                <w:highlight w:val="none"/>
              </w:rPr>
              <w:t>设备安装</w:t>
            </w:r>
          </w:p>
          <w:p w14:paraId="44B6F7EF">
            <w:pPr>
              <w:pStyle w:val="18"/>
              <w:keepNext w:val="0"/>
              <w:keepLines w:val="0"/>
              <w:suppressLineNumbers w:val="0"/>
              <w:spacing w:before="0" w:beforeAutospacing="0" w:after="0" w:afterAutospacing="0"/>
              <w:ind w:left="0" w:right="0" w:firstLine="480"/>
              <w:rPr>
                <w:rFonts w:hint="eastAsia" w:ascii="宋体" w:eastAsia="宋体" w:cs="Times New Roman"/>
                <w:color w:val="auto"/>
                <w:sz w:val="24"/>
                <w:lang w:val="en-US" w:eastAsia="zh-CN"/>
              </w:rPr>
            </w:pPr>
            <w:r>
              <w:rPr>
                <w:rFonts w:hint="default" w:ascii="宋体" w:eastAsia="宋体" w:cs="Times New Roman"/>
                <w:color w:val="auto"/>
                <w:sz w:val="24"/>
              </w:rPr>
              <w:t>设备安装期间</w:t>
            </w:r>
            <w:r>
              <w:rPr>
                <w:rFonts w:hint="eastAsia" w:ascii="宋体" w:eastAsia="宋体" w:cs="Times New Roman"/>
                <w:color w:val="auto"/>
                <w:sz w:val="24"/>
              </w:rPr>
              <w:t>会</w:t>
            </w:r>
            <w:r>
              <w:rPr>
                <w:rFonts w:hint="default" w:ascii="宋体" w:eastAsia="宋体" w:cs="Times New Roman"/>
                <w:color w:val="auto"/>
                <w:sz w:val="24"/>
              </w:rPr>
              <w:t>产生噪声及少量的包装</w:t>
            </w:r>
            <w:r>
              <w:rPr>
                <w:rFonts w:hint="eastAsia" w:ascii="宋体" w:eastAsia="宋体" w:cs="Times New Roman"/>
                <w:color w:val="auto"/>
                <w:sz w:val="24"/>
              </w:rPr>
              <w:t>废弃</w:t>
            </w:r>
            <w:r>
              <w:rPr>
                <w:rFonts w:hint="default" w:ascii="宋体" w:eastAsia="宋体" w:cs="Times New Roman"/>
                <w:color w:val="auto"/>
                <w:sz w:val="24"/>
              </w:rPr>
              <w:t>物。</w:t>
            </w:r>
          </w:p>
          <w:p w14:paraId="5270D190">
            <w:pPr>
              <w:keepNext w:val="0"/>
              <w:keepLines w:val="0"/>
              <w:suppressLineNumbers w:val="0"/>
              <w:spacing w:before="0" w:beforeAutospacing="0" w:after="0" w:afterAutospacing="0"/>
              <w:ind w:left="0" w:right="0" w:firstLine="482"/>
              <w:rPr>
                <w:rFonts w:hint="default"/>
                <w:b/>
                <w:bCs/>
                <w:color w:val="auto"/>
                <w:kern w:val="0"/>
                <w:szCs w:val="21"/>
                <w:highlight w:val="none"/>
                <w:lang w:bidi="ar"/>
              </w:rPr>
            </w:pPr>
            <w:r>
              <w:rPr>
                <w:rFonts w:hint="eastAsia"/>
                <w:b/>
                <w:bCs/>
                <w:color w:val="auto"/>
                <w:highlight w:val="none"/>
              </w:rPr>
              <w:t>二、</w:t>
            </w:r>
            <w:r>
              <w:rPr>
                <w:rFonts w:hint="default"/>
                <w:b/>
                <w:bCs/>
                <w:color w:val="auto"/>
                <w:highlight w:val="none"/>
              </w:rPr>
              <w:t>运营期工艺流程</w:t>
            </w:r>
          </w:p>
          <w:p w14:paraId="164094FD">
            <w:pPr>
              <w:pStyle w:val="18"/>
              <w:keepNext w:val="0"/>
              <w:keepLines w:val="0"/>
              <w:suppressLineNumbers w:val="0"/>
              <w:spacing w:before="0" w:beforeAutospacing="0" w:after="0" w:afterAutospacing="0"/>
              <w:ind w:left="0" w:right="0" w:firstLine="480"/>
              <w:rPr>
                <w:rFonts w:hint="default" w:ascii="Times New Roman"/>
                <w:bCs/>
                <w:color w:val="auto"/>
                <w:szCs w:val="24"/>
                <w:highlight w:val="none"/>
              </w:rPr>
            </w:pPr>
            <w:r>
              <w:rPr>
                <w:rFonts w:hint="eastAsia"/>
                <w:color w:val="auto"/>
                <w:sz w:val="24"/>
              </w:rPr>
              <w:t>本项目</w:t>
            </w:r>
            <w:r>
              <w:rPr>
                <w:rFonts w:hint="eastAsia"/>
                <w:color w:val="auto"/>
                <w:sz w:val="24"/>
                <w:lang w:val="en-US" w:eastAsia="zh-CN"/>
              </w:rPr>
              <w:t>使用的</w:t>
            </w:r>
            <w:r>
              <w:rPr>
                <w:rFonts w:hint="eastAsia"/>
                <w:color w:val="auto"/>
                <w:sz w:val="24"/>
              </w:rPr>
              <w:t>原材料</w:t>
            </w:r>
            <w:r>
              <w:rPr>
                <w:rFonts w:hint="eastAsia"/>
                <w:color w:val="auto"/>
                <w:sz w:val="24"/>
                <w:lang w:val="en-US" w:eastAsia="zh-CN"/>
              </w:rPr>
              <w:t>主要为面粉、米、配料及其他调料等</w:t>
            </w:r>
            <w:r>
              <w:rPr>
                <w:rFonts w:hint="eastAsia"/>
                <w:color w:val="auto"/>
                <w:sz w:val="24"/>
                <w:highlight w:val="none"/>
                <w:lang w:eastAsia="zh-CN"/>
              </w:rPr>
              <w:t>，</w:t>
            </w:r>
            <w:r>
              <w:rPr>
                <w:rFonts w:hint="eastAsia"/>
                <w:color w:val="auto"/>
                <w:sz w:val="24"/>
              </w:rPr>
              <w:t>生产</w:t>
            </w:r>
            <w:r>
              <w:rPr>
                <w:rFonts w:hint="default"/>
                <w:color w:val="auto"/>
                <w:sz w:val="24"/>
              </w:rPr>
              <w:t>工序较为简单</w:t>
            </w:r>
            <w:r>
              <w:rPr>
                <w:rFonts w:hint="eastAsia"/>
                <w:color w:val="auto"/>
                <w:sz w:val="24"/>
              </w:rPr>
              <w:t>，</w:t>
            </w:r>
            <w:r>
              <w:rPr>
                <w:rFonts w:hint="default"/>
                <w:color w:val="auto"/>
                <w:sz w:val="24"/>
              </w:rPr>
              <w:t>生产过程</w:t>
            </w:r>
            <w:r>
              <w:rPr>
                <w:rFonts w:hint="eastAsia"/>
                <w:color w:val="auto"/>
                <w:sz w:val="24"/>
                <w:lang w:val="en-US" w:eastAsia="zh-CN"/>
              </w:rPr>
              <w:t>多</w:t>
            </w:r>
            <w:r>
              <w:rPr>
                <w:rFonts w:hint="default"/>
                <w:color w:val="auto"/>
                <w:sz w:val="24"/>
              </w:rPr>
              <w:t>为物理加工过程</w:t>
            </w:r>
            <w:r>
              <w:rPr>
                <w:rFonts w:hint="eastAsia"/>
                <w:color w:val="auto"/>
                <w:sz w:val="24"/>
              </w:rPr>
              <w:t>。</w:t>
            </w:r>
          </w:p>
          <w:p w14:paraId="023795A6">
            <w:pPr>
              <w:pStyle w:val="18"/>
              <w:keepNext w:val="0"/>
              <w:keepLines w:val="0"/>
              <w:suppressLineNumbers w:val="0"/>
              <w:spacing w:before="0" w:beforeAutospacing="0" w:after="0" w:afterAutospacing="0"/>
              <w:ind w:left="0" w:right="0" w:firstLine="480"/>
              <w:rPr>
                <w:rFonts w:hint="eastAsia"/>
                <w:color w:val="auto"/>
                <w:sz w:val="24"/>
                <w:lang w:val="en-US" w:eastAsia="zh-CN"/>
              </w:rPr>
            </w:pPr>
            <w:r>
              <w:rPr>
                <w:rFonts w:hint="default" w:ascii="Times New Roman" w:hAnsi="Times New Roman" w:cs="Times New Roman"/>
                <w:color w:val="auto"/>
                <w:sz w:val="24"/>
                <w:lang w:val="en-US" w:eastAsia="zh-CN"/>
              </w:rPr>
              <w:t>1、凉皮、面条生</w:t>
            </w:r>
            <w:r>
              <w:rPr>
                <w:rFonts w:hint="eastAsia"/>
                <w:color w:val="auto"/>
                <w:sz w:val="24"/>
                <w:lang w:val="en-US" w:eastAsia="zh-CN"/>
              </w:rPr>
              <w:t>产工艺流程</w:t>
            </w:r>
          </w:p>
          <w:p w14:paraId="6E1D56EA">
            <w:pPr>
              <w:pStyle w:val="18"/>
              <w:keepNext w:val="0"/>
              <w:keepLines w:val="0"/>
              <w:suppressLineNumbers w:val="0"/>
              <w:spacing w:before="0" w:beforeAutospacing="0" w:after="0" w:afterAutospacing="0"/>
              <w:ind w:left="0" w:right="0" w:firstLine="480"/>
              <w:rPr>
                <w:rFonts w:hint="default" w:ascii="Times New Roman"/>
                <w:bCs/>
                <w:color w:val="auto"/>
                <w:szCs w:val="24"/>
                <w:highlight w:val="none"/>
              </w:rPr>
            </w:pPr>
            <w:r>
              <w:rPr>
                <w:rFonts w:hint="eastAsia" w:ascii="Times New Roman"/>
                <w:bCs/>
                <w:color w:val="auto"/>
                <w:szCs w:val="24"/>
                <w:highlight w:val="none"/>
              </w:rPr>
              <w:t>工艺流程图如下：</w:t>
            </w:r>
          </w:p>
          <w:p w14:paraId="4CC76772">
            <w:pPr>
              <w:pStyle w:val="36"/>
              <w:keepNext/>
              <w:keepLines/>
              <w:suppressLineNumbers w:val="0"/>
              <w:spacing w:before="0" w:beforeAutospacing="0" w:after="0" w:afterAutospacing="0"/>
              <w:ind w:left="0" w:leftChars="0" w:right="0" w:firstLine="0" w:firstLineChars="0"/>
              <w:jc w:val="center"/>
              <w:rPr>
                <w:rFonts w:hint="eastAsia"/>
                <w:b/>
                <w:bCs/>
                <w:color w:val="auto"/>
                <w:szCs w:val="21"/>
                <w:highlight w:val="none"/>
              </w:rPr>
            </w:pPr>
            <w:r>
              <w:rPr>
                <w:rFonts w:hint="eastAsia"/>
                <w:b/>
                <w:bCs/>
                <w:color w:val="auto"/>
                <w:szCs w:val="21"/>
                <w:highlight w:val="none"/>
              </w:rPr>
              <w:object>
                <v:shape id="_x0000_i1026" o:spt="75" type="#_x0000_t75" style="height:218.8pt;width:406.3pt;" o:ole="t" filled="f" o:preferrelative="t" stroked="f" coordsize="21600,21600">
                  <v:path/>
                  <v:fill on="f" focussize="0,0"/>
                  <v:stroke on="f"/>
                  <v:imagedata r:id="rId19" o:title=""/>
                  <o:lock v:ext="edit" aspectratio="f"/>
                  <w10:wrap type="none"/>
                  <w10:anchorlock/>
                </v:shape>
                <o:OLEObject Type="Embed" ProgID="Visio.Drawing.11" ShapeID="_x0000_i1026" DrawAspect="Content" ObjectID="_1468075726" r:id="rId18">
                  <o:LockedField>false</o:LockedField>
                </o:OLEObject>
              </w:object>
            </w:r>
          </w:p>
          <w:p w14:paraId="0731405C">
            <w:pPr>
              <w:pStyle w:val="36"/>
              <w:keepNext/>
              <w:keepLines/>
              <w:suppressLineNumbers w:val="0"/>
              <w:spacing w:before="0" w:beforeAutospacing="0" w:after="0" w:afterAutospacing="0"/>
              <w:ind w:left="0" w:leftChars="0" w:right="0" w:firstLine="0" w:firstLineChars="0"/>
              <w:jc w:val="center"/>
              <w:rPr>
                <w:rFonts w:hint="default"/>
                <w:b/>
                <w:bCs/>
                <w:color w:val="auto"/>
                <w:szCs w:val="21"/>
                <w:highlight w:val="none"/>
              </w:rPr>
            </w:pPr>
            <w:r>
              <w:rPr>
                <w:rFonts w:hint="eastAsia"/>
                <w:b/>
                <w:bCs/>
                <w:color w:val="auto"/>
                <w:szCs w:val="21"/>
                <w:highlight w:val="none"/>
              </w:rPr>
              <w:t>图2-</w:t>
            </w:r>
            <w:r>
              <w:rPr>
                <w:rFonts w:hint="eastAsia"/>
                <w:b/>
                <w:bCs/>
                <w:color w:val="auto"/>
                <w:szCs w:val="21"/>
                <w:highlight w:val="none"/>
                <w:lang w:val="en-US" w:eastAsia="zh-CN"/>
              </w:rPr>
              <w:t>3</w:t>
            </w:r>
            <w:r>
              <w:rPr>
                <w:rFonts w:hint="eastAsia"/>
                <w:b/>
                <w:bCs/>
                <w:color w:val="auto"/>
                <w:szCs w:val="21"/>
                <w:highlight w:val="none"/>
              </w:rPr>
              <w:t xml:space="preserve">  </w:t>
            </w:r>
            <w:r>
              <w:rPr>
                <w:rFonts w:hint="eastAsia"/>
                <w:b/>
                <w:bCs/>
                <w:color w:val="auto"/>
                <w:szCs w:val="21"/>
                <w:highlight w:val="none"/>
                <w:lang w:val="en-US" w:eastAsia="zh-CN"/>
              </w:rPr>
              <w:t>凉皮、面条</w:t>
            </w:r>
            <w:r>
              <w:rPr>
                <w:rFonts w:hint="eastAsia"/>
                <w:b/>
                <w:bCs/>
                <w:color w:val="auto"/>
                <w:szCs w:val="21"/>
                <w:highlight w:val="none"/>
              </w:rPr>
              <w:t>生产工艺流程及产污环节示意图</w:t>
            </w:r>
          </w:p>
          <w:p w14:paraId="402EA626">
            <w:pPr>
              <w:pStyle w:val="18"/>
              <w:keepNext w:val="0"/>
              <w:keepLines w:val="0"/>
              <w:suppressLineNumbers w:val="0"/>
              <w:spacing w:before="0" w:beforeAutospacing="0" w:after="0" w:afterAutospacing="0"/>
              <w:ind w:left="0" w:right="0" w:firstLine="480"/>
              <w:rPr>
                <w:rFonts w:hint="default" w:ascii="Times New Roman"/>
                <w:bCs/>
                <w:color w:val="auto"/>
                <w:szCs w:val="24"/>
                <w:highlight w:val="none"/>
              </w:rPr>
            </w:pPr>
            <w:r>
              <w:rPr>
                <w:rFonts w:hint="eastAsia" w:ascii="Times New Roman"/>
                <w:bCs/>
                <w:color w:val="auto"/>
                <w:szCs w:val="24"/>
                <w:highlight w:val="none"/>
              </w:rPr>
              <w:t>工艺简述：</w:t>
            </w:r>
          </w:p>
          <w:p w14:paraId="58226CD1">
            <w:pPr>
              <w:keepNext w:val="0"/>
              <w:keepLines w:val="0"/>
              <w:suppressLineNumbers w:val="0"/>
              <w:tabs>
                <w:tab w:val="left" w:pos="4335"/>
              </w:tabs>
              <w:autoSpaceDE w:val="0"/>
              <w:autoSpaceDN w:val="0"/>
              <w:adjustRightInd w:val="0"/>
              <w:spacing w:before="0" w:beforeAutospacing="0" w:after="0" w:afterAutospacing="0" w:line="360" w:lineRule="auto"/>
              <w:ind w:left="0" w:right="0" w:firstLine="480" w:firstLineChars="200"/>
              <w:rPr>
                <w:rFonts w:hint="eastAsia"/>
                <w:color w:val="auto"/>
                <w:sz w:val="24"/>
                <w:szCs w:val="24"/>
              </w:rPr>
            </w:pPr>
            <w:r>
              <w:rPr>
                <w:rFonts w:hint="default"/>
                <w:color w:val="auto"/>
                <w:sz w:val="24"/>
                <w:szCs w:val="24"/>
              </w:rPr>
              <w:fldChar w:fldCharType="begin"/>
            </w:r>
            <w:r>
              <w:rPr>
                <w:rFonts w:hint="default"/>
                <w:color w:val="auto"/>
                <w:sz w:val="24"/>
                <w:szCs w:val="24"/>
              </w:rPr>
              <w:instrText xml:space="preserve"> </w:instrText>
            </w:r>
            <w:r>
              <w:rPr>
                <w:rFonts w:hint="eastAsia"/>
                <w:color w:val="auto"/>
                <w:sz w:val="24"/>
                <w:szCs w:val="24"/>
              </w:rPr>
              <w:instrText xml:space="preserve">= 1 \* GB3</w:instrText>
            </w:r>
            <w:r>
              <w:rPr>
                <w:rFonts w:hint="default"/>
                <w:color w:val="auto"/>
                <w:sz w:val="24"/>
                <w:szCs w:val="24"/>
              </w:rPr>
              <w:instrText xml:space="preserve"> </w:instrText>
            </w:r>
            <w:r>
              <w:rPr>
                <w:rFonts w:hint="default"/>
                <w:color w:val="auto"/>
                <w:sz w:val="24"/>
                <w:szCs w:val="24"/>
              </w:rPr>
              <w:fldChar w:fldCharType="separate"/>
            </w:r>
            <w:r>
              <w:rPr>
                <w:rFonts w:hint="eastAsia"/>
                <w:color w:val="auto"/>
                <w:sz w:val="24"/>
                <w:szCs w:val="24"/>
              </w:rPr>
              <w:t>①</w:t>
            </w:r>
            <w:r>
              <w:rPr>
                <w:rFonts w:hint="default"/>
                <w:color w:val="auto"/>
                <w:sz w:val="24"/>
                <w:szCs w:val="24"/>
              </w:rPr>
              <w:fldChar w:fldCharType="end"/>
            </w:r>
            <w:r>
              <w:rPr>
                <w:rFonts w:hint="default" w:ascii="Times New Roman" w:hAnsi="Times New Roman" w:cs="Times New Roman"/>
                <w:color w:val="auto"/>
                <w:spacing w:val="0"/>
                <w:sz w:val="24"/>
                <w:lang w:val="en-US" w:eastAsia="zh-CN"/>
              </w:rPr>
              <w:t>和面</w:t>
            </w:r>
            <w:r>
              <w:rPr>
                <w:rFonts w:hint="default" w:ascii="Times New Roman" w:hAnsi="Times New Roman" w:cs="Times New Roman"/>
                <w:color w:val="auto"/>
                <w:spacing w:val="0"/>
                <w:sz w:val="24"/>
              </w:rPr>
              <w:t>：将面</w:t>
            </w:r>
            <w:r>
              <w:rPr>
                <w:rFonts w:hint="default" w:ascii="Times New Roman" w:hAnsi="Times New Roman" w:cs="Times New Roman"/>
                <w:color w:val="auto"/>
                <w:spacing w:val="0"/>
                <w:sz w:val="24"/>
                <w:lang w:val="en-US" w:eastAsia="zh-CN"/>
              </w:rPr>
              <w:t>粉</w:t>
            </w:r>
            <w:r>
              <w:rPr>
                <w:rFonts w:hint="default" w:ascii="Times New Roman" w:hAnsi="Times New Roman" w:cs="Times New Roman"/>
                <w:color w:val="auto"/>
                <w:spacing w:val="0"/>
                <w:sz w:val="24"/>
              </w:rPr>
              <w:t>和水按照合适的比例</w:t>
            </w:r>
            <w:r>
              <w:rPr>
                <w:rFonts w:hint="eastAsia" w:cs="Times New Roman"/>
                <w:color w:val="auto"/>
                <w:spacing w:val="0"/>
                <w:sz w:val="24"/>
                <w:lang w:val="en-US" w:eastAsia="zh-CN"/>
              </w:rPr>
              <w:t>加入和面</w:t>
            </w:r>
            <w:r>
              <w:rPr>
                <w:rFonts w:hint="default" w:ascii="Times New Roman" w:hAnsi="Times New Roman" w:cs="Times New Roman"/>
                <w:color w:val="auto"/>
                <w:spacing w:val="0"/>
                <w:sz w:val="24"/>
                <w:lang w:val="en-US" w:eastAsia="zh-CN"/>
              </w:rPr>
              <w:t>机内混合，搅拌至浓稠适宜的面团，面团揉匀后，醒面半小时，</w:t>
            </w:r>
            <w:r>
              <w:rPr>
                <w:rFonts w:hint="default" w:ascii="Times New Roman" w:hAnsi="Times New Roman" w:cs="Times New Roman"/>
                <w:b/>
                <w:bCs/>
                <w:color w:val="auto"/>
                <w:spacing w:val="0"/>
                <w:sz w:val="24"/>
              </w:rPr>
              <w:t>该</w:t>
            </w:r>
            <w:r>
              <w:rPr>
                <w:rFonts w:hint="eastAsia" w:cs="Times New Roman"/>
                <w:b/>
                <w:bCs/>
                <w:color w:val="auto"/>
                <w:spacing w:val="0"/>
                <w:sz w:val="24"/>
                <w:lang w:val="en-US" w:eastAsia="zh-CN"/>
              </w:rPr>
              <w:t>工序</w:t>
            </w:r>
            <w:r>
              <w:rPr>
                <w:rFonts w:hint="default" w:ascii="Times New Roman" w:hAnsi="Times New Roman" w:cs="Times New Roman"/>
                <w:b/>
                <w:bCs/>
                <w:color w:val="auto"/>
                <w:spacing w:val="0"/>
                <w:sz w:val="24"/>
              </w:rPr>
              <w:t>主要产生</w:t>
            </w:r>
            <w:r>
              <w:rPr>
                <w:rFonts w:hint="eastAsia" w:cs="Times New Roman"/>
                <w:b/>
                <w:bCs/>
                <w:color w:val="auto"/>
                <w:spacing w:val="0"/>
                <w:sz w:val="24"/>
                <w:lang w:val="en-US" w:eastAsia="zh-CN"/>
              </w:rPr>
              <w:t>粉尘和</w:t>
            </w:r>
            <w:r>
              <w:rPr>
                <w:rFonts w:hint="default" w:ascii="Times New Roman" w:hAnsi="Times New Roman" w:cs="Times New Roman"/>
                <w:b/>
                <w:bCs/>
                <w:color w:val="auto"/>
                <w:spacing w:val="0"/>
                <w:sz w:val="24"/>
                <w:lang w:val="en-US" w:eastAsia="zh-CN"/>
              </w:rPr>
              <w:t>噪声</w:t>
            </w:r>
            <w:r>
              <w:rPr>
                <w:rFonts w:hint="eastAsia"/>
                <w:color w:val="auto"/>
                <w:sz w:val="24"/>
                <w:szCs w:val="24"/>
              </w:rPr>
              <w:t>。</w:t>
            </w:r>
          </w:p>
          <w:p w14:paraId="2F721F79">
            <w:pPr>
              <w:keepNext w:val="0"/>
              <w:keepLines w:val="0"/>
              <w:suppressLineNumbers w:val="0"/>
              <w:tabs>
                <w:tab w:val="left" w:pos="4335"/>
              </w:tabs>
              <w:autoSpaceDE w:val="0"/>
              <w:autoSpaceDN w:val="0"/>
              <w:adjustRightInd w:val="0"/>
              <w:spacing w:before="0" w:beforeAutospacing="0" w:after="0" w:afterAutospacing="0" w:line="360" w:lineRule="auto"/>
              <w:ind w:left="0" w:right="0" w:firstLine="480" w:firstLineChars="200"/>
              <w:rPr>
                <w:rFonts w:hint="default" w:ascii="宋体" w:hAnsi="宋体" w:eastAsia="宋体" w:cs="宋体"/>
                <w:color w:val="auto"/>
                <w:sz w:val="24"/>
                <w:szCs w:val="24"/>
                <w:lang w:val="en-US" w:eastAsia="zh-CN"/>
              </w:rPr>
            </w:pPr>
            <w:r>
              <w:rPr>
                <w:rFonts w:hint="eastAsia" w:ascii="宋体" w:hAnsi="宋体" w:cs="宋体"/>
                <w:color w:val="auto"/>
                <w:sz w:val="24"/>
                <w:szCs w:val="24"/>
              </w:rPr>
              <w:t>②</w:t>
            </w:r>
            <w:r>
              <w:rPr>
                <w:rFonts w:hint="eastAsia" w:ascii="宋体" w:hAnsi="宋体" w:cs="宋体"/>
                <w:color w:val="auto"/>
                <w:sz w:val="24"/>
                <w:szCs w:val="24"/>
                <w:lang w:val="en-US" w:eastAsia="zh-CN"/>
              </w:rPr>
              <w:t>压延切条：醒发好的面团进入压面机压延后切成指定规格的面条成品，等待包装入库。</w:t>
            </w:r>
            <w:r>
              <w:rPr>
                <w:rFonts w:hint="eastAsia" w:ascii="宋体" w:hAnsi="宋体" w:cs="宋体"/>
                <w:b/>
                <w:bCs/>
                <w:color w:val="auto"/>
                <w:sz w:val="24"/>
                <w:szCs w:val="24"/>
                <w:lang w:val="en-US" w:eastAsia="zh-CN"/>
              </w:rPr>
              <w:t>该</w:t>
            </w:r>
            <w:r>
              <w:rPr>
                <w:rFonts w:hint="eastAsia" w:cs="Times New Roman"/>
                <w:b/>
                <w:bCs/>
                <w:color w:val="auto"/>
                <w:spacing w:val="0"/>
                <w:sz w:val="24"/>
                <w:lang w:val="en-US" w:eastAsia="zh-CN"/>
              </w:rPr>
              <w:t>工序</w:t>
            </w:r>
            <w:r>
              <w:rPr>
                <w:rFonts w:hint="eastAsia" w:ascii="宋体" w:hAnsi="宋体" w:cs="宋体"/>
                <w:b/>
                <w:bCs/>
                <w:color w:val="auto"/>
                <w:sz w:val="24"/>
                <w:szCs w:val="24"/>
                <w:lang w:val="en-US" w:eastAsia="zh-CN"/>
              </w:rPr>
              <w:t>会产生噪声</w:t>
            </w:r>
            <w:r>
              <w:rPr>
                <w:rFonts w:hint="eastAsia" w:ascii="宋体" w:hAnsi="宋体" w:cs="宋体"/>
                <w:color w:val="auto"/>
                <w:sz w:val="24"/>
                <w:szCs w:val="24"/>
                <w:lang w:val="en-US" w:eastAsia="zh-CN"/>
              </w:rPr>
              <w:t>。</w:t>
            </w:r>
          </w:p>
          <w:p w14:paraId="15085EFB">
            <w:pPr>
              <w:keepNext w:val="0"/>
              <w:keepLines w:val="0"/>
              <w:suppressLineNumbers w:val="0"/>
              <w:tabs>
                <w:tab w:val="left" w:pos="4335"/>
              </w:tabs>
              <w:autoSpaceDE w:val="0"/>
              <w:autoSpaceDN w:val="0"/>
              <w:adjustRightInd w:val="0"/>
              <w:spacing w:before="0" w:beforeAutospacing="0" w:after="0" w:afterAutospacing="0" w:line="360" w:lineRule="auto"/>
              <w:ind w:left="0" w:right="0" w:firstLine="480" w:firstLineChars="200"/>
              <w:rPr>
                <w:rFonts w:hint="eastAsia" w:ascii="宋体" w:hAnsi="宋体" w:cs="宋体"/>
                <w:color w:val="auto"/>
                <w:sz w:val="24"/>
                <w:szCs w:val="24"/>
              </w:rPr>
            </w:pP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 3 \* GB3 \* MERGEFORMAT </w:instrText>
            </w:r>
            <w:r>
              <w:rPr>
                <w:rFonts w:hint="eastAsia" w:ascii="宋体" w:hAnsi="宋体" w:cs="宋体"/>
                <w:color w:val="auto"/>
                <w:sz w:val="24"/>
                <w:szCs w:val="24"/>
              </w:rPr>
              <w:fldChar w:fldCharType="separate"/>
            </w:r>
            <w:r>
              <w:rPr>
                <w:rFonts w:hint="default"/>
                <w:color w:val="auto"/>
              </w:rPr>
              <w:t>③</w:t>
            </w:r>
            <w:r>
              <w:rPr>
                <w:rFonts w:hint="eastAsia" w:ascii="宋体" w:hAnsi="宋体" w:cs="宋体"/>
                <w:color w:val="auto"/>
                <w:sz w:val="24"/>
                <w:szCs w:val="24"/>
              </w:rPr>
              <w:fldChar w:fldCharType="end"/>
            </w:r>
            <w:r>
              <w:rPr>
                <w:rFonts w:hint="eastAsia" w:ascii="Times New Roman" w:hAnsi="Times New Roman" w:cs="Times New Roman"/>
                <w:color w:val="auto"/>
                <w:spacing w:val="0"/>
                <w:sz w:val="24"/>
                <w:lang w:val="en-US" w:eastAsia="zh-CN"/>
              </w:rPr>
              <w:t>调</w:t>
            </w:r>
            <w:r>
              <w:rPr>
                <w:rFonts w:hint="default" w:ascii="Times New Roman" w:hAnsi="Times New Roman" w:cs="Times New Roman"/>
                <w:color w:val="auto"/>
                <w:spacing w:val="0"/>
                <w:sz w:val="24"/>
              </w:rPr>
              <w:t>浆：</w:t>
            </w:r>
            <w:r>
              <w:rPr>
                <w:rFonts w:hint="eastAsia" w:cs="Times New Roman"/>
                <w:color w:val="auto"/>
                <w:spacing w:val="0"/>
                <w:sz w:val="24"/>
                <w:lang w:val="en-US" w:eastAsia="zh-CN"/>
              </w:rPr>
              <w:t>面团加水调成浆液，</w:t>
            </w:r>
            <w:r>
              <w:rPr>
                <w:rFonts w:hint="default" w:ascii="Times New Roman" w:hAnsi="Times New Roman" w:cs="Times New Roman"/>
                <w:color w:val="auto"/>
                <w:spacing w:val="0"/>
                <w:sz w:val="24"/>
                <w:lang w:val="en-US" w:eastAsia="zh-CN"/>
              </w:rPr>
              <w:t>沉淀后加入适量碱面搅匀调整浓度至18，上清液</w:t>
            </w:r>
            <w:r>
              <w:rPr>
                <w:rFonts w:hint="eastAsia" w:cs="Times New Roman"/>
                <w:color w:val="auto"/>
                <w:spacing w:val="0"/>
                <w:sz w:val="24"/>
                <w:lang w:val="en-US" w:eastAsia="zh-CN"/>
              </w:rPr>
              <w:t>回用调浆用水工序</w:t>
            </w:r>
            <w:r>
              <w:rPr>
                <w:rFonts w:hint="default" w:ascii="Times New Roman" w:hAnsi="Times New Roman" w:cs="Times New Roman"/>
                <w:color w:val="auto"/>
                <w:spacing w:val="0"/>
                <w:sz w:val="24"/>
                <w:lang w:val="en-US" w:eastAsia="zh-CN"/>
              </w:rPr>
              <w:t>，面浆进入蒸箱蒸制</w:t>
            </w:r>
            <w:r>
              <w:rPr>
                <w:rFonts w:hint="eastAsia" w:ascii="Times New Roman" w:hAnsi="Times New Roman" w:cs="Times New Roman"/>
                <w:color w:val="auto"/>
                <w:spacing w:val="0"/>
                <w:sz w:val="24"/>
                <w:lang w:val="en-US" w:eastAsia="zh-CN"/>
              </w:rPr>
              <w:t>。</w:t>
            </w:r>
          </w:p>
          <w:p w14:paraId="76934573">
            <w:pPr>
              <w:keepNext w:val="0"/>
              <w:keepLines w:val="0"/>
              <w:suppressLineNumbers w:val="0"/>
              <w:tabs>
                <w:tab w:val="left" w:pos="4335"/>
              </w:tabs>
              <w:autoSpaceDE w:val="0"/>
              <w:autoSpaceDN w:val="0"/>
              <w:adjustRightInd w:val="0"/>
              <w:spacing w:before="0" w:beforeAutospacing="0" w:after="0" w:afterAutospacing="0" w:line="360" w:lineRule="auto"/>
              <w:ind w:left="0" w:right="0" w:firstLine="480" w:firstLineChars="200"/>
              <w:rPr>
                <w:rFonts w:hint="eastAsia" w:ascii="宋体" w:hAnsi="宋体" w:cs="宋体"/>
                <w:color w:val="auto"/>
                <w:sz w:val="24"/>
                <w:szCs w:val="24"/>
              </w:rPr>
            </w:pPr>
            <w:r>
              <w:rPr>
                <w:rFonts w:hint="eastAsia" w:ascii="宋体" w:hAnsi="宋体" w:eastAsia="宋体" w:cs="宋体"/>
                <w:color w:val="auto"/>
                <w:spacing w:val="0"/>
                <w:kern w:val="2"/>
                <w:sz w:val="24"/>
                <w:szCs w:val="24"/>
                <w:lang w:val="en-US" w:eastAsia="zh-CN" w:bidi="ar-SA"/>
              </w:rPr>
              <w:fldChar w:fldCharType="begin"/>
            </w:r>
            <w:r>
              <w:rPr>
                <w:rFonts w:hint="eastAsia" w:ascii="宋体" w:hAnsi="宋体" w:eastAsia="宋体" w:cs="宋体"/>
                <w:color w:val="auto"/>
                <w:spacing w:val="0"/>
                <w:kern w:val="2"/>
                <w:sz w:val="24"/>
                <w:szCs w:val="24"/>
                <w:lang w:val="en-US" w:eastAsia="zh-CN" w:bidi="ar-SA"/>
              </w:rPr>
              <w:instrText xml:space="preserve"> = 4 \* GB3 \* MERGEFORMAT </w:instrText>
            </w:r>
            <w:r>
              <w:rPr>
                <w:rFonts w:hint="eastAsia" w:ascii="宋体" w:hAnsi="宋体" w:eastAsia="宋体" w:cs="宋体"/>
                <w:color w:val="auto"/>
                <w:spacing w:val="0"/>
                <w:kern w:val="2"/>
                <w:sz w:val="24"/>
                <w:szCs w:val="24"/>
                <w:lang w:val="en-US" w:eastAsia="zh-CN" w:bidi="ar-SA"/>
              </w:rPr>
              <w:fldChar w:fldCharType="separate"/>
            </w:r>
            <w:r>
              <w:rPr>
                <w:rFonts w:hint="eastAsia" w:ascii="宋体" w:hAnsi="宋体" w:eastAsia="宋体" w:cs="宋体"/>
                <w:color w:val="auto"/>
                <w:spacing w:val="0"/>
                <w:kern w:val="2"/>
                <w:sz w:val="24"/>
                <w:szCs w:val="24"/>
                <w:lang w:val="en-US" w:eastAsia="zh-CN" w:bidi="ar-SA"/>
              </w:rPr>
              <w:t>④</w:t>
            </w:r>
            <w:r>
              <w:rPr>
                <w:rFonts w:hint="eastAsia" w:ascii="宋体" w:hAnsi="宋体" w:eastAsia="宋体" w:cs="宋体"/>
                <w:color w:val="auto"/>
                <w:spacing w:val="0"/>
                <w:kern w:val="2"/>
                <w:sz w:val="24"/>
                <w:szCs w:val="24"/>
                <w:lang w:val="en-US" w:eastAsia="zh-CN" w:bidi="ar-SA"/>
              </w:rPr>
              <w:fldChar w:fldCharType="end"/>
            </w:r>
            <w:r>
              <w:rPr>
                <w:rFonts w:hint="default" w:ascii="Times New Roman" w:hAnsi="Times New Roman" w:cs="Times New Roman"/>
                <w:color w:val="auto"/>
                <w:spacing w:val="0"/>
                <w:sz w:val="24"/>
                <w:lang w:val="en-US" w:eastAsia="zh-CN"/>
              </w:rPr>
              <w:t>蒸制：保证蒸箱温度95-98℃，蒸出凉皮起蚕豆大小起泡表明已蒸好。蒸制蒸汽采用</w:t>
            </w:r>
            <w:r>
              <w:rPr>
                <w:rFonts w:hint="eastAsia" w:cs="Times New Roman"/>
                <w:color w:val="auto"/>
                <w:spacing w:val="0"/>
                <w:sz w:val="24"/>
                <w:lang w:val="en-US" w:eastAsia="zh-CN"/>
              </w:rPr>
              <w:t>燃气锅炉</w:t>
            </w:r>
            <w:r>
              <w:rPr>
                <w:rFonts w:hint="default" w:ascii="Times New Roman" w:hAnsi="Times New Roman" w:cs="Times New Roman"/>
                <w:color w:val="auto"/>
                <w:spacing w:val="0"/>
                <w:sz w:val="24"/>
                <w:lang w:val="en-US" w:eastAsia="zh-CN"/>
              </w:rPr>
              <w:t>供给，</w:t>
            </w:r>
            <w:r>
              <w:rPr>
                <w:rFonts w:hint="eastAsia" w:cs="Times New Roman"/>
                <w:b/>
                <w:bCs/>
                <w:color w:val="auto"/>
                <w:spacing w:val="0"/>
                <w:sz w:val="24"/>
                <w:lang w:val="en-US" w:eastAsia="zh-CN"/>
              </w:rPr>
              <w:t>该工序</w:t>
            </w:r>
            <w:r>
              <w:rPr>
                <w:rFonts w:hint="default" w:ascii="Times New Roman" w:hAnsi="Times New Roman" w:cs="Times New Roman"/>
                <w:b/>
                <w:bCs/>
                <w:color w:val="auto"/>
                <w:spacing w:val="0"/>
                <w:sz w:val="24"/>
                <w:lang w:val="en-US" w:eastAsia="zh-CN"/>
              </w:rPr>
              <w:t>会产生燃烧废气和噪声</w:t>
            </w:r>
            <w:r>
              <w:rPr>
                <w:rFonts w:hint="eastAsia" w:ascii="Times New Roman" w:hAnsi="Times New Roman" w:cs="Times New Roman"/>
                <w:color w:val="auto"/>
                <w:spacing w:val="0"/>
                <w:sz w:val="24"/>
                <w:lang w:val="en-US" w:eastAsia="zh-CN"/>
              </w:rPr>
              <w:t>。</w:t>
            </w:r>
          </w:p>
          <w:p w14:paraId="2A07B48F">
            <w:pPr>
              <w:pStyle w:val="19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textAlignment w:val="auto"/>
              <w:rPr>
                <w:rFonts w:hint="default" w:ascii="Times New Roman" w:hAnsi="Times New Roman" w:eastAsia="宋体" w:cs="Times New Roman"/>
                <w:color w:val="auto"/>
                <w:spacing w:val="0"/>
                <w:sz w:val="24"/>
                <w:lang w:eastAsia="zh-CN"/>
              </w:rPr>
            </w:pPr>
            <w:r>
              <w:rPr>
                <w:rFonts w:hint="default" w:ascii="宋体" w:hAnsi="宋体" w:eastAsia="宋体" w:cs="宋体"/>
                <w:color w:val="auto"/>
                <w:spacing w:val="0"/>
                <w:sz w:val="24"/>
                <w:lang w:val="en-US" w:eastAsia="zh-CN"/>
              </w:rPr>
              <w:fldChar w:fldCharType="begin"/>
            </w:r>
            <w:r>
              <w:rPr>
                <w:rFonts w:hint="default" w:ascii="宋体" w:hAnsi="宋体" w:eastAsia="宋体" w:cs="宋体"/>
                <w:color w:val="auto"/>
                <w:spacing w:val="0"/>
                <w:sz w:val="24"/>
                <w:lang w:val="en-US" w:eastAsia="zh-CN"/>
              </w:rPr>
              <w:instrText xml:space="preserve"> = 5 \* GB3 \* MERGEFORMAT </w:instrText>
            </w:r>
            <w:r>
              <w:rPr>
                <w:rFonts w:hint="default" w:ascii="宋体" w:hAnsi="宋体" w:eastAsia="宋体" w:cs="宋体"/>
                <w:color w:val="auto"/>
                <w:spacing w:val="0"/>
                <w:sz w:val="24"/>
                <w:lang w:val="en-US" w:eastAsia="zh-CN"/>
              </w:rPr>
              <w:fldChar w:fldCharType="separate"/>
            </w:r>
            <w:r>
              <w:rPr>
                <w:rFonts w:hint="eastAsia" w:ascii="宋体" w:hAnsi="宋体" w:eastAsia="宋体" w:cs="宋体"/>
                <w:color w:val="auto"/>
                <w:spacing w:val="0"/>
                <w:sz w:val="24"/>
                <w:lang w:val="en-US" w:eastAsia="zh-CN"/>
              </w:rPr>
              <w:t>⑤</w:t>
            </w:r>
            <w:r>
              <w:rPr>
                <w:rFonts w:hint="default" w:ascii="宋体" w:hAnsi="宋体" w:eastAsia="宋体" w:cs="宋体"/>
                <w:color w:val="auto"/>
                <w:spacing w:val="0"/>
                <w:sz w:val="24"/>
                <w:lang w:val="en-US" w:eastAsia="zh-CN"/>
              </w:rPr>
              <w:fldChar w:fldCharType="end"/>
            </w:r>
            <w:r>
              <w:rPr>
                <w:rFonts w:hint="default" w:ascii="Times New Roman" w:hAnsi="Times New Roman" w:cs="Times New Roman"/>
                <w:color w:val="auto"/>
                <w:spacing w:val="0"/>
                <w:sz w:val="24"/>
              </w:rPr>
              <w:t>冷却：对蒸好的面皮进行自然冷却，防止变质和粘连</w:t>
            </w:r>
            <w:r>
              <w:rPr>
                <w:rFonts w:hint="default" w:ascii="Times New Roman" w:hAnsi="Times New Roman" w:cs="Times New Roman"/>
                <w:color w:val="auto"/>
                <w:spacing w:val="0"/>
                <w:sz w:val="24"/>
                <w:lang w:eastAsia="zh-CN"/>
              </w:rPr>
              <w:t>；</w:t>
            </w:r>
          </w:p>
          <w:p w14:paraId="5C5B5953">
            <w:pPr>
              <w:pStyle w:val="19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textAlignment w:val="auto"/>
              <w:rPr>
                <w:rFonts w:hint="default" w:ascii="Times New Roman" w:hAnsi="Times New Roman" w:eastAsia="宋体" w:cs="Times New Roman"/>
                <w:color w:val="auto"/>
                <w:spacing w:val="0"/>
                <w:sz w:val="24"/>
                <w:lang w:eastAsia="zh-CN"/>
              </w:rPr>
            </w:pPr>
            <w:r>
              <w:rPr>
                <w:rFonts w:hint="eastAsia" w:ascii="宋体" w:hAnsi="宋体" w:eastAsia="宋体" w:cs="宋体"/>
                <w:color w:val="auto"/>
                <w:spacing w:val="0"/>
                <w:sz w:val="24"/>
                <w:lang w:val="en-US" w:eastAsia="zh-CN"/>
              </w:rPr>
              <w:t>⑥</w:t>
            </w:r>
            <w:r>
              <w:rPr>
                <w:rFonts w:hint="default" w:ascii="Times New Roman" w:hAnsi="Times New Roman" w:cs="Times New Roman"/>
                <w:color w:val="auto"/>
                <w:spacing w:val="0"/>
                <w:sz w:val="24"/>
                <w:lang w:val="en-US" w:eastAsia="zh-CN"/>
              </w:rPr>
              <w:t>刷</w:t>
            </w:r>
            <w:r>
              <w:rPr>
                <w:rFonts w:hint="default" w:ascii="Times New Roman" w:hAnsi="Times New Roman" w:cs="Times New Roman"/>
                <w:color w:val="auto"/>
                <w:spacing w:val="0"/>
                <w:sz w:val="24"/>
              </w:rPr>
              <w:t>油：在切好的面皮上利用设备油斗涂刷</w:t>
            </w:r>
            <w:r>
              <w:rPr>
                <w:rFonts w:hint="eastAsia" w:ascii="Times New Roman" w:hAnsi="Times New Roman" w:cs="Times New Roman"/>
                <w:color w:val="auto"/>
                <w:spacing w:val="0"/>
                <w:sz w:val="24"/>
                <w:lang w:val="en-US" w:eastAsia="zh-CN"/>
              </w:rPr>
              <w:t>菜籽</w:t>
            </w:r>
            <w:r>
              <w:rPr>
                <w:rFonts w:hint="default" w:ascii="Times New Roman" w:hAnsi="Times New Roman" w:cs="Times New Roman"/>
                <w:color w:val="auto"/>
                <w:spacing w:val="0"/>
                <w:sz w:val="24"/>
              </w:rPr>
              <w:t>油，保持面皮表面水分和防止粘连</w:t>
            </w:r>
            <w:r>
              <w:rPr>
                <w:rFonts w:hint="default" w:ascii="Times New Roman" w:hAnsi="Times New Roman" w:cs="Times New Roman"/>
                <w:color w:val="auto"/>
                <w:spacing w:val="0"/>
                <w:sz w:val="24"/>
                <w:lang w:eastAsia="zh-CN"/>
              </w:rPr>
              <w:t>；</w:t>
            </w:r>
          </w:p>
          <w:p w14:paraId="08CEC949">
            <w:pPr>
              <w:pStyle w:val="19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textAlignment w:val="auto"/>
              <w:rPr>
                <w:rFonts w:hint="eastAsia" w:ascii="Times New Roman" w:hAnsi="Times New Roman" w:eastAsia="宋体" w:cs="Times New Roman"/>
                <w:color w:val="auto"/>
                <w:spacing w:val="0"/>
                <w:sz w:val="24"/>
                <w:lang w:val="en-US" w:eastAsia="zh-CN"/>
              </w:rPr>
            </w:pPr>
            <w:r>
              <w:rPr>
                <w:rFonts w:hint="eastAsia" w:ascii="宋体" w:hAnsi="宋体" w:eastAsia="宋体" w:cs="宋体"/>
                <w:color w:val="auto"/>
                <w:spacing w:val="0"/>
                <w:sz w:val="24"/>
                <w:lang w:val="en-US" w:eastAsia="zh-CN"/>
              </w:rPr>
              <w:t>⑦</w:t>
            </w:r>
            <w:r>
              <w:rPr>
                <w:rFonts w:hint="default" w:ascii="Times New Roman" w:hAnsi="Times New Roman" w:cs="Times New Roman"/>
                <w:color w:val="auto"/>
                <w:spacing w:val="0"/>
                <w:sz w:val="24"/>
              </w:rPr>
              <w:t>切条：按照市场需求对蒸好的面皮进行切条、分割</w:t>
            </w:r>
            <w:r>
              <w:rPr>
                <w:rFonts w:hint="default" w:ascii="Times New Roman" w:hAnsi="Times New Roman" w:cs="Times New Roman"/>
                <w:color w:val="auto"/>
                <w:spacing w:val="0"/>
                <w:sz w:val="24"/>
                <w:lang w:eastAsia="zh-CN"/>
              </w:rPr>
              <w:t>；</w:t>
            </w:r>
          </w:p>
          <w:p w14:paraId="766379A0">
            <w:pPr>
              <w:keepNext w:val="0"/>
              <w:keepLines w:val="0"/>
              <w:suppressLineNumbers w:val="0"/>
              <w:tabs>
                <w:tab w:val="left" w:pos="4335"/>
              </w:tabs>
              <w:autoSpaceDE w:val="0"/>
              <w:autoSpaceDN w:val="0"/>
              <w:adjustRightInd w:val="0"/>
              <w:spacing w:before="0" w:beforeAutospacing="0" w:after="0" w:afterAutospacing="0" w:line="360" w:lineRule="auto"/>
              <w:ind w:left="0" w:right="0" w:firstLine="480" w:firstLineChars="200"/>
              <w:rPr>
                <w:rFonts w:hint="eastAsia"/>
                <w:color w:val="auto"/>
                <w:sz w:val="24"/>
                <w:szCs w:val="24"/>
              </w:rPr>
            </w:pPr>
            <w:r>
              <w:rPr>
                <w:rFonts w:hint="default" w:ascii="Times New Roman" w:hAnsi="Times New Roman" w:cs="Times New Roman"/>
                <w:color w:val="auto"/>
                <w:spacing w:val="0"/>
                <w:sz w:val="24"/>
              </w:rPr>
              <w:fldChar w:fldCharType="begin"/>
            </w:r>
            <w:r>
              <w:rPr>
                <w:rFonts w:hint="default" w:ascii="Times New Roman" w:hAnsi="Times New Roman" w:cs="Times New Roman"/>
                <w:color w:val="auto"/>
                <w:spacing w:val="0"/>
                <w:sz w:val="24"/>
              </w:rPr>
              <w:instrText xml:space="preserve"> = 8 \* GB3 \* MERGEFORMAT </w:instrText>
            </w:r>
            <w:r>
              <w:rPr>
                <w:rFonts w:hint="default" w:ascii="Times New Roman" w:hAnsi="Times New Roman" w:cs="Times New Roman"/>
                <w:color w:val="auto"/>
                <w:spacing w:val="0"/>
                <w:sz w:val="24"/>
              </w:rPr>
              <w:fldChar w:fldCharType="separate"/>
            </w:r>
            <w:r>
              <w:rPr>
                <w:rFonts w:hint="default"/>
                <w:color w:val="auto"/>
              </w:rPr>
              <w:t>⑧</w:t>
            </w:r>
            <w:r>
              <w:rPr>
                <w:rFonts w:hint="default" w:ascii="Times New Roman" w:hAnsi="Times New Roman" w:cs="Times New Roman"/>
                <w:color w:val="auto"/>
                <w:spacing w:val="0"/>
                <w:sz w:val="24"/>
              </w:rPr>
              <w:fldChar w:fldCharType="end"/>
            </w:r>
            <w:r>
              <w:rPr>
                <w:rFonts w:hint="default" w:ascii="Times New Roman" w:hAnsi="Times New Roman" w:cs="Times New Roman"/>
                <w:color w:val="auto"/>
                <w:spacing w:val="0"/>
                <w:sz w:val="24"/>
              </w:rPr>
              <w:t>包装：把切好的凉皮</w:t>
            </w:r>
            <w:r>
              <w:rPr>
                <w:rFonts w:hint="eastAsia" w:ascii="Times New Roman" w:hAnsi="Times New Roman" w:cs="Times New Roman"/>
                <w:color w:val="auto"/>
                <w:spacing w:val="0"/>
                <w:sz w:val="24"/>
                <w:lang w:eastAsia="zh-CN"/>
              </w:rPr>
              <w:t>、</w:t>
            </w:r>
            <w:r>
              <w:rPr>
                <w:rFonts w:hint="eastAsia" w:ascii="Times New Roman" w:hAnsi="Times New Roman" w:cs="Times New Roman"/>
                <w:color w:val="auto"/>
                <w:spacing w:val="0"/>
                <w:sz w:val="24"/>
                <w:lang w:val="en-US" w:eastAsia="zh-CN"/>
              </w:rPr>
              <w:t>面条</w:t>
            </w:r>
            <w:r>
              <w:rPr>
                <w:rFonts w:hint="default" w:ascii="Times New Roman" w:hAnsi="Times New Roman" w:cs="Times New Roman"/>
                <w:color w:val="auto"/>
                <w:spacing w:val="0"/>
                <w:sz w:val="24"/>
              </w:rPr>
              <w:t>按照</w:t>
            </w:r>
            <w:r>
              <w:rPr>
                <w:rFonts w:hint="eastAsia" w:ascii="Times New Roman" w:hAnsi="Times New Roman" w:cs="Times New Roman"/>
                <w:color w:val="auto"/>
                <w:spacing w:val="0"/>
                <w:sz w:val="24"/>
                <w:lang w:val="en-US" w:eastAsia="zh-CN"/>
              </w:rPr>
              <w:t>特定</w:t>
            </w:r>
            <w:r>
              <w:rPr>
                <w:rFonts w:hint="default" w:ascii="Times New Roman" w:hAnsi="Times New Roman" w:cs="Times New Roman"/>
                <w:color w:val="auto"/>
                <w:spacing w:val="0"/>
                <w:sz w:val="24"/>
              </w:rPr>
              <w:t>的规格进行包装</w:t>
            </w:r>
            <w:r>
              <w:rPr>
                <w:rFonts w:hint="eastAsia" w:ascii="Times New Roman" w:hAnsi="Times New Roman" w:cs="Times New Roman"/>
                <w:color w:val="auto"/>
                <w:spacing w:val="0"/>
                <w:sz w:val="24"/>
                <w:lang w:eastAsia="zh-CN"/>
              </w:rPr>
              <w:t>，</w:t>
            </w:r>
            <w:r>
              <w:rPr>
                <w:rFonts w:hint="eastAsia" w:ascii="Times New Roman" w:hAnsi="Times New Roman" w:cs="Times New Roman"/>
                <w:color w:val="auto"/>
                <w:spacing w:val="0"/>
                <w:sz w:val="24"/>
                <w:lang w:val="en-US" w:eastAsia="zh-CN"/>
              </w:rPr>
              <w:t>按照订单装箱装车外售</w:t>
            </w:r>
            <w:r>
              <w:rPr>
                <w:rFonts w:hint="default" w:ascii="Times New Roman" w:hAnsi="Times New Roman" w:cs="Times New Roman"/>
                <w:color w:val="auto"/>
                <w:spacing w:val="0"/>
                <w:sz w:val="24"/>
                <w:lang w:val="en-US" w:eastAsia="zh-CN"/>
              </w:rPr>
              <w:t>，</w:t>
            </w:r>
            <w:r>
              <w:rPr>
                <w:rFonts w:hint="default" w:ascii="Times New Roman" w:hAnsi="Times New Roman" w:cs="Times New Roman"/>
                <w:b/>
                <w:bCs/>
                <w:color w:val="auto"/>
                <w:spacing w:val="0"/>
                <w:sz w:val="24"/>
              </w:rPr>
              <w:t>该</w:t>
            </w:r>
            <w:r>
              <w:rPr>
                <w:rFonts w:hint="eastAsia" w:cs="Times New Roman"/>
                <w:b/>
                <w:bCs/>
                <w:color w:val="auto"/>
                <w:spacing w:val="0"/>
                <w:sz w:val="24"/>
                <w:lang w:val="en-US" w:eastAsia="zh-CN"/>
              </w:rPr>
              <w:t>工序</w:t>
            </w:r>
            <w:r>
              <w:rPr>
                <w:rFonts w:hint="default" w:ascii="Times New Roman" w:hAnsi="Times New Roman" w:cs="Times New Roman"/>
                <w:b/>
                <w:bCs/>
                <w:color w:val="auto"/>
                <w:spacing w:val="0"/>
                <w:sz w:val="24"/>
              </w:rPr>
              <w:t>主要产生废包装</w:t>
            </w:r>
            <w:r>
              <w:rPr>
                <w:rFonts w:hint="eastAsia" w:cs="Times New Roman"/>
                <w:b/>
                <w:bCs/>
                <w:color w:val="auto"/>
                <w:spacing w:val="0"/>
                <w:sz w:val="24"/>
                <w:lang w:val="en-US" w:eastAsia="zh-CN"/>
              </w:rPr>
              <w:t>和噪声</w:t>
            </w:r>
            <w:r>
              <w:rPr>
                <w:rFonts w:hint="eastAsia" w:ascii="宋体" w:hAnsi="宋体" w:cs="宋体"/>
                <w:color w:val="auto"/>
                <w:sz w:val="24"/>
                <w:szCs w:val="24"/>
              </w:rPr>
              <w:t>。</w:t>
            </w:r>
          </w:p>
          <w:p w14:paraId="3A6C0573">
            <w:pPr>
              <w:pStyle w:val="18"/>
              <w:keepNext w:val="0"/>
              <w:keepLines w:val="0"/>
              <w:suppressLineNumbers w:val="0"/>
              <w:spacing w:before="0" w:beforeAutospacing="0" w:after="0" w:afterAutospacing="0"/>
              <w:ind w:left="0" w:right="0" w:firstLine="480"/>
              <w:rPr>
                <w:rFonts w:hint="eastAsia"/>
                <w:color w:val="auto"/>
                <w:sz w:val="24"/>
                <w:lang w:val="en-US" w:eastAsia="zh-CN"/>
              </w:rPr>
            </w:pPr>
            <w:r>
              <w:rPr>
                <w:rFonts w:hint="default" w:ascii="Times New Roman" w:hAnsi="Times New Roman" w:cs="Times New Roman"/>
                <w:color w:val="auto"/>
                <w:sz w:val="24"/>
                <w:lang w:val="en-US" w:eastAsia="zh-CN"/>
              </w:rPr>
              <w:t>2、馒头、包子</w:t>
            </w:r>
            <w:r>
              <w:rPr>
                <w:rFonts w:hint="eastAsia"/>
                <w:color w:val="auto"/>
                <w:sz w:val="24"/>
                <w:lang w:val="en-US" w:eastAsia="zh-CN"/>
              </w:rPr>
              <w:t>生产工艺流程</w:t>
            </w:r>
          </w:p>
          <w:p w14:paraId="222F4217">
            <w:pPr>
              <w:pStyle w:val="18"/>
              <w:keepNext w:val="0"/>
              <w:keepLines w:val="0"/>
              <w:suppressLineNumbers w:val="0"/>
              <w:spacing w:before="0" w:beforeAutospacing="0" w:after="0" w:afterAutospacing="0"/>
              <w:ind w:left="0" w:right="0" w:firstLine="480"/>
              <w:rPr>
                <w:rFonts w:hint="default" w:ascii="Times New Roman"/>
                <w:bCs/>
                <w:color w:val="auto"/>
                <w:szCs w:val="24"/>
                <w:highlight w:val="none"/>
              </w:rPr>
            </w:pPr>
            <w:r>
              <w:rPr>
                <w:rFonts w:hint="eastAsia" w:ascii="Times New Roman"/>
                <w:bCs/>
                <w:color w:val="auto"/>
                <w:szCs w:val="24"/>
                <w:highlight w:val="none"/>
              </w:rPr>
              <w:t>工艺流程图如下：</w:t>
            </w:r>
          </w:p>
          <w:p w14:paraId="219E5B9E">
            <w:pPr>
              <w:pStyle w:val="36"/>
              <w:keepNext/>
              <w:keepLines/>
              <w:suppressLineNumbers w:val="0"/>
              <w:spacing w:before="0" w:beforeAutospacing="0" w:after="0" w:afterAutospacing="0"/>
              <w:ind w:left="0" w:leftChars="0" w:right="0" w:firstLine="0" w:firstLineChars="0"/>
              <w:jc w:val="center"/>
              <w:rPr>
                <w:rFonts w:hint="eastAsia"/>
                <w:b/>
                <w:bCs/>
                <w:color w:val="auto"/>
                <w:szCs w:val="21"/>
                <w:highlight w:val="none"/>
              </w:rPr>
            </w:pPr>
            <w:r>
              <w:rPr>
                <w:rFonts w:hint="eastAsia"/>
                <w:b/>
                <w:bCs/>
                <w:color w:val="auto"/>
                <w:szCs w:val="21"/>
                <w:highlight w:val="none"/>
              </w:rPr>
              <w:object>
                <v:shape id="_x0000_i1027" o:spt="75" type="#_x0000_t75" style="height:201.75pt;width:365.25pt;" o:ole="t" filled="f" o:preferrelative="t" stroked="f" coordsize="21600,21600">
                  <v:path/>
                  <v:fill on="f" focussize="0,0"/>
                  <v:stroke on="f"/>
                  <v:imagedata r:id="rId21" o:title=""/>
                  <o:lock v:ext="edit" aspectratio="f"/>
                  <w10:wrap type="none"/>
                  <w10:anchorlock/>
                </v:shape>
                <o:OLEObject Type="Embed" ProgID="Visio.Drawing.11" ShapeID="_x0000_i1027" DrawAspect="Content" ObjectID="_1468075727" r:id="rId20">
                  <o:LockedField>false</o:LockedField>
                </o:OLEObject>
              </w:object>
            </w:r>
          </w:p>
          <w:p w14:paraId="78E572E8">
            <w:pPr>
              <w:pStyle w:val="36"/>
              <w:keepNext/>
              <w:keepLines/>
              <w:suppressLineNumbers w:val="0"/>
              <w:spacing w:before="0" w:beforeAutospacing="0" w:after="0" w:afterAutospacing="0"/>
              <w:ind w:left="0" w:leftChars="0" w:right="0" w:firstLine="0" w:firstLineChars="0"/>
              <w:jc w:val="center"/>
              <w:rPr>
                <w:rFonts w:hint="default"/>
                <w:b/>
                <w:bCs/>
                <w:color w:val="auto"/>
                <w:szCs w:val="21"/>
                <w:highlight w:val="none"/>
              </w:rPr>
            </w:pPr>
            <w:r>
              <w:rPr>
                <w:rFonts w:hint="eastAsia"/>
                <w:b/>
                <w:bCs/>
                <w:color w:val="auto"/>
                <w:szCs w:val="21"/>
                <w:highlight w:val="none"/>
              </w:rPr>
              <w:t>图2-</w:t>
            </w:r>
            <w:r>
              <w:rPr>
                <w:rFonts w:hint="eastAsia"/>
                <w:b/>
                <w:bCs/>
                <w:color w:val="auto"/>
                <w:szCs w:val="21"/>
                <w:highlight w:val="none"/>
                <w:lang w:val="en-US" w:eastAsia="zh-CN"/>
              </w:rPr>
              <w:t>4</w:t>
            </w:r>
            <w:r>
              <w:rPr>
                <w:rFonts w:hint="eastAsia"/>
                <w:b/>
                <w:bCs/>
                <w:color w:val="auto"/>
                <w:szCs w:val="21"/>
                <w:highlight w:val="none"/>
              </w:rPr>
              <w:t xml:space="preserve">  </w:t>
            </w:r>
            <w:r>
              <w:rPr>
                <w:rFonts w:hint="eastAsia"/>
                <w:b/>
                <w:bCs/>
                <w:color w:val="auto"/>
                <w:szCs w:val="21"/>
                <w:highlight w:val="none"/>
                <w:lang w:val="en-US" w:eastAsia="zh-CN"/>
              </w:rPr>
              <w:t>馒头、包子</w:t>
            </w:r>
            <w:r>
              <w:rPr>
                <w:rFonts w:hint="eastAsia"/>
                <w:b/>
                <w:bCs/>
                <w:color w:val="auto"/>
                <w:szCs w:val="21"/>
                <w:highlight w:val="none"/>
              </w:rPr>
              <w:t>生产工艺流程及产污环节示意图</w:t>
            </w:r>
          </w:p>
          <w:p w14:paraId="1D867BEA">
            <w:pPr>
              <w:pStyle w:val="18"/>
              <w:keepNext w:val="0"/>
              <w:keepLines w:val="0"/>
              <w:suppressLineNumbers w:val="0"/>
              <w:spacing w:before="0" w:beforeAutospacing="0" w:after="0" w:afterAutospacing="0"/>
              <w:ind w:left="0" w:right="0" w:firstLine="480"/>
              <w:rPr>
                <w:rFonts w:hint="eastAsia" w:ascii="Times New Roman"/>
                <w:bCs/>
                <w:color w:val="auto"/>
                <w:szCs w:val="24"/>
                <w:highlight w:val="none"/>
              </w:rPr>
            </w:pPr>
            <w:r>
              <w:rPr>
                <w:rFonts w:hint="eastAsia" w:ascii="Times New Roman"/>
                <w:bCs/>
                <w:color w:val="auto"/>
                <w:szCs w:val="24"/>
                <w:highlight w:val="none"/>
              </w:rPr>
              <w:t>工艺简述：</w:t>
            </w:r>
          </w:p>
          <w:p w14:paraId="004C6516">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4"/>
                <w:szCs w:val="24"/>
                <w:highlight w:val="none"/>
                <w:lang w:eastAsia="zh-CN" w:bidi="en-US"/>
              </w:rPr>
            </w:pPr>
            <w:r>
              <w:rPr>
                <w:rFonts w:hint="eastAsia"/>
                <w:b/>
                <w:bCs w:val="0"/>
                <w:color w:val="auto"/>
                <w:szCs w:val="24"/>
                <w:highlight w:val="none"/>
                <w:lang w:val="en-US" w:eastAsia="zh-CN"/>
              </w:rPr>
              <w:t>馒头生产流程：</w:t>
            </w:r>
            <w:r>
              <w:rPr>
                <w:rFonts w:hint="default" w:ascii="Times New Roman" w:hAnsi="Times New Roman" w:eastAsia="宋体" w:cs="Times New Roman"/>
                <w:color w:val="auto"/>
                <w:sz w:val="24"/>
                <w:szCs w:val="28"/>
                <w:lang w:val="en-US" w:eastAsia="zh-CN" w:bidi="en-US"/>
              </w:rPr>
              <w:t>将面粉加入酵母菌并调制成面团，进行醒发</w:t>
            </w:r>
            <w:r>
              <w:rPr>
                <w:rFonts w:hint="default" w:ascii="Times New Roman" w:hAnsi="Times New Roman" w:eastAsia="宋体" w:cs="Times New Roman"/>
                <w:color w:val="auto"/>
                <w:sz w:val="24"/>
                <w:szCs w:val="24"/>
                <w:lang w:val="zh-TW" w:eastAsia="zh-CN" w:bidi="en-US"/>
              </w:rPr>
              <w:t>，搅拌时会产生设备噪声；</w:t>
            </w:r>
            <w:r>
              <w:rPr>
                <w:rFonts w:hint="default" w:ascii="Times New Roman" w:hAnsi="Times New Roman" w:eastAsia="宋体" w:cs="Times New Roman"/>
                <w:color w:val="auto"/>
                <w:kern w:val="0"/>
                <w:sz w:val="24"/>
                <w:szCs w:val="24"/>
                <w:highlight w:val="none"/>
                <w:lang w:eastAsia="zh-CN" w:bidi="en-US"/>
              </w:rPr>
              <w:t>将发酵好的面团送入</w:t>
            </w:r>
            <w:r>
              <w:rPr>
                <w:rFonts w:hint="eastAsia" w:cs="Times New Roman"/>
                <w:color w:val="auto"/>
                <w:kern w:val="0"/>
                <w:sz w:val="24"/>
                <w:szCs w:val="24"/>
                <w:highlight w:val="none"/>
                <w:lang w:val="en-US" w:eastAsia="zh-CN" w:bidi="en-US"/>
              </w:rPr>
              <w:t>包子成型机</w:t>
            </w:r>
            <w:r>
              <w:rPr>
                <w:rFonts w:hint="default" w:ascii="Times New Roman" w:hAnsi="Times New Roman" w:eastAsia="宋体" w:cs="Times New Roman"/>
                <w:color w:val="auto"/>
                <w:kern w:val="0"/>
                <w:sz w:val="24"/>
                <w:szCs w:val="24"/>
                <w:highlight w:val="none"/>
                <w:lang w:val="en-US" w:eastAsia="zh-CN" w:bidi="en-US"/>
              </w:rPr>
              <w:t>和</w:t>
            </w:r>
            <w:r>
              <w:rPr>
                <w:rFonts w:hint="eastAsia" w:cs="Times New Roman"/>
                <w:color w:val="auto"/>
                <w:kern w:val="0"/>
                <w:sz w:val="24"/>
                <w:szCs w:val="24"/>
                <w:highlight w:val="none"/>
                <w:lang w:val="en-US" w:eastAsia="zh-CN" w:bidi="en-US"/>
              </w:rPr>
              <w:t>蒸柜中</w:t>
            </w:r>
            <w:r>
              <w:rPr>
                <w:rFonts w:hint="default" w:ascii="Times New Roman" w:hAnsi="Times New Roman" w:eastAsia="宋体" w:cs="Times New Roman"/>
                <w:color w:val="auto"/>
                <w:kern w:val="0"/>
                <w:sz w:val="24"/>
                <w:szCs w:val="24"/>
                <w:highlight w:val="none"/>
                <w:lang w:eastAsia="zh-CN" w:bidi="en-US"/>
              </w:rPr>
              <w:t>，然后进行醒发和蒸制，蒸汽冷凝会产生废水；待冷却后进入速冻机进行速冻（速冻过程为：在-30℃~-35℃的温度下速冻30-40分钟，使中心温度达到-15℃以下）</w:t>
            </w:r>
            <w:r>
              <w:rPr>
                <w:rFonts w:hint="eastAsia" w:cs="Times New Roman"/>
                <w:color w:val="auto"/>
                <w:kern w:val="0"/>
                <w:sz w:val="24"/>
                <w:szCs w:val="24"/>
                <w:highlight w:val="none"/>
                <w:lang w:eastAsia="zh-CN" w:bidi="en-US"/>
              </w:rPr>
              <w:t>，</w:t>
            </w:r>
            <w:r>
              <w:rPr>
                <w:rFonts w:hint="default" w:ascii="Times New Roman" w:hAnsi="Times New Roman" w:eastAsia="宋体" w:cs="Times New Roman"/>
                <w:color w:val="auto"/>
                <w:kern w:val="0"/>
                <w:sz w:val="24"/>
                <w:szCs w:val="24"/>
                <w:highlight w:val="none"/>
                <w:lang w:eastAsia="zh-CN" w:bidi="en-US"/>
              </w:rPr>
              <w:t>经检验、计量、包装后、放入成品冷藏库中待售。</w:t>
            </w:r>
          </w:p>
          <w:p w14:paraId="4D4A2971">
            <w:pPr>
              <w:keepNext w:val="0"/>
              <w:keepLines w:val="0"/>
              <w:suppressLineNumbers w:val="0"/>
              <w:spacing w:before="0" w:beforeAutospacing="0" w:after="0" w:afterAutospacing="0"/>
              <w:ind w:left="0" w:right="0"/>
              <w:rPr>
                <w:rFonts w:hint="eastAsia" w:eastAsia="宋体"/>
                <w:b/>
                <w:bCs w:val="0"/>
                <w:color w:val="auto"/>
                <w:lang w:val="en-US" w:eastAsia="zh-CN"/>
              </w:rPr>
            </w:pPr>
            <w:r>
              <w:rPr>
                <w:rFonts w:hint="eastAsia"/>
                <w:b/>
                <w:bCs w:val="0"/>
                <w:color w:val="auto"/>
                <w:szCs w:val="24"/>
                <w:highlight w:val="none"/>
                <w:lang w:val="en-US" w:eastAsia="zh-CN"/>
              </w:rPr>
              <w:t>包子生产流程：</w:t>
            </w:r>
          </w:p>
          <w:p w14:paraId="400392B5">
            <w:pPr>
              <w:pStyle w:val="24"/>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①食材预处理：包括蔬菜的预处理、肉类的预处理。蔬菜的预处理：摘洗菜、切菜机切菜；肉类的预处理：肉类清洗完后放入切肉机刨切、搅碎，</w:t>
            </w:r>
            <w:r>
              <w:rPr>
                <w:rFonts w:hint="default" w:ascii="Times New Roman" w:hAnsi="Times New Roman" w:cs="Times New Roman"/>
                <w:b/>
                <w:bCs/>
                <w:color w:val="auto"/>
                <w:sz w:val="24"/>
                <w:szCs w:val="24"/>
                <w:highlight w:val="none"/>
                <w:lang w:val="en-US" w:eastAsia="zh-CN"/>
              </w:rPr>
              <w:t>该</w:t>
            </w:r>
            <w:r>
              <w:rPr>
                <w:rFonts w:hint="eastAsia" w:ascii="Times New Roman" w:hAnsi="Times New Roman" w:cs="Times New Roman"/>
                <w:b/>
                <w:bCs/>
                <w:color w:val="auto"/>
                <w:sz w:val="24"/>
                <w:szCs w:val="24"/>
                <w:highlight w:val="none"/>
                <w:lang w:val="en-US" w:eastAsia="zh-CN"/>
              </w:rPr>
              <w:t>工序</w:t>
            </w:r>
            <w:r>
              <w:rPr>
                <w:rFonts w:hint="default" w:ascii="Times New Roman" w:hAnsi="Times New Roman" w:cs="Times New Roman"/>
                <w:b/>
                <w:bCs/>
                <w:color w:val="auto"/>
                <w:sz w:val="24"/>
                <w:szCs w:val="24"/>
                <w:highlight w:val="none"/>
                <w:lang w:val="en-US" w:eastAsia="zh-CN"/>
              </w:rPr>
              <w:t>会产生废水、噪声和餐厨垃圾；</w:t>
            </w:r>
          </w:p>
          <w:p w14:paraId="682CC452">
            <w:pPr>
              <w:pStyle w:val="24"/>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②搅拌调馅：将配料与处理好的原材料调配制作包子馅；</w:t>
            </w:r>
            <w:r>
              <w:rPr>
                <w:rFonts w:hint="eastAsia" w:ascii="Times New Roman" w:hAnsi="Times New Roman" w:cs="Times New Roman"/>
                <w:b/>
                <w:bCs/>
                <w:color w:val="auto"/>
                <w:sz w:val="24"/>
                <w:szCs w:val="24"/>
                <w:highlight w:val="none"/>
                <w:lang w:val="en-US" w:eastAsia="zh-CN"/>
              </w:rPr>
              <w:t>该工序会产生噪声；</w:t>
            </w:r>
          </w:p>
          <w:p w14:paraId="63443D19">
            <w:pPr>
              <w:pStyle w:val="24"/>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③和面及醒发：将面粉加入酵母菌并调制成面团，进行醒发；</w:t>
            </w:r>
            <w:r>
              <w:rPr>
                <w:rFonts w:hint="eastAsia" w:ascii="Times New Roman" w:hAnsi="Times New Roman" w:cs="Times New Roman"/>
                <w:b/>
                <w:bCs/>
                <w:color w:val="auto"/>
                <w:sz w:val="24"/>
                <w:szCs w:val="24"/>
                <w:highlight w:val="none"/>
                <w:lang w:val="en-US" w:eastAsia="zh-CN"/>
              </w:rPr>
              <w:t>该工序会产生粉尘和噪声；</w:t>
            </w:r>
          </w:p>
          <w:p w14:paraId="008163AC">
            <w:pPr>
              <w:pStyle w:val="24"/>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④成型、醒发及蒸制：将发酵好的面团及包子馅送入自动包子机成型，然后进行醒发和蒸制，</w:t>
            </w:r>
            <w:r>
              <w:rPr>
                <w:rFonts w:hint="default" w:ascii="Times New Roman" w:hAnsi="Times New Roman" w:cs="Times New Roman"/>
                <w:b/>
                <w:bCs/>
                <w:color w:val="auto"/>
                <w:sz w:val="24"/>
                <w:szCs w:val="24"/>
                <w:highlight w:val="none"/>
                <w:lang w:val="en-US" w:eastAsia="zh-CN"/>
              </w:rPr>
              <w:t>蒸汽冷凝</w:t>
            </w:r>
            <w:r>
              <w:rPr>
                <w:rFonts w:hint="eastAsia" w:ascii="Times New Roman" w:hAnsi="Times New Roman" w:cs="Times New Roman"/>
                <w:b/>
                <w:bCs/>
                <w:color w:val="auto"/>
                <w:sz w:val="24"/>
                <w:szCs w:val="24"/>
                <w:highlight w:val="none"/>
                <w:lang w:val="en-US" w:eastAsia="zh-CN"/>
              </w:rPr>
              <w:t>工序</w:t>
            </w:r>
            <w:r>
              <w:rPr>
                <w:rFonts w:hint="default" w:ascii="Times New Roman" w:hAnsi="Times New Roman" w:cs="Times New Roman"/>
                <w:b/>
                <w:bCs/>
                <w:color w:val="auto"/>
                <w:sz w:val="24"/>
                <w:szCs w:val="24"/>
                <w:highlight w:val="none"/>
                <w:lang w:val="en-US" w:eastAsia="zh-CN"/>
              </w:rPr>
              <w:t>会产生废水</w:t>
            </w:r>
            <w:r>
              <w:rPr>
                <w:rFonts w:hint="default" w:ascii="Times New Roman" w:hAnsi="Times New Roman" w:cs="Times New Roman"/>
                <w:color w:val="auto"/>
                <w:sz w:val="24"/>
                <w:szCs w:val="24"/>
                <w:highlight w:val="none"/>
                <w:lang w:val="en-US" w:eastAsia="zh-CN"/>
              </w:rPr>
              <w:t>；</w:t>
            </w:r>
          </w:p>
          <w:p w14:paraId="5AE17003">
            <w:pPr>
              <w:pStyle w:val="18"/>
              <w:keepNext w:val="0"/>
              <w:keepLines w:val="0"/>
              <w:suppressLineNumbers w:val="0"/>
              <w:spacing w:before="0" w:beforeAutospacing="0" w:after="0" w:afterAutospacing="0"/>
              <w:ind w:left="0" w:right="0" w:firstLine="48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⑤冷却冷冻及包装：待冷却后进入速冻机进行速冻（速冻过程为：在-30℃~-35℃的温度下速冻30-40分钟，使温度达到-15℃以下）</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经检验、计量、包装后、放入成品冷藏库中待售。</w:t>
            </w:r>
            <w:r>
              <w:rPr>
                <w:rFonts w:hint="eastAsia" w:ascii="Times New Roman" w:hAnsi="Times New Roman" w:cs="Times New Roman"/>
                <w:b/>
                <w:bCs/>
                <w:color w:val="auto"/>
                <w:sz w:val="24"/>
                <w:szCs w:val="24"/>
                <w:highlight w:val="none"/>
                <w:lang w:val="en-US" w:eastAsia="zh-CN"/>
              </w:rPr>
              <w:t>该工序会产生噪声。</w:t>
            </w:r>
          </w:p>
          <w:p w14:paraId="5FAEAA22">
            <w:pPr>
              <w:pStyle w:val="18"/>
              <w:keepNext w:val="0"/>
              <w:keepLines w:val="0"/>
              <w:suppressLineNumbers w:val="0"/>
              <w:spacing w:before="0" w:beforeAutospacing="0" w:after="0" w:afterAutospacing="0"/>
              <w:ind w:left="0" w:right="0" w:firstLine="480"/>
              <w:rPr>
                <w:rFonts w:hint="eastAsia"/>
                <w:color w:val="auto"/>
                <w:sz w:val="24"/>
                <w:lang w:val="en-US" w:eastAsia="zh-CN"/>
              </w:rPr>
            </w:pPr>
            <w:r>
              <w:rPr>
                <w:rFonts w:hint="default" w:ascii="Times New Roman" w:hAnsi="Times New Roman" w:cs="Times New Roman"/>
                <w:color w:val="auto"/>
                <w:sz w:val="24"/>
                <w:lang w:val="en-US" w:eastAsia="zh-CN"/>
              </w:rPr>
              <w:t>3、稀饭生</w:t>
            </w:r>
            <w:r>
              <w:rPr>
                <w:rFonts w:hint="eastAsia"/>
                <w:color w:val="auto"/>
                <w:sz w:val="24"/>
                <w:lang w:val="en-US" w:eastAsia="zh-CN"/>
              </w:rPr>
              <w:t>产工艺流程</w:t>
            </w:r>
          </w:p>
          <w:p w14:paraId="716DE4A7">
            <w:pPr>
              <w:pStyle w:val="18"/>
              <w:keepNext w:val="0"/>
              <w:keepLines w:val="0"/>
              <w:suppressLineNumbers w:val="0"/>
              <w:spacing w:before="0" w:beforeAutospacing="0" w:after="0" w:afterAutospacing="0"/>
              <w:ind w:left="0" w:right="0" w:firstLine="480"/>
              <w:rPr>
                <w:rFonts w:hint="default" w:ascii="Times New Roman"/>
                <w:bCs/>
                <w:color w:val="auto"/>
                <w:szCs w:val="24"/>
                <w:highlight w:val="none"/>
              </w:rPr>
            </w:pPr>
            <w:r>
              <w:rPr>
                <w:rFonts w:hint="eastAsia" w:ascii="Times New Roman"/>
                <w:bCs/>
                <w:color w:val="auto"/>
                <w:szCs w:val="24"/>
                <w:highlight w:val="none"/>
              </w:rPr>
              <w:t>工艺流程图如下：</w:t>
            </w:r>
          </w:p>
          <w:p w14:paraId="7BCFE5CA">
            <w:pPr>
              <w:pStyle w:val="36"/>
              <w:keepNext/>
              <w:keepLines/>
              <w:suppressLineNumbers w:val="0"/>
              <w:spacing w:before="0" w:beforeAutospacing="0" w:after="0" w:afterAutospacing="0"/>
              <w:ind w:left="0" w:leftChars="0" w:right="0" w:firstLine="0" w:firstLineChars="0"/>
              <w:jc w:val="center"/>
              <w:rPr>
                <w:rFonts w:hint="eastAsia"/>
                <w:b/>
                <w:bCs/>
                <w:color w:val="auto"/>
                <w:szCs w:val="21"/>
                <w:highlight w:val="none"/>
              </w:rPr>
            </w:pPr>
            <w:r>
              <w:rPr>
                <w:rFonts w:hint="eastAsia"/>
                <w:b/>
                <w:bCs/>
                <w:color w:val="auto"/>
                <w:szCs w:val="21"/>
                <w:highlight w:val="none"/>
              </w:rPr>
              <w:object>
                <v:shape id="_x0000_i1028" o:spt="75" type="#_x0000_t75" style="height:75pt;width:326.25pt;" o:ole="t" filled="f" o:preferrelative="t" stroked="f" coordsize="21600,21600">
                  <v:path/>
                  <v:fill on="f" focussize="0,0"/>
                  <v:stroke on="f"/>
                  <v:imagedata r:id="rId23" o:title=""/>
                  <o:lock v:ext="edit" aspectratio="f"/>
                  <w10:wrap type="none"/>
                  <w10:anchorlock/>
                </v:shape>
                <o:OLEObject Type="Embed" ProgID="Visio.Drawing.11" ShapeID="_x0000_i1028" DrawAspect="Content" ObjectID="_1468075728" r:id="rId22">
                  <o:LockedField>false</o:LockedField>
                </o:OLEObject>
              </w:object>
            </w:r>
          </w:p>
          <w:p w14:paraId="37197A3E">
            <w:pPr>
              <w:pStyle w:val="36"/>
              <w:keepNext/>
              <w:keepLines/>
              <w:suppressLineNumbers w:val="0"/>
              <w:spacing w:before="0" w:beforeAutospacing="0" w:after="0" w:afterAutospacing="0"/>
              <w:ind w:left="0" w:leftChars="0" w:right="0" w:firstLine="0" w:firstLineChars="0"/>
              <w:jc w:val="center"/>
              <w:rPr>
                <w:rFonts w:hint="default"/>
                <w:b/>
                <w:bCs/>
                <w:color w:val="auto"/>
                <w:szCs w:val="21"/>
                <w:highlight w:val="none"/>
              </w:rPr>
            </w:pPr>
            <w:r>
              <w:rPr>
                <w:rFonts w:hint="eastAsia"/>
                <w:b/>
                <w:bCs/>
                <w:color w:val="auto"/>
                <w:szCs w:val="21"/>
                <w:highlight w:val="none"/>
              </w:rPr>
              <w:t>图2-</w:t>
            </w:r>
            <w:r>
              <w:rPr>
                <w:rFonts w:hint="eastAsia"/>
                <w:b/>
                <w:bCs/>
                <w:color w:val="auto"/>
                <w:szCs w:val="21"/>
                <w:highlight w:val="none"/>
                <w:lang w:val="en-US" w:eastAsia="zh-CN"/>
              </w:rPr>
              <w:t>5</w:t>
            </w:r>
            <w:r>
              <w:rPr>
                <w:rFonts w:hint="eastAsia"/>
                <w:b/>
                <w:bCs/>
                <w:color w:val="auto"/>
                <w:szCs w:val="21"/>
                <w:highlight w:val="none"/>
              </w:rPr>
              <w:t xml:space="preserve">  </w:t>
            </w:r>
            <w:r>
              <w:rPr>
                <w:rFonts w:hint="eastAsia"/>
                <w:b/>
                <w:bCs/>
                <w:color w:val="auto"/>
                <w:szCs w:val="21"/>
                <w:highlight w:val="none"/>
                <w:lang w:val="en-US" w:eastAsia="zh-CN"/>
              </w:rPr>
              <w:t>稀饭</w:t>
            </w:r>
            <w:r>
              <w:rPr>
                <w:rFonts w:hint="eastAsia"/>
                <w:b/>
                <w:bCs/>
                <w:color w:val="auto"/>
                <w:szCs w:val="21"/>
                <w:highlight w:val="none"/>
              </w:rPr>
              <w:t>生产工艺流程及产污环节示意图</w:t>
            </w:r>
          </w:p>
          <w:p w14:paraId="16354C8F">
            <w:pPr>
              <w:pStyle w:val="18"/>
              <w:keepNext w:val="0"/>
              <w:keepLines w:val="0"/>
              <w:suppressLineNumbers w:val="0"/>
              <w:spacing w:before="0" w:beforeAutospacing="0" w:after="0" w:afterAutospacing="0"/>
              <w:ind w:left="0" w:right="0" w:firstLine="480"/>
              <w:rPr>
                <w:rFonts w:hint="default" w:ascii="Times New Roman"/>
                <w:bCs/>
                <w:color w:val="auto"/>
                <w:szCs w:val="24"/>
                <w:highlight w:val="none"/>
              </w:rPr>
            </w:pPr>
            <w:r>
              <w:rPr>
                <w:rFonts w:hint="eastAsia" w:ascii="Times New Roman"/>
                <w:bCs/>
                <w:color w:val="auto"/>
                <w:szCs w:val="24"/>
                <w:highlight w:val="none"/>
              </w:rPr>
              <w:t>工艺简述：</w:t>
            </w:r>
          </w:p>
          <w:p w14:paraId="39C379AD">
            <w:pPr>
              <w:keepNext w:val="0"/>
              <w:keepLines w:val="0"/>
              <w:suppressLineNumbers w:val="0"/>
              <w:tabs>
                <w:tab w:val="left" w:pos="4335"/>
              </w:tabs>
              <w:autoSpaceDE w:val="0"/>
              <w:autoSpaceDN w:val="0"/>
              <w:adjustRightInd w:val="0"/>
              <w:spacing w:before="0" w:beforeAutospacing="0" w:after="0" w:afterAutospacing="0" w:line="360" w:lineRule="auto"/>
              <w:ind w:left="0" w:right="0" w:firstLine="480" w:firstLineChars="200"/>
              <w:rPr>
                <w:rFonts w:hint="eastAsia"/>
                <w:color w:val="auto"/>
                <w:sz w:val="24"/>
                <w:szCs w:val="24"/>
              </w:rPr>
            </w:pPr>
            <w:r>
              <w:rPr>
                <w:rFonts w:hint="default" w:ascii="Times New Roman" w:hAnsi="Times New Roman" w:cs="Times New Roman"/>
                <w:b w:val="0"/>
                <w:bCs w:val="0"/>
                <w:color w:val="auto"/>
                <w:lang w:val="en-US" w:eastAsia="zh-CN"/>
              </w:rPr>
              <w:t>本项目购买的原料为大米</w:t>
            </w:r>
            <w:r>
              <w:rPr>
                <w:rFonts w:hint="eastAsia" w:cs="Times New Roman"/>
                <w:b w:val="0"/>
                <w:bCs w:val="0"/>
                <w:color w:val="auto"/>
                <w:lang w:val="en-US" w:eastAsia="zh-CN"/>
              </w:rPr>
              <w:t>、少量的豆类</w:t>
            </w:r>
            <w:r>
              <w:rPr>
                <w:rFonts w:hint="default" w:ascii="Times New Roman" w:hAnsi="Times New Roman" w:cs="Times New Roman"/>
                <w:b w:val="0"/>
                <w:bCs w:val="0"/>
                <w:color w:val="auto"/>
                <w:lang w:val="en-US" w:eastAsia="zh-CN"/>
              </w:rPr>
              <w:t>进行</w:t>
            </w:r>
            <w:r>
              <w:rPr>
                <w:rFonts w:hint="default" w:ascii="Times New Roman" w:hAnsi="Times New Roman" w:cs="Times New Roman"/>
                <w:b w:val="0"/>
                <w:bCs w:val="0"/>
                <w:color w:val="auto"/>
                <w:lang w:eastAsia="zh-CN"/>
              </w:rPr>
              <w:t>清洗</w:t>
            </w:r>
            <w:r>
              <w:rPr>
                <w:rFonts w:hint="default" w:ascii="Times New Roman" w:hAnsi="Times New Roman" w:cs="Times New Roman"/>
                <w:b w:val="0"/>
                <w:bCs w:val="0"/>
                <w:color w:val="auto"/>
                <w:lang w:val="en-US" w:eastAsia="zh-CN"/>
              </w:rPr>
              <w:t>后</w:t>
            </w:r>
            <w:r>
              <w:rPr>
                <w:rFonts w:hint="default" w:ascii="Times New Roman" w:hAnsi="Times New Roman" w:cs="Times New Roman"/>
                <w:b w:val="0"/>
                <w:bCs w:val="0"/>
                <w:color w:val="auto"/>
                <w:lang w:eastAsia="zh-CN"/>
              </w:rPr>
              <w:t>，放入锅内，加入一定适量的水，大火烧开后改用小火，粥熬好后，待降温后进行包装处理</w:t>
            </w:r>
            <w:r>
              <w:rPr>
                <w:rFonts w:hint="eastAsia" w:cs="Times New Roman"/>
                <w:b w:val="0"/>
                <w:bCs w:val="0"/>
                <w:color w:val="auto"/>
                <w:lang w:eastAsia="zh-CN"/>
              </w:rPr>
              <w:t>，</w:t>
            </w:r>
            <w:r>
              <w:rPr>
                <w:rFonts w:hint="eastAsia" w:cs="Times New Roman"/>
                <w:b/>
                <w:bCs/>
                <w:color w:val="auto"/>
                <w:lang w:val="en-US" w:eastAsia="zh-CN"/>
              </w:rPr>
              <w:t>包装工序会产生噪声和废包装</w:t>
            </w:r>
            <w:r>
              <w:rPr>
                <w:rFonts w:hint="eastAsia" w:ascii="宋体" w:hAnsi="宋体" w:cs="宋体"/>
                <w:color w:val="auto"/>
                <w:sz w:val="24"/>
                <w:szCs w:val="24"/>
              </w:rPr>
              <w:t>。</w:t>
            </w:r>
          </w:p>
          <w:p w14:paraId="54029E5B">
            <w:pPr>
              <w:pStyle w:val="18"/>
              <w:keepNext w:val="0"/>
              <w:keepLines w:val="0"/>
              <w:suppressLineNumbers w:val="0"/>
              <w:spacing w:before="0" w:beforeAutospacing="0" w:after="0" w:afterAutospacing="0"/>
              <w:ind w:left="0" w:right="0" w:firstLine="480"/>
              <w:rPr>
                <w:rFonts w:hint="eastAsia"/>
                <w:color w:val="auto"/>
                <w:sz w:val="24"/>
                <w:lang w:val="en-US" w:eastAsia="zh-CN"/>
              </w:rPr>
            </w:pPr>
            <w:r>
              <w:rPr>
                <w:rFonts w:hint="default" w:ascii="Times New Roman" w:hAnsi="Times New Roman" w:cs="Times New Roman"/>
                <w:color w:val="auto"/>
                <w:sz w:val="24"/>
                <w:lang w:val="en-US" w:eastAsia="zh-CN"/>
              </w:rPr>
              <w:t>4、盒饭</w:t>
            </w:r>
            <w:r>
              <w:rPr>
                <w:rFonts w:hint="eastAsia"/>
                <w:color w:val="auto"/>
                <w:sz w:val="24"/>
                <w:lang w:val="en-US" w:eastAsia="zh-CN"/>
              </w:rPr>
              <w:t>生产工艺流程</w:t>
            </w:r>
          </w:p>
          <w:p w14:paraId="2CC6F6C8">
            <w:pPr>
              <w:pStyle w:val="18"/>
              <w:keepNext w:val="0"/>
              <w:keepLines w:val="0"/>
              <w:suppressLineNumbers w:val="0"/>
              <w:spacing w:before="0" w:beforeAutospacing="0" w:after="0" w:afterAutospacing="0"/>
              <w:ind w:left="0" w:right="0" w:firstLine="480"/>
              <w:rPr>
                <w:rFonts w:hint="default" w:ascii="Times New Roman"/>
                <w:bCs/>
                <w:color w:val="auto"/>
                <w:szCs w:val="24"/>
                <w:highlight w:val="none"/>
              </w:rPr>
            </w:pPr>
            <w:r>
              <w:rPr>
                <w:rFonts w:hint="eastAsia" w:ascii="Times New Roman"/>
                <w:bCs/>
                <w:color w:val="auto"/>
                <w:szCs w:val="24"/>
                <w:highlight w:val="none"/>
              </w:rPr>
              <w:t>工艺流程图如下：</w:t>
            </w:r>
          </w:p>
          <w:p w14:paraId="07C07622">
            <w:pPr>
              <w:pStyle w:val="36"/>
              <w:keepNext/>
              <w:keepLines/>
              <w:suppressLineNumbers w:val="0"/>
              <w:spacing w:before="0" w:beforeAutospacing="0" w:after="0" w:afterAutospacing="0"/>
              <w:ind w:left="0" w:leftChars="0" w:right="0" w:firstLine="0" w:firstLineChars="0"/>
              <w:jc w:val="center"/>
              <w:rPr>
                <w:rFonts w:hint="eastAsia"/>
                <w:b/>
                <w:bCs/>
                <w:color w:val="auto"/>
                <w:szCs w:val="21"/>
                <w:highlight w:val="yellow"/>
              </w:rPr>
            </w:pPr>
            <w:r>
              <w:rPr>
                <w:rFonts w:hint="eastAsia"/>
                <w:b/>
                <w:bCs/>
                <w:color w:val="auto"/>
                <w:szCs w:val="21"/>
                <w:highlight w:val="none"/>
              </w:rPr>
              <w:object>
                <v:shape id="_x0000_i1029" o:spt="75" type="#_x0000_t75" style="height:216.75pt;width:379.5pt;" o:ole="t" filled="f" o:preferrelative="t" stroked="f" coordsize="21600,21600">
                  <v:path/>
                  <v:fill on="f" focussize="0,0"/>
                  <v:stroke on="f"/>
                  <v:imagedata r:id="rId25" o:title=""/>
                  <o:lock v:ext="edit" aspectratio="f"/>
                  <w10:wrap type="none"/>
                  <w10:anchorlock/>
                </v:shape>
                <o:OLEObject Type="Embed" ProgID="Visio.Drawing.11" ShapeID="_x0000_i1029" DrawAspect="Content" ObjectID="_1468075729" r:id="rId24">
                  <o:LockedField>false</o:LockedField>
                </o:OLEObject>
              </w:object>
            </w:r>
          </w:p>
          <w:p w14:paraId="0CC5DBEE">
            <w:pPr>
              <w:pStyle w:val="36"/>
              <w:keepNext/>
              <w:keepLines/>
              <w:suppressLineNumbers w:val="0"/>
              <w:spacing w:before="0" w:beforeAutospacing="0" w:after="0" w:afterAutospacing="0"/>
              <w:ind w:left="0" w:leftChars="0" w:right="0" w:firstLine="0" w:firstLineChars="0"/>
              <w:jc w:val="center"/>
              <w:rPr>
                <w:rFonts w:hint="default"/>
                <w:b/>
                <w:bCs/>
                <w:color w:val="auto"/>
                <w:szCs w:val="21"/>
                <w:highlight w:val="none"/>
              </w:rPr>
            </w:pPr>
            <w:r>
              <w:rPr>
                <w:rFonts w:hint="eastAsia"/>
                <w:b/>
                <w:bCs/>
                <w:color w:val="auto"/>
                <w:szCs w:val="21"/>
                <w:highlight w:val="none"/>
              </w:rPr>
              <w:t>图2-</w:t>
            </w:r>
            <w:r>
              <w:rPr>
                <w:rFonts w:hint="eastAsia"/>
                <w:b/>
                <w:bCs/>
                <w:color w:val="auto"/>
                <w:szCs w:val="21"/>
                <w:highlight w:val="none"/>
                <w:lang w:val="en-US" w:eastAsia="zh-CN"/>
              </w:rPr>
              <w:t>6</w:t>
            </w:r>
            <w:r>
              <w:rPr>
                <w:rFonts w:hint="eastAsia"/>
                <w:b/>
                <w:bCs/>
                <w:color w:val="auto"/>
                <w:szCs w:val="21"/>
                <w:highlight w:val="none"/>
              </w:rPr>
              <w:t xml:space="preserve">  </w:t>
            </w:r>
            <w:r>
              <w:rPr>
                <w:rFonts w:hint="eastAsia"/>
                <w:b/>
                <w:bCs/>
                <w:color w:val="auto"/>
                <w:szCs w:val="21"/>
                <w:highlight w:val="none"/>
                <w:lang w:val="en-US" w:eastAsia="zh-CN"/>
              </w:rPr>
              <w:t>盒饭</w:t>
            </w:r>
            <w:r>
              <w:rPr>
                <w:rFonts w:hint="eastAsia"/>
                <w:b/>
                <w:bCs/>
                <w:color w:val="auto"/>
                <w:szCs w:val="21"/>
                <w:highlight w:val="none"/>
              </w:rPr>
              <w:t>生产工艺流程及产污环节示意图</w:t>
            </w:r>
          </w:p>
          <w:p w14:paraId="069AADF9">
            <w:pPr>
              <w:pStyle w:val="18"/>
              <w:keepNext w:val="0"/>
              <w:keepLines w:val="0"/>
              <w:suppressLineNumbers w:val="0"/>
              <w:spacing w:before="0" w:beforeAutospacing="0" w:after="0" w:afterAutospacing="0"/>
              <w:ind w:left="0" w:right="0" w:firstLine="480"/>
              <w:rPr>
                <w:rFonts w:hint="default" w:ascii="Times New Roman"/>
                <w:bCs/>
                <w:color w:val="auto"/>
                <w:szCs w:val="24"/>
                <w:highlight w:val="none"/>
              </w:rPr>
            </w:pPr>
            <w:r>
              <w:rPr>
                <w:rFonts w:hint="eastAsia" w:ascii="Times New Roman"/>
                <w:bCs/>
                <w:color w:val="auto"/>
                <w:szCs w:val="24"/>
                <w:highlight w:val="none"/>
              </w:rPr>
              <w:t>工艺简述：</w:t>
            </w:r>
          </w:p>
          <w:p w14:paraId="659CE28F">
            <w:pPr>
              <w:pStyle w:val="196"/>
              <w:keepNext w:val="0"/>
              <w:keepLines w:val="0"/>
              <w:suppressLineNumbers w:val="0"/>
              <w:spacing w:before="0" w:beforeAutospacing="0" w:afterAutospacing="0"/>
              <w:ind w:left="0" w:right="0" w:firstLine="480"/>
              <w:rPr>
                <w:rFonts w:hint="default" w:ascii="Times New Roman" w:hAnsi="Times New Roman" w:cs="Times New Roman"/>
                <w:color w:val="auto"/>
                <w:lang w:eastAsia="zh-CN"/>
              </w:rPr>
            </w:pPr>
            <w:r>
              <w:rPr>
                <w:rFonts w:hint="default" w:ascii="Times New Roman" w:hAnsi="Times New Roman" w:cs="Times New Roman"/>
                <w:color w:val="auto"/>
                <w:lang w:eastAsia="zh-CN"/>
              </w:rPr>
              <w:t>①</w:t>
            </w:r>
            <w:r>
              <w:rPr>
                <w:rFonts w:hint="eastAsia" w:ascii="Times New Roman" w:hAnsi="Times New Roman" w:cs="Times New Roman"/>
                <w:color w:val="auto"/>
                <w:lang w:val="en-US" w:eastAsia="zh-CN"/>
              </w:rPr>
              <w:t>清洗：</w:t>
            </w:r>
            <w:r>
              <w:rPr>
                <w:rFonts w:hint="default" w:ascii="Times New Roman" w:hAnsi="Times New Roman" w:cs="Times New Roman"/>
                <w:color w:val="auto"/>
                <w:lang w:eastAsia="zh-CN"/>
              </w:rPr>
              <w:t>将外购蔬菜、肉类验收入库后进行清洗，</w:t>
            </w:r>
            <w:r>
              <w:rPr>
                <w:rFonts w:hint="eastAsia" w:ascii="Times New Roman" w:hAnsi="Times New Roman" w:cs="Times New Roman"/>
                <w:b/>
                <w:bCs/>
                <w:color w:val="auto"/>
                <w:lang w:val="en-US" w:eastAsia="zh-CN"/>
              </w:rPr>
              <w:t>该工序</w:t>
            </w:r>
            <w:r>
              <w:rPr>
                <w:rFonts w:hint="default" w:ascii="Times New Roman" w:hAnsi="Times New Roman" w:cs="Times New Roman"/>
                <w:b/>
                <w:bCs/>
                <w:color w:val="auto"/>
                <w:lang w:eastAsia="zh-CN"/>
              </w:rPr>
              <w:t>产生清洗废水</w:t>
            </w:r>
            <w:r>
              <w:rPr>
                <w:rFonts w:hint="default" w:ascii="Times New Roman" w:hAnsi="Times New Roman" w:cs="Times New Roman"/>
                <w:color w:val="auto"/>
                <w:lang w:eastAsia="zh-CN"/>
              </w:rPr>
              <w:t>；</w:t>
            </w:r>
          </w:p>
          <w:p w14:paraId="62B317C6">
            <w:pPr>
              <w:pStyle w:val="196"/>
              <w:keepNext w:val="0"/>
              <w:keepLines w:val="0"/>
              <w:suppressLineNumbers w:val="0"/>
              <w:spacing w:before="0" w:beforeAutospacing="0" w:afterAutospacing="0"/>
              <w:ind w:left="0" w:right="0" w:firstLine="480"/>
              <w:rPr>
                <w:rFonts w:hint="default" w:ascii="Times New Roman" w:hAnsi="Times New Roman" w:cs="Times New Roman"/>
                <w:color w:val="auto"/>
                <w:lang w:eastAsia="zh-CN"/>
              </w:rPr>
            </w:pPr>
            <w:r>
              <w:rPr>
                <w:rFonts w:hint="default" w:ascii="Times New Roman" w:hAnsi="Times New Roman" w:eastAsia="宋体" w:cs="Times New Roman"/>
                <w:color w:val="auto"/>
                <w:lang w:eastAsia="zh-CN"/>
              </w:rPr>
              <w:t>②</w:t>
            </w:r>
            <w:r>
              <w:rPr>
                <w:rFonts w:hint="eastAsia" w:ascii="Times New Roman" w:hAnsi="Times New Roman" w:cs="Times New Roman"/>
                <w:color w:val="auto"/>
                <w:lang w:val="en-US" w:eastAsia="zh-CN"/>
              </w:rPr>
              <w:t>切制：</w:t>
            </w:r>
            <w:r>
              <w:rPr>
                <w:rFonts w:hint="default" w:ascii="Times New Roman" w:hAnsi="Times New Roman" w:cs="Times New Roman"/>
                <w:color w:val="auto"/>
                <w:lang w:eastAsia="zh-CN"/>
              </w:rPr>
              <w:t>清洗后的蔬菜、肉类进入切片机等设备进行切制，</w:t>
            </w:r>
            <w:r>
              <w:rPr>
                <w:rFonts w:hint="eastAsia" w:ascii="Times New Roman" w:hAnsi="Times New Roman" w:cs="Times New Roman"/>
                <w:b/>
                <w:bCs/>
                <w:color w:val="auto"/>
                <w:lang w:val="en-US" w:eastAsia="zh-CN"/>
              </w:rPr>
              <w:t>该工序</w:t>
            </w:r>
            <w:r>
              <w:rPr>
                <w:rFonts w:hint="default" w:ascii="Times New Roman" w:hAnsi="Times New Roman" w:cs="Times New Roman"/>
                <w:b/>
                <w:bCs/>
                <w:color w:val="auto"/>
                <w:lang w:eastAsia="zh-CN"/>
              </w:rPr>
              <w:t>产生餐厨垃圾和噪声</w:t>
            </w:r>
            <w:r>
              <w:rPr>
                <w:rFonts w:hint="default" w:ascii="Times New Roman" w:hAnsi="Times New Roman" w:cs="Times New Roman"/>
                <w:color w:val="auto"/>
                <w:lang w:eastAsia="zh-CN"/>
              </w:rPr>
              <w:t>；</w:t>
            </w:r>
          </w:p>
          <w:p w14:paraId="51940D69">
            <w:pPr>
              <w:pStyle w:val="196"/>
              <w:keepNext w:val="0"/>
              <w:keepLines w:val="0"/>
              <w:suppressLineNumbers w:val="0"/>
              <w:spacing w:before="0" w:beforeAutospacing="0" w:afterAutospacing="0"/>
              <w:ind w:left="0" w:right="0" w:firstLine="480"/>
              <w:rPr>
                <w:rFonts w:hint="default" w:ascii="Times New Roman" w:hAnsi="Times New Roman" w:cs="Times New Roman"/>
                <w:color w:val="auto"/>
                <w:lang w:eastAsia="zh-CN"/>
              </w:rPr>
            </w:pPr>
            <w:r>
              <w:rPr>
                <w:rFonts w:hint="default" w:ascii="Times New Roman" w:hAnsi="Times New Roman" w:eastAsia="宋体" w:cs="Times New Roman"/>
                <w:color w:val="auto"/>
                <w:lang w:eastAsia="zh-CN"/>
              </w:rPr>
              <w:t>③</w:t>
            </w:r>
            <w:r>
              <w:rPr>
                <w:rFonts w:hint="eastAsia" w:ascii="Times New Roman" w:hAnsi="Times New Roman" w:cs="Times New Roman"/>
                <w:color w:val="auto"/>
                <w:lang w:val="en-US" w:eastAsia="zh-CN"/>
              </w:rPr>
              <w:t>炒制：</w:t>
            </w:r>
            <w:r>
              <w:rPr>
                <w:rFonts w:hint="default" w:ascii="Times New Roman" w:hAnsi="Times New Roman" w:cs="Times New Roman"/>
                <w:color w:val="auto"/>
                <w:lang w:eastAsia="zh-CN"/>
              </w:rPr>
              <w:t>切好的蔬菜、肉类根据产品种类不同，进行煎炒烹炸</w:t>
            </w:r>
            <w:r>
              <w:rPr>
                <w:rFonts w:hint="eastAsia" w:ascii="Times New Roman" w:hAnsi="Times New Roman" w:cs="Times New Roman"/>
                <w:color w:val="auto"/>
                <w:lang w:val="en-US" w:eastAsia="zh-CN"/>
              </w:rPr>
              <w:t>等加工制作</w:t>
            </w:r>
            <w:r>
              <w:rPr>
                <w:rFonts w:hint="default" w:ascii="Times New Roman" w:hAnsi="Times New Roman" w:cs="Times New Roman"/>
                <w:color w:val="auto"/>
                <w:lang w:eastAsia="zh-CN"/>
              </w:rPr>
              <w:t>，</w:t>
            </w:r>
            <w:r>
              <w:rPr>
                <w:rFonts w:hint="eastAsia" w:ascii="Times New Roman" w:hAnsi="Times New Roman" w:cs="Times New Roman"/>
                <w:b/>
                <w:bCs/>
                <w:color w:val="auto"/>
                <w:lang w:val="en-US" w:eastAsia="zh-CN"/>
              </w:rPr>
              <w:t>该工序</w:t>
            </w:r>
            <w:r>
              <w:rPr>
                <w:rFonts w:hint="default" w:ascii="Times New Roman" w:hAnsi="Times New Roman" w:cs="Times New Roman"/>
                <w:b/>
                <w:bCs/>
                <w:color w:val="auto"/>
                <w:lang w:eastAsia="zh-CN"/>
              </w:rPr>
              <w:t>产生油烟、噪声和废水</w:t>
            </w:r>
            <w:r>
              <w:rPr>
                <w:rFonts w:hint="default" w:ascii="Times New Roman" w:hAnsi="Times New Roman" w:cs="Times New Roman"/>
                <w:color w:val="auto"/>
                <w:lang w:eastAsia="zh-CN"/>
              </w:rPr>
              <w:t>；</w:t>
            </w:r>
          </w:p>
          <w:p w14:paraId="006938DB">
            <w:pPr>
              <w:pStyle w:val="196"/>
              <w:keepNext w:val="0"/>
              <w:keepLines w:val="0"/>
              <w:suppressLineNumbers w:val="0"/>
              <w:spacing w:before="0" w:beforeAutospacing="0" w:afterAutospacing="0"/>
              <w:ind w:left="0" w:right="0" w:firstLine="480"/>
              <w:rPr>
                <w:rFonts w:hint="default" w:ascii="Times New Roman" w:hAnsi="Times New Roman" w:cs="Times New Roman"/>
                <w:color w:val="auto"/>
                <w:lang w:val="en-US" w:eastAsia="zh-CN"/>
              </w:rPr>
            </w:pPr>
            <w:r>
              <w:rPr>
                <w:rFonts w:hint="default" w:ascii="Times New Roman" w:hAnsi="Times New Roman" w:eastAsia="华文宋体" w:cs="Times New Roman"/>
                <w:color w:val="auto"/>
                <w:lang w:eastAsia="zh-CN"/>
              </w:rPr>
              <w:t>④</w:t>
            </w:r>
            <w:r>
              <w:rPr>
                <w:rFonts w:hint="eastAsia" w:ascii="Times New Roman" w:hAnsi="Times New Roman" w:cs="Times New Roman"/>
                <w:color w:val="auto"/>
                <w:lang w:val="en-US" w:eastAsia="zh-CN"/>
              </w:rPr>
              <w:t>热链分装：</w:t>
            </w:r>
            <w:r>
              <w:rPr>
                <w:rFonts w:hint="default" w:ascii="Times New Roman" w:hAnsi="Times New Roman" w:cs="Times New Roman"/>
                <w:color w:val="auto"/>
                <w:lang w:val="en-US" w:eastAsia="zh-CN"/>
              </w:rPr>
              <w:t>热加工后的蔬菜、肉类菜品进行分装；</w:t>
            </w:r>
          </w:p>
          <w:p w14:paraId="232387EC">
            <w:pPr>
              <w:pStyle w:val="196"/>
              <w:keepNext w:val="0"/>
              <w:keepLines w:val="0"/>
              <w:suppressLineNumbers w:val="0"/>
              <w:spacing w:before="0" w:beforeAutospacing="0" w:afterAutospacing="0"/>
              <w:ind w:left="0" w:right="0" w:firstLine="480"/>
              <w:rPr>
                <w:rFonts w:hint="default" w:ascii="Times New Roman" w:hAnsi="Times New Roman" w:cs="Times New Roman"/>
                <w:color w:val="auto"/>
                <w:lang w:eastAsia="zh-CN"/>
              </w:rPr>
            </w:pPr>
            <w:r>
              <w:rPr>
                <w:rFonts w:hint="default" w:ascii="Times New Roman" w:hAnsi="Times New Roman" w:eastAsia="宋体" w:cs="Times New Roman"/>
                <w:color w:val="auto"/>
                <w:lang w:eastAsia="zh-CN"/>
              </w:rPr>
              <w:t>⑤</w:t>
            </w:r>
            <w:r>
              <w:rPr>
                <w:rFonts w:hint="eastAsia" w:ascii="Times New Roman" w:hAnsi="Times New Roman" w:cs="Times New Roman"/>
                <w:color w:val="auto"/>
                <w:lang w:val="en-US" w:eastAsia="zh-CN"/>
              </w:rPr>
              <w:t>大米清洗：</w:t>
            </w:r>
            <w:r>
              <w:rPr>
                <w:rFonts w:hint="default" w:ascii="Times New Roman" w:hAnsi="Times New Roman" w:cs="Times New Roman"/>
                <w:color w:val="auto"/>
                <w:lang w:eastAsia="zh-CN"/>
              </w:rPr>
              <w:t>将外购大米进行清洗，</w:t>
            </w:r>
            <w:r>
              <w:rPr>
                <w:rFonts w:hint="eastAsia" w:ascii="Times New Roman" w:hAnsi="Times New Roman" w:cs="Times New Roman"/>
                <w:b/>
                <w:bCs/>
                <w:color w:val="auto"/>
                <w:lang w:val="en-US" w:eastAsia="zh-CN"/>
              </w:rPr>
              <w:t>该工序</w:t>
            </w:r>
            <w:r>
              <w:rPr>
                <w:rFonts w:hint="default" w:ascii="Times New Roman" w:hAnsi="Times New Roman" w:cs="Times New Roman"/>
                <w:b/>
                <w:bCs/>
                <w:color w:val="auto"/>
                <w:lang w:eastAsia="zh-CN"/>
              </w:rPr>
              <w:t>产生清洗废水</w:t>
            </w:r>
            <w:r>
              <w:rPr>
                <w:rFonts w:hint="default" w:ascii="Times New Roman" w:hAnsi="Times New Roman" w:cs="Times New Roman"/>
                <w:color w:val="auto"/>
                <w:lang w:eastAsia="zh-CN"/>
              </w:rPr>
              <w:t>；</w:t>
            </w:r>
          </w:p>
          <w:p w14:paraId="231CF929">
            <w:pPr>
              <w:pStyle w:val="196"/>
              <w:keepNext w:val="0"/>
              <w:keepLines w:val="0"/>
              <w:suppressLineNumbers w:val="0"/>
              <w:spacing w:before="0" w:beforeAutospacing="0" w:afterAutospacing="0"/>
              <w:ind w:left="0" w:right="0" w:firstLine="480"/>
              <w:rPr>
                <w:rFonts w:hint="default" w:ascii="Times New Roman" w:hAnsi="Times New Roman" w:cs="Times New Roman"/>
                <w:color w:val="auto"/>
                <w:lang w:eastAsia="zh-CN"/>
              </w:rPr>
            </w:pPr>
            <w:r>
              <w:rPr>
                <w:rFonts w:hint="default" w:ascii="Times New Roman" w:hAnsi="Times New Roman" w:eastAsia="宋体" w:cs="Times New Roman"/>
                <w:color w:val="auto"/>
                <w:lang w:eastAsia="zh-CN"/>
              </w:rPr>
              <w:t>⑥</w:t>
            </w:r>
            <w:r>
              <w:rPr>
                <w:rFonts w:hint="default" w:ascii="Times New Roman" w:hAnsi="Times New Roman" w:cs="Times New Roman"/>
                <w:color w:val="auto"/>
                <w:lang w:eastAsia="zh-CN"/>
              </w:rPr>
              <w:t>将大米与水按照</w:t>
            </w:r>
            <w:r>
              <w:rPr>
                <w:rFonts w:hint="eastAsia" w:ascii="Times New Roman" w:hAnsi="Times New Roman" w:cs="Times New Roman"/>
                <w:color w:val="auto"/>
                <w:lang w:val="en-US" w:eastAsia="zh-CN"/>
              </w:rPr>
              <w:t>一定的</w:t>
            </w:r>
            <w:r>
              <w:rPr>
                <w:rFonts w:hint="default" w:ascii="Times New Roman" w:hAnsi="Times New Roman" w:cs="Times New Roman"/>
                <w:color w:val="auto"/>
                <w:lang w:eastAsia="zh-CN"/>
              </w:rPr>
              <w:t>比例上蒸锅蒸制；</w:t>
            </w:r>
          </w:p>
          <w:p w14:paraId="577C09C0">
            <w:pPr>
              <w:pStyle w:val="196"/>
              <w:keepNext w:val="0"/>
              <w:keepLines w:val="0"/>
              <w:suppressLineNumbers w:val="0"/>
              <w:spacing w:before="0" w:beforeAutospacing="0" w:afterAutospacing="0"/>
              <w:ind w:left="0" w:right="0" w:firstLine="480"/>
              <w:rPr>
                <w:rFonts w:hint="default" w:ascii="Times New Roman" w:hAnsi="Times New Roman" w:cs="Times New Roman"/>
                <w:color w:val="auto"/>
                <w:lang w:eastAsia="zh-CN"/>
              </w:rPr>
            </w:pPr>
            <w:r>
              <w:rPr>
                <w:rFonts w:hint="default" w:ascii="Times New Roman" w:hAnsi="Times New Roman" w:eastAsia="宋体" w:cs="Times New Roman"/>
                <w:color w:val="auto"/>
                <w:lang w:eastAsia="zh-CN"/>
              </w:rPr>
              <w:t>⑦</w:t>
            </w:r>
            <w:r>
              <w:rPr>
                <w:rFonts w:hint="eastAsia" w:ascii="Times New Roman" w:hAnsi="Times New Roman" w:cs="Times New Roman"/>
                <w:color w:val="auto"/>
                <w:lang w:val="en-US" w:eastAsia="zh-CN"/>
              </w:rPr>
              <w:t>蒸制：</w:t>
            </w:r>
            <w:r>
              <w:rPr>
                <w:rFonts w:hint="default" w:ascii="Times New Roman" w:hAnsi="Times New Roman" w:cs="Times New Roman"/>
                <w:color w:val="auto"/>
                <w:lang w:eastAsia="zh-CN"/>
              </w:rPr>
              <w:t>蒸制成熟后的米饭跟熟制后的菜品一同进行装盒、装箱；</w:t>
            </w:r>
          </w:p>
          <w:p w14:paraId="3B589E84">
            <w:pPr>
              <w:keepNext w:val="0"/>
              <w:keepLines w:val="0"/>
              <w:suppressLineNumbers w:val="0"/>
              <w:tabs>
                <w:tab w:val="left" w:pos="4335"/>
              </w:tabs>
              <w:autoSpaceDE w:val="0"/>
              <w:autoSpaceDN w:val="0"/>
              <w:adjustRightInd w:val="0"/>
              <w:spacing w:before="0" w:beforeAutospacing="0" w:after="0" w:afterAutospacing="0" w:line="360" w:lineRule="auto"/>
              <w:ind w:left="0" w:right="0" w:firstLine="480" w:firstLineChars="200"/>
              <w:rPr>
                <w:rFonts w:hint="eastAsia"/>
                <w:color w:val="auto"/>
                <w:sz w:val="24"/>
                <w:szCs w:val="24"/>
              </w:rPr>
            </w:pPr>
            <w:r>
              <w:rPr>
                <w:rFonts w:hint="default" w:ascii="Times New Roman" w:hAnsi="Times New Roman" w:cs="Times New Roman"/>
                <w:color w:val="auto"/>
              </w:rPr>
              <w:fldChar w:fldCharType="begin"/>
            </w:r>
            <w:r>
              <w:rPr>
                <w:rFonts w:hint="default" w:ascii="Times New Roman" w:hAnsi="Times New Roman" w:cs="Times New Roman"/>
                <w:color w:val="auto"/>
                <w:lang w:eastAsia="zh-CN"/>
              </w:rPr>
              <w:instrText xml:space="preserve"> = 8 \* GB3 \* MERGEFORMAT </w:instrText>
            </w:r>
            <w:r>
              <w:rPr>
                <w:rFonts w:hint="default" w:ascii="Times New Roman" w:hAnsi="Times New Roman" w:cs="Times New Roman"/>
                <w:color w:val="auto"/>
              </w:rPr>
              <w:fldChar w:fldCharType="separate"/>
            </w:r>
            <w:r>
              <w:rPr>
                <w:rFonts w:hint="default" w:ascii="Times New Roman" w:hAnsi="Times New Roman" w:cs="Times New Roman"/>
                <w:color w:val="auto"/>
                <w:lang w:eastAsia="zh-CN"/>
              </w:rPr>
              <w:t>⑧</w:t>
            </w:r>
            <w:r>
              <w:rPr>
                <w:rFonts w:hint="default" w:ascii="Times New Roman" w:hAnsi="Times New Roman" w:cs="Times New Roman"/>
                <w:color w:val="auto"/>
              </w:rPr>
              <w:fldChar w:fldCharType="end"/>
            </w:r>
            <w:r>
              <w:rPr>
                <w:rFonts w:hint="eastAsia" w:ascii="Times New Roman" w:hAnsi="Times New Roman" w:cs="Times New Roman"/>
                <w:color w:val="auto"/>
                <w:lang w:val="en-US" w:eastAsia="zh-CN"/>
              </w:rPr>
              <w:t>成品配送：</w:t>
            </w:r>
            <w:r>
              <w:rPr>
                <w:rFonts w:hint="default" w:ascii="Times New Roman" w:hAnsi="Times New Roman" w:cs="Times New Roman"/>
                <w:color w:val="auto"/>
                <w:lang w:eastAsia="zh-CN"/>
              </w:rPr>
              <w:t>将分装好的</w:t>
            </w:r>
            <w:r>
              <w:rPr>
                <w:rFonts w:hint="eastAsia" w:ascii="Times New Roman" w:hAnsi="Times New Roman" w:cs="Times New Roman"/>
                <w:color w:val="auto"/>
                <w:lang w:val="en-US" w:eastAsia="zh-CN"/>
              </w:rPr>
              <w:t>盒饭</w:t>
            </w:r>
            <w:r>
              <w:rPr>
                <w:rFonts w:hint="default" w:ascii="Times New Roman" w:hAnsi="Times New Roman" w:cs="Times New Roman"/>
                <w:color w:val="auto"/>
                <w:lang w:eastAsia="zh-CN"/>
              </w:rPr>
              <w:t>按</w:t>
            </w:r>
            <w:r>
              <w:rPr>
                <w:rFonts w:hint="eastAsia" w:ascii="Times New Roman" w:hAnsi="Times New Roman" w:cs="Times New Roman"/>
                <w:color w:val="auto"/>
                <w:lang w:val="en-US" w:eastAsia="zh-CN"/>
              </w:rPr>
              <w:t>订单</w:t>
            </w:r>
            <w:r>
              <w:rPr>
                <w:rFonts w:hint="default" w:ascii="Times New Roman" w:hAnsi="Times New Roman" w:cs="Times New Roman"/>
                <w:color w:val="auto"/>
                <w:lang w:eastAsia="zh-CN"/>
              </w:rPr>
              <w:t>装车配送</w:t>
            </w:r>
            <w:r>
              <w:rPr>
                <w:rFonts w:hint="eastAsia" w:ascii="宋体" w:hAnsi="宋体" w:cs="宋体"/>
                <w:color w:val="auto"/>
                <w:sz w:val="24"/>
                <w:szCs w:val="24"/>
              </w:rPr>
              <w:t>。</w:t>
            </w:r>
          </w:p>
          <w:p w14:paraId="67FEDFF1">
            <w:pPr>
              <w:pStyle w:val="18"/>
              <w:keepNext w:val="0"/>
              <w:keepLines w:val="0"/>
              <w:suppressLineNumbers w:val="0"/>
              <w:spacing w:before="0" w:beforeAutospacing="0" w:after="0" w:afterAutospacing="0"/>
              <w:ind w:left="0" w:right="0" w:firstLine="480"/>
              <w:rPr>
                <w:rFonts w:hint="eastAsia"/>
                <w:color w:val="auto"/>
                <w:sz w:val="24"/>
                <w:lang w:val="en-US" w:eastAsia="zh-CN"/>
              </w:rPr>
            </w:pPr>
            <w:r>
              <w:rPr>
                <w:rFonts w:hint="default" w:ascii="Times New Roman" w:hAnsi="Times New Roman" w:cs="Times New Roman"/>
                <w:color w:val="auto"/>
                <w:sz w:val="24"/>
                <w:lang w:val="en-US" w:eastAsia="zh-CN"/>
              </w:rPr>
              <w:t>5、蛋糕</w:t>
            </w:r>
            <w:r>
              <w:rPr>
                <w:rFonts w:hint="eastAsia"/>
                <w:color w:val="auto"/>
                <w:sz w:val="24"/>
                <w:lang w:val="en-US" w:eastAsia="zh-CN"/>
              </w:rPr>
              <w:t>、面包、酥饼生产工艺流程</w:t>
            </w:r>
          </w:p>
          <w:p w14:paraId="0262E4D9">
            <w:pPr>
              <w:pStyle w:val="18"/>
              <w:keepNext w:val="0"/>
              <w:keepLines w:val="0"/>
              <w:suppressLineNumbers w:val="0"/>
              <w:spacing w:before="0" w:beforeAutospacing="0" w:after="0" w:afterAutospacing="0"/>
              <w:ind w:left="0" w:right="0" w:firstLine="480"/>
              <w:rPr>
                <w:rFonts w:hint="default" w:ascii="Times New Roman"/>
                <w:bCs/>
                <w:color w:val="auto"/>
                <w:szCs w:val="24"/>
                <w:highlight w:val="none"/>
              </w:rPr>
            </w:pPr>
            <w:r>
              <w:rPr>
                <w:rFonts w:hint="eastAsia" w:ascii="Times New Roman"/>
                <w:bCs/>
                <w:color w:val="auto"/>
                <w:szCs w:val="24"/>
                <w:highlight w:val="none"/>
              </w:rPr>
              <w:t>工艺流程图如下：</w:t>
            </w:r>
          </w:p>
          <w:p w14:paraId="4C5200D2">
            <w:pPr>
              <w:pStyle w:val="36"/>
              <w:keepNext/>
              <w:keepLines/>
              <w:suppressLineNumbers w:val="0"/>
              <w:spacing w:before="0" w:beforeAutospacing="0" w:after="0" w:afterAutospacing="0"/>
              <w:ind w:left="0" w:leftChars="0" w:right="0" w:firstLine="0" w:firstLineChars="0"/>
              <w:jc w:val="center"/>
              <w:rPr>
                <w:rFonts w:hint="default"/>
                <w:b/>
                <w:bCs/>
                <w:color w:val="auto"/>
                <w:szCs w:val="21"/>
                <w:highlight w:val="none"/>
              </w:rPr>
            </w:pPr>
            <w:r>
              <w:rPr>
                <w:rFonts w:hint="eastAsia"/>
                <w:b/>
                <w:bCs/>
                <w:color w:val="auto"/>
                <w:szCs w:val="21"/>
                <w:highlight w:val="none"/>
              </w:rPr>
              <w:object>
                <v:shape id="_x0000_i1030" o:spt="75" type="#_x0000_t75" style="height:212.6pt;width:427.25pt;" o:ole="t" filled="f" o:preferrelative="t" stroked="f" coordsize="21600,21600">
                  <v:path/>
                  <v:fill on="f" focussize="0,0"/>
                  <v:stroke on="f"/>
                  <v:imagedata r:id="rId27" o:title=""/>
                  <o:lock v:ext="edit" aspectratio="f"/>
                  <w10:wrap type="none"/>
                  <w10:anchorlock/>
                </v:shape>
                <o:OLEObject Type="Embed" ProgID="Visio.Drawing.11" ShapeID="_x0000_i1030" DrawAspect="Content" ObjectID="_1468075730" r:id="rId26">
                  <o:LockedField>false</o:LockedField>
                </o:OLEObject>
              </w:object>
            </w:r>
            <w:r>
              <w:rPr>
                <w:rFonts w:hint="eastAsia"/>
                <w:b/>
                <w:bCs/>
                <w:color w:val="auto"/>
                <w:szCs w:val="21"/>
                <w:highlight w:val="none"/>
              </w:rPr>
              <w:t>图2-</w:t>
            </w:r>
            <w:r>
              <w:rPr>
                <w:rFonts w:hint="eastAsia"/>
                <w:b/>
                <w:bCs/>
                <w:color w:val="auto"/>
                <w:szCs w:val="21"/>
                <w:highlight w:val="none"/>
                <w:lang w:val="en-US" w:eastAsia="zh-CN"/>
              </w:rPr>
              <w:t>7</w:t>
            </w:r>
            <w:r>
              <w:rPr>
                <w:rFonts w:hint="eastAsia"/>
                <w:b/>
                <w:bCs/>
                <w:color w:val="auto"/>
                <w:szCs w:val="21"/>
                <w:highlight w:val="none"/>
              </w:rPr>
              <w:t xml:space="preserve">  </w:t>
            </w:r>
            <w:r>
              <w:rPr>
                <w:rFonts w:hint="eastAsia"/>
                <w:b/>
                <w:bCs/>
                <w:color w:val="auto"/>
                <w:szCs w:val="21"/>
                <w:highlight w:val="none"/>
                <w:lang w:val="en-US" w:eastAsia="zh-CN"/>
              </w:rPr>
              <w:t>蛋糕、面包、酥饼</w:t>
            </w:r>
            <w:r>
              <w:rPr>
                <w:rFonts w:hint="eastAsia"/>
                <w:b/>
                <w:bCs/>
                <w:color w:val="auto"/>
                <w:szCs w:val="21"/>
                <w:highlight w:val="none"/>
              </w:rPr>
              <w:t>生产工艺流程及产污环节示意图</w:t>
            </w:r>
          </w:p>
          <w:p w14:paraId="2239F0D1">
            <w:pPr>
              <w:pStyle w:val="18"/>
              <w:keepNext w:val="0"/>
              <w:keepLines w:val="0"/>
              <w:suppressLineNumbers w:val="0"/>
              <w:spacing w:before="0" w:beforeAutospacing="0" w:after="0" w:afterAutospacing="0"/>
              <w:ind w:left="0" w:right="0" w:firstLine="480"/>
              <w:rPr>
                <w:rFonts w:hint="default" w:ascii="Times New Roman"/>
                <w:bCs/>
                <w:color w:val="auto"/>
                <w:szCs w:val="24"/>
                <w:highlight w:val="none"/>
              </w:rPr>
            </w:pPr>
            <w:r>
              <w:rPr>
                <w:rFonts w:hint="eastAsia" w:ascii="Times New Roman"/>
                <w:bCs/>
                <w:color w:val="auto"/>
                <w:szCs w:val="24"/>
                <w:highlight w:val="none"/>
              </w:rPr>
              <w:t>工艺简述：</w:t>
            </w:r>
          </w:p>
          <w:p w14:paraId="6D68AC1F">
            <w:pPr>
              <w:keepNext w:val="0"/>
              <w:keepLines w:val="0"/>
              <w:suppressLineNumbers w:val="0"/>
              <w:tabs>
                <w:tab w:val="left" w:pos="4335"/>
              </w:tabs>
              <w:autoSpaceDE w:val="0"/>
              <w:autoSpaceDN w:val="0"/>
              <w:adjustRightInd w:val="0"/>
              <w:spacing w:before="0" w:beforeAutospacing="0" w:after="0" w:afterAutospacing="0" w:line="360" w:lineRule="auto"/>
              <w:ind w:left="0" w:right="0" w:firstLine="480" w:firstLineChars="200"/>
              <w:rPr>
                <w:rFonts w:hint="eastAsia"/>
                <w:color w:val="auto"/>
                <w:sz w:val="24"/>
                <w:szCs w:val="24"/>
              </w:rPr>
            </w:pPr>
            <w:r>
              <w:rPr>
                <w:rFonts w:hint="default"/>
                <w:color w:val="auto"/>
                <w:sz w:val="24"/>
                <w:szCs w:val="24"/>
              </w:rPr>
              <w:fldChar w:fldCharType="begin"/>
            </w:r>
            <w:r>
              <w:rPr>
                <w:rFonts w:hint="default"/>
                <w:color w:val="auto"/>
                <w:sz w:val="24"/>
                <w:szCs w:val="24"/>
              </w:rPr>
              <w:instrText xml:space="preserve"> </w:instrText>
            </w:r>
            <w:r>
              <w:rPr>
                <w:rFonts w:hint="eastAsia"/>
                <w:color w:val="auto"/>
                <w:sz w:val="24"/>
                <w:szCs w:val="24"/>
              </w:rPr>
              <w:instrText xml:space="preserve">= 1 \* GB3</w:instrText>
            </w:r>
            <w:r>
              <w:rPr>
                <w:rFonts w:hint="default"/>
                <w:color w:val="auto"/>
                <w:sz w:val="24"/>
                <w:szCs w:val="24"/>
              </w:rPr>
              <w:instrText xml:space="preserve"> </w:instrText>
            </w:r>
            <w:r>
              <w:rPr>
                <w:rFonts w:hint="default"/>
                <w:color w:val="auto"/>
                <w:sz w:val="24"/>
                <w:szCs w:val="24"/>
              </w:rPr>
              <w:fldChar w:fldCharType="separate"/>
            </w:r>
            <w:r>
              <w:rPr>
                <w:rFonts w:hint="eastAsia"/>
                <w:color w:val="auto"/>
                <w:sz w:val="24"/>
                <w:szCs w:val="24"/>
              </w:rPr>
              <w:t>①</w:t>
            </w:r>
            <w:r>
              <w:rPr>
                <w:rFonts w:hint="default"/>
                <w:color w:val="auto"/>
                <w:sz w:val="24"/>
                <w:szCs w:val="24"/>
              </w:rPr>
              <w:fldChar w:fldCharType="end"/>
            </w:r>
            <w:r>
              <w:rPr>
                <w:rFonts w:hint="eastAsia"/>
                <w:color w:val="auto"/>
                <w:sz w:val="24"/>
                <w:szCs w:val="24"/>
                <w:lang w:val="en-US" w:eastAsia="zh-CN"/>
              </w:rPr>
              <w:t>调粉：将原料（低筋粉、玉米油、奶、白糖、配料等）按照一定比例混合调配</w:t>
            </w:r>
            <w:r>
              <w:rPr>
                <w:rFonts w:hint="eastAsia"/>
                <w:color w:val="auto"/>
                <w:sz w:val="24"/>
                <w:szCs w:val="24"/>
              </w:rPr>
              <w:t>。</w:t>
            </w:r>
            <w:r>
              <w:rPr>
                <w:rFonts w:hint="eastAsia" w:ascii="宋体" w:hAnsi="宋体" w:cs="宋体"/>
                <w:b/>
                <w:bCs/>
                <w:color w:val="auto"/>
                <w:sz w:val="24"/>
                <w:szCs w:val="24"/>
                <w:highlight w:val="none"/>
                <w:lang w:val="en-US" w:eastAsia="zh-CN"/>
              </w:rPr>
              <w:t>该工序会产生少量粉尘。</w:t>
            </w:r>
          </w:p>
          <w:p w14:paraId="53EBB09B">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rPr>
              <w:t>②</w:t>
            </w:r>
            <w:r>
              <w:rPr>
                <w:rFonts w:hint="eastAsia" w:ascii="宋体" w:hAnsi="宋体" w:cs="宋体"/>
                <w:color w:val="auto"/>
                <w:sz w:val="24"/>
                <w:szCs w:val="24"/>
                <w:lang w:val="en-US" w:eastAsia="zh-CN"/>
              </w:rPr>
              <w:t>打蛋、过筛、打发、搅拌（鸡</w:t>
            </w:r>
            <w:r>
              <w:rPr>
                <w:rFonts w:hint="eastAsia" w:ascii="宋体" w:hAnsi="宋体" w:cs="宋体"/>
                <w:color w:val="auto"/>
                <w:sz w:val="24"/>
                <w:szCs w:val="24"/>
                <w:highlight w:val="none"/>
                <w:lang w:val="en-US" w:eastAsia="zh-CN"/>
              </w:rPr>
              <w:t>蛋处理）</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鸡蛋放入打蛋机，蛋黄和蛋白顺着蛋液槽自流而下，产生蛋壳作为废弃物进入垃圾收集桶</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蛋液槽自动将蛋黄和蛋白分离，分别落入蛋黄桶和蛋白桶中。蛋黄进入搅拌机搅拌；蛋白先进行过筛，然后加入少量白糖采用打发器进行打发后一并进入搅拌机与蛋黄一起搅拌。</w:t>
            </w:r>
            <w:r>
              <w:rPr>
                <w:rFonts w:hint="eastAsia" w:ascii="宋体" w:hAnsi="宋体" w:cs="宋体"/>
                <w:b/>
                <w:bCs/>
                <w:color w:val="auto"/>
                <w:sz w:val="24"/>
                <w:szCs w:val="24"/>
                <w:highlight w:val="none"/>
                <w:lang w:val="en-US" w:eastAsia="zh-CN"/>
              </w:rPr>
              <w:t>该工序会产生废弃物（蛋壳）、打蛋打发设备噪声。</w:t>
            </w:r>
          </w:p>
          <w:p w14:paraId="2EF73C29">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auto"/>
                <w:sz w:val="24"/>
                <w:szCs w:val="24"/>
                <w:highlight w:val="none"/>
                <w:lang w:val="en-US"/>
              </w:rPr>
            </w:pPr>
            <w:r>
              <w:rPr>
                <w:rFonts w:hint="eastAsia" w:ascii="宋体" w:hAnsi="宋体" w:cs="宋体"/>
                <w:color w:val="auto"/>
                <w:sz w:val="24"/>
                <w:szCs w:val="24"/>
                <w:highlight w:val="none"/>
              </w:rPr>
              <w:t>③</w:t>
            </w:r>
            <w:r>
              <w:rPr>
                <w:rFonts w:hint="eastAsia" w:ascii="宋体" w:hAnsi="宋体" w:cs="宋体"/>
                <w:color w:val="auto"/>
                <w:sz w:val="24"/>
                <w:szCs w:val="24"/>
                <w:highlight w:val="none"/>
                <w:lang w:val="en-US" w:eastAsia="zh-CN"/>
              </w:rPr>
              <w:t>和面：将</w:t>
            </w:r>
            <w:r>
              <w:rPr>
                <w:rFonts w:hint="default"/>
                <w:color w:val="auto"/>
                <w:sz w:val="24"/>
                <w:szCs w:val="24"/>
                <w:highlight w:val="none"/>
              </w:rPr>
              <w:fldChar w:fldCharType="begin"/>
            </w:r>
            <w:r>
              <w:rPr>
                <w:rFonts w:hint="default"/>
                <w:color w:val="auto"/>
                <w:sz w:val="24"/>
                <w:szCs w:val="24"/>
                <w:highlight w:val="none"/>
              </w:rPr>
              <w:instrText xml:space="preserve"> </w:instrText>
            </w:r>
            <w:r>
              <w:rPr>
                <w:rFonts w:hint="eastAsia"/>
                <w:color w:val="auto"/>
                <w:sz w:val="24"/>
                <w:szCs w:val="24"/>
                <w:highlight w:val="none"/>
              </w:rPr>
              <w:instrText xml:space="preserve">= 1 \* GB3</w:instrText>
            </w:r>
            <w:r>
              <w:rPr>
                <w:rFonts w:hint="default"/>
                <w:color w:val="auto"/>
                <w:sz w:val="24"/>
                <w:szCs w:val="24"/>
                <w:highlight w:val="none"/>
              </w:rPr>
              <w:instrText xml:space="preserve"> </w:instrText>
            </w:r>
            <w:r>
              <w:rPr>
                <w:rFonts w:hint="default"/>
                <w:color w:val="auto"/>
                <w:sz w:val="24"/>
                <w:szCs w:val="24"/>
                <w:highlight w:val="none"/>
              </w:rPr>
              <w:fldChar w:fldCharType="separate"/>
            </w:r>
            <w:r>
              <w:rPr>
                <w:rFonts w:hint="eastAsia"/>
                <w:color w:val="auto"/>
                <w:sz w:val="24"/>
                <w:szCs w:val="24"/>
                <w:highlight w:val="none"/>
              </w:rPr>
              <w:t>①</w:t>
            </w:r>
            <w:r>
              <w:rPr>
                <w:rFonts w:hint="default"/>
                <w:color w:val="auto"/>
                <w:sz w:val="24"/>
                <w:szCs w:val="24"/>
                <w:highlight w:val="none"/>
              </w:rPr>
              <w:fldChar w:fldCharType="end"/>
            </w:r>
            <w:r>
              <w:rPr>
                <w:rFonts w:hint="eastAsia"/>
                <w:color w:val="auto"/>
                <w:sz w:val="24"/>
                <w:szCs w:val="24"/>
                <w:highlight w:val="none"/>
                <w:lang w:val="en-US" w:eastAsia="zh-CN"/>
              </w:rPr>
              <w:t>和</w:t>
            </w:r>
            <w:r>
              <w:rPr>
                <w:rFonts w:hint="eastAsia" w:ascii="宋体" w:hAnsi="宋体" w:cs="宋体"/>
                <w:color w:val="auto"/>
                <w:sz w:val="24"/>
                <w:szCs w:val="24"/>
                <w:highlight w:val="none"/>
              </w:rPr>
              <w:t>②</w:t>
            </w:r>
            <w:r>
              <w:rPr>
                <w:rFonts w:hint="eastAsia" w:ascii="宋体" w:hAnsi="宋体" w:cs="宋体"/>
                <w:color w:val="auto"/>
                <w:sz w:val="24"/>
                <w:szCs w:val="24"/>
                <w:highlight w:val="none"/>
                <w:lang w:val="en-US" w:eastAsia="zh-CN"/>
              </w:rPr>
              <w:t>混合加水进行和面，成为面浆</w:t>
            </w:r>
            <w:r>
              <w:rPr>
                <w:rFonts w:hint="eastAsia" w:ascii="宋体" w:hAnsi="宋体" w:cs="宋体"/>
                <w:color w:val="auto"/>
                <w:sz w:val="24"/>
                <w:szCs w:val="24"/>
                <w:highlight w:val="none"/>
              </w:rPr>
              <w:t>。</w:t>
            </w:r>
            <w:r>
              <w:rPr>
                <w:rFonts w:hint="eastAsia" w:ascii="宋体" w:hAnsi="宋体" w:cs="宋体"/>
                <w:b/>
                <w:bCs/>
                <w:color w:val="auto"/>
                <w:sz w:val="24"/>
                <w:szCs w:val="24"/>
                <w:highlight w:val="none"/>
                <w:lang w:val="en-US" w:eastAsia="zh-CN"/>
              </w:rPr>
              <w:t>该工序会产生粉尘和噪声。</w:t>
            </w:r>
          </w:p>
          <w:p w14:paraId="7639F3B3">
            <w:pPr>
              <w:keepNext w:val="0"/>
              <w:keepLines w:val="0"/>
              <w:suppressLineNumbers w:val="0"/>
              <w:tabs>
                <w:tab w:val="left" w:pos="4335"/>
              </w:tabs>
              <w:autoSpaceDE w:val="0"/>
              <w:autoSpaceDN w:val="0"/>
              <w:adjustRightInd w:val="0"/>
              <w:spacing w:before="0" w:beforeAutospacing="0" w:after="0" w:afterAutospacing="0" w:line="360" w:lineRule="auto"/>
              <w:ind w:left="0" w:right="0"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④</w:t>
            </w:r>
            <w:r>
              <w:rPr>
                <w:rFonts w:hint="eastAsia" w:ascii="宋体" w:hAnsi="宋体" w:cs="宋体"/>
                <w:color w:val="auto"/>
                <w:sz w:val="24"/>
                <w:szCs w:val="24"/>
                <w:highlight w:val="none"/>
                <w:lang w:val="en-US" w:eastAsia="zh-CN"/>
              </w:rPr>
              <w:t>灌模：将面浆灌入模具中，模具底部刷玉米油，避免粘连影响成型</w:t>
            </w:r>
            <w:r>
              <w:rPr>
                <w:rFonts w:hint="eastAsia" w:ascii="宋体" w:hAnsi="宋体" w:cs="宋体"/>
                <w:b/>
                <w:bCs/>
                <w:color w:val="auto"/>
                <w:sz w:val="24"/>
                <w:szCs w:val="24"/>
                <w:highlight w:val="none"/>
                <w:lang w:val="en-US" w:eastAsia="zh-CN"/>
              </w:rPr>
              <w:t>。</w:t>
            </w:r>
          </w:p>
          <w:p w14:paraId="261242A0">
            <w:pPr>
              <w:keepNext w:val="0"/>
              <w:keepLines w:val="0"/>
              <w:suppressLineNumbers w:val="0"/>
              <w:tabs>
                <w:tab w:val="left" w:pos="4335"/>
              </w:tabs>
              <w:autoSpaceDE w:val="0"/>
              <w:autoSpaceDN w:val="0"/>
              <w:adjustRightInd w:val="0"/>
              <w:spacing w:before="0" w:beforeAutospacing="0" w:after="0" w:afterAutospacing="0" w:line="360" w:lineRule="auto"/>
              <w:ind w:left="0" w:right="0" w:firstLine="480" w:firstLineChars="200"/>
              <w:rPr>
                <w:rFonts w:hint="default" w:ascii="宋体" w:hAnsi="宋体" w:eastAsia="宋体" w:cs="宋体"/>
                <w:b/>
                <w:bCs/>
                <w:color w:val="auto"/>
                <w:sz w:val="24"/>
                <w:szCs w:val="24"/>
                <w:highlight w:val="none"/>
                <w:lang w:val="en-US" w:eastAsia="zh-CN"/>
              </w:rPr>
            </w:pPr>
            <w:r>
              <w:rPr>
                <w:rFonts w:hint="eastAsia" w:ascii="宋体" w:hAnsi="宋体" w:cs="宋体"/>
                <w:color w:val="auto"/>
                <w:sz w:val="24"/>
                <w:szCs w:val="24"/>
                <w:highlight w:val="none"/>
              </w:rPr>
              <w:t>⑤</w:t>
            </w:r>
            <w:r>
              <w:rPr>
                <w:rFonts w:hint="eastAsia" w:ascii="宋体" w:hAnsi="宋体" w:cs="宋体"/>
                <w:color w:val="auto"/>
                <w:sz w:val="24"/>
                <w:szCs w:val="24"/>
                <w:highlight w:val="none"/>
                <w:lang w:val="en-US" w:eastAsia="zh-CN"/>
              </w:rPr>
              <w:t>烘烤：采用烤箱进行烘烤，烤</w:t>
            </w:r>
            <w:r>
              <w:rPr>
                <w:rFonts w:hint="default" w:ascii="Times New Roman" w:hAnsi="Times New Roman" w:cs="Times New Roman"/>
                <w:color w:val="auto"/>
                <w:sz w:val="24"/>
                <w:szCs w:val="24"/>
                <w:highlight w:val="none"/>
                <w:lang w:val="en-US" w:eastAsia="zh-CN"/>
              </w:rPr>
              <w:t>制约180℃、30-60分钟</w:t>
            </w:r>
            <w:r>
              <w:rPr>
                <w:rFonts w:hint="eastAsia" w:ascii="宋体" w:hAnsi="宋体" w:cs="宋体"/>
                <w:b/>
                <w:bCs/>
                <w:color w:val="auto"/>
                <w:sz w:val="24"/>
                <w:szCs w:val="24"/>
                <w:highlight w:val="none"/>
              </w:rPr>
              <w:t>。</w:t>
            </w:r>
            <w:r>
              <w:rPr>
                <w:rFonts w:hint="eastAsia" w:ascii="宋体" w:hAnsi="宋体" w:cs="宋体"/>
                <w:b/>
                <w:bCs/>
                <w:color w:val="auto"/>
                <w:sz w:val="24"/>
                <w:szCs w:val="24"/>
                <w:highlight w:val="none"/>
                <w:lang w:val="en-US" w:eastAsia="zh-CN"/>
              </w:rPr>
              <w:t>该工序会产生废气。</w:t>
            </w:r>
          </w:p>
          <w:p w14:paraId="65B5AB5D">
            <w:pPr>
              <w:pStyle w:val="18"/>
              <w:keepNext w:val="0"/>
              <w:keepLines w:val="0"/>
              <w:suppressLineNumbers w:val="0"/>
              <w:spacing w:before="0" w:beforeAutospacing="0" w:after="0" w:afterAutospacing="0"/>
              <w:ind w:left="0" w:right="0" w:firstLine="480"/>
              <w:rPr>
                <w:rFonts w:hint="default" w:hAnsi="宋体" w:cs="宋体"/>
                <w:color w:val="auto"/>
                <w:sz w:val="24"/>
                <w:szCs w:val="24"/>
                <w:highlight w:val="none"/>
                <w:lang w:val="en-US" w:eastAsia="zh-CN"/>
              </w:rPr>
            </w:pPr>
            <w:r>
              <w:rPr>
                <w:rFonts w:hint="eastAsia" w:ascii="宋体" w:hAnsi="宋体" w:cs="宋体"/>
                <w:color w:val="auto"/>
                <w:sz w:val="24"/>
                <w:szCs w:val="24"/>
                <w:highlight w:val="none"/>
              </w:rPr>
              <w:t>⑥</w:t>
            </w:r>
            <w:r>
              <w:rPr>
                <w:rFonts w:hint="eastAsia" w:hAnsi="宋体" w:cs="宋体"/>
                <w:color w:val="auto"/>
                <w:sz w:val="24"/>
                <w:szCs w:val="24"/>
                <w:highlight w:val="none"/>
                <w:lang w:val="en-US" w:eastAsia="zh-CN"/>
              </w:rPr>
              <w:t>冷却拆模：烤制好的半成品在冷却间自然冷却后，从模具中取出。</w:t>
            </w:r>
            <w:r>
              <w:rPr>
                <w:rFonts w:hint="eastAsia" w:ascii="宋体" w:hAnsi="宋体" w:cs="宋体"/>
                <w:b/>
                <w:bCs/>
                <w:color w:val="auto"/>
                <w:sz w:val="24"/>
                <w:szCs w:val="24"/>
                <w:highlight w:val="none"/>
                <w:lang w:val="en-US" w:eastAsia="zh-CN"/>
              </w:rPr>
              <w:t>该工序会产生</w:t>
            </w:r>
            <w:r>
              <w:rPr>
                <w:rFonts w:hint="eastAsia" w:hAnsi="宋体" w:cs="宋体"/>
                <w:b/>
                <w:bCs/>
                <w:color w:val="auto"/>
                <w:sz w:val="24"/>
                <w:szCs w:val="24"/>
                <w:highlight w:val="none"/>
                <w:lang w:val="en-US" w:eastAsia="zh-CN"/>
              </w:rPr>
              <w:t>废包装。</w:t>
            </w:r>
          </w:p>
          <w:p w14:paraId="03948822">
            <w:pPr>
              <w:pStyle w:val="18"/>
              <w:keepNext w:val="0"/>
              <w:keepLines w:val="0"/>
              <w:suppressLineNumbers w:val="0"/>
              <w:spacing w:before="0" w:beforeAutospacing="0" w:after="0" w:afterAutospacing="0"/>
              <w:ind w:left="0" w:right="0" w:firstLine="480"/>
              <w:rPr>
                <w:rFonts w:hint="default" w:ascii="宋体" w:hAnsi="宋体" w:cs="宋体"/>
                <w:b/>
                <w:bCs/>
                <w:color w:val="auto"/>
                <w:sz w:val="24"/>
                <w:szCs w:val="24"/>
                <w:highlight w:val="none"/>
                <w:lang w:val="en-US" w:eastAsia="zh-CN"/>
              </w:rPr>
            </w:pPr>
            <w:r>
              <w:rPr>
                <w:rFonts w:hint="eastAsia" w:hAnsi="宋体" w:cs="宋体"/>
                <w:color w:val="auto"/>
                <w:sz w:val="24"/>
                <w:szCs w:val="24"/>
                <w:highlight w:val="none"/>
                <w:lang w:val="en-US" w:eastAsia="zh-CN"/>
              </w:rPr>
              <w:fldChar w:fldCharType="begin"/>
            </w:r>
            <w:r>
              <w:rPr>
                <w:rFonts w:hint="eastAsia" w:hAnsi="宋体" w:cs="宋体"/>
                <w:color w:val="auto"/>
                <w:sz w:val="24"/>
                <w:szCs w:val="24"/>
                <w:highlight w:val="none"/>
                <w:lang w:val="en-US" w:eastAsia="zh-CN"/>
              </w:rPr>
              <w:instrText xml:space="preserve"> = 7 \* GB3 \* MERGEFORMAT </w:instrText>
            </w:r>
            <w:r>
              <w:rPr>
                <w:rFonts w:hint="eastAsia" w:hAnsi="宋体" w:cs="宋体"/>
                <w:color w:val="auto"/>
                <w:sz w:val="24"/>
                <w:szCs w:val="24"/>
                <w:highlight w:val="none"/>
                <w:lang w:val="en-US" w:eastAsia="zh-CN"/>
              </w:rPr>
              <w:fldChar w:fldCharType="separate"/>
            </w:r>
            <w:r>
              <w:rPr>
                <w:rFonts w:hint="default"/>
                <w:color w:val="auto"/>
                <w:highlight w:val="none"/>
              </w:rPr>
              <w:t>⑦</w:t>
            </w:r>
            <w:r>
              <w:rPr>
                <w:rFonts w:hint="eastAsia" w:hAnsi="宋体" w:cs="宋体"/>
                <w:color w:val="auto"/>
                <w:sz w:val="24"/>
                <w:szCs w:val="24"/>
                <w:highlight w:val="none"/>
                <w:lang w:val="en-US" w:eastAsia="zh-CN"/>
              </w:rPr>
              <w:fldChar w:fldCharType="end"/>
            </w:r>
            <w:r>
              <w:rPr>
                <w:rFonts w:hint="eastAsia" w:hAnsi="宋体" w:cs="宋体"/>
                <w:color w:val="auto"/>
                <w:sz w:val="24"/>
                <w:szCs w:val="24"/>
                <w:highlight w:val="none"/>
                <w:lang w:val="en-US" w:eastAsia="zh-CN"/>
              </w:rPr>
              <w:t>包装入库：按照要求进入内包间和外包间对成品进行包装，之后进入冷库进行冷藏储存</w:t>
            </w:r>
            <w:r>
              <w:rPr>
                <w:rFonts w:hint="eastAsia" w:ascii="宋体" w:hAnsi="宋体" w:cs="宋体"/>
                <w:b/>
                <w:bCs/>
                <w:color w:val="auto"/>
                <w:sz w:val="24"/>
                <w:szCs w:val="24"/>
                <w:highlight w:val="none"/>
                <w:lang w:val="en-US" w:eastAsia="zh-CN"/>
              </w:rPr>
              <w:t>。该工序会产生</w:t>
            </w:r>
            <w:r>
              <w:rPr>
                <w:rFonts w:hint="eastAsia" w:hAnsi="宋体" w:cs="宋体"/>
                <w:b/>
                <w:bCs/>
                <w:color w:val="auto"/>
                <w:sz w:val="24"/>
                <w:szCs w:val="24"/>
                <w:highlight w:val="none"/>
                <w:lang w:val="en-US" w:eastAsia="zh-CN"/>
              </w:rPr>
              <w:t>废包装和噪声。</w:t>
            </w:r>
          </w:p>
          <w:p w14:paraId="50D7A12B">
            <w:pPr>
              <w:pStyle w:val="18"/>
              <w:keepNext w:val="0"/>
              <w:keepLines w:val="0"/>
              <w:suppressLineNumbers w:val="0"/>
              <w:spacing w:before="0" w:beforeAutospacing="0" w:after="0" w:afterAutospacing="0"/>
              <w:ind w:left="0" w:right="0" w:firstLine="480"/>
              <w:rPr>
                <w:rFonts w:hint="eastAsia"/>
                <w:color w:val="auto"/>
                <w:sz w:val="24"/>
                <w:lang w:val="en-US" w:eastAsia="zh-CN"/>
              </w:rPr>
            </w:pPr>
            <w:r>
              <w:rPr>
                <w:rFonts w:hint="default" w:ascii="Times New Roman" w:hAnsi="Times New Roman" w:cs="Times New Roman"/>
                <w:color w:val="auto"/>
                <w:sz w:val="24"/>
                <w:lang w:val="en-US" w:eastAsia="zh-CN"/>
              </w:rPr>
              <w:t>6、净</w:t>
            </w:r>
            <w:r>
              <w:rPr>
                <w:rFonts w:hint="eastAsia"/>
                <w:color w:val="auto"/>
                <w:sz w:val="24"/>
                <w:lang w:val="en-US" w:eastAsia="zh-CN"/>
              </w:rPr>
              <w:t>菜生产工艺流程</w:t>
            </w:r>
          </w:p>
          <w:p w14:paraId="10F9CAC7">
            <w:pPr>
              <w:pStyle w:val="18"/>
              <w:keepNext w:val="0"/>
              <w:keepLines w:val="0"/>
              <w:suppressLineNumbers w:val="0"/>
              <w:spacing w:before="0" w:beforeAutospacing="0" w:after="0" w:afterAutospacing="0"/>
              <w:ind w:left="0" w:right="0" w:firstLine="480"/>
              <w:rPr>
                <w:rFonts w:hint="default" w:ascii="Times New Roman"/>
                <w:bCs/>
                <w:color w:val="auto"/>
                <w:szCs w:val="24"/>
                <w:highlight w:val="none"/>
              </w:rPr>
            </w:pPr>
            <w:r>
              <w:rPr>
                <w:rFonts w:hint="eastAsia" w:ascii="Times New Roman"/>
                <w:bCs/>
                <w:color w:val="auto"/>
                <w:szCs w:val="24"/>
                <w:highlight w:val="none"/>
              </w:rPr>
              <w:t>工艺流程图如下：</w:t>
            </w:r>
          </w:p>
          <w:p w14:paraId="6E9A56E0">
            <w:pPr>
              <w:pStyle w:val="36"/>
              <w:keepNext/>
              <w:keepLines/>
              <w:suppressLineNumbers w:val="0"/>
              <w:spacing w:before="0" w:beforeAutospacing="0" w:after="0" w:afterAutospacing="0"/>
              <w:ind w:left="0" w:leftChars="0" w:right="0" w:firstLine="0" w:firstLineChars="0"/>
              <w:jc w:val="center"/>
              <w:rPr>
                <w:rFonts w:hint="eastAsia"/>
                <w:b/>
                <w:bCs/>
                <w:color w:val="auto"/>
                <w:szCs w:val="21"/>
                <w:highlight w:val="none"/>
              </w:rPr>
            </w:pPr>
            <w:r>
              <w:rPr>
                <w:rFonts w:hint="eastAsia"/>
                <w:b/>
                <w:bCs/>
                <w:color w:val="auto"/>
                <w:szCs w:val="21"/>
                <w:highlight w:val="none"/>
              </w:rPr>
              <w:object>
                <v:shape id="_x0000_i1031" o:spt="75" type="#_x0000_t75" style="height:79.7pt;width:402.9pt;" o:ole="t" filled="f" o:preferrelative="t" stroked="f" coordsize="21600,21600">
                  <v:path/>
                  <v:fill on="f" focussize="0,0"/>
                  <v:stroke on="f"/>
                  <v:imagedata r:id="rId29" o:title=""/>
                  <o:lock v:ext="edit" aspectratio="f"/>
                  <w10:wrap type="none"/>
                  <w10:anchorlock/>
                </v:shape>
                <o:OLEObject Type="Embed" ProgID="Visio.Drawing.11" ShapeID="_x0000_i1031" DrawAspect="Content" ObjectID="_1468075731" r:id="rId28">
                  <o:LockedField>false</o:LockedField>
                </o:OLEObject>
              </w:object>
            </w:r>
          </w:p>
          <w:p w14:paraId="61944C51">
            <w:pPr>
              <w:pStyle w:val="36"/>
              <w:keepNext/>
              <w:keepLines/>
              <w:suppressLineNumbers w:val="0"/>
              <w:spacing w:before="0" w:beforeAutospacing="0" w:after="0" w:afterAutospacing="0"/>
              <w:ind w:left="0" w:leftChars="0" w:right="0" w:firstLine="0" w:firstLineChars="0"/>
              <w:jc w:val="center"/>
              <w:rPr>
                <w:rFonts w:hint="default"/>
                <w:b/>
                <w:bCs/>
                <w:color w:val="auto"/>
                <w:szCs w:val="21"/>
                <w:highlight w:val="none"/>
              </w:rPr>
            </w:pPr>
            <w:r>
              <w:rPr>
                <w:rFonts w:hint="eastAsia"/>
                <w:b/>
                <w:bCs/>
                <w:color w:val="auto"/>
                <w:szCs w:val="21"/>
                <w:highlight w:val="none"/>
              </w:rPr>
              <w:t>图2-</w:t>
            </w:r>
            <w:r>
              <w:rPr>
                <w:rFonts w:hint="eastAsia"/>
                <w:b/>
                <w:bCs/>
                <w:color w:val="auto"/>
                <w:szCs w:val="21"/>
                <w:highlight w:val="none"/>
                <w:lang w:val="en-US" w:eastAsia="zh-CN"/>
              </w:rPr>
              <w:t>8</w:t>
            </w:r>
            <w:r>
              <w:rPr>
                <w:rFonts w:hint="eastAsia"/>
                <w:b/>
                <w:bCs/>
                <w:color w:val="auto"/>
                <w:szCs w:val="21"/>
                <w:highlight w:val="none"/>
              </w:rPr>
              <w:t xml:space="preserve">  </w:t>
            </w:r>
            <w:r>
              <w:rPr>
                <w:rFonts w:hint="eastAsia"/>
                <w:b/>
                <w:bCs/>
                <w:color w:val="auto"/>
                <w:szCs w:val="21"/>
                <w:highlight w:val="none"/>
                <w:lang w:val="en-US" w:eastAsia="zh-CN"/>
              </w:rPr>
              <w:t>净菜</w:t>
            </w:r>
            <w:r>
              <w:rPr>
                <w:rFonts w:hint="eastAsia"/>
                <w:b/>
                <w:bCs/>
                <w:color w:val="auto"/>
                <w:szCs w:val="21"/>
                <w:highlight w:val="none"/>
              </w:rPr>
              <w:t>生产工艺流程及产污环节示意图</w:t>
            </w:r>
          </w:p>
          <w:p w14:paraId="597F217C">
            <w:pPr>
              <w:pStyle w:val="18"/>
              <w:keepNext w:val="0"/>
              <w:keepLines w:val="0"/>
              <w:suppressLineNumbers w:val="0"/>
              <w:spacing w:before="0" w:beforeAutospacing="0" w:after="0" w:afterAutospacing="0"/>
              <w:ind w:left="0" w:right="0" w:firstLine="480"/>
              <w:rPr>
                <w:rFonts w:hint="default" w:ascii="Times New Roman"/>
                <w:bCs/>
                <w:color w:val="auto"/>
                <w:szCs w:val="24"/>
                <w:highlight w:val="none"/>
              </w:rPr>
            </w:pPr>
            <w:r>
              <w:rPr>
                <w:rFonts w:hint="eastAsia" w:ascii="Times New Roman"/>
                <w:bCs/>
                <w:color w:val="auto"/>
                <w:szCs w:val="24"/>
                <w:highlight w:val="none"/>
              </w:rPr>
              <w:t>工艺简述：</w:t>
            </w:r>
          </w:p>
          <w:p w14:paraId="38C6EDE4">
            <w:pPr>
              <w:keepNext w:val="0"/>
              <w:keepLines w:val="0"/>
              <w:suppressLineNumbers w:val="0"/>
              <w:tabs>
                <w:tab w:val="left" w:pos="4335"/>
              </w:tabs>
              <w:autoSpaceDE w:val="0"/>
              <w:autoSpaceDN w:val="0"/>
              <w:adjustRightInd w:val="0"/>
              <w:spacing w:before="0" w:beforeAutospacing="0" w:after="0" w:afterAutospacing="0" w:line="360" w:lineRule="auto"/>
              <w:ind w:left="0" w:right="0" w:firstLine="480" w:firstLineChars="200"/>
              <w:rPr>
                <w:rFonts w:hint="eastAsia"/>
                <w:color w:val="auto"/>
                <w:sz w:val="24"/>
                <w:szCs w:val="24"/>
              </w:rPr>
            </w:pPr>
            <w:r>
              <w:rPr>
                <w:rFonts w:hint="default"/>
                <w:color w:val="auto"/>
                <w:sz w:val="24"/>
                <w:szCs w:val="24"/>
              </w:rPr>
              <w:fldChar w:fldCharType="begin"/>
            </w:r>
            <w:r>
              <w:rPr>
                <w:rFonts w:hint="default"/>
                <w:color w:val="auto"/>
                <w:sz w:val="24"/>
                <w:szCs w:val="24"/>
              </w:rPr>
              <w:instrText xml:space="preserve"> </w:instrText>
            </w:r>
            <w:r>
              <w:rPr>
                <w:rFonts w:hint="eastAsia"/>
                <w:color w:val="auto"/>
                <w:sz w:val="24"/>
                <w:szCs w:val="24"/>
              </w:rPr>
              <w:instrText xml:space="preserve">= 1 \* GB3</w:instrText>
            </w:r>
            <w:r>
              <w:rPr>
                <w:rFonts w:hint="default"/>
                <w:color w:val="auto"/>
                <w:sz w:val="24"/>
                <w:szCs w:val="24"/>
              </w:rPr>
              <w:instrText xml:space="preserve"> </w:instrText>
            </w:r>
            <w:r>
              <w:rPr>
                <w:rFonts w:hint="default"/>
                <w:color w:val="auto"/>
                <w:sz w:val="24"/>
                <w:szCs w:val="24"/>
              </w:rPr>
              <w:fldChar w:fldCharType="separate"/>
            </w:r>
            <w:r>
              <w:rPr>
                <w:rFonts w:hint="eastAsia"/>
                <w:color w:val="auto"/>
                <w:sz w:val="24"/>
                <w:szCs w:val="24"/>
              </w:rPr>
              <w:t>①</w:t>
            </w:r>
            <w:r>
              <w:rPr>
                <w:rFonts w:hint="default"/>
                <w:color w:val="auto"/>
                <w:sz w:val="24"/>
                <w:szCs w:val="24"/>
              </w:rPr>
              <w:fldChar w:fldCharType="end"/>
            </w:r>
            <w:r>
              <w:rPr>
                <w:rFonts w:hint="eastAsia" w:ascii="Times New Roman" w:hAnsi="Times New Roman" w:eastAsia="宋体" w:cs="Times New Roman"/>
                <w:color w:val="auto"/>
                <w:spacing w:val="0"/>
                <w:sz w:val="24"/>
                <w:lang w:eastAsia="zh-CN"/>
              </w:rPr>
              <w:t>摘菜</w:t>
            </w:r>
            <w:r>
              <w:rPr>
                <w:rFonts w:hint="default" w:ascii="Times New Roman" w:hAnsi="Times New Roman" w:eastAsia="宋体" w:cs="Times New Roman"/>
                <w:color w:val="auto"/>
                <w:spacing w:val="0"/>
                <w:sz w:val="24"/>
              </w:rPr>
              <w:t>：对蔬菜进行</w:t>
            </w:r>
            <w:r>
              <w:rPr>
                <w:rFonts w:hint="eastAsia" w:ascii="Times New Roman" w:hAnsi="Times New Roman" w:eastAsia="宋体" w:cs="Times New Roman"/>
                <w:color w:val="auto"/>
                <w:spacing w:val="0"/>
                <w:sz w:val="24"/>
                <w:lang w:eastAsia="zh-CN"/>
              </w:rPr>
              <w:t>人工</w:t>
            </w:r>
            <w:r>
              <w:rPr>
                <w:rFonts w:hint="default" w:ascii="Times New Roman" w:hAnsi="Times New Roman" w:eastAsia="宋体" w:cs="Times New Roman"/>
                <w:color w:val="auto"/>
                <w:spacing w:val="0"/>
                <w:sz w:val="24"/>
              </w:rPr>
              <w:t>分拣，挑选出腐烂、枯萎、变</w:t>
            </w:r>
            <w:r>
              <w:rPr>
                <w:rFonts w:hint="eastAsia" w:ascii="Times New Roman" w:hAnsi="Times New Roman" w:eastAsia="宋体" w:cs="Times New Roman"/>
                <w:color w:val="auto"/>
                <w:spacing w:val="0"/>
                <w:sz w:val="24"/>
                <w:lang w:eastAsia="zh-CN"/>
              </w:rPr>
              <w:t>质</w:t>
            </w:r>
            <w:r>
              <w:rPr>
                <w:rFonts w:hint="default" w:ascii="Times New Roman" w:hAnsi="Times New Roman" w:eastAsia="宋体" w:cs="Times New Roman"/>
                <w:color w:val="auto"/>
                <w:spacing w:val="0"/>
                <w:sz w:val="24"/>
              </w:rPr>
              <w:t>的蔬菜。此工序会产生</w:t>
            </w:r>
            <w:r>
              <w:rPr>
                <w:rFonts w:hint="eastAsia" w:ascii="Times New Roman" w:hAnsi="Times New Roman" w:eastAsia="宋体" w:cs="Times New Roman"/>
                <w:color w:val="auto"/>
                <w:spacing w:val="0"/>
                <w:sz w:val="24"/>
                <w:lang w:val="en-US" w:eastAsia="zh-CN"/>
              </w:rPr>
              <w:t>厨余垃圾</w:t>
            </w:r>
            <w:r>
              <w:rPr>
                <w:rFonts w:hint="eastAsia"/>
                <w:color w:val="auto"/>
                <w:sz w:val="24"/>
                <w:szCs w:val="24"/>
              </w:rPr>
              <w:t>。</w:t>
            </w:r>
          </w:p>
          <w:p w14:paraId="218C8ACB">
            <w:pPr>
              <w:keepNext w:val="0"/>
              <w:keepLines w:val="0"/>
              <w:suppressLineNumbers w:val="0"/>
              <w:tabs>
                <w:tab w:val="left" w:pos="4335"/>
              </w:tabs>
              <w:autoSpaceDE w:val="0"/>
              <w:autoSpaceDN w:val="0"/>
              <w:adjustRightInd w:val="0"/>
              <w:spacing w:before="0" w:beforeAutospacing="0" w:after="0" w:afterAutospacing="0" w:line="360" w:lineRule="auto"/>
              <w:ind w:left="0" w:right="0" w:firstLine="480" w:firstLineChars="200"/>
              <w:rPr>
                <w:rFonts w:hint="eastAsia"/>
                <w:color w:val="auto"/>
                <w:sz w:val="24"/>
                <w:szCs w:val="24"/>
              </w:rPr>
            </w:pPr>
            <w:r>
              <w:rPr>
                <w:rFonts w:hint="eastAsia" w:ascii="宋体" w:hAnsi="宋体" w:cs="宋体"/>
                <w:color w:val="auto"/>
                <w:sz w:val="24"/>
                <w:szCs w:val="24"/>
              </w:rPr>
              <w:t>②</w:t>
            </w:r>
            <w:r>
              <w:rPr>
                <w:rFonts w:hint="default" w:ascii="Times New Roman" w:hAnsi="Times New Roman" w:eastAsia="宋体" w:cs="Times New Roman"/>
                <w:color w:val="auto"/>
                <w:spacing w:val="0"/>
                <w:sz w:val="24"/>
              </w:rPr>
              <w:t>清洗：</w:t>
            </w:r>
            <w:r>
              <w:rPr>
                <w:rFonts w:hint="eastAsia" w:ascii="Times New Roman" w:hAnsi="Times New Roman" w:eastAsia="宋体" w:cs="Times New Roman"/>
                <w:color w:val="auto"/>
                <w:spacing w:val="0"/>
                <w:sz w:val="24"/>
                <w:lang w:eastAsia="zh-CN"/>
              </w:rPr>
              <w:t>摘好的菜利用清洗机</w:t>
            </w:r>
            <w:r>
              <w:rPr>
                <w:rFonts w:hint="default" w:ascii="Times New Roman" w:hAnsi="Times New Roman" w:eastAsia="宋体" w:cs="Times New Roman"/>
                <w:color w:val="auto"/>
                <w:spacing w:val="0"/>
                <w:sz w:val="24"/>
              </w:rPr>
              <w:t>进行清洗。</w:t>
            </w:r>
            <w:r>
              <w:rPr>
                <w:rFonts w:hint="eastAsia" w:ascii="Times New Roman" w:hAnsi="Times New Roman" w:eastAsia="宋体" w:cs="Times New Roman"/>
                <w:color w:val="auto"/>
                <w:spacing w:val="0"/>
                <w:sz w:val="24"/>
                <w:lang w:val="en-US" w:eastAsia="zh-CN"/>
              </w:rPr>
              <w:t>该</w:t>
            </w:r>
            <w:r>
              <w:rPr>
                <w:rFonts w:hint="default" w:ascii="Times New Roman" w:hAnsi="Times New Roman" w:eastAsia="宋体" w:cs="Times New Roman"/>
                <w:color w:val="auto"/>
                <w:spacing w:val="0"/>
                <w:sz w:val="24"/>
              </w:rPr>
              <w:t>工序会产生清洗废水</w:t>
            </w:r>
            <w:r>
              <w:rPr>
                <w:rFonts w:hint="eastAsia" w:ascii="宋体" w:hAnsi="宋体" w:cs="宋体"/>
                <w:color w:val="auto"/>
                <w:sz w:val="24"/>
                <w:szCs w:val="24"/>
              </w:rPr>
              <w:t>。</w:t>
            </w:r>
          </w:p>
          <w:p w14:paraId="35102E58">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ascii="宋体" w:hAnsi="宋体" w:eastAsia="宋体" w:cs="宋体"/>
                <w:color w:val="auto"/>
                <w:sz w:val="24"/>
                <w:szCs w:val="24"/>
                <w:lang w:val="en-US" w:eastAsia="zh-CN"/>
              </w:rPr>
            </w:pPr>
            <w:r>
              <w:rPr>
                <w:rFonts w:hint="eastAsia" w:ascii="宋体" w:hAnsi="宋体" w:cs="宋体"/>
                <w:color w:val="auto"/>
                <w:sz w:val="24"/>
                <w:szCs w:val="24"/>
              </w:rPr>
              <w:t>③</w:t>
            </w:r>
            <w:r>
              <w:rPr>
                <w:rFonts w:hint="default" w:ascii="Times New Roman" w:hAnsi="Times New Roman" w:eastAsia="宋体" w:cs="Times New Roman"/>
                <w:color w:val="auto"/>
                <w:spacing w:val="0"/>
                <w:sz w:val="24"/>
              </w:rPr>
              <w:t>切配：将挑选并清洗过的蔬菜用多功能切菜机切碎</w:t>
            </w:r>
            <w:r>
              <w:rPr>
                <w:rFonts w:hint="eastAsia" w:ascii="Times New Roman" w:hAnsi="Times New Roman" w:eastAsia="宋体" w:cs="Times New Roman"/>
                <w:color w:val="auto"/>
                <w:spacing w:val="0"/>
                <w:sz w:val="24"/>
                <w:lang w:eastAsia="zh-CN"/>
              </w:rPr>
              <w:t>打包入库</w:t>
            </w:r>
            <w:r>
              <w:rPr>
                <w:rFonts w:hint="eastAsia" w:ascii="宋体" w:hAnsi="宋体" w:cs="宋体"/>
                <w:b/>
                <w:bCs/>
                <w:color w:val="auto"/>
                <w:sz w:val="24"/>
                <w:szCs w:val="24"/>
                <w:lang w:val="en-US" w:eastAsia="zh-CN"/>
              </w:rPr>
              <w:t>。</w:t>
            </w:r>
          </w:p>
          <w:p w14:paraId="445084A8">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其他辅助工序产污环节：</w:t>
            </w:r>
          </w:p>
          <w:p w14:paraId="6CBB9333">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项目产品及原辅材料均需要抽检，主要化验原辅料和产品中酸度、糖分和微生物（细菌总数和大肠杆菌群），产生的</w:t>
            </w:r>
            <w:r>
              <w:rPr>
                <w:rFonts w:hint="eastAsia" w:ascii="宋体" w:hAnsi="宋体" w:cs="宋体"/>
                <w:color w:val="auto"/>
                <w:sz w:val="24"/>
                <w:szCs w:val="24"/>
                <w:lang w:val="en-US" w:eastAsia="zh-CN"/>
              </w:rPr>
              <w:t>设备</w:t>
            </w:r>
            <w:r>
              <w:rPr>
                <w:rFonts w:hint="eastAsia" w:ascii="宋体" w:hAnsi="宋体" w:eastAsia="宋体" w:cs="宋体"/>
                <w:color w:val="auto"/>
                <w:sz w:val="24"/>
                <w:szCs w:val="24"/>
              </w:rPr>
              <w:t>清洗废水、</w:t>
            </w:r>
            <w:r>
              <w:rPr>
                <w:rFonts w:hint="eastAsia" w:ascii="宋体" w:hAnsi="宋体" w:cs="宋体"/>
                <w:color w:val="auto"/>
                <w:sz w:val="24"/>
                <w:szCs w:val="24"/>
                <w:lang w:val="en-US" w:eastAsia="zh-CN"/>
              </w:rPr>
              <w:t>废物料、</w:t>
            </w:r>
            <w:r>
              <w:rPr>
                <w:rFonts w:hint="eastAsia" w:ascii="宋体" w:hAnsi="宋体" w:eastAsia="宋体" w:cs="宋体"/>
                <w:color w:val="auto"/>
                <w:sz w:val="24"/>
                <w:szCs w:val="24"/>
              </w:rPr>
              <w:t>废试剂瓶、废药品包装</w:t>
            </w:r>
            <w:r>
              <w:rPr>
                <w:rFonts w:hint="eastAsia" w:ascii="宋体" w:hAnsi="宋体" w:cs="宋体"/>
                <w:color w:val="auto"/>
                <w:sz w:val="24"/>
                <w:szCs w:val="24"/>
                <w:lang w:val="en-US" w:eastAsia="zh-CN"/>
              </w:rPr>
              <w:t>等</w:t>
            </w:r>
            <w:r>
              <w:rPr>
                <w:rFonts w:hint="eastAsia" w:ascii="宋体" w:hAnsi="宋体" w:eastAsia="宋体" w:cs="宋体"/>
                <w:color w:val="auto"/>
                <w:sz w:val="24"/>
                <w:szCs w:val="24"/>
              </w:rPr>
              <w:t>。</w:t>
            </w:r>
          </w:p>
          <w:p w14:paraId="3CFBBFFD">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烘烤</w:t>
            </w:r>
            <w:r>
              <w:rPr>
                <w:rFonts w:hint="eastAsia" w:ascii="宋体" w:hAnsi="宋体" w:eastAsia="宋体" w:cs="宋体"/>
                <w:color w:val="auto"/>
                <w:sz w:val="24"/>
                <w:szCs w:val="24"/>
                <w:lang w:eastAsia="zh-CN"/>
              </w:rPr>
              <w:t>过程会产生少量的异味；制水设备定期更换产生的废</w:t>
            </w:r>
            <w:r>
              <w:rPr>
                <w:rFonts w:hint="eastAsia" w:ascii="宋体" w:hAnsi="宋体" w:eastAsia="宋体" w:cs="宋体"/>
                <w:color w:val="auto"/>
                <w:sz w:val="24"/>
                <w:szCs w:val="24"/>
                <w:lang w:val="en-US" w:eastAsia="zh-CN"/>
              </w:rPr>
              <w:t>反渗透膜</w:t>
            </w:r>
            <w:r>
              <w:rPr>
                <w:rFonts w:hint="eastAsia" w:ascii="宋体" w:hAnsi="宋体" w:eastAsia="宋体" w:cs="宋体"/>
                <w:color w:val="auto"/>
                <w:sz w:val="24"/>
                <w:szCs w:val="24"/>
              </w:rPr>
              <w:t>。</w:t>
            </w:r>
          </w:p>
          <w:p w14:paraId="221B7D75">
            <w:pPr>
              <w:pStyle w:val="18"/>
              <w:keepNext w:val="0"/>
              <w:keepLines w:val="0"/>
              <w:suppressLineNumbers w:val="0"/>
              <w:spacing w:before="0" w:beforeAutospacing="0" w:after="0" w:afterAutospacing="0"/>
              <w:ind w:left="0" w:right="0" w:firstLine="48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7、运营期主要产污环节</w:t>
            </w:r>
          </w:p>
          <w:p w14:paraId="54FAE119">
            <w:pPr>
              <w:keepNext w:val="0"/>
              <w:keepLines w:val="0"/>
              <w:suppressLineNumbers w:val="0"/>
              <w:spacing w:before="0" w:beforeAutospacing="0" w:after="0" w:afterAutospacing="0"/>
              <w:ind w:left="0" w:right="0" w:firstLine="468"/>
              <w:rPr>
                <w:rFonts w:hint="default"/>
                <w:color w:val="auto"/>
                <w:spacing w:val="-3"/>
                <w:highlight w:val="none"/>
              </w:rPr>
            </w:pPr>
            <w:r>
              <w:rPr>
                <w:rFonts w:hint="default"/>
                <w:color w:val="auto"/>
                <w:spacing w:val="-3"/>
                <w:highlight w:val="none"/>
              </w:rPr>
              <w:t>本项目运营期主要产污环节见下表：</w:t>
            </w:r>
          </w:p>
          <w:p w14:paraId="1E306906">
            <w:pPr>
              <w:pStyle w:val="77"/>
              <w:keepNext w:val="0"/>
              <w:keepLines w:val="0"/>
              <w:widowControl/>
              <w:suppressLineNumbers w:val="0"/>
              <w:spacing w:before="0" w:beforeLines="0" w:beforeAutospacing="0" w:after="0" w:afterAutospacing="0" w:line="240" w:lineRule="auto"/>
              <w:ind w:left="0" w:right="0"/>
              <w:rPr>
                <w:rFonts w:hint="default" w:eastAsia="宋体"/>
                <w:b/>
                <w:bCs/>
                <w:color w:val="auto"/>
                <w:highlight w:val="none"/>
              </w:rPr>
            </w:pPr>
            <w:r>
              <w:rPr>
                <w:rFonts w:hint="default" w:eastAsia="宋体"/>
                <w:b/>
                <w:bCs/>
                <w:color w:val="auto"/>
                <w:highlight w:val="none"/>
              </w:rPr>
              <w:t>表2-</w:t>
            </w:r>
            <w:r>
              <w:rPr>
                <w:rFonts w:hint="eastAsia" w:eastAsia="宋体"/>
                <w:b/>
                <w:bCs/>
                <w:color w:val="auto"/>
                <w:highlight w:val="none"/>
                <w:lang w:val="en-US" w:eastAsia="zh-CN"/>
              </w:rPr>
              <w:t>8</w:t>
            </w:r>
            <w:r>
              <w:rPr>
                <w:rFonts w:hint="default" w:eastAsia="宋体"/>
                <w:b/>
                <w:bCs/>
                <w:color w:val="auto"/>
                <w:highlight w:val="none"/>
              </w:rPr>
              <w:t xml:space="preserve">   运营期主要污染工序一览表</w:t>
            </w:r>
          </w:p>
          <w:tbl>
            <w:tblPr>
              <w:tblStyle w:val="37"/>
              <w:tblW w:w="497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661"/>
              <w:gridCol w:w="2276"/>
              <w:gridCol w:w="2372"/>
              <w:gridCol w:w="2411"/>
            </w:tblGrid>
            <w:tr w14:paraId="613993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 w:type="pct"/>
                  <w:vAlign w:val="center"/>
                </w:tcPr>
                <w:p w14:paraId="2590DCC0">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污染类别</w:t>
                  </w:r>
                </w:p>
              </w:tc>
              <w:tc>
                <w:tcPr>
                  <w:tcW w:w="393" w:type="pct"/>
                  <w:vAlign w:val="center"/>
                </w:tcPr>
                <w:p w14:paraId="3E11CC5B">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序号</w:t>
                  </w:r>
                </w:p>
              </w:tc>
              <w:tc>
                <w:tcPr>
                  <w:tcW w:w="1352" w:type="pct"/>
                  <w:vAlign w:val="center"/>
                </w:tcPr>
                <w:p w14:paraId="2882AD4A">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污染源名称</w:t>
                  </w:r>
                </w:p>
              </w:tc>
              <w:tc>
                <w:tcPr>
                  <w:tcW w:w="1409" w:type="pct"/>
                  <w:vAlign w:val="center"/>
                </w:tcPr>
                <w:p w14:paraId="4BBB4C2E">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产污环节</w:t>
                  </w:r>
                </w:p>
              </w:tc>
              <w:tc>
                <w:tcPr>
                  <w:tcW w:w="1432" w:type="pct"/>
                  <w:vAlign w:val="center"/>
                </w:tcPr>
                <w:p w14:paraId="69BE0908">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主要污染因子</w:t>
                  </w:r>
                </w:p>
              </w:tc>
            </w:tr>
            <w:tr w14:paraId="7484E4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 w:type="pct"/>
                  <w:vMerge w:val="restart"/>
                  <w:vAlign w:val="center"/>
                </w:tcPr>
                <w:p w14:paraId="3357F5C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废气</w:t>
                  </w:r>
                </w:p>
              </w:tc>
              <w:tc>
                <w:tcPr>
                  <w:tcW w:w="393" w:type="pct"/>
                  <w:vAlign w:val="center"/>
                </w:tcPr>
                <w:p w14:paraId="676D43D0">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G1</w:t>
                  </w:r>
                </w:p>
              </w:tc>
              <w:tc>
                <w:tcPr>
                  <w:tcW w:w="1352" w:type="pct"/>
                  <w:vAlign w:val="center"/>
                </w:tcPr>
                <w:p w14:paraId="01F2EB1D">
                  <w:pPr>
                    <w:pStyle w:val="80"/>
                    <w:keepNext w:val="0"/>
                    <w:keepLines w:val="0"/>
                    <w:widowControl/>
                    <w:suppressLineNumbers w:val="0"/>
                    <w:spacing w:before="0" w:beforeAutospacing="0" w:after="0" w:afterAutospacing="0"/>
                    <w:ind w:left="0" w:right="0"/>
                    <w:rPr>
                      <w:rFonts w:hint="eastAsia" w:eastAsia="宋体"/>
                      <w:color w:val="auto"/>
                      <w:szCs w:val="20"/>
                      <w:highlight w:val="none"/>
                      <w:lang w:eastAsia="zh-CN"/>
                    </w:rPr>
                  </w:pPr>
                  <w:r>
                    <w:rPr>
                      <w:rFonts w:hint="eastAsia"/>
                      <w:color w:val="auto"/>
                      <w:szCs w:val="20"/>
                      <w:highlight w:val="none"/>
                      <w:lang w:val="en-US" w:eastAsia="zh-CN"/>
                    </w:rPr>
                    <w:t>锅炉废气</w:t>
                  </w:r>
                </w:p>
              </w:tc>
              <w:tc>
                <w:tcPr>
                  <w:tcW w:w="1409" w:type="pct"/>
                  <w:vAlign w:val="center"/>
                </w:tcPr>
                <w:p w14:paraId="7722088F">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燃气锅炉运行</w:t>
                  </w:r>
                </w:p>
              </w:tc>
              <w:tc>
                <w:tcPr>
                  <w:tcW w:w="1432" w:type="pct"/>
                  <w:vAlign w:val="center"/>
                </w:tcPr>
                <w:p w14:paraId="256B8AA9">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ascii="Times New Roman" w:hAnsi="Times New Roman" w:cs="Times New Roman"/>
                      <w:color w:val="auto"/>
                      <w:sz w:val="21"/>
                      <w:szCs w:val="21"/>
                      <w:highlight w:val="none"/>
                    </w:rPr>
                    <w:t>颗粒物</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b w:val="0"/>
                      <w:bCs/>
                      <w:color w:val="auto"/>
                      <w:spacing w:val="-3"/>
                      <w:sz w:val="21"/>
                      <w:szCs w:val="21"/>
                      <w:highlight w:val="none"/>
                    </w:rPr>
                    <w:t>SO</w:t>
                  </w:r>
                  <w:r>
                    <w:rPr>
                      <w:rFonts w:hint="default" w:ascii="Times New Roman" w:hAnsi="Times New Roman" w:cs="Times New Roman"/>
                      <w:b w:val="0"/>
                      <w:bCs/>
                      <w:color w:val="auto"/>
                      <w:spacing w:val="-3"/>
                      <w:sz w:val="21"/>
                      <w:szCs w:val="21"/>
                      <w:highlight w:val="none"/>
                      <w:vertAlign w:val="subscript"/>
                    </w:rPr>
                    <w:t>2</w:t>
                  </w:r>
                  <w:r>
                    <w:rPr>
                      <w:rFonts w:hint="default" w:ascii="Times New Roman" w:hAnsi="Times New Roman" w:cs="Times New Roman"/>
                      <w:b w:val="0"/>
                      <w:bCs/>
                      <w:color w:val="auto"/>
                      <w:spacing w:val="-3"/>
                      <w:sz w:val="21"/>
                      <w:szCs w:val="21"/>
                      <w:highlight w:val="none"/>
                      <w:vertAlign w:val="baseline"/>
                      <w:lang w:eastAsia="zh-CN"/>
                    </w:rPr>
                    <w:t>、</w:t>
                  </w:r>
                  <w:r>
                    <w:rPr>
                      <w:rFonts w:hint="default" w:ascii="Times New Roman" w:hAnsi="Times New Roman" w:cs="Times New Roman"/>
                      <w:b w:val="0"/>
                      <w:bCs/>
                      <w:color w:val="auto"/>
                      <w:spacing w:val="-3"/>
                      <w:sz w:val="21"/>
                      <w:szCs w:val="21"/>
                      <w:highlight w:val="none"/>
                    </w:rPr>
                    <w:t>NOx</w:t>
                  </w:r>
                </w:p>
              </w:tc>
            </w:tr>
            <w:tr w14:paraId="1D8FDF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 w:type="pct"/>
                  <w:vMerge w:val="continue"/>
                  <w:vAlign w:val="center"/>
                </w:tcPr>
                <w:p w14:paraId="47531B06">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93" w:type="pct"/>
                  <w:vAlign w:val="center"/>
                </w:tcPr>
                <w:p w14:paraId="1F8226E6">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rPr>
                    <w:t>G</w:t>
                  </w:r>
                  <w:r>
                    <w:rPr>
                      <w:rFonts w:hint="eastAsia"/>
                      <w:color w:val="auto"/>
                      <w:szCs w:val="20"/>
                      <w:highlight w:val="none"/>
                      <w:lang w:val="en-US" w:eastAsia="zh-CN"/>
                    </w:rPr>
                    <w:t>2</w:t>
                  </w:r>
                </w:p>
              </w:tc>
              <w:tc>
                <w:tcPr>
                  <w:tcW w:w="1352" w:type="pct"/>
                  <w:vAlign w:val="center"/>
                </w:tcPr>
                <w:p w14:paraId="4CE74A54">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油烟</w:t>
                  </w:r>
                </w:p>
              </w:tc>
              <w:tc>
                <w:tcPr>
                  <w:tcW w:w="1409" w:type="pct"/>
                  <w:vAlign w:val="center"/>
                </w:tcPr>
                <w:p w14:paraId="6AB1EF9E">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炒制工序</w:t>
                  </w:r>
                </w:p>
              </w:tc>
              <w:tc>
                <w:tcPr>
                  <w:tcW w:w="1432" w:type="pct"/>
                  <w:vAlign w:val="center"/>
                </w:tcPr>
                <w:p w14:paraId="709D6B83">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油烟废气</w:t>
                  </w:r>
                </w:p>
              </w:tc>
            </w:tr>
            <w:tr w14:paraId="0662C0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 w:type="pct"/>
                  <w:vMerge w:val="continue"/>
                  <w:vAlign w:val="center"/>
                </w:tcPr>
                <w:p w14:paraId="19645891">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93" w:type="pct"/>
                  <w:vAlign w:val="center"/>
                </w:tcPr>
                <w:p w14:paraId="41CC2AF2">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rPr>
                  </w:pPr>
                  <w:r>
                    <w:rPr>
                      <w:rFonts w:hint="eastAsia"/>
                      <w:color w:val="auto"/>
                      <w:szCs w:val="20"/>
                      <w:highlight w:val="none"/>
                    </w:rPr>
                    <w:t>G</w:t>
                  </w:r>
                  <w:r>
                    <w:rPr>
                      <w:rFonts w:hint="eastAsia"/>
                      <w:color w:val="auto"/>
                      <w:szCs w:val="20"/>
                      <w:highlight w:val="none"/>
                      <w:lang w:val="en-US" w:eastAsia="zh-CN"/>
                    </w:rPr>
                    <w:t>3</w:t>
                  </w:r>
                </w:p>
              </w:tc>
              <w:tc>
                <w:tcPr>
                  <w:tcW w:w="1352" w:type="pct"/>
                  <w:vAlign w:val="center"/>
                </w:tcPr>
                <w:p w14:paraId="6C77D9F7">
                  <w:pPr>
                    <w:pStyle w:val="80"/>
                    <w:keepNext w:val="0"/>
                    <w:keepLines w:val="0"/>
                    <w:widowControl/>
                    <w:suppressLineNumbers w:val="0"/>
                    <w:spacing w:before="0" w:beforeAutospacing="0" w:after="0" w:afterAutospacing="0"/>
                    <w:ind w:left="0" w:leftChars="0" w:right="0" w:rightChars="0"/>
                    <w:rPr>
                      <w:rFonts w:hint="default"/>
                      <w:color w:val="auto"/>
                      <w:szCs w:val="20"/>
                      <w:highlight w:val="none"/>
                      <w:lang w:val="en-US" w:eastAsia="zh-CN"/>
                    </w:rPr>
                  </w:pPr>
                  <w:r>
                    <w:rPr>
                      <w:rFonts w:hint="eastAsia"/>
                      <w:color w:val="auto"/>
                      <w:szCs w:val="20"/>
                      <w:highlight w:val="none"/>
                      <w:lang w:val="en-US" w:eastAsia="zh-CN"/>
                    </w:rPr>
                    <w:t>粉尘</w:t>
                  </w:r>
                </w:p>
              </w:tc>
              <w:tc>
                <w:tcPr>
                  <w:tcW w:w="1409" w:type="pct"/>
                  <w:vAlign w:val="center"/>
                </w:tcPr>
                <w:p w14:paraId="5406D8DF">
                  <w:pPr>
                    <w:pStyle w:val="80"/>
                    <w:keepNext w:val="0"/>
                    <w:keepLines w:val="0"/>
                    <w:widowControl/>
                    <w:suppressLineNumbers w:val="0"/>
                    <w:spacing w:before="0" w:beforeAutospacing="0" w:after="0" w:afterAutospacing="0"/>
                    <w:ind w:left="0" w:leftChars="0" w:right="0" w:rightChars="0"/>
                    <w:rPr>
                      <w:rFonts w:hint="default"/>
                      <w:color w:val="auto"/>
                      <w:szCs w:val="20"/>
                      <w:highlight w:val="none"/>
                      <w:lang w:val="en-US" w:eastAsia="zh-CN"/>
                    </w:rPr>
                  </w:pPr>
                  <w:r>
                    <w:rPr>
                      <w:rFonts w:hint="eastAsia"/>
                      <w:color w:val="auto"/>
                      <w:szCs w:val="20"/>
                      <w:highlight w:val="none"/>
                      <w:lang w:val="en-US" w:eastAsia="zh-CN"/>
                    </w:rPr>
                    <w:t>和面、调粉</w:t>
                  </w:r>
                </w:p>
              </w:tc>
              <w:tc>
                <w:tcPr>
                  <w:tcW w:w="1432" w:type="pct"/>
                  <w:vAlign w:val="center"/>
                </w:tcPr>
                <w:p w14:paraId="74E2D85C">
                  <w:pPr>
                    <w:pStyle w:val="80"/>
                    <w:keepNext w:val="0"/>
                    <w:keepLines w:val="0"/>
                    <w:widowControl/>
                    <w:suppressLineNumbers w:val="0"/>
                    <w:spacing w:before="0" w:beforeAutospacing="0" w:after="0" w:afterAutospacing="0"/>
                    <w:ind w:left="0" w:leftChars="0" w:right="0" w:rightChars="0"/>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颗粒物</w:t>
                  </w:r>
                </w:p>
              </w:tc>
            </w:tr>
            <w:tr w14:paraId="4DBD2B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 w:type="pct"/>
                  <w:vMerge w:val="continue"/>
                  <w:vAlign w:val="center"/>
                </w:tcPr>
                <w:p w14:paraId="520A03A7">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93" w:type="pct"/>
                  <w:vAlign w:val="center"/>
                </w:tcPr>
                <w:p w14:paraId="00D7EDF2">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rPr>
                  </w:pPr>
                  <w:r>
                    <w:rPr>
                      <w:rFonts w:hint="eastAsia"/>
                      <w:color w:val="auto"/>
                      <w:szCs w:val="20"/>
                      <w:highlight w:val="none"/>
                    </w:rPr>
                    <w:t>G</w:t>
                  </w:r>
                  <w:r>
                    <w:rPr>
                      <w:rFonts w:hint="eastAsia"/>
                      <w:color w:val="auto"/>
                      <w:szCs w:val="20"/>
                      <w:highlight w:val="none"/>
                      <w:lang w:val="en-US" w:eastAsia="zh-CN"/>
                    </w:rPr>
                    <w:t>4</w:t>
                  </w:r>
                </w:p>
              </w:tc>
              <w:tc>
                <w:tcPr>
                  <w:tcW w:w="1352" w:type="pct"/>
                  <w:vAlign w:val="center"/>
                </w:tcPr>
                <w:p w14:paraId="6F9B6B7C">
                  <w:pPr>
                    <w:pStyle w:val="80"/>
                    <w:keepNext w:val="0"/>
                    <w:keepLines w:val="0"/>
                    <w:widowControl/>
                    <w:suppressLineNumbers w:val="0"/>
                    <w:spacing w:before="0" w:beforeAutospacing="0" w:after="0" w:afterAutospacing="0"/>
                    <w:ind w:left="0" w:leftChars="0" w:right="0" w:rightChars="0"/>
                    <w:rPr>
                      <w:rFonts w:hint="default"/>
                      <w:color w:val="auto"/>
                      <w:szCs w:val="20"/>
                      <w:highlight w:val="none"/>
                      <w:lang w:val="en-US" w:eastAsia="zh-CN"/>
                    </w:rPr>
                  </w:pPr>
                  <w:r>
                    <w:rPr>
                      <w:rFonts w:hint="eastAsia"/>
                      <w:color w:val="auto"/>
                      <w:szCs w:val="20"/>
                      <w:highlight w:val="none"/>
                      <w:lang w:val="en-US" w:eastAsia="zh-CN"/>
                    </w:rPr>
                    <w:t>异味废气</w:t>
                  </w:r>
                </w:p>
              </w:tc>
              <w:tc>
                <w:tcPr>
                  <w:tcW w:w="1409" w:type="pct"/>
                  <w:vAlign w:val="center"/>
                </w:tcPr>
                <w:p w14:paraId="66B40227">
                  <w:pPr>
                    <w:pStyle w:val="80"/>
                    <w:keepNext w:val="0"/>
                    <w:keepLines w:val="0"/>
                    <w:widowControl/>
                    <w:suppressLineNumbers w:val="0"/>
                    <w:spacing w:before="0" w:beforeAutospacing="0" w:after="0" w:afterAutospacing="0"/>
                    <w:ind w:left="0" w:leftChars="0" w:right="0" w:rightChars="0"/>
                    <w:rPr>
                      <w:rFonts w:hint="default"/>
                      <w:color w:val="auto"/>
                      <w:szCs w:val="20"/>
                      <w:highlight w:val="none"/>
                      <w:lang w:val="en-US" w:eastAsia="zh-CN"/>
                    </w:rPr>
                  </w:pPr>
                  <w:r>
                    <w:rPr>
                      <w:rFonts w:hint="eastAsia"/>
                      <w:color w:val="auto"/>
                      <w:szCs w:val="20"/>
                      <w:highlight w:val="none"/>
                      <w:lang w:val="en-US" w:eastAsia="zh-CN"/>
                    </w:rPr>
                    <w:t>烘烤</w:t>
                  </w:r>
                </w:p>
              </w:tc>
              <w:tc>
                <w:tcPr>
                  <w:tcW w:w="1432" w:type="pct"/>
                  <w:vAlign w:val="center"/>
                </w:tcPr>
                <w:p w14:paraId="701C63D9">
                  <w:pPr>
                    <w:pStyle w:val="80"/>
                    <w:keepNext w:val="0"/>
                    <w:keepLines w:val="0"/>
                    <w:widowControl/>
                    <w:suppressLineNumbers w:val="0"/>
                    <w:spacing w:before="0" w:beforeAutospacing="0" w:after="0" w:afterAutospacing="0"/>
                    <w:ind w:left="0" w:leftChars="0" w:right="0" w:rightChars="0"/>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异味</w:t>
                  </w:r>
                </w:p>
              </w:tc>
            </w:tr>
            <w:tr w14:paraId="380E64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 w:type="pct"/>
                  <w:vMerge w:val="continue"/>
                  <w:vAlign w:val="center"/>
                </w:tcPr>
                <w:p w14:paraId="37C5D7A6">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93" w:type="pct"/>
                  <w:vAlign w:val="center"/>
                </w:tcPr>
                <w:p w14:paraId="5C0DFCCE">
                  <w:pPr>
                    <w:pStyle w:val="80"/>
                    <w:keepNext w:val="0"/>
                    <w:keepLines w:val="0"/>
                    <w:widowControl/>
                    <w:suppressLineNumbers w:val="0"/>
                    <w:spacing w:before="0" w:beforeAutospacing="0" w:after="0" w:afterAutospacing="0"/>
                    <w:ind w:left="0" w:right="0"/>
                    <w:rPr>
                      <w:rFonts w:hint="eastAsia" w:eastAsia="宋体"/>
                      <w:color w:val="auto"/>
                      <w:szCs w:val="20"/>
                      <w:highlight w:val="none"/>
                      <w:lang w:eastAsia="zh-CN"/>
                    </w:rPr>
                  </w:pPr>
                  <w:r>
                    <w:rPr>
                      <w:rFonts w:hint="eastAsia"/>
                      <w:color w:val="auto"/>
                      <w:szCs w:val="20"/>
                      <w:highlight w:val="none"/>
                    </w:rPr>
                    <w:t>G</w:t>
                  </w:r>
                  <w:r>
                    <w:rPr>
                      <w:rFonts w:hint="eastAsia"/>
                      <w:color w:val="auto"/>
                      <w:szCs w:val="20"/>
                      <w:highlight w:val="none"/>
                      <w:lang w:val="en-US" w:eastAsia="zh-CN"/>
                    </w:rPr>
                    <w:t>5</w:t>
                  </w:r>
                </w:p>
              </w:tc>
              <w:tc>
                <w:tcPr>
                  <w:tcW w:w="1352" w:type="pct"/>
                  <w:vAlign w:val="center"/>
                </w:tcPr>
                <w:p w14:paraId="2F806672">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异味</w:t>
                  </w:r>
                </w:p>
              </w:tc>
              <w:tc>
                <w:tcPr>
                  <w:tcW w:w="1409" w:type="pct"/>
                  <w:vAlign w:val="center"/>
                </w:tcPr>
                <w:p w14:paraId="4EB6713F">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污水处理设备</w:t>
                  </w:r>
                </w:p>
              </w:tc>
              <w:tc>
                <w:tcPr>
                  <w:tcW w:w="1432" w:type="pct"/>
                  <w:vAlign w:val="center"/>
                </w:tcPr>
                <w:p w14:paraId="00B98DF8">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氨、硫化氢</w:t>
                  </w:r>
                  <w:r>
                    <w:rPr>
                      <w:rFonts w:hint="eastAsia"/>
                      <w:color w:val="auto"/>
                      <w:szCs w:val="20"/>
                      <w:lang w:eastAsia="zh-CN"/>
                    </w:rPr>
                    <w:t>、</w:t>
                  </w:r>
                  <w:r>
                    <w:rPr>
                      <w:rFonts w:hint="eastAsia"/>
                      <w:color w:val="auto"/>
                      <w:szCs w:val="20"/>
                      <w:lang w:val="en-US" w:eastAsia="zh-CN"/>
                    </w:rPr>
                    <w:t>臭气浓度</w:t>
                  </w:r>
                </w:p>
              </w:tc>
            </w:tr>
            <w:tr w14:paraId="2A0B81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 w:type="pct"/>
                  <w:vMerge w:val="restart"/>
                  <w:vAlign w:val="center"/>
                </w:tcPr>
                <w:p w14:paraId="427984DD">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废水</w:t>
                  </w:r>
                </w:p>
              </w:tc>
              <w:tc>
                <w:tcPr>
                  <w:tcW w:w="393" w:type="pct"/>
                  <w:vAlign w:val="center"/>
                </w:tcPr>
                <w:p w14:paraId="583263F1">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W1</w:t>
                  </w:r>
                </w:p>
              </w:tc>
              <w:tc>
                <w:tcPr>
                  <w:tcW w:w="1352" w:type="pct"/>
                  <w:vAlign w:val="center"/>
                </w:tcPr>
                <w:p w14:paraId="27ED0AB0">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生活污水</w:t>
                  </w:r>
                </w:p>
              </w:tc>
              <w:tc>
                <w:tcPr>
                  <w:tcW w:w="1409" w:type="pct"/>
                  <w:vAlign w:val="center"/>
                </w:tcPr>
                <w:p w14:paraId="2E44A619">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员工生活、办公</w:t>
                  </w:r>
                </w:p>
              </w:tc>
              <w:tc>
                <w:tcPr>
                  <w:tcW w:w="1432" w:type="pct"/>
                  <w:vAlign w:val="center"/>
                </w:tcPr>
                <w:p w14:paraId="39382B9C">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default"/>
                      <w:color w:val="auto"/>
                      <w:szCs w:val="21"/>
                      <w:highlight w:val="none"/>
                    </w:rPr>
                    <w:t>COD、氨氮、SS</w:t>
                  </w:r>
                  <w:r>
                    <w:rPr>
                      <w:rFonts w:hint="eastAsia"/>
                      <w:color w:val="auto"/>
                      <w:szCs w:val="21"/>
                      <w:highlight w:val="none"/>
                    </w:rPr>
                    <w:t>、BOD</w:t>
                  </w:r>
                  <w:r>
                    <w:rPr>
                      <w:rFonts w:hint="eastAsia"/>
                      <w:color w:val="auto"/>
                      <w:szCs w:val="21"/>
                      <w:highlight w:val="none"/>
                      <w:vertAlign w:val="subscript"/>
                    </w:rPr>
                    <w:t>5</w:t>
                  </w:r>
                  <w:r>
                    <w:rPr>
                      <w:rFonts w:hint="eastAsia"/>
                      <w:color w:val="auto"/>
                      <w:szCs w:val="21"/>
                      <w:highlight w:val="none"/>
                    </w:rPr>
                    <w:t>、</w:t>
                  </w:r>
                  <w:r>
                    <w:rPr>
                      <w:rFonts w:hint="eastAsia"/>
                      <w:color w:val="auto"/>
                      <w:szCs w:val="21"/>
                      <w:highlight w:val="none"/>
                      <w:lang w:val="en-US" w:eastAsia="zh-CN"/>
                    </w:rPr>
                    <w:t>动植物油</w:t>
                  </w:r>
                  <w:r>
                    <w:rPr>
                      <w:rFonts w:hint="eastAsia"/>
                      <w:color w:val="auto"/>
                      <w:szCs w:val="20"/>
                      <w:lang w:eastAsia="zh-CN"/>
                    </w:rPr>
                    <w:t>、</w:t>
                  </w:r>
                  <w:r>
                    <w:rPr>
                      <w:rFonts w:hint="eastAsia"/>
                      <w:color w:val="auto"/>
                      <w:szCs w:val="20"/>
                      <w:lang w:val="en-US" w:eastAsia="zh-CN"/>
                    </w:rPr>
                    <w:t>总磷、总氮</w:t>
                  </w:r>
                </w:p>
              </w:tc>
            </w:tr>
            <w:tr w14:paraId="39CEBB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 w:type="pct"/>
                  <w:vMerge w:val="continue"/>
                  <w:vAlign w:val="center"/>
                </w:tcPr>
                <w:p w14:paraId="1DF2D87D">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393" w:type="pct"/>
                  <w:vAlign w:val="center"/>
                </w:tcPr>
                <w:p w14:paraId="10B25E16">
                  <w:pPr>
                    <w:pStyle w:val="80"/>
                    <w:keepNext w:val="0"/>
                    <w:keepLines w:val="0"/>
                    <w:widowControl/>
                    <w:suppressLineNumbers w:val="0"/>
                    <w:spacing w:before="0" w:beforeAutospacing="0" w:after="0" w:afterAutospacing="0"/>
                    <w:ind w:left="0" w:right="0"/>
                    <w:rPr>
                      <w:rFonts w:hint="eastAsia"/>
                      <w:color w:val="auto"/>
                      <w:szCs w:val="20"/>
                      <w:highlight w:val="none"/>
                    </w:rPr>
                  </w:pPr>
                  <w:r>
                    <w:rPr>
                      <w:rFonts w:hint="eastAsia"/>
                      <w:color w:val="auto"/>
                      <w:szCs w:val="20"/>
                      <w:highlight w:val="none"/>
                    </w:rPr>
                    <w:t>W2</w:t>
                  </w:r>
                </w:p>
              </w:tc>
              <w:tc>
                <w:tcPr>
                  <w:tcW w:w="1352" w:type="pct"/>
                  <w:vAlign w:val="center"/>
                </w:tcPr>
                <w:p w14:paraId="582273F0">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纯水制备浓水</w:t>
                  </w:r>
                </w:p>
              </w:tc>
              <w:tc>
                <w:tcPr>
                  <w:tcW w:w="1409" w:type="pct"/>
                  <w:vAlign w:val="center"/>
                </w:tcPr>
                <w:p w14:paraId="79E623FA">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纯水制备</w:t>
                  </w:r>
                </w:p>
              </w:tc>
              <w:tc>
                <w:tcPr>
                  <w:tcW w:w="1432" w:type="pct"/>
                  <w:vAlign w:val="center"/>
                </w:tcPr>
                <w:p w14:paraId="6C223800">
                  <w:pPr>
                    <w:pStyle w:val="80"/>
                    <w:keepNext w:val="0"/>
                    <w:keepLines w:val="0"/>
                    <w:widowControl/>
                    <w:suppressLineNumbers w:val="0"/>
                    <w:spacing w:before="0" w:beforeAutospacing="0" w:after="0" w:afterAutospacing="0"/>
                    <w:ind w:left="0" w:right="0"/>
                    <w:rPr>
                      <w:rFonts w:hint="default" w:eastAsia="宋体"/>
                      <w:color w:val="auto"/>
                      <w:szCs w:val="21"/>
                      <w:highlight w:val="none"/>
                      <w:lang w:val="en-US" w:eastAsia="zh-CN"/>
                    </w:rPr>
                  </w:pPr>
                  <w:r>
                    <w:rPr>
                      <w:rFonts w:hint="eastAsia"/>
                      <w:color w:val="auto"/>
                      <w:szCs w:val="21"/>
                      <w:highlight w:val="none"/>
                      <w:lang w:val="en-US" w:eastAsia="zh-CN"/>
                    </w:rPr>
                    <w:t>SS</w:t>
                  </w:r>
                </w:p>
              </w:tc>
            </w:tr>
            <w:tr w14:paraId="7FEB66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 w:type="pct"/>
                  <w:vMerge w:val="continue"/>
                  <w:vAlign w:val="center"/>
                </w:tcPr>
                <w:p w14:paraId="7EEC8E89">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393" w:type="pct"/>
                  <w:shd w:val="clear" w:color="auto" w:fill="auto"/>
                  <w:vAlign w:val="center"/>
                </w:tcPr>
                <w:p w14:paraId="612B5993">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rPr>
                    <w:t>W</w:t>
                  </w:r>
                  <w:r>
                    <w:rPr>
                      <w:rFonts w:hint="eastAsia"/>
                      <w:color w:val="auto"/>
                      <w:szCs w:val="20"/>
                      <w:highlight w:val="none"/>
                      <w:lang w:val="en-US" w:eastAsia="zh-CN"/>
                    </w:rPr>
                    <w:t>3</w:t>
                  </w:r>
                </w:p>
              </w:tc>
              <w:tc>
                <w:tcPr>
                  <w:tcW w:w="1352" w:type="pct"/>
                  <w:shd w:val="clear" w:color="auto" w:fill="auto"/>
                  <w:vAlign w:val="center"/>
                </w:tcPr>
                <w:p w14:paraId="1E3CE09B">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清洗废水</w:t>
                  </w:r>
                </w:p>
              </w:tc>
              <w:tc>
                <w:tcPr>
                  <w:tcW w:w="1409" w:type="pct"/>
                  <w:shd w:val="clear" w:color="auto" w:fill="auto"/>
                  <w:vAlign w:val="center"/>
                </w:tcPr>
                <w:p w14:paraId="79B9C526">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食材清洗、洗手、工具餐具容器设备清洗（含检验室设备清洗）、地面清洗</w:t>
                  </w:r>
                </w:p>
              </w:tc>
              <w:tc>
                <w:tcPr>
                  <w:tcW w:w="1432" w:type="pct"/>
                  <w:shd w:val="clear" w:color="auto" w:fill="auto"/>
                  <w:vAlign w:val="center"/>
                </w:tcPr>
                <w:p w14:paraId="67D7A9E7">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1"/>
                      <w:highlight w:val="none"/>
                      <w:lang w:val="en-US" w:eastAsia="zh-CN" w:bidi="ar-SA"/>
                    </w:rPr>
                  </w:pPr>
                  <w:r>
                    <w:rPr>
                      <w:rFonts w:hint="default" w:ascii="Times New Roman" w:hAnsi="Times New Roman" w:cs="Times New Roman"/>
                      <w:color w:val="auto"/>
                      <w:sz w:val="21"/>
                      <w:szCs w:val="21"/>
                      <w:highlight w:val="none"/>
                    </w:rPr>
                    <w:t>SS、COD、BOD</w:t>
                  </w:r>
                  <w:r>
                    <w:rPr>
                      <w:rFonts w:hint="default" w:ascii="Times New Roman" w:hAnsi="Times New Roman" w:cs="Times New Roman"/>
                      <w:color w:val="auto"/>
                      <w:sz w:val="21"/>
                      <w:szCs w:val="21"/>
                      <w:highlight w:val="none"/>
                      <w:vertAlign w:val="subscript"/>
                    </w:rPr>
                    <w:t>5</w:t>
                  </w:r>
                  <w:r>
                    <w:rPr>
                      <w:rFonts w:hint="default" w:ascii="Times New Roman" w:hAnsi="Times New Roman" w:cs="Times New Roman"/>
                      <w:color w:val="auto"/>
                      <w:sz w:val="21"/>
                      <w:szCs w:val="21"/>
                      <w:highlight w:val="none"/>
                    </w:rPr>
                    <w:t>、氨氮</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动植物油</w:t>
                  </w:r>
                  <w:r>
                    <w:rPr>
                      <w:rFonts w:hint="eastAsia" w:ascii="Times New Roman" w:hAnsi="Times New Roman" w:cs="Times New Roman"/>
                      <w:color w:val="auto"/>
                      <w:sz w:val="21"/>
                      <w:szCs w:val="21"/>
                      <w:highlight w:val="none"/>
                      <w:lang w:val="en-US" w:eastAsia="zh-CN"/>
                    </w:rPr>
                    <w:t>、LAS</w:t>
                  </w:r>
                </w:p>
              </w:tc>
            </w:tr>
            <w:tr w14:paraId="64A186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 w:type="pct"/>
                  <w:vMerge w:val="continue"/>
                  <w:vAlign w:val="center"/>
                </w:tcPr>
                <w:p w14:paraId="2336E70A">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393" w:type="pct"/>
                  <w:vAlign w:val="center"/>
                </w:tcPr>
                <w:p w14:paraId="65BC28D7">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eastAsia="宋体"/>
                      <w:color w:val="auto"/>
                      <w:szCs w:val="20"/>
                      <w:highlight w:val="none"/>
                      <w:lang w:eastAsia="zh-CN"/>
                    </w:rPr>
                    <w:t>W</w:t>
                  </w:r>
                  <w:r>
                    <w:rPr>
                      <w:rFonts w:hint="eastAsia"/>
                      <w:color w:val="auto"/>
                      <w:szCs w:val="20"/>
                      <w:highlight w:val="none"/>
                      <w:lang w:val="en-US" w:eastAsia="zh-CN"/>
                    </w:rPr>
                    <w:t>4</w:t>
                  </w:r>
                </w:p>
              </w:tc>
              <w:tc>
                <w:tcPr>
                  <w:tcW w:w="1352" w:type="pct"/>
                  <w:vAlign w:val="center"/>
                </w:tcPr>
                <w:p w14:paraId="6529E1AD">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锅炉排污</w:t>
                  </w:r>
                </w:p>
              </w:tc>
              <w:tc>
                <w:tcPr>
                  <w:tcW w:w="1409" w:type="pct"/>
                  <w:vAlign w:val="center"/>
                </w:tcPr>
                <w:p w14:paraId="5EBDDCCF">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锅炉运行</w:t>
                  </w:r>
                </w:p>
              </w:tc>
              <w:tc>
                <w:tcPr>
                  <w:tcW w:w="1432" w:type="pct"/>
                  <w:vAlign w:val="center"/>
                </w:tcPr>
                <w:p w14:paraId="02AB1468">
                  <w:pPr>
                    <w:pStyle w:val="80"/>
                    <w:keepNext w:val="0"/>
                    <w:keepLines w:val="0"/>
                    <w:widowControl/>
                    <w:suppressLineNumbers w:val="0"/>
                    <w:spacing w:before="0" w:beforeAutospacing="0" w:after="0" w:afterAutospacing="0"/>
                    <w:ind w:left="0" w:right="0"/>
                    <w:rPr>
                      <w:rFonts w:hint="default" w:eastAsia="宋体"/>
                      <w:color w:val="auto"/>
                      <w:szCs w:val="21"/>
                      <w:highlight w:val="none"/>
                      <w:lang w:val="en-US" w:eastAsia="zh-CN"/>
                    </w:rPr>
                  </w:pPr>
                  <w:r>
                    <w:rPr>
                      <w:rFonts w:hint="eastAsia"/>
                      <w:color w:val="auto"/>
                      <w:szCs w:val="21"/>
                      <w:highlight w:val="none"/>
                      <w:lang w:val="en-US" w:eastAsia="zh-CN"/>
                    </w:rPr>
                    <w:t>SS、盐类</w:t>
                  </w:r>
                </w:p>
              </w:tc>
            </w:tr>
            <w:tr w14:paraId="20DD1D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 w:type="pct"/>
                  <w:vAlign w:val="center"/>
                </w:tcPr>
                <w:p w14:paraId="03E8242D">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噪声</w:t>
                  </w:r>
                </w:p>
              </w:tc>
              <w:tc>
                <w:tcPr>
                  <w:tcW w:w="393" w:type="pct"/>
                  <w:vAlign w:val="center"/>
                </w:tcPr>
                <w:p w14:paraId="0F9EBE0B">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N</w:t>
                  </w:r>
                </w:p>
              </w:tc>
              <w:tc>
                <w:tcPr>
                  <w:tcW w:w="1352" w:type="pct"/>
                  <w:vAlign w:val="center"/>
                </w:tcPr>
                <w:p w14:paraId="67BB8855">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设备运行噪声</w:t>
                  </w:r>
                </w:p>
              </w:tc>
              <w:tc>
                <w:tcPr>
                  <w:tcW w:w="1409" w:type="pct"/>
                  <w:vAlign w:val="center"/>
                </w:tcPr>
                <w:p w14:paraId="0C2212E9">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生产活动、制冷机组、环保设备运行</w:t>
                  </w:r>
                </w:p>
              </w:tc>
              <w:tc>
                <w:tcPr>
                  <w:tcW w:w="1432" w:type="pct"/>
                  <w:vAlign w:val="center"/>
                </w:tcPr>
                <w:p w14:paraId="23D4CF35">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lang w:val="en-US" w:eastAsia="zh-CN"/>
                    </w:rPr>
                    <w:t>设备</w:t>
                  </w:r>
                  <w:r>
                    <w:rPr>
                      <w:rFonts w:hint="default"/>
                      <w:color w:val="auto"/>
                      <w:szCs w:val="20"/>
                      <w:highlight w:val="none"/>
                    </w:rPr>
                    <w:t>噪声</w:t>
                  </w:r>
                </w:p>
              </w:tc>
            </w:tr>
            <w:tr w14:paraId="690A2E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 w:type="pct"/>
                  <w:vMerge w:val="restart"/>
                  <w:vAlign w:val="center"/>
                </w:tcPr>
                <w:p w14:paraId="2263AD25">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固废</w:t>
                  </w:r>
                </w:p>
              </w:tc>
              <w:tc>
                <w:tcPr>
                  <w:tcW w:w="393" w:type="pct"/>
                  <w:vAlign w:val="center"/>
                </w:tcPr>
                <w:p w14:paraId="47DE58EA">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S1</w:t>
                  </w:r>
                </w:p>
              </w:tc>
              <w:tc>
                <w:tcPr>
                  <w:tcW w:w="1352" w:type="pct"/>
                  <w:vAlign w:val="center"/>
                </w:tcPr>
                <w:p w14:paraId="17D7268D">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eastAsia="zh-CN"/>
                    </w:rPr>
                    <w:t>废包装</w:t>
                  </w:r>
                </w:p>
              </w:tc>
              <w:tc>
                <w:tcPr>
                  <w:tcW w:w="1409" w:type="pct"/>
                  <w:vAlign w:val="center"/>
                </w:tcPr>
                <w:p w14:paraId="44786DA8">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rPr>
                    <w:t>包装</w:t>
                  </w:r>
                  <w:r>
                    <w:rPr>
                      <w:rFonts w:hint="eastAsia"/>
                      <w:color w:val="auto"/>
                      <w:szCs w:val="20"/>
                      <w:highlight w:val="none"/>
                      <w:lang w:eastAsia="zh-CN"/>
                    </w:rPr>
                    <w:t>、</w:t>
                  </w:r>
                  <w:r>
                    <w:rPr>
                      <w:rFonts w:hint="eastAsia"/>
                      <w:color w:val="auto"/>
                      <w:szCs w:val="20"/>
                      <w:highlight w:val="none"/>
                      <w:lang w:val="en-US" w:eastAsia="zh-CN"/>
                    </w:rPr>
                    <w:t>清洗、挑摘</w:t>
                  </w:r>
                </w:p>
              </w:tc>
              <w:tc>
                <w:tcPr>
                  <w:tcW w:w="1432" w:type="pct"/>
                  <w:vAlign w:val="center"/>
                </w:tcPr>
                <w:p w14:paraId="0DB96231">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废塑料袋、废纸箱等</w:t>
                  </w:r>
                </w:p>
              </w:tc>
            </w:tr>
            <w:tr w14:paraId="5D0CDD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 w:type="pct"/>
                  <w:vMerge w:val="continue"/>
                  <w:vAlign w:val="center"/>
                </w:tcPr>
                <w:p w14:paraId="0AE1F201">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93" w:type="pct"/>
                  <w:vAlign w:val="center"/>
                </w:tcPr>
                <w:p w14:paraId="179924F2">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rPr>
                    <w:t>S2</w:t>
                  </w:r>
                </w:p>
              </w:tc>
              <w:tc>
                <w:tcPr>
                  <w:tcW w:w="1352" w:type="pct"/>
                  <w:vAlign w:val="center"/>
                </w:tcPr>
                <w:p w14:paraId="79B5CFA9">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废油脂</w:t>
                  </w:r>
                </w:p>
              </w:tc>
              <w:tc>
                <w:tcPr>
                  <w:tcW w:w="1409" w:type="pct"/>
                  <w:vAlign w:val="center"/>
                </w:tcPr>
                <w:p w14:paraId="225D9B28">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油烟净化</w:t>
                  </w:r>
                </w:p>
              </w:tc>
              <w:tc>
                <w:tcPr>
                  <w:tcW w:w="1432" w:type="pct"/>
                  <w:vAlign w:val="center"/>
                </w:tcPr>
                <w:p w14:paraId="2C79820F">
                  <w:pPr>
                    <w:pStyle w:val="80"/>
                    <w:keepNext w:val="0"/>
                    <w:keepLines w:val="0"/>
                    <w:widowControl/>
                    <w:suppressLineNumbers w:val="0"/>
                    <w:spacing w:before="0" w:beforeAutospacing="0" w:after="0" w:afterAutospacing="0"/>
                    <w:ind w:left="0" w:right="0"/>
                    <w:rPr>
                      <w:rFonts w:hint="eastAsia"/>
                      <w:color w:val="auto"/>
                      <w:szCs w:val="20"/>
                      <w:highlight w:val="none"/>
                    </w:rPr>
                  </w:pPr>
                  <w:r>
                    <w:rPr>
                      <w:rFonts w:hint="eastAsia"/>
                      <w:color w:val="auto"/>
                      <w:szCs w:val="20"/>
                      <w:highlight w:val="none"/>
                      <w:lang w:val="en-US" w:eastAsia="zh-CN"/>
                    </w:rPr>
                    <w:t>废油脂</w:t>
                  </w:r>
                </w:p>
              </w:tc>
            </w:tr>
            <w:tr w14:paraId="487E9E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 w:type="pct"/>
                  <w:vMerge w:val="continue"/>
                  <w:vAlign w:val="center"/>
                </w:tcPr>
                <w:p w14:paraId="7409B106">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93" w:type="pct"/>
                  <w:vAlign w:val="center"/>
                </w:tcPr>
                <w:p w14:paraId="42C3C9A7">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rPr>
                    <w:t>S3</w:t>
                  </w:r>
                </w:p>
              </w:tc>
              <w:tc>
                <w:tcPr>
                  <w:tcW w:w="1352" w:type="pct"/>
                  <w:vAlign w:val="center"/>
                </w:tcPr>
                <w:p w14:paraId="4648EF82">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cs="Times New Roman"/>
                      <w:color w:val="auto"/>
                      <w:sz w:val="21"/>
                      <w:szCs w:val="20"/>
                      <w:highlight w:val="none"/>
                      <w:lang w:val="en-US" w:eastAsia="zh-CN" w:bidi="ar-SA"/>
                    </w:rPr>
                    <w:t>厨余垃圾</w:t>
                  </w:r>
                </w:p>
              </w:tc>
              <w:tc>
                <w:tcPr>
                  <w:tcW w:w="1409" w:type="pct"/>
                  <w:vAlign w:val="center"/>
                </w:tcPr>
                <w:p w14:paraId="602DC0F9">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cs="Times New Roman"/>
                      <w:color w:val="auto"/>
                      <w:sz w:val="21"/>
                      <w:szCs w:val="20"/>
                      <w:highlight w:val="none"/>
                      <w:lang w:val="en-US" w:eastAsia="zh-CN" w:bidi="ar-SA"/>
                    </w:rPr>
                    <w:t>食材清洗加工</w:t>
                  </w:r>
                </w:p>
              </w:tc>
              <w:tc>
                <w:tcPr>
                  <w:tcW w:w="1432" w:type="pct"/>
                  <w:vAlign w:val="center"/>
                </w:tcPr>
                <w:p w14:paraId="59DB3744">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ascii="Times New Roman" w:hAnsi="Times New Roman" w:cs="Times New Roman"/>
                      <w:color w:val="auto"/>
                      <w:sz w:val="21"/>
                      <w:szCs w:val="21"/>
                      <w:lang w:val="en-US" w:eastAsia="zh-CN"/>
                    </w:rPr>
                    <w:t>米、面、菜等</w:t>
                  </w:r>
                  <w:r>
                    <w:rPr>
                      <w:rFonts w:hint="eastAsia" w:cs="Times New Roman"/>
                      <w:color w:val="auto"/>
                      <w:sz w:val="21"/>
                      <w:szCs w:val="20"/>
                      <w:highlight w:val="none"/>
                      <w:lang w:val="en-US" w:eastAsia="zh-CN" w:bidi="ar-SA"/>
                    </w:rPr>
                    <w:t>残余废渣</w:t>
                  </w:r>
                </w:p>
              </w:tc>
            </w:tr>
            <w:tr w14:paraId="4B6082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 w:type="pct"/>
                  <w:vMerge w:val="continue"/>
                  <w:vAlign w:val="center"/>
                </w:tcPr>
                <w:p w14:paraId="625CA346">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93" w:type="pct"/>
                  <w:vAlign w:val="center"/>
                </w:tcPr>
                <w:p w14:paraId="4EF47F0A">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rPr>
                    <w:t>S</w:t>
                  </w:r>
                  <w:r>
                    <w:rPr>
                      <w:rFonts w:hint="eastAsia"/>
                      <w:color w:val="auto"/>
                      <w:szCs w:val="20"/>
                      <w:highlight w:val="none"/>
                      <w:lang w:val="en-US" w:eastAsia="zh-CN"/>
                    </w:rPr>
                    <w:t>4</w:t>
                  </w:r>
                </w:p>
              </w:tc>
              <w:tc>
                <w:tcPr>
                  <w:tcW w:w="1352" w:type="pct"/>
                  <w:vAlign w:val="center"/>
                </w:tcPr>
                <w:p w14:paraId="65C85DA5">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污泥</w:t>
                  </w:r>
                </w:p>
              </w:tc>
              <w:tc>
                <w:tcPr>
                  <w:tcW w:w="1409" w:type="pct"/>
                  <w:vAlign w:val="center"/>
                </w:tcPr>
                <w:p w14:paraId="30EBF244">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s="Times New Roman"/>
                      <w:color w:val="auto"/>
                      <w:sz w:val="21"/>
                      <w:szCs w:val="20"/>
                      <w:highlight w:val="none"/>
                      <w:lang w:val="en-US" w:eastAsia="zh-CN" w:bidi="ar-SA"/>
                    </w:rPr>
                    <w:t>地埋式污水处理设备</w:t>
                  </w:r>
                </w:p>
              </w:tc>
              <w:tc>
                <w:tcPr>
                  <w:tcW w:w="1432" w:type="pct"/>
                  <w:vAlign w:val="center"/>
                </w:tcPr>
                <w:p w14:paraId="78069717">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污泥</w:t>
                  </w:r>
                </w:p>
              </w:tc>
            </w:tr>
            <w:tr w14:paraId="37C706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 w:type="pct"/>
                  <w:vMerge w:val="continue"/>
                  <w:vAlign w:val="center"/>
                </w:tcPr>
                <w:p w14:paraId="372CA7A4">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93" w:type="pct"/>
                  <w:shd w:val="clear" w:color="auto" w:fill="auto"/>
                  <w:vAlign w:val="center"/>
                </w:tcPr>
                <w:p w14:paraId="5E70DCE0">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rPr>
                    <w:t>S</w:t>
                  </w:r>
                  <w:r>
                    <w:rPr>
                      <w:rFonts w:hint="eastAsia"/>
                      <w:color w:val="auto"/>
                      <w:szCs w:val="20"/>
                      <w:highlight w:val="none"/>
                      <w:lang w:val="en-US" w:eastAsia="zh-CN"/>
                    </w:rPr>
                    <w:t>5</w:t>
                  </w:r>
                </w:p>
              </w:tc>
              <w:tc>
                <w:tcPr>
                  <w:tcW w:w="1352" w:type="pct"/>
                  <w:vAlign w:val="center"/>
                </w:tcPr>
                <w:p w14:paraId="5964094C">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ascii="Times New Roman" w:hAnsi="Times New Roman" w:eastAsia="宋体" w:cs="Times New Roman"/>
                      <w:color w:val="auto"/>
                      <w:sz w:val="21"/>
                      <w:szCs w:val="20"/>
                      <w:highlight w:val="none"/>
                      <w:lang w:val="en-US" w:eastAsia="zh-CN" w:bidi="ar-SA"/>
                    </w:rPr>
                    <w:t>废物料、废试剂瓶、废药品包装</w:t>
                  </w:r>
                </w:p>
              </w:tc>
              <w:tc>
                <w:tcPr>
                  <w:tcW w:w="1409" w:type="pct"/>
                  <w:vAlign w:val="center"/>
                </w:tcPr>
                <w:p w14:paraId="444CCDCC">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ascii="Times New Roman" w:hAnsi="Times New Roman" w:eastAsia="宋体" w:cs="Times New Roman"/>
                      <w:color w:val="auto"/>
                      <w:sz w:val="21"/>
                      <w:szCs w:val="20"/>
                      <w:highlight w:val="none"/>
                      <w:lang w:val="en-US" w:eastAsia="zh-CN" w:bidi="ar-SA"/>
                    </w:rPr>
                    <w:t>抽样检验</w:t>
                  </w:r>
                </w:p>
              </w:tc>
              <w:tc>
                <w:tcPr>
                  <w:tcW w:w="1432" w:type="pct"/>
                  <w:vAlign w:val="center"/>
                </w:tcPr>
                <w:p w14:paraId="320BBE92">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lang w:val="en-US" w:eastAsia="zh-CN"/>
                    </w:rPr>
                  </w:pPr>
                  <w:r>
                    <w:rPr>
                      <w:rFonts w:hint="eastAsia" w:ascii="Times New Roman" w:hAnsi="Times New Roman" w:eastAsia="宋体" w:cs="Times New Roman"/>
                      <w:color w:val="auto"/>
                      <w:sz w:val="21"/>
                      <w:szCs w:val="20"/>
                      <w:highlight w:val="none"/>
                      <w:lang w:val="en-US" w:eastAsia="zh-CN" w:bidi="ar-SA"/>
                    </w:rPr>
                    <w:t>废物料、废试剂瓶、废药品包装</w:t>
                  </w:r>
                </w:p>
              </w:tc>
            </w:tr>
            <w:tr w14:paraId="4ABD91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 w:type="pct"/>
                  <w:vMerge w:val="continue"/>
                  <w:vAlign w:val="center"/>
                </w:tcPr>
                <w:p w14:paraId="5664ECFF">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93" w:type="pct"/>
                  <w:shd w:val="clear" w:color="auto" w:fill="auto"/>
                  <w:vAlign w:val="center"/>
                </w:tcPr>
                <w:p w14:paraId="2CF2FB81">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S6</w:t>
                  </w:r>
                </w:p>
              </w:tc>
              <w:tc>
                <w:tcPr>
                  <w:tcW w:w="1352" w:type="pct"/>
                  <w:vAlign w:val="center"/>
                </w:tcPr>
                <w:p w14:paraId="51D2D433">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s="Times New Roman"/>
                      <w:color w:val="auto"/>
                      <w:sz w:val="21"/>
                      <w:szCs w:val="20"/>
                      <w:highlight w:val="none"/>
                      <w:lang w:val="en-US" w:eastAsia="zh-CN" w:bidi="ar-SA"/>
                    </w:rPr>
                    <w:t>废反渗透膜</w:t>
                  </w:r>
                </w:p>
              </w:tc>
              <w:tc>
                <w:tcPr>
                  <w:tcW w:w="1409" w:type="pct"/>
                  <w:vAlign w:val="center"/>
                </w:tcPr>
                <w:p w14:paraId="33008A9F">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s="Times New Roman"/>
                      <w:color w:val="auto"/>
                      <w:sz w:val="21"/>
                      <w:szCs w:val="20"/>
                      <w:highlight w:val="none"/>
                      <w:lang w:val="en-US" w:eastAsia="zh-CN" w:bidi="ar-SA"/>
                    </w:rPr>
                    <w:t>纯水制备过程</w:t>
                  </w:r>
                </w:p>
              </w:tc>
              <w:tc>
                <w:tcPr>
                  <w:tcW w:w="1432" w:type="pct"/>
                  <w:vAlign w:val="center"/>
                </w:tcPr>
                <w:p w14:paraId="40ECE10E">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s="Times New Roman"/>
                      <w:color w:val="auto"/>
                      <w:sz w:val="21"/>
                      <w:szCs w:val="20"/>
                      <w:highlight w:val="none"/>
                      <w:lang w:val="en-US" w:eastAsia="zh-CN" w:bidi="ar-SA"/>
                    </w:rPr>
                    <w:t>废反渗透膜</w:t>
                  </w:r>
                </w:p>
              </w:tc>
            </w:tr>
            <w:tr w14:paraId="2B9124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2" w:type="pct"/>
                  <w:vMerge w:val="continue"/>
                  <w:vAlign w:val="center"/>
                </w:tcPr>
                <w:p w14:paraId="1024CCA8">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93" w:type="pct"/>
                  <w:vAlign w:val="center"/>
                </w:tcPr>
                <w:p w14:paraId="76E9CF1B">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S7</w:t>
                  </w:r>
                </w:p>
              </w:tc>
              <w:tc>
                <w:tcPr>
                  <w:tcW w:w="1352" w:type="pct"/>
                  <w:vAlign w:val="center"/>
                </w:tcPr>
                <w:p w14:paraId="4CBB1C0A">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rPr>
                    <w:t>生活垃圾</w:t>
                  </w:r>
                </w:p>
              </w:tc>
              <w:tc>
                <w:tcPr>
                  <w:tcW w:w="1409" w:type="pct"/>
                  <w:vAlign w:val="center"/>
                </w:tcPr>
                <w:p w14:paraId="2B457FFF">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szCs w:val="20"/>
                      <w:highlight w:val="none"/>
                    </w:rPr>
                    <w:t>生活办公</w:t>
                  </w:r>
                </w:p>
              </w:tc>
              <w:tc>
                <w:tcPr>
                  <w:tcW w:w="1432" w:type="pct"/>
                  <w:vAlign w:val="center"/>
                </w:tcPr>
                <w:p w14:paraId="67A64792">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szCs w:val="20"/>
                      <w:highlight w:val="none"/>
                    </w:rPr>
                    <w:t>生活垃圾</w:t>
                  </w:r>
                </w:p>
              </w:tc>
            </w:tr>
          </w:tbl>
          <w:p w14:paraId="40481C30">
            <w:pPr>
              <w:keepNext w:val="0"/>
              <w:keepLines w:val="0"/>
              <w:suppressLineNumbers w:val="0"/>
              <w:spacing w:before="0" w:beforeAutospacing="0" w:after="0" w:afterAutospacing="0"/>
              <w:ind w:left="0" w:right="0" w:firstLine="480"/>
              <w:rPr>
                <w:rFonts w:hint="default"/>
                <w:color w:val="auto"/>
                <w:szCs w:val="21"/>
                <w:highlight w:val="none"/>
              </w:rPr>
            </w:pPr>
          </w:p>
        </w:tc>
      </w:tr>
      <w:tr w14:paraId="1AA81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7" w:type="dxa"/>
            <w:vAlign w:val="center"/>
          </w:tcPr>
          <w:p w14:paraId="6DF4CB6D">
            <w:pPr>
              <w:pStyle w:val="80"/>
              <w:keepNext w:val="0"/>
              <w:keepLines w:val="0"/>
              <w:widowControl/>
              <w:suppressLineNumbers w:val="0"/>
              <w:spacing w:before="0" w:beforeAutospacing="0" w:after="0" w:afterAutospacing="0"/>
              <w:ind w:left="0" w:right="0"/>
              <w:jc w:val="both"/>
              <w:rPr>
                <w:rFonts w:hint="default"/>
                <w:color w:val="auto"/>
                <w:sz w:val="16"/>
                <w:szCs w:val="15"/>
                <w:highlight w:val="none"/>
              </w:rPr>
            </w:pPr>
            <w:r>
              <w:rPr>
                <w:rFonts w:hint="default"/>
                <w:color w:val="auto"/>
                <w:sz w:val="20"/>
                <w:szCs w:val="15"/>
                <w:highlight w:val="none"/>
              </w:rPr>
              <w:t>与项目有关的原有环境污染问题</w:t>
            </w:r>
          </w:p>
        </w:tc>
        <w:tc>
          <w:tcPr>
            <w:tcW w:w="8300" w:type="dxa"/>
            <w:vAlign w:val="center"/>
          </w:tcPr>
          <w:p w14:paraId="1138C50A">
            <w:pPr>
              <w:keepNext w:val="0"/>
              <w:keepLines w:val="0"/>
              <w:pageBreakBefore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sz w:val="24"/>
                <w:szCs w:val="28"/>
                <w:highlight w:val="none"/>
                <w:lang w:val="en-US" w:eastAsia="zh-CN"/>
              </w:rPr>
            </w:pPr>
            <w:r>
              <w:rPr>
                <w:rFonts w:hint="eastAsia" w:ascii="Times New Roman" w:hAnsi="Times New Roman" w:eastAsia="宋体" w:cs="Times New Roman"/>
                <w:color w:val="auto"/>
                <w:sz w:val="24"/>
                <w:szCs w:val="28"/>
                <w:highlight w:val="none"/>
                <w:lang w:val="en-US" w:eastAsia="zh-CN"/>
              </w:rPr>
              <w:t>本项目位于</w:t>
            </w:r>
            <w:r>
              <w:rPr>
                <w:rFonts w:hint="eastAsia" w:cs="Times New Roman"/>
                <w:color w:val="auto"/>
                <w:sz w:val="24"/>
                <w:szCs w:val="24"/>
                <w:highlight w:val="none"/>
                <w:lang w:eastAsia="zh-CN"/>
              </w:rPr>
              <w:t>泾河新城泾干街道泾晨路西</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highlight w:val="none"/>
                <w:lang w:val="en-US" w:eastAsia="zh-CN"/>
              </w:rPr>
              <w:t>根据现场踏勘</w:t>
            </w:r>
            <w:r>
              <w:rPr>
                <w:rFonts w:hint="eastAsia" w:cs="Times New Roman"/>
                <w:color w:val="auto"/>
                <w:sz w:val="24"/>
                <w:highlight w:val="none"/>
                <w:lang w:val="en-US" w:eastAsia="zh-CN"/>
              </w:rPr>
              <w:t>项目</w:t>
            </w:r>
            <w:r>
              <w:rPr>
                <w:rFonts w:hint="eastAsia" w:ascii="Times New Roman" w:hAnsi="Times New Roman" w:eastAsia="宋体" w:cs="Times New Roman"/>
                <w:color w:val="auto"/>
                <w:sz w:val="24"/>
                <w:szCs w:val="28"/>
                <w:highlight w:val="none"/>
                <w:lang w:val="en-US" w:eastAsia="zh-CN"/>
              </w:rPr>
              <w:t>地已建2座厂房</w:t>
            </w:r>
            <w:r>
              <w:rPr>
                <w:rFonts w:hint="eastAsia" w:cs="Times New Roman"/>
                <w:color w:val="auto"/>
                <w:sz w:val="24"/>
                <w:szCs w:val="28"/>
                <w:highlight w:val="none"/>
                <w:lang w:val="en-US" w:eastAsia="zh-CN"/>
              </w:rPr>
              <w:t>、原料库房及办公区域</w:t>
            </w:r>
            <w:r>
              <w:rPr>
                <w:rFonts w:hint="eastAsia" w:ascii="Times New Roman" w:hAnsi="Times New Roman" w:eastAsia="宋体" w:cs="Times New Roman"/>
                <w:color w:val="auto"/>
                <w:sz w:val="24"/>
                <w:szCs w:val="28"/>
                <w:highlight w:val="none"/>
                <w:lang w:val="en-US" w:eastAsia="zh-CN"/>
              </w:rPr>
              <w:t>，</w:t>
            </w:r>
            <w:r>
              <w:rPr>
                <w:rFonts w:hint="eastAsia" w:cs="Times New Roman"/>
                <w:color w:val="auto"/>
                <w:sz w:val="24"/>
                <w:szCs w:val="28"/>
                <w:highlight w:val="none"/>
                <w:lang w:val="en-US" w:eastAsia="zh-CN"/>
              </w:rPr>
              <w:t>内部空置，</w:t>
            </w:r>
            <w:r>
              <w:rPr>
                <w:rFonts w:hint="eastAsia" w:ascii="Times New Roman" w:hAnsi="Times New Roman" w:eastAsia="宋体" w:cs="Times New Roman"/>
                <w:color w:val="auto"/>
                <w:sz w:val="24"/>
                <w:szCs w:val="28"/>
                <w:highlight w:val="none"/>
                <w:lang w:val="en-US" w:eastAsia="zh-CN"/>
              </w:rPr>
              <w:t>未</w:t>
            </w:r>
            <w:r>
              <w:rPr>
                <w:rFonts w:hint="eastAsia" w:cs="Times New Roman"/>
                <w:color w:val="auto"/>
                <w:sz w:val="24"/>
                <w:szCs w:val="28"/>
                <w:highlight w:val="none"/>
                <w:lang w:val="en-US" w:eastAsia="zh-CN"/>
              </w:rPr>
              <w:t>开展</w:t>
            </w:r>
            <w:r>
              <w:rPr>
                <w:rFonts w:hint="eastAsia" w:ascii="Times New Roman" w:hAnsi="Times New Roman" w:eastAsia="宋体" w:cs="Times New Roman"/>
                <w:color w:val="auto"/>
                <w:sz w:val="24"/>
                <w:szCs w:val="28"/>
                <w:highlight w:val="none"/>
                <w:lang w:val="en-US" w:eastAsia="zh-CN"/>
              </w:rPr>
              <w:t>生产活动</w:t>
            </w:r>
            <w:r>
              <w:rPr>
                <w:rFonts w:hint="eastAsia" w:ascii="Times New Roman" w:hAnsi="Times New Roman" w:eastAsia="宋体" w:cs="Times New Roman"/>
                <w:color w:val="auto"/>
                <w:sz w:val="24"/>
                <w:highlight w:val="none"/>
                <w:lang w:val="en-US" w:eastAsia="zh-CN"/>
              </w:rPr>
              <w:t>，无</w:t>
            </w:r>
            <w:r>
              <w:rPr>
                <w:rFonts w:hint="eastAsia" w:cs="Times New Roman"/>
                <w:color w:val="auto"/>
                <w:sz w:val="24"/>
                <w:highlight w:val="none"/>
                <w:lang w:val="en-US" w:eastAsia="zh-CN"/>
              </w:rPr>
              <w:t>污染物、废弃物</w:t>
            </w:r>
            <w:r>
              <w:rPr>
                <w:rFonts w:hint="eastAsia" w:ascii="Times New Roman" w:hAnsi="Times New Roman" w:eastAsia="宋体" w:cs="Times New Roman"/>
                <w:color w:val="auto"/>
                <w:sz w:val="24"/>
                <w:highlight w:val="none"/>
                <w:lang w:val="en-US" w:eastAsia="zh-CN"/>
              </w:rPr>
              <w:t>产生</w:t>
            </w:r>
            <w:r>
              <w:rPr>
                <w:rFonts w:hint="eastAsia" w:ascii="Times New Roman" w:hAnsi="Times New Roman" w:eastAsia="宋体" w:cs="Times New Roman"/>
                <w:color w:val="auto"/>
                <w:sz w:val="24"/>
                <w:szCs w:val="28"/>
                <w:highlight w:val="none"/>
                <w:lang w:val="en-US" w:eastAsia="zh-CN"/>
              </w:rPr>
              <w:t>。</w:t>
            </w:r>
            <w:r>
              <w:rPr>
                <w:rFonts w:hint="eastAsia" w:cs="Times New Roman"/>
                <w:color w:val="auto"/>
                <w:sz w:val="24"/>
                <w:szCs w:val="28"/>
                <w:highlight w:val="none"/>
                <w:lang w:val="en-US" w:eastAsia="zh-CN"/>
              </w:rPr>
              <w:t>故</w:t>
            </w:r>
            <w:r>
              <w:rPr>
                <w:rFonts w:hint="eastAsia" w:ascii="Times New Roman" w:hAnsi="Times New Roman" w:eastAsia="宋体" w:cs="Times New Roman"/>
                <w:color w:val="auto"/>
                <w:sz w:val="24"/>
                <w:szCs w:val="28"/>
                <w:highlight w:val="none"/>
                <w:lang w:val="en-US" w:eastAsia="zh-CN"/>
              </w:rPr>
              <w:t>不存在原有污染问题。</w:t>
            </w:r>
          </w:p>
          <w:p w14:paraId="0A227EF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textAlignment w:val="auto"/>
              <w:rPr>
                <w:rFonts w:hint="default"/>
                <w:color w:val="auto"/>
                <w:highlight w:val="none"/>
              </w:rPr>
            </w:pPr>
          </w:p>
        </w:tc>
      </w:tr>
    </w:tbl>
    <w:p w14:paraId="6E077553">
      <w:pPr>
        <w:pStyle w:val="32"/>
        <w:adjustRightInd w:val="0"/>
        <w:snapToGrid w:val="0"/>
        <w:spacing w:before="0" w:beforeAutospacing="0" w:after="0" w:afterAutospacing="0"/>
        <w:ind w:firstLine="420"/>
        <w:jc w:val="center"/>
        <w:rPr>
          <w:rFonts w:ascii="Times New Roman" w:hAnsi="Times New Roman"/>
          <w:bCs/>
          <w:color w:val="auto"/>
          <w:kern w:val="2"/>
          <w:sz w:val="21"/>
          <w:szCs w:val="21"/>
          <w:highlight w:val="none"/>
        </w:rPr>
        <w:sectPr>
          <w:pgSz w:w="11906" w:h="16838"/>
          <w:pgMar w:top="1701" w:right="1474" w:bottom="2098" w:left="1531" w:header="851" w:footer="1134" w:gutter="0"/>
          <w:pgBorders>
            <w:top w:val="none" w:sz="0" w:space="0"/>
            <w:left w:val="none" w:sz="0" w:space="0"/>
            <w:bottom w:val="none" w:sz="0" w:space="0"/>
            <w:right w:val="none" w:sz="0" w:space="0"/>
          </w:pgBorders>
          <w:pgNumType w:fmt="numberInDash"/>
          <w:cols w:space="720" w:num="1"/>
          <w:docGrid w:linePitch="312" w:charSpace="0"/>
        </w:sectPr>
      </w:pPr>
    </w:p>
    <w:p w14:paraId="3A17CC21">
      <w:pPr>
        <w:pStyle w:val="32"/>
        <w:ind w:firstLine="600"/>
        <w:jc w:val="center"/>
        <w:outlineLvl w:val="0"/>
        <w:rPr>
          <w:rFonts w:ascii="Times New Roman" w:hAnsi="Times New Roman" w:eastAsia="黑体"/>
          <w:snapToGrid w:val="0"/>
          <w:color w:val="auto"/>
          <w:sz w:val="30"/>
          <w:szCs w:val="30"/>
          <w:highlight w:val="none"/>
        </w:rPr>
      </w:pPr>
      <w:r>
        <w:rPr>
          <w:rFonts w:ascii="Times New Roman" w:hAnsi="Times New Roman" w:eastAsia="黑体"/>
          <w:snapToGrid w:val="0"/>
          <w:color w:val="auto"/>
          <w:sz w:val="30"/>
          <w:szCs w:val="30"/>
          <w:highlight w:val="none"/>
        </w:rPr>
        <w:t>三、区域环境质量现状、环境保护目标及评价标准</w:t>
      </w:r>
    </w:p>
    <w:tbl>
      <w:tblPr>
        <w:tblStyle w:val="3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8"/>
        <w:gridCol w:w="8253"/>
      </w:tblGrid>
      <w:tr w14:paraId="05C48A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6" w:type="pct"/>
            <w:vAlign w:val="center"/>
          </w:tcPr>
          <w:p w14:paraId="21109200">
            <w:pPr>
              <w:pStyle w:val="80"/>
              <w:keepNext w:val="0"/>
              <w:keepLines w:val="0"/>
              <w:widowControl/>
              <w:suppressLineNumbers w:val="0"/>
              <w:spacing w:before="0" w:beforeAutospacing="0" w:after="0" w:afterAutospacing="0"/>
              <w:ind w:left="0" w:right="0"/>
              <w:rPr>
                <w:rFonts w:hint="default"/>
                <w:color w:val="auto"/>
                <w:sz w:val="24"/>
                <w:szCs w:val="20"/>
                <w:highlight w:val="none"/>
              </w:rPr>
            </w:pPr>
            <w:r>
              <w:rPr>
                <w:rFonts w:hint="default"/>
                <w:color w:val="auto"/>
                <w:sz w:val="24"/>
                <w:szCs w:val="20"/>
                <w:highlight w:val="none"/>
              </w:rPr>
              <w:t>区域</w:t>
            </w:r>
          </w:p>
          <w:p w14:paraId="479B9A76">
            <w:pPr>
              <w:pStyle w:val="80"/>
              <w:keepNext w:val="0"/>
              <w:keepLines w:val="0"/>
              <w:widowControl/>
              <w:suppressLineNumbers w:val="0"/>
              <w:spacing w:before="0" w:beforeAutospacing="0" w:after="0" w:afterAutospacing="0"/>
              <w:ind w:left="0" w:right="0"/>
              <w:rPr>
                <w:rFonts w:hint="default"/>
                <w:color w:val="auto"/>
                <w:sz w:val="24"/>
                <w:szCs w:val="20"/>
                <w:highlight w:val="none"/>
              </w:rPr>
            </w:pPr>
            <w:r>
              <w:rPr>
                <w:rFonts w:hint="default"/>
                <w:color w:val="auto"/>
                <w:sz w:val="24"/>
                <w:szCs w:val="20"/>
                <w:highlight w:val="none"/>
              </w:rPr>
              <w:t>环境</w:t>
            </w:r>
          </w:p>
          <w:p w14:paraId="0E5EB894">
            <w:pPr>
              <w:pStyle w:val="80"/>
              <w:keepNext w:val="0"/>
              <w:keepLines w:val="0"/>
              <w:widowControl/>
              <w:suppressLineNumbers w:val="0"/>
              <w:spacing w:before="0" w:beforeAutospacing="0" w:after="0" w:afterAutospacing="0"/>
              <w:ind w:left="0" w:right="0"/>
              <w:rPr>
                <w:rFonts w:hint="default"/>
                <w:color w:val="auto"/>
                <w:sz w:val="24"/>
                <w:szCs w:val="20"/>
                <w:highlight w:val="none"/>
              </w:rPr>
            </w:pPr>
            <w:r>
              <w:rPr>
                <w:rFonts w:hint="default"/>
                <w:color w:val="auto"/>
                <w:sz w:val="24"/>
                <w:szCs w:val="20"/>
                <w:highlight w:val="none"/>
              </w:rPr>
              <w:t>质量</w:t>
            </w:r>
          </w:p>
          <w:p w14:paraId="11D69FFF">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 w:val="24"/>
                <w:szCs w:val="20"/>
                <w:highlight w:val="none"/>
              </w:rPr>
              <w:t>现状</w:t>
            </w:r>
          </w:p>
        </w:tc>
        <w:tc>
          <w:tcPr>
            <w:tcW w:w="4553" w:type="pct"/>
            <w:vAlign w:val="center"/>
          </w:tcPr>
          <w:p w14:paraId="29243415">
            <w:pPr>
              <w:keepNext w:val="0"/>
              <w:keepLines w:val="0"/>
              <w:numPr>
                <w:ilvl w:val="0"/>
                <w:numId w:val="2"/>
              </w:numPr>
              <w:suppressLineNumbers w:val="0"/>
              <w:tabs>
                <w:tab w:val="left" w:pos="8607"/>
              </w:tabs>
              <w:adjustRightInd w:val="0"/>
              <w:snapToGrid w:val="0"/>
              <w:spacing w:before="0" w:beforeAutospacing="0" w:after="0" w:afterAutospacing="0"/>
              <w:ind w:left="0" w:right="0" w:firstLine="482"/>
              <w:rPr>
                <w:rFonts w:hint="default"/>
                <w:b/>
                <w:color w:val="auto"/>
                <w:highlight w:val="none"/>
              </w:rPr>
            </w:pPr>
            <w:r>
              <w:rPr>
                <w:rFonts w:hint="eastAsia"/>
                <w:b/>
                <w:color w:val="auto"/>
                <w:highlight w:val="none"/>
              </w:rPr>
              <w:t>区域环境质量达标情况</w:t>
            </w:r>
          </w:p>
          <w:p w14:paraId="6325149A">
            <w:pPr>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本项目位于</w:t>
            </w:r>
            <w:r>
              <w:rPr>
                <w:rFonts w:hint="eastAsia"/>
                <w:color w:val="auto"/>
                <w:highlight w:val="none"/>
              </w:rPr>
              <w:t>陕西省西咸新区</w:t>
            </w:r>
            <w:r>
              <w:rPr>
                <w:rFonts w:hint="eastAsia"/>
                <w:color w:val="auto"/>
                <w:highlight w:val="none"/>
                <w:lang w:eastAsia="zh-CN"/>
              </w:rPr>
              <w:t>泾河新城泾干街道泾晨路西</w:t>
            </w:r>
            <w:r>
              <w:rPr>
                <w:rFonts w:hint="default"/>
                <w:color w:val="auto"/>
                <w:highlight w:val="none"/>
              </w:rPr>
              <w:t>；根据大气功能区划，本项目所在地为二类功能区，环境空气质量标准执行《环境空气质量标准》（GB3095</w:t>
            </w:r>
            <w:r>
              <w:rPr>
                <w:rFonts w:hint="eastAsia"/>
                <w:color w:val="auto"/>
                <w:highlight w:val="none"/>
              </w:rPr>
              <w:t>-</w:t>
            </w:r>
            <w:r>
              <w:rPr>
                <w:rFonts w:hint="default"/>
                <w:color w:val="auto"/>
                <w:highlight w:val="none"/>
              </w:rPr>
              <w:softHyphen/>
            </w:r>
            <w:r>
              <w:rPr>
                <w:rFonts w:hint="default"/>
                <w:color w:val="auto"/>
                <w:highlight w:val="none"/>
              </w:rPr>
              <w:t>2012）二级标准要求。根</w:t>
            </w:r>
            <w:r>
              <w:rPr>
                <w:rFonts w:hint="default"/>
                <w:color w:val="auto"/>
                <w:szCs w:val="22"/>
                <w:highlight w:val="none"/>
              </w:rPr>
              <w:t>据</w:t>
            </w:r>
            <w:r>
              <w:rPr>
                <w:rFonts w:hint="eastAsia"/>
                <w:color w:val="auto"/>
                <w:szCs w:val="22"/>
                <w:highlight w:val="none"/>
              </w:rPr>
              <w:t>“</w:t>
            </w:r>
            <w:r>
              <w:rPr>
                <w:rFonts w:hint="default"/>
                <w:color w:val="auto"/>
                <w:szCs w:val="22"/>
                <w:highlight w:val="none"/>
              </w:rPr>
              <w:t>环保快报（20</w:t>
            </w:r>
            <w:r>
              <w:rPr>
                <w:rFonts w:hint="eastAsia"/>
                <w:color w:val="auto"/>
                <w:szCs w:val="22"/>
                <w:highlight w:val="none"/>
              </w:rPr>
              <w:t>2</w:t>
            </w:r>
            <w:r>
              <w:rPr>
                <w:rFonts w:hint="eastAsia"/>
                <w:color w:val="auto"/>
                <w:szCs w:val="22"/>
                <w:highlight w:val="none"/>
                <w:lang w:val="en-US" w:eastAsia="zh-CN"/>
              </w:rPr>
              <w:t>3</w:t>
            </w:r>
            <w:r>
              <w:rPr>
                <w:rFonts w:hint="default"/>
                <w:color w:val="auto"/>
                <w:szCs w:val="22"/>
                <w:highlight w:val="none"/>
              </w:rPr>
              <w:t>年1~12月</w:t>
            </w:r>
            <w:r>
              <w:rPr>
                <w:rFonts w:hint="eastAsia"/>
                <w:color w:val="auto"/>
                <w:szCs w:val="22"/>
                <w:highlight w:val="none"/>
                <w:lang w:val="en-US" w:eastAsia="zh-CN"/>
              </w:rPr>
              <w:t>关中地区64个县（区）</w:t>
            </w:r>
            <w:r>
              <w:rPr>
                <w:rFonts w:hint="default"/>
                <w:color w:val="auto"/>
                <w:szCs w:val="22"/>
                <w:highlight w:val="none"/>
              </w:rPr>
              <w:t>空气质量状况</w:t>
            </w:r>
            <w:r>
              <w:rPr>
                <w:rFonts w:hint="eastAsia"/>
                <w:color w:val="auto"/>
                <w:szCs w:val="22"/>
                <w:highlight w:val="none"/>
                <w:lang w:val="en-US" w:eastAsia="zh-CN"/>
              </w:rPr>
              <w:t>统计表</w:t>
            </w:r>
            <w:r>
              <w:rPr>
                <w:rFonts w:hint="default"/>
                <w:color w:val="auto"/>
                <w:szCs w:val="22"/>
                <w:highlight w:val="none"/>
              </w:rPr>
              <w:t>）</w:t>
            </w:r>
            <w:r>
              <w:rPr>
                <w:rFonts w:hint="eastAsia"/>
                <w:color w:val="auto"/>
                <w:szCs w:val="22"/>
                <w:highlight w:val="none"/>
              </w:rPr>
              <w:t>”</w:t>
            </w:r>
            <w:r>
              <w:rPr>
                <w:rFonts w:hint="default"/>
                <w:color w:val="auto"/>
                <w:szCs w:val="22"/>
                <w:highlight w:val="none"/>
              </w:rPr>
              <w:t>，</w:t>
            </w:r>
            <w:r>
              <w:rPr>
                <w:rFonts w:hint="eastAsia"/>
                <w:color w:val="auto"/>
                <w:szCs w:val="22"/>
                <w:highlight w:val="none"/>
              </w:rPr>
              <w:t>西咸新区</w:t>
            </w:r>
            <w:r>
              <w:rPr>
                <w:rFonts w:hint="default"/>
                <w:color w:val="auto"/>
                <w:szCs w:val="22"/>
                <w:highlight w:val="none"/>
              </w:rPr>
              <w:t>统计结果如下表</w:t>
            </w:r>
            <w:r>
              <w:rPr>
                <w:rFonts w:hint="default"/>
                <w:color w:val="auto"/>
                <w:highlight w:val="none"/>
              </w:rPr>
              <w:t>。</w:t>
            </w:r>
          </w:p>
          <w:p w14:paraId="422B7365">
            <w:pPr>
              <w:pStyle w:val="77"/>
              <w:keepNext w:val="0"/>
              <w:keepLines w:val="0"/>
              <w:widowControl/>
              <w:suppressLineNumbers w:val="0"/>
              <w:spacing w:before="0" w:beforeLines="0" w:beforeAutospacing="0" w:after="0" w:afterAutospacing="0" w:line="240" w:lineRule="auto"/>
              <w:ind w:left="0" w:right="0"/>
              <w:rPr>
                <w:rFonts w:hint="default" w:eastAsia="宋体"/>
                <w:b/>
                <w:bCs/>
                <w:color w:val="auto"/>
                <w:highlight w:val="none"/>
              </w:rPr>
            </w:pPr>
            <w:r>
              <w:rPr>
                <w:rFonts w:hint="default" w:eastAsia="宋体"/>
                <w:b/>
                <w:bCs/>
                <w:color w:val="auto"/>
                <w:highlight w:val="none"/>
              </w:rPr>
              <w:t>表</w:t>
            </w:r>
            <w:r>
              <w:rPr>
                <w:rFonts w:hint="eastAsia" w:eastAsia="宋体"/>
                <w:b/>
                <w:bCs/>
                <w:color w:val="auto"/>
                <w:highlight w:val="none"/>
              </w:rPr>
              <w:t>3-1</w:t>
            </w:r>
            <w:r>
              <w:rPr>
                <w:rFonts w:hint="default" w:eastAsia="宋体"/>
                <w:b/>
                <w:bCs/>
                <w:color w:val="auto"/>
                <w:highlight w:val="none"/>
              </w:rPr>
              <w:t xml:space="preserve">  </w:t>
            </w:r>
            <w:r>
              <w:rPr>
                <w:rFonts w:hint="eastAsia" w:eastAsia="宋体"/>
                <w:b/>
                <w:bCs/>
                <w:color w:val="auto"/>
                <w:highlight w:val="none"/>
              </w:rPr>
              <w:t>区域环境质量现状评价表</w:t>
            </w:r>
          </w:p>
          <w:tbl>
            <w:tblPr>
              <w:tblStyle w:val="37"/>
              <w:tblW w:w="4973" w:type="pct"/>
              <w:tblInd w:w="5"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904"/>
              <w:gridCol w:w="2904"/>
              <w:gridCol w:w="1132"/>
              <w:gridCol w:w="1132"/>
              <w:gridCol w:w="926"/>
              <w:gridCol w:w="996"/>
            </w:tblGrid>
            <w:tr w14:paraId="2D3E7F4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565" w:type="pct"/>
                  <w:tcBorders>
                    <w:tl2br w:val="nil"/>
                    <w:tr2bl w:val="nil"/>
                  </w:tcBorders>
                  <w:vAlign w:val="center"/>
                </w:tcPr>
                <w:p w14:paraId="075C48D2">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污染物</w:t>
                  </w:r>
                </w:p>
              </w:tc>
              <w:tc>
                <w:tcPr>
                  <w:tcW w:w="1816" w:type="pct"/>
                  <w:tcBorders>
                    <w:tl2br w:val="nil"/>
                    <w:tr2bl w:val="nil"/>
                  </w:tcBorders>
                  <w:vAlign w:val="center"/>
                </w:tcPr>
                <w:p w14:paraId="5125ED5A">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年评价指标</w:t>
                  </w:r>
                </w:p>
              </w:tc>
              <w:tc>
                <w:tcPr>
                  <w:tcW w:w="708" w:type="pct"/>
                  <w:tcBorders>
                    <w:tl2br w:val="nil"/>
                    <w:tr2bl w:val="nil"/>
                  </w:tcBorders>
                  <w:shd w:val="clear" w:color="auto" w:fill="auto"/>
                  <w:vAlign w:val="center"/>
                </w:tcPr>
                <w:p w14:paraId="375706B9">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现状浓度（μg/m</w:t>
                  </w:r>
                  <w:r>
                    <w:rPr>
                      <w:rFonts w:hint="default"/>
                      <w:color w:val="auto"/>
                      <w:szCs w:val="20"/>
                      <w:highlight w:val="none"/>
                      <w:vertAlign w:val="superscript"/>
                    </w:rPr>
                    <w:t>3</w:t>
                  </w:r>
                  <w:r>
                    <w:rPr>
                      <w:rFonts w:hint="default"/>
                      <w:color w:val="auto"/>
                      <w:szCs w:val="20"/>
                      <w:highlight w:val="none"/>
                    </w:rPr>
                    <w:t>）</w:t>
                  </w:r>
                </w:p>
              </w:tc>
              <w:tc>
                <w:tcPr>
                  <w:tcW w:w="708" w:type="pct"/>
                  <w:tcBorders>
                    <w:tl2br w:val="nil"/>
                    <w:tr2bl w:val="nil"/>
                  </w:tcBorders>
                  <w:shd w:val="clear" w:color="auto" w:fill="auto"/>
                  <w:vAlign w:val="center"/>
                </w:tcPr>
                <w:p w14:paraId="761A7D48">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标准值（μg/m</w:t>
                  </w:r>
                  <w:r>
                    <w:rPr>
                      <w:rFonts w:hint="default"/>
                      <w:color w:val="auto"/>
                      <w:szCs w:val="20"/>
                      <w:highlight w:val="none"/>
                      <w:vertAlign w:val="superscript"/>
                    </w:rPr>
                    <w:t>3</w:t>
                  </w:r>
                  <w:r>
                    <w:rPr>
                      <w:rFonts w:hint="default"/>
                      <w:color w:val="auto"/>
                      <w:szCs w:val="20"/>
                      <w:highlight w:val="none"/>
                    </w:rPr>
                    <w:t>）</w:t>
                  </w:r>
                </w:p>
              </w:tc>
              <w:tc>
                <w:tcPr>
                  <w:tcW w:w="579" w:type="pct"/>
                  <w:tcBorders>
                    <w:tl2br w:val="nil"/>
                    <w:tr2bl w:val="nil"/>
                  </w:tcBorders>
                  <w:shd w:val="clear" w:color="auto" w:fill="auto"/>
                  <w:vAlign w:val="center"/>
                </w:tcPr>
                <w:p w14:paraId="4329E44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占标率</w:t>
                  </w:r>
                  <w:r>
                    <w:rPr>
                      <w:rFonts w:hint="eastAsia"/>
                      <w:color w:val="auto"/>
                      <w:szCs w:val="20"/>
                      <w:highlight w:val="none"/>
                    </w:rPr>
                    <w:t>（%）</w:t>
                  </w:r>
                </w:p>
              </w:tc>
              <w:tc>
                <w:tcPr>
                  <w:tcW w:w="622" w:type="pct"/>
                  <w:tcBorders>
                    <w:tl2br w:val="nil"/>
                    <w:tr2bl w:val="nil"/>
                  </w:tcBorders>
                  <w:shd w:val="clear" w:color="auto" w:fill="auto"/>
                  <w:vAlign w:val="center"/>
                </w:tcPr>
                <w:p w14:paraId="1AFF58F9">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达标</w:t>
                  </w:r>
                </w:p>
                <w:p w14:paraId="208CE24E">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情况</w:t>
                  </w:r>
                </w:p>
              </w:tc>
            </w:tr>
            <w:tr w14:paraId="4580355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565" w:type="pct"/>
                  <w:tcBorders>
                    <w:tl2br w:val="nil"/>
                    <w:tr2bl w:val="nil"/>
                  </w:tcBorders>
                  <w:vAlign w:val="center"/>
                </w:tcPr>
                <w:p w14:paraId="6BE2ECE6">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szCs w:val="20"/>
                      <w:highlight w:val="none"/>
                    </w:rPr>
                    <w:t>PM</w:t>
                  </w:r>
                  <w:r>
                    <w:rPr>
                      <w:rFonts w:hint="default"/>
                      <w:color w:val="auto"/>
                      <w:szCs w:val="20"/>
                      <w:highlight w:val="none"/>
                      <w:vertAlign w:val="subscript"/>
                    </w:rPr>
                    <w:t>10</w:t>
                  </w:r>
                </w:p>
              </w:tc>
              <w:tc>
                <w:tcPr>
                  <w:tcW w:w="1816" w:type="pct"/>
                  <w:tcBorders>
                    <w:tl2br w:val="nil"/>
                    <w:tr2bl w:val="nil"/>
                  </w:tcBorders>
                  <w:vAlign w:val="center"/>
                </w:tcPr>
                <w:p w14:paraId="52720B9A">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szCs w:val="20"/>
                      <w:highlight w:val="none"/>
                    </w:rPr>
                    <w:t>年平均质量浓度</w:t>
                  </w:r>
                </w:p>
              </w:tc>
              <w:tc>
                <w:tcPr>
                  <w:tcW w:w="708" w:type="pct"/>
                  <w:tcBorders>
                    <w:tl2br w:val="nil"/>
                    <w:tr2bl w:val="nil"/>
                  </w:tcBorders>
                  <w:shd w:val="clear" w:color="auto" w:fill="auto"/>
                  <w:vAlign w:val="center"/>
                </w:tcPr>
                <w:p w14:paraId="5344A82F">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color w:val="auto"/>
                      <w:sz w:val="21"/>
                      <w:szCs w:val="20"/>
                      <w:highlight w:val="none"/>
                      <w:lang w:val="en-US" w:eastAsia="zh-CN" w:bidi="ar-SA"/>
                    </w:rPr>
                  </w:pPr>
                  <w:r>
                    <w:rPr>
                      <w:rFonts w:hint="eastAsia"/>
                      <w:color w:val="auto"/>
                      <w:kern w:val="44"/>
                      <w:szCs w:val="21"/>
                      <w:highlight w:val="none"/>
                    </w:rPr>
                    <w:t>8</w:t>
                  </w:r>
                  <w:r>
                    <w:rPr>
                      <w:rFonts w:hint="eastAsia"/>
                      <w:color w:val="auto"/>
                      <w:kern w:val="44"/>
                      <w:szCs w:val="21"/>
                      <w:highlight w:val="none"/>
                      <w:lang w:val="en-US" w:eastAsia="zh-CN"/>
                    </w:rPr>
                    <w:t>2</w:t>
                  </w:r>
                </w:p>
              </w:tc>
              <w:tc>
                <w:tcPr>
                  <w:tcW w:w="708" w:type="pct"/>
                  <w:tcBorders>
                    <w:tl2br w:val="nil"/>
                    <w:tr2bl w:val="nil"/>
                  </w:tcBorders>
                  <w:shd w:val="clear" w:color="auto" w:fill="auto"/>
                  <w:vAlign w:val="center"/>
                </w:tcPr>
                <w:p w14:paraId="66CB012B">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kern w:val="44"/>
                      <w:szCs w:val="21"/>
                      <w:highlight w:val="none"/>
                    </w:rPr>
                    <w:t>70</w:t>
                  </w:r>
                </w:p>
              </w:tc>
              <w:tc>
                <w:tcPr>
                  <w:tcW w:w="579" w:type="pct"/>
                  <w:tcBorders>
                    <w:tl2br w:val="nil"/>
                    <w:tr2bl w:val="nil"/>
                  </w:tcBorders>
                  <w:shd w:val="clear" w:color="auto" w:fill="auto"/>
                  <w:vAlign w:val="center"/>
                </w:tcPr>
                <w:p w14:paraId="3BEB633C">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rPr>
                    <w:t>11</w:t>
                  </w:r>
                  <w:r>
                    <w:rPr>
                      <w:rFonts w:hint="eastAsia"/>
                      <w:color w:val="auto"/>
                      <w:szCs w:val="20"/>
                      <w:highlight w:val="none"/>
                      <w:lang w:val="en-US" w:eastAsia="zh-CN"/>
                    </w:rPr>
                    <w:t>7.1</w:t>
                  </w:r>
                </w:p>
              </w:tc>
              <w:tc>
                <w:tcPr>
                  <w:tcW w:w="622" w:type="pct"/>
                  <w:tcBorders>
                    <w:tl2br w:val="nil"/>
                    <w:tr2bl w:val="nil"/>
                  </w:tcBorders>
                  <w:shd w:val="clear" w:color="auto" w:fill="auto"/>
                  <w:vAlign w:val="center"/>
                </w:tcPr>
                <w:p w14:paraId="1AE3C885">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kern w:val="44"/>
                      <w:szCs w:val="21"/>
                      <w:highlight w:val="none"/>
                    </w:rPr>
                    <w:t>不达标</w:t>
                  </w:r>
                </w:p>
              </w:tc>
            </w:tr>
            <w:tr w14:paraId="73F86E2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565" w:type="pct"/>
                  <w:tcBorders>
                    <w:tl2br w:val="nil"/>
                    <w:tr2bl w:val="nil"/>
                  </w:tcBorders>
                  <w:vAlign w:val="center"/>
                </w:tcPr>
                <w:p w14:paraId="4E34CA89">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szCs w:val="20"/>
                      <w:highlight w:val="none"/>
                    </w:rPr>
                    <w:t>PM</w:t>
                  </w:r>
                  <w:r>
                    <w:rPr>
                      <w:rFonts w:hint="default"/>
                      <w:color w:val="auto"/>
                      <w:szCs w:val="20"/>
                      <w:highlight w:val="none"/>
                      <w:vertAlign w:val="subscript"/>
                    </w:rPr>
                    <w:t>2.5</w:t>
                  </w:r>
                </w:p>
              </w:tc>
              <w:tc>
                <w:tcPr>
                  <w:tcW w:w="1816" w:type="pct"/>
                  <w:tcBorders>
                    <w:tl2br w:val="nil"/>
                    <w:tr2bl w:val="nil"/>
                  </w:tcBorders>
                  <w:vAlign w:val="center"/>
                </w:tcPr>
                <w:p w14:paraId="11868708">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szCs w:val="20"/>
                      <w:highlight w:val="none"/>
                    </w:rPr>
                    <w:t>年平均质量浓度</w:t>
                  </w:r>
                </w:p>
              </w:tc>
              <w:tc>
                <w:tcPr>
                  <w:tcW w:w="708" w:type="pct"/>
                  <w:tcBorders>
                    <w:tl2br w:val="nil"/>
                    <w:tr2bl w:val="nil"/>
                  </w:tcBorders>
                  <w:shd w:val="clear" w:color="auto" w:fill="auto"/>
                  <w:vAlign w:val="center"/>
                </w:tcPr>
                <w:p w14:paraId="2DE96277">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color w:val="auto"/>
                      <w:kern w:val="44"/>
                      <w:szCs w:val="21"/>
                      <w:highlight w:val="none"/>
                    </w:rPr>
                    <w:t>48</w:t>
                  </w:r>
                </w:p>
              </w:tc>
              <w:tc>
                <w:tcPr>
                  <w:tcW w:w="708" w:type="pct"/>
                  <w:tcBorders>
                    <w:tl2br w:val="nil"/>
                    <w:tr2bl w:val="nil"/>
                  </w:tcBorders>
                  <w:shd w:val="clear" w:color="auto" w:fill="auto"/>
                  <w:vAlign w:val="center"/>
                </w:tcPr>
                <w:p w14:paraId="7DFCBB7B">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kern w:val="44"/>
                      <w:szCs w:val="21"/>
                      <w:highlight w:val="none"/>
                    </w:rPr>
                    <w:t>35</w:t>
                  </w:r>
                </w:p>
              </w:tc>
              <w:tc>
                <w:tcPr>
                  <w:tcW w:w="579" w:type="pct"/>
                  <w:tcBorders>
                    <w:tl2br w:val="nil"/>
                    <w:tr2bl w:val="nil"/>
                  </w:tcBorders>
                  <w:shd w:val="clear" w:color="auto" w:fill="auto"/>
                  <w:vAlign w:val="center"/>
                </w:tcPr>
                <w:p w14:paraId="349DF910">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color w:val="auto"/>
                      <w:szCs w:val="21"/>
                      <w:highlight w:val="none"/>
                    </w:rPr>
                    <w:t>137.1</w:t>
                  </w:r>
                </w:p>
              </w:tc>
              <w:tc>
                <w:tcPr>
                  <w:tcW w:w="622" w:type="pct"/>
                  <w:tcBorders>
                    <w:tl2br w:val="nil"/>
                    <w:tr2bl w:val="nil"/>
                  </w:tcBorders>
                  <w:shd w:val="clear" w:color="auto" w:fill="auto"/>
                  <w:vAlign w:val="center"/>
                </w:tcPr>
                <w:p w14:paraId="5122DC24">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kern w:val="44"/>
                      <w:szCs w:val="21"/>
                      <w:highlight w:val="none"/>
                    </w:rPr>
                    <w:t>不达标</w:t>
                  </w:r>
                </w:p>
              </w:tc>
            </w:tr>
            <w:tr w14:paraId="6ACF546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565" w:type="pct"/>
                  <w:tcBorders>
                    <w:tl2br w:val="nil"/>
                    <w:tr2bl w:val="nil"/>
                  </w:tcBorders>
                  <w:vAlign w:val="center"/>
                </w:tcPr>
                <w:p w14:paraId="045ED4BE">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szCs w:val="20"/>
                      <w:highlight w:val="none"/>
                    </w:rPr>
                    <w:t>SO</w:t>
                  </w:r>
                  <w:r>
                    <w:rPr>
                      <w:rFonts w:hint="default"/>
                      <w:color w:val="auto"/>
                      <w:szCs w:val="20"/>
                      <w:highlight w:val="none"/>
                      <w:vertAlign w:val="subscript"/>
                    </w:rPr>
                    <w:t>2</w:t>
                  </w:r>
                </w:p>
              </w:tc>
              <w:tc>
                <w:tcPr>
                  <w:tcW w:w="1816" w:type="pct"/>
                  <w:tcBorders>
                    <w:tl2br w:val="nil"/>
                    <w:tr2bl w:val="nil"/>
                  </w:tcBorders>
                  <w:vAlign w:val="center"/>
                </w:tcPr>
                <w:p w14:paraId="37626281">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szCs w:val="20"/>
                      <w:highlight w:val="none"/>
                    </w:rPr>
                    <w:t>年平均质量浓度</w:t>
                  </w:r>
                </w:p>
              </w:tc>
              <w:tc>
                <w:tcPr>
                  <w:tcW w:w="708" w:type="pct"/>
                  <w:tcBorders>
                    <w:tl2br w:val="nil"/>
                    <w:tr2bl w:val="nil"/>
                  </w:tcBorders>
                  <w:shd w:val="clear" w:color="auto" w:fill="auto"/>
                  <w:vAlign w:val="center"/>
                </w:tcPr>
                <w:p w14:paraId="01094C91">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color w:val="auto"/>
                      <w:kern w:val="44"/>
                      <w:szCs w:val="21"/>
                      <w:highlight w:val="none"/>
                    </w:rPr>
                    <w:t>7</w:t>
                  </w:r>
                </w:p>
              </w:tc>
              <w:tc>
                <w:tcPr>
                  <w:tcW w:w="708" w:type="pct"/>
                  <w:tcBorders>
                    <w:tl2br w:val="nil"/>
                    <w:tr2bl w:val="nil"/>
                  </w:tcBorders>
                  <w:shd w:val="clear" w:color="auto" w:fill="auto"/>
                  <w:vAlign w:val="center"/>
                </w:tcPr>
                <w:p w14:paraId="21BA78F3">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kern w:val="44"/>
                      <w:szCs w:val="21"/>
                      <w:highlight w:val="none"/>
                    </w:rPr>
                    <w:t>60</w:t>
                  </w:r>
                </w:p>
              </w:tc>
              <w:tc>
                <w:tcPr>
                  <w:tcW w:w="579" w:type="pct"/>
                  <w:tcBorders>
                    <w:tl2br w:val="nil"/>
                    <w:tr2bl w:val="nil"/>
                  </w:tcBorders>
                  <w:shd w:val="clear" w:color="auto" w:fill="auto"/>
                  <w:vAlign w:val="center"/>
                </w:tcPr>
                <w:p w14:paraId="489F226B">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color w:val="auto"/>
                      <w:szCs w:val="21"/>
                      <w:highlight w:val="none"/>
                    </w:rPr>
                    <w:t>11.7</w:t>
                  </w:r>
                </w:p>
              </w:tc>
              <w:tc>
                <w:tcPr>
                  <w:tcW w:w="622" w:type="pct"/>
                  <w:tcBorders>
                    <w:tl2br w:val="nil"/>
                    <w:tr2bl w:val="nil"/>
                  </w:tcBorders>
                  <w:shd w:val="clear" w:color="auto" w:fill="auto"/>
                  <w:vAlign w:val="center"/>
                </w:tcPr>
                <w:p w14:paraId="7C040B5C">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kern w:val="44"/>
                      <w:szCs w:val="21"/>
                      <w:highlight w:val="none"/>
                    </w:rPr>
                    <w:t>达标</w:t>
                  </w:r>
                </w:p>
              </w:tc>
            </w:tr>
            <w:tr w14:paraId="53068AD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565" w:type="pct"/>
                  <w:tcBorders>
                    <w:tl2br w:val="nil"/>
                    <w:tr2bl w:val="nil"/>
                  </w:tcBorders>
                  <w:vAlign w:val="center"/>
                </w:tcPr>
                <w:p w14:paraId="596E0E22">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szCs w:val="20"/>
                      <w:highlight w:val="none"/>
                    </w:rPr>
                    <w:t>NO</w:t>
                  </w:r>
                  <w:r>
                    <w:rPr>
                      <w:rFonts w:hint="default"/>
                      <w:color w:val="auto"/>
                      <w:szCs w:val="20"/>
                      <w:highlight w:val="none"/>
                      <w:vertAlign w:val="subscript"/>
                    </w:rPr>
                    <w:t>2</w:t>
                  </w:r>
                </w:p>
              </w:tc>
              <w:tc>
                <w:tcPr>
                  <w:tcW w:w="1816" w:type="pct"/>
                  <w:tcBorders>
                    <w:tl2br w:val="nil"/>
                    <w:tr2bl w:val="nil"/>
                  </w:tcBorders>
                  <w:vAlign w:val="center"/>
                </w:tcPr>
                <w:p w14:paraId="0CB833C1">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szCs w:val="20"/>
                      <w:highlight w:val="none"/>
                    </w:rPr>
                    <w:t>年平均质量浓度</w:t>
                  </w:r>
                </w:p>
              </w:tc>
              <w:tc>
                <w:tcPr>
                  <w:tcW w:w="708" w:type="pct"/>
                  <w:tcBorders>
                    <w:tl2br w:val="nil"/>
                    <w:tr2bl w:val="nil"/>
                  </w:tcBorders>
                  <w:shd w:val="clear" w:color="auto" w:fill="auto"/>
                  <w:vAlign w:val="center"/>
                </w:tcPr>
                <w:p w14:paraId="029A93C4">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color w:val="auto"/>
                      <w:sz w:val="21"/>
                      <w:szCs w:val="20"/>
                      <w:highlight w:val="none"/>
                      <w:lang w:val="en-US" w:eastAsia="zh-CN" w:bidi="ar-SA"/>
                    </w:rPr>
                  </w:pPr>
                  <w:r>
                    <w:rPr>
                      <w:rFonts w:hint="eastAsia"/>
                      <w:color w:val="auto"/>
                      <w:kern w:val="44"/>
                      <w:szCs w:val="21"/>
                      <w:highlight w:val="none"/>
                    </w:rPr>
                    <w:t>3</w:t>
                  </w:r>
                  <w:r>
                    <w:rPr>
                      <w:rFonts w:hint="eastAsia"/>
                      <w:color w:val="auto"/>
                      <w:kern w:val="44"/>
                      <w:szCs w:val="21"/>
                      <w:highlight w:val="none"/>
                      <w:lang w:val="en-US" w:eastAsia="zh-CN"/>
                    </w:rPr>
                    <w:t>7</w:t>
                  </w:r>
                </w:p>
              </w:tc>
              <w:tc>
                <w:tcPr>
                  <w:tcW w:w="708" w:type="pct"/>
                  <w:tcBorders>
                    <w:tl2br w:val="nil"/>
                    <w:tr2bl w:val="nil"/>
                  </w:tcBorders>
                  <w:shd w:val="clear" w:color="auto" w:fill="auto"/>
                  <w:vAlign w:val="center"/>
                </w:tcPr>
                <w:p w14:paraId="574C4909">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kern w:val="44"/>
                      <w:szCs w:val="21"/>
                      <w:highlight w:val="none"/>
                    </w:rPr>
                    <w:t>40</w:t>
                  </w:r>
                </w:p>
              </w:tc>
              <w:tc>
                <w:tcPr>
                  <w:tcW w:w="579" w:type="pct"/>
                  <w:tcBorders>
                    <w:tl2br w:val="nil"/>
                    <w:tr2bl w:val="nil"/>
                  </w:tcBorders>
                  <w:shd w:val="clear" w:color="auto" w:fill="auto"/>
                  <w:vAlign w:val="center"/>
                </w:tcPr>
                <w:p w14:paraId="78206142">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color w:val="auto"/>
                      <w:szCs w:val="21"/>
                      <w:highlight w:val="none"/>
                    </w:rPr>
                    <w:t>9</w:t>
                  </w:r>
                  <w:r>
                    <w:rPr>
                      <w:rFonts w:hint="eastAsia"/>
                      <w:color w:val="auto"/>
                      <w:szCs w:val="21"/>
                      <w:highlight w:val="none"/>
                      <w:lang w:val="en-US" w:eastAsia="zh-CN"/>
                    </w:rPr>
                    <w:t>2.5</w:t>
                  </w:r>
                </w:p>
              </w:tc>
              <w:tc>
                <w:tcPr>
                  <w:tcW w:w="622" w:type="pct"/>
                  <w:tcBorders>
                    <w:tl2br w:val="nil"/>
                    <w:tr2bl w:val="nil"/>
                  </w:tcBorders>
                  <w:shd w:val="clear" w:color="auto" w:fill="auto"/>
                  <w:vAlign w:val="center"/>
                </w:tcPr>
                <w:p w14:paraId="34F67BF1">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kern w:val="44"/>
                      <w:szCs w:val="21"/>
                      <w:highlight w:val="none"/>
                    </w:rPr>
                    <w:t>达标</w:t>
                  </w:r>
                </w:p>
              </w:tc>
            </w:tr>
            <w:tr w14:paraId="4EC7605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565" w:type="pct"/>
                  <w:tcBorders>
                    <w:tl2br w:val="nil"/>
                    <w:tr2bl w:val="nil"/>
                  </w:tcBorders>
                  <w:vAlign w:val="center"/>
                </w:tcPr>
                <w:p w14:paraId="689D7599">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szCs w:val="20"/>
                      <w:highlight w:val="none"/>
                    </w:rPr>
                    <w:t>CO</w:t>
                  </w:r>
                </w:p>
              </w:tc>
              <w:tc>
                <w:tcPr>
                  <w:tcW w:w="1816" w:type="pct"/>
                  <w:tcBorders>
                    <w:tl2br w:val="nil"/>
                    <w:tr2bl w:val="nil"/>
                  </w:tcBorders>
                  <w:vAlign w:val="center"/>
                </w:tcPr>
                <w:p w14:paraId="680AF674">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rPr>
                    <w:t>24 小时平均第95百分位浓度</w:t>
                  </w:r>
                </w:p>
              </w:tc>
              <w:tc>
                <w:tcPr>
                  <w:tcW w:w="708" w:type="pct"/>
                  <w:tcBorders>
                    <w:tl2br w:val="nil"/>
                    <w:tr2bl w:val="nil"/>
                  </w:tcBorders>
                  <w:shd w:val="clear" w:color="auto" w:fill="auto"/>
                  <w:vAlign w:val="center"/>
                </w:tcPr>
                <w:p w14:paraId="2998DD86">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color w:val="auto"/>
                      <w:kern w:val="44"/>
                      <w:szCs w:val="21"/>
                      <w:highlight w:val="none"/>
                    </w:rPr>
                    <w:t>1</w:t>
                  </w:r>
                  <w:r>
                    <w:rPr>
                      <w:rFonts w:hint="eastAsia"/>
                      <w:color w:val="auto"/>
                      <w:kern w:val="44"/>
                      <w:szCs w:val="21"/>
                      <w:highlight w:val="none"/>
                      <w:lang w:val="en-US" w:eastAsia="zh-CN"/>
                    </w:rPr>
                    <w:t>3</w:t>
                  </w:r>
                  <w:r>
                    <w:rPr>
                      <w:rFonts w:hint="default"/>
                      <w:color w:val="auto"/>
                      <w:kern w:val="44"/>
                      <w:szCs w:val="21"/>
                      <w:highlight w:val="none"/>
                    </w:rPr>
                    <w:t>00</w:t>
                  </w:r>
                </w:p>
              </w:tc>
              <w:tc>
                <w:tcPr>
                  <w:tcW w:w="708" w:type="pct"/>
                  <w:tcBorders>
                    <w:tl2br w:val="nil"/>
                    <w:tr2bl w:val="nil"/>
                  </w:tcBorders>
                  <w:shd w:val="clear" w:color="auto" w:fill="auto"/>
                  <w:vAlign w:val="center"/>
                </w:tcPr>
                <w:p w14:paraId="1DD3875B">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kern w:val="44"/>
                      <w:szCs w:val="21"/>
                      <w:highlight w:val="none"/>
                    </w:rPr>
                    <w:t>4000</w:t>
                  </w:r>
                </w:p>
              </w:tc>
              <w:tc>
                <w:tcPr>
                  <w:tcW w:w="579" w:type="pct"/>
                  <w:tcBorders>
                    <w:tl2br w:val="nil"/>
                    <w:tr2bl w:val="nil"/>
                  </w:tcBorders>
                  <w:shd w:val="clear" w:color="auto" w:fill="auto"/>
                  <w:vAlign w:val="center"/>
                </w:tcPr>
                <w:p w14:paraId="57F47D5E">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color w:val="auto"/>
                      <w:szCs w:val="21"/>
                      <w:highlight w:val="none"/>
                    </w:rPr>
                    <w:t>3</w:t>
                  </w:r>
                  <w:r>
                    <w:rPr>
                      <w:rFonts w:hint="eastAsia"/>
                      <w:color w:val="auto"/>
                      <w:szCs w:val="21"/>
                      <w:highlight w:val="none"/>
                      <w:lang w:val="en-US" w:eastAsia="zh-CN"/>
                    </w:rPr>
                    <w:t>2.5</w:t>
                  </w:r>
                </w:p>
              </w:tc>
              <w:tc>
                <w:tcPr>
                  <w:tcW w:w="622" w:type="pct"/>
                  <w:tcBorders>
                    <w:tl2br w:val="nil"/>
                    <w:tr2bl w:val="nil"/>
                  </w:tcBorders>
                  <w:shd w:val="clear" w:color="auto" w:fill="auto"/>
                  <w:vAlign w:val="center"/>
                </w:tcPr>
                <w:p w14:paraId="1E720ACC">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kern w:val="44"/>
                      <w:szCs w:val="21"/>
                      <w:highlight w:val="none"/>
                    </w:rPr>
                    <w:t>达标</w:t>
                  </w:r>
                </w:p>
              </w:tc>
            </w:tr>
            <w:tr w14:paraId="5768FAA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565" w:type="pct"/>
                  <w:tcBorders>
                    <w:tl2br w:val="nil"/>
                    <w:tr2bl w:val="nil"/>
                  </w:tcBorders>
                  <w:vAlign w:val="center"/>
                </w:tcPr>
                <w:p w14:paraId="00CCAE0A">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szCs w:val="20"/>
                      <w:highlight w:val="none"/>
                    </w:rPr>
                    <w:t>O</w:t>
                  </w:r>
                  <w:r>
                    <w:rPr>
                      <w:rFonts w:hint="default"/>
                      <w:color w:val="auto"/>
                      <w:szCs w:val="20"/>
                      <w:highlight w:val="none"/>
                      <w:vertAlign w:val="subscript"/>
                    </w:rPr>
                    <w:t>3</w:t>
                  </w:r>
                </w:p>
              </w:tc>
              <w:tc>
                <w:tcPr>
                  <w:tcW w:w="1816" w:type="pct"/>
                  <w:tcBorders>
                    <w:tl2br w:val="nil"/>
                    <w:tr2bl w:val="nil"/>
                  </w:tcBorders>
                  <w:vAlign w:val="center"/>
                </w:tcPr>
                <w:p w14:paraId="3E537163">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szCs w:val="20"/>
                      <w:highlight w:val="none"/>
                    </w:rPr>
                    <w:t>8小时平均</w:t>
                  </w:r>
                  <w:r>
                    <w:rPr>
                      <w:rFonts w:hint="eastAsia"/>
                      <w:color w:val="auto"/>
                      <w:szCs w:val="20"/>
                      <w:highlight w:val="none"/>
                    </w:rPr>
                    <w:t>第90百分位</w:t>
                  </w:r>
                  <w:r>
                    <w:rPr>
                      <w:rFonts w:hint="default"/>
                      <w:color w:val="auto"/>
                      <w:szCs w:val="20"/>
                      <w:highlight w:val="none"/>
                    </w:rPr>
                    <w:t>浓度</w:t>
                  </w:r>
                </w:p>
              </w:tc>
              <w:tc>
                <w:tcPr>
                  <w:tcW w:w="708" w:type="pct"/>
                  <w:tcBorders>
                    <w:tl2br w:val="nil"/>
                    <w:tr2bl w:val="nil"/>
                  </w:tcBorders>
                  <w:shd w:val="clear" w:color="auto" w:fill="auto"/>
                  <w:vAlign w:val="center"/>
                </w:tcPr>
                <w:p w14:paraId="5024E5A9">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color w:val="auto"/>
                      <w:sz w:val="21"/>
                      <w:szCs w:val="20"/>
                      <w:highlight w:val="none"/>
                      <w:lang w:val="en-US" w:eastAsia="zh-CN" w:bidi="ar-SA"/>
                    </w:rPr>
                  </w:pPr>
                  <w:r>
                    <w:rPr>
                      <w:rFonts w:hint="eastAsia"/>
                      <w:color w:val="auto"/>
                      <w:kern w:val="44"/>
                      <w:szCs w:val="21"/>
                      <w:highlight w:val="none"/>
                    </w:rPr>
                    <w:t>16</w:t>
                  </w:r>
                  <w:r>
                    <w:rPr>
                      <w:rFonts w:hint="eastAsia"/>
                      <w:color w:val="auto"/>
                      <w:kern w:val="44"/>
                      <w:szCs w:val="21"/>
                      <w:highlight w:val="none"/>
                      <w:lang w:val="en-US" w:eastAsia="zh-CN"/>
                    </w:rPr>
                    <w:t>3</w:t>
                  </w:r>
                </w:p>
              </w:tc>
              <w:tc>
                <w:tcPr>
                  <w:tcW w:w="708" w:type="pct"/>
                  <w:tcBorders>
                    <w:tl2br w:val="nil"/>
                    <w:tr2bl w:val="nil"/>
                  </w:tcBorders>
                  <w:shd w:val="clear" w:color="auto" w:fill="auto"/>
                  <w:vAlign w:val="center"/>
                </w:tcPr>
                <w:p w14:paraId="62133B13">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color w:val="auto"/>
                      <w:kern w:val="44"/>
                      <w:szCs w:val="21"/>
                      <w:highlight w:val="none"/>
                    </w:rPr>
                    <w:t>160</w:t>
                  </w:r>
                </w:p>
              </w:tc>
              <w:tc>
                <w:tcPr>
                  <w:tcW w:w="579" w:type="pct"/>
                  <w:tcBorders>
                    <w:tl2br w:val="nil"/>
                    <w:tr2bl w:val="nil"/>
                  </w:tcBorders>
                  <w:shd w:val="clear" w:color="auto" w:fill="auto"/>
                  <w:vAlign w:val="center"/>
                </w:tcPr>
                <w:p w14:paraId="4D925486">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color w:val="auto"/>
                      <w:sz w:val="21"/>
                      <w:szCs w:val="20"/>
                      <w:highlight w:val="none"/>
                      <w:lang w:val="en-US" w:eastAsia="zh-CN" w:bidi="ar-SA"/>
                    </w:rPr>
                  </w:pPr>
                  <w:r>
                    <w:rPr>
                      <w:rFonts w:hint="eastAsia"/>
                      <w:color w:val="auto"/>
                      <w:szCs w:val="21"/>
                      <w:highlight w:val="none"/>
                    </w:rPr>
                    <w:t>101.</w:t>
                  </w:r>
                  <w:r>
                    <w:rPr>
                      <w:rFonts w:hint="eastAsia"/>
                      <w:color w:val="auto"/>
                      <w:szCs w:val="21"/>
                      <w:highlight w:val="none"/>
                      <w:lang w:val="en-US" w:eastAsia="zh-CN"/>
                    </w:rPr>
                    <w:t>8</w:t>
                  </w:r>
                </w:p>
              </w:tc>
              <w:tc>
                <w:tcPr>
                  <w:tcW w:w="622" w:type="pct"/>
                  <w:tcBorders>
                    <w:tl2br w:val="nil"/>
                    <w:tr2bl w:val="nil"/>
                  </w:tcBorders>
                  <w:shd w:val="clear" w:color="auto" w:fill="auto"/>
                  <w:vAlign w:val="center"/>
                </w:tcPr>
                <w:p w14:paraId="53A4618F">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color w:val="auto"/>
                      <w:kern w:val="44"/>
                      <w:szCs w:val="21"/>
                      <w:highlight w:val="none"/>
                    </w:rPr>
                    <w:t>不</w:t>
                  </w:r>
                  <w:r>
                    <w:rPr>
                      <w:rFonts w:hint="default"/>
                      <w:color w:val="auto"/>
                      <w:kern w:val="44"/>
                      <w:szCs w:val="21"/>
                      <w:highlight w:val="none"/>
                    </w:rPr>
                    <w:t>达标</w:t>
                  </w:r>
                </w:p>
              </w:tc>
            </w:tr>
          </w:tbl>
          <w:p w14:paraId="7F7DA14F">
            <w:pPr>
              <w:keepNext w:val="0"/>
              <w:keepLines w:val="0"/>
              <w:suppressLineNumbers w:val="0"/>
              <w:tabs>
                <w:tab w:val="left" w:pos="8607"/>
              </w:tabs>
              <w:adjustRightInd w:val="0"/>
              <w:snapToGrid w:val="0"/>
              <w:spacing w:before="0" w:beforeAutospacing="0" w:after="0" w:afterAutospacing="0"/>
              <w:ind w:left="0" w:right="0" w:firstLine="480"/>
              <w:rPr>
                <w:rFonts w:hint="default"/>
                <w:color w:val="auto"/>
                <w:highlight w:val="none"/>
              </w:rPr>
            </w:pPr>
            <w:r>
              <w:rPr>
                <w:rFonts w:hint="default"/>
                <w:color w:val="auto"/>
                <w:szCs w:val="22"/>
                <w:highlight w:val="none"/>
              </w:rPr>
              <w:t>根据</w:t>
            </w:r>
            <w:r>
              <w:rPr>
                <w:rFonts w:hint="eastAsia"/>
                <w:color w:val="auto"/>
                <w:szCs w:val="22"/>
                <w:highlight w:val="none"/>
              </w:rPr>
              <w:t>“</w:t>
            </w:r>
            <w:r>
              <w:rPr>
                <w:rFonts w:hint="default"/>
                <w:color w:val="auto"/>
                <w:szCs w:val="22"/>
                <w:highlight w:val="none"/>
              </w:rPr>
              <w:t>环保快报（20</w:t>
            </w:r>
            <w:r>
              <w:rPr>
                <w:rFonts w:hint="eastAsia"/>
                <w:color w:val="auto"/>
                <w:szCs w:val="22"/>
                <w:highlight w:val="none"/>
              </w:rPr>
              <w:t>2</w:t>
            </w:r>
            <w:r>
              <w:rPr>
                <w:rFonts w:hint="eastAsia"/>
                <w:color w:val="auto"/>
                <w:szCs w:val="22"/>
                <w:highlight w:val="none"/>
                <w:lang w:val="en-US" w:eastAsia="zh-CN"/>
              </w:rPr>
              <w:t>3</w:t>
            </w:r>
            <w:r>
              <w:rPr>
                <w:rFonts w:hint="default"/>
                <w:color w:val="auto"/>
                <w:szCs w:val="22"/>
                <w:highlight w:val="none"/>
              </w:rPr>
              <w:t>年1~12月</w:t>
            </w:r>
            <w:r>
              <w:rPr>
                <w:rFonts w:hint="eastAsia"/>
                <w:color w:val="auto"/>
                <w:szCs w:val="22"/>
                <w:highlight w:val="none"/>
                <w:lang w:val="en-US" w:eastAsia="zh-CN"/>
              </w:rPr>
              <w:t>关中地区64个县（区）</w:t>
            </w:r>
            <w:r>
              <w:rPr>
                <w:rFonts w:hint="default"/>
                <w:color w:val="auto"/>
                <w:szCs w:val="22"/>
                <w:highlight w:val="none"/>
              </w:rPr>
              <w:t>空气质量状况</w:t>
            </w:r>
            <w:r>
              <w:rPr>
                <w:rFonts w:hint="eastAsia"/>
                <w:color w:val="auto"/>
                <w:szCs w:val="22"/>
                <w:highlight w:val="none"/>
                <w:lang w:val="en-US" w:eastAsia="zh-CN"/>
              </w:rPr>
              <w:t>统计表</w:t>
            </w:r>
            <w:r>
              <w:rPr>
                <w:rFonts w:hint="default"/>
                <w:color w:val="auto"/>
                <w:szCs w:val="22"/>
                <w:highlight w:val="none"/>
              </w:rPr>
              <w:t>）</w:t>
            </w:r>
            <w:r>
              <w:rPr>
                <w:rFonts w:hint="eastAsia"/>
                <w:color w:val="auto"/>
                <w:szCs w:val="22"/>
                <w:highlight w:val="none"/>
              </w:rPr>
              <w:t>”</w:t>
            </w:r>
            <w:r>
              <w:rPr>
                <w:rFonts w:hint="default"/>
                <w:color w:val="auto"/>
                <w:szCs w:val="22"/>
                <w:highlight w:val="none"/>
              </w:rPr>
              <w:t>，</w:t>
            </w:r>
            <w:r>
              <w:rPr>
                <w:rFonts w:hint="eastAsia"/>
                <w:color w:val="auto"/>
                <w:szCs w:val="22"/>
                <w:highlight w:val="none"/>
              </w:rPr>
              <w:t>西咸新区</w:t>
            </w:r>
            <w:r>
              <w:rPr>
                <w:rFonts w:hint="default"/>
                <w:color w:val="auto"/>
                <w:szCs w:val="22"/>
                <w:highlight w:val="none"/>
              </w:rPr>
              <w:t>环境空气6个监测项目中，SO</w:t>
            </w:r>
            <w:r>
              <w:rPr>
                <w:rFonts w:hint="default"/>
                <w:color w:val="auto"/>
                <w:szCs w:val="22"/>
                <w:highlight w:val="none"/>
                <w:vertAlign w:val="subscript"/>
              </w:rPr>
              <w:t>2</w:t>
            </w:r>
            <w:r>
              <w:rPr>
                <w:rFonts w:hint="default"/>
                <w:color w:val="auto"/>
                <w:szCs w:val="22"/>
                <w:highlight w:val="none"/>
              </w:rPr>
              <w:t>、NO</w:t>
            </w:r>
            <w:r>
              <w:rPr>
                <w:rFonts w:hint="default"/>
                <w:color w:val="auto"/>
                <w:szCs w:val="22"/>
                <w:highlight w:val="none"/>
                <w:vertAlign w:val="subscript"/>
              </w:rPr>
              <w:t>2</w:t>
            </w:r>
            <w:r>
              <w:rPr>
                <w:rFonts w:hint="default"/>
                <w:color w:val="auto"/>
                <w:szCs w:val="22"/>
                <w:highlight w:val="none"/>
              </w:rPr>
              <w:t>年</w:t>
            </w:r>
            <w:r>
              <w:rPr>
                <w:rFonts w:hint="eastAsia"/>
                <w:color w:val="auto"/>
                <w:szCs w:val="22"/>
                <w:highlight w:val="none"/>
              </w:rPr>
              <w:t>平</w:t>
            </w:r>
            <w:r>
              <w:rPr>
                <w:rFonts w:hint="default"/>
                <w:color w:val="auto"/>
                <w:szCs w:val="22"/>
                <w:highlight w:val="none"/>
              </w:rPr>
              <w:t>均质量浓度值</w:t>
            </w:r>
            <w:r>
              <w:rPr>
                <w:rFonts w:hint="eastAsia"/>
                <w:color w:val="auto"/>
                <w:szCs w:val="22"/>
                <w:highlight w:val="none"/>
              </w:rPr>
              <w:t>、</w:t>
            </w:r>
            <w:r>
              <w:rPr>
                <w:rFonts w:hint="default"/>
                <w:color w:val="auto"/>
                <w:szCs w:val="22"/>
                <w:highlight w:val="none"/>
              </w:rPr>
              <w:t>CO</w:t>
            </w:r>
            <w:r>
              <w:rPr>
                <w:rFonts w:hint="eastAsia"/>
                <w:color w:val="auto"/>
                <w:szCs w:val="22"/>
                <w:highlight w:val="none"/>
              </w:rPr>
              <w:t xml:space="preserve"> </w:t>
            </w:r>
            <w:r>
              <w:rPr>
                <w:rFonts w:hint="default"/>
                <w:color w:val="auto"/>
                <w:szCs w:val="22"/>
                <w:highlight w:val="none"/>
              </w:rPr>
              <w:t>24小时平均第95百分位浓度低于国家环境空气质量二级标准；PM</w:t>
            </w:r>
            <w:r>
              <w:rPr>
                <w:rFonts w:hint="default"/>
                <w:color w:val="auto"/>
                <w:szCs w:val="22"/>
                <w:highlight w:val="none"/>
                <w:vertAlign w:val="subscript"/>
              </w:rPr>
              <w:t>10</w:t>
            </w:r>
            <w:r>
              <w:rPr>
                <w:rFonts w:hint="default"/>
                <w:color w:val="auto"/>
                <w:szCs w:val="22"/>
                <w:highlight w:val="none"/>
              </w:rPr>
              <w:t>、PM</w:t>
            </w:r>
            <w:r>
              <w:rPr>
                <w:rFonts w:hint="default"/>
                <w:color w:val="auto"/>
                <w:szCs w:val="22"/>
                <w:highlight w:val="none"/>
                <w:vertAlign w:val="subscript"/>
              </w:rPr>
              <w:t>2.5</w:t>
            </w:r>
            <w:r>
              <w:rPr>
                <w:rFonts w:hint="default"/>
                <w:color w:val="auto"/>
                <w:szCs w:val="22"/>
                <w:highlight w:val="none"/>
              </w:rPr>
              <w:t>年均质量浓度值</w:t>
            </w:r>
            <w:r>
              <w:rPr>
                <w:rFonts w:hint="eastAsia"/>
                <w:color w:val="auto"/>
                <w:szCs w:val="22"/>
                <w:highlight w:val="none"/>
              </w:rPr>
              <w:t>和</w:t>
            </w:r>
            <w:r>
              <w:rPr>
                <w:rFonts w:hint="default"/>
                <w:color w:val="auto"/>
                <w:szCs w:val="22"/>
                <w:highlight w:val="none"/>
              </w:rPr>
              <w:t>O</w:t>
            </w:r>
            <w:r>
              <w:rPr>
                <w:rFonts w:hint="default"/>
                <w:color w:val="auto"/>
                <w:szCs w:val="22"/>
                <w:highlight w:val="none"/>
                <w:vertAlign w:val="subscript"/>
              </w:rPr>
              <w:t>3</w:t>
            </w:r>
            <w:r>
              <w:rPr>
                <w:rFonts w:hint="default"/>
                <w:color w:val="auto"/>
                <w:szCs w:val="22"/>
                <w:highlight w:val="none"/>
              </w:rPr>
              <w:t>日最大8小时平均第90百分位浓度高于国家环境空气质量二级标准。</w:t>
            </w:r>
            <w:r>
              <w:rPr>
                <w:rFonts w:hint="eastAsia"/>
                <w:color w:val="auto"/>
                <w:szCs w:val="22"/>
                <w:highlight w:val="none"/>
              </w:rPr>
              <w:t>说明</w:t>
            </w:r>
            <w:r>
              <w:rPr>
                <w:rFonts w:hint="default"/>
                <w:color w:val="auto"/>
                <w:szCs w:val="22"/>
                <w:highlight w:val="none"/>
              </w:rPr>
              <w:t>本项目</w:t>
            </w:r>
            <w:r>
              <w:rPr>
                <w:rFonts w:hint="eastAsia"/>
                <w:color w:val="auto"/>
                <w:szCs w:val="22"/>
                <w:highlight w:val="none"/>
              </w:rPr>
              <w:t>所在区域为</w:t>
            </w:r>
            <w:r>
              <w:rPr>
                <w:rFonts w:hint="default"/>
                <w:color w:val="auto"/>
                <w:szCs w:val="22"/>
                <w:highlight w:val="none"/>
              </w:rPr>
              <w:t>不达标区</w:t>
            </w:r>
            <w:r>
              <w:rPr>
                <w:rFonts w:hint="default"/>
                <w:color w:val="auto"/>
                <w:highlight w:val="none"/>
              </w:rPr>
              <w:t>。</w:t>
            </w:r>
          </w:p>
          <w:p w14:paraId="7C8B393C">
            <w:pPr>
              <w:keepNext w:val="0"/>
              <w:keepLines w:val="0"/>
              <w:suppressLineNumbers w:val="0"/>
              <w:spacing w:before="0" w:beforeAutospacing="0" w:after="0" w:afterAutospacing="0"/>
              <w:ind w:left="0" w:right="0" w:firstLine="482"/>
              <w:rPr>
                <w:rFonts w:hint="default"/>
                <w:b/>
                <w:color w:val="auto"/>
                <w:highlight w:val="none"/>
              </w:rPr>
            </w:pPr>
            <w:r>
              <w:rPr>
                <w:rFonts w:hint="default"/>
                <w:b/>
                <w:color w:val="auto"/>
                <w:highlight w:val="none"/>
              </w:rPr>
              <w:t>2、</w:t>
            </w:r>
            <w:r>
              <w:rPr>
                <w:rFonts w:hint="eastAsia"/>
                <w:b/>
                <w:color w:val="auto"/>
                <w:highlight w:val="none"/>
              </w:rPr>
              <w:t>其他污染物因子</w:t>
            </w:r>
          </w:p>
          <w:p w14:paraId="6AE73F82">
            <w:pPr>
              <w:keepNext w:val="0"/>
              <w:keepLines w:val="0"/>
              <w:widowControl/>
              <w:suppressLineNumbers w:val="0"/>
              <w:adjustRightInd w:val="0"/>
              <w:snapToGrid w:val="0"/>
              <w:spacing w:before="0" w:beforeAutospacing="0" w:after="0" w:afterAutospacing="0"/>
              <w:ind w:left="0" w:right="0" w:firstLine="480"/>
              <w:rPr>
                <w:rFonts w:hint="eastAsia"/>
                <w:color w:val="auto"/>
                <w:highlight w:val="none"/>
                <w:lang w:eastAsia="zh-CN"/>
              </w:rPr>
            </w:pPr>
            <w:r>
              <w:rPr>
                <w:rFonts w:hint="eastAsia"/>
                <w:color w:val="auto"/>
                <w:highlight w:val="none"/>
                <w:lang w:val="en-US" w:eastAsia="zh-CN"/>
              </w:rPr>
              <w:t>本</w:t>
            </w:r>
            <w:r>
              <w:rPr>
                <w:rFonts w:hint="eastAsia"/>
                <w:color w:val="auto"/>
                <w:highlight w:val="none"/>
              </w:rPr>
              <w:t>项目特征</w:t>
            </w:r>
            <w:r>
              <w:rPr>
                <w:rFonts w:hint="eastAsia"/>
                <w:color w:val="auto"/>
                <w:highlight w:val="none"/>
                <w:lang w:val="en-US" w:eastAsia="zh-CN"/>
              </w:rPr>
              <w:t>污染物为</w:t>
            </w:r>
            <w:r>
              <w:rPr>
                <w:rFonts w:hint="eastAsia"/>
                <w:color w:val="auto"/>
                <w:sz w:val="24"/>
              </w:rPr>
              <w:t>氮氧化物（NO</w:t>
            </w:r>
            <w:r>
              <w:rPr>
                <w:rFonts w:hint="eastAsia"/>
                <w:color w:val="auto"/>
                <w:sz w:val="24"/>
                <w:vertAlign w:val="subscript"/>
              </w:rPr>
              <w:t>X</w:t>
            </w:r>
            <w:r>
              <w:rPr>
                <w:rFonts w:hint="eastAsia"/>
                <w:color w:val="auto"/>
                <w:sz w:val="24"/>
              </w:rPr>
              <w:t>）</w:t>
            </w:r>
            <w:r>
              <w:rPr>
                <w:rFonts w:hint="eastAsia"/>
                <w:color w:val="auto"/>
                <w:sz w:val="24"/>
                <w:lang w:eastAsia="zh-CN"/>
              </w:rPr>
              <w:t>、</w:t>
            </w:r>
            <w:r>
              <w:rPr>
                <w:rFonts w:hint="eastAsia"/>
                <w:color w:val="auto"/>
                <w:highlight w:val="none"/>
                <w:lang w:val="en-US" w:eastAsia="zh-CN"/>
              </w:rPr>
              <w:t>氨和硫化氢</w:t>
            </w:r>
            <w:r>
              <w:rPr>
                <w:rFonts w:hint="eastAsia"/>
                <w:color w:val="auto"/>
                <w:highlight w:val="none"/>
                <w:lang w:eastAsia="zh-CN"/>
              </w:rPr>
              <w:t>。</w:t>
            </w:r>
          </w:p>
          <w:p w14:paraId="26629CAC">
            <w:pPr>
              <w:keepNext w:val="0"/>
              <w:keepLines w:val="0"/>
              <w:widowControl/>
              <w:suppressLineNumbers w:val="0"/>
              <w:adjustRightInd w:val="0"/>
              <w:snapToGrid w:val="0"/>
              <w:spacing w:before="0" w:beforeAutospacing="0" w:after="0" w:afterAutospacing="0"/>
              <w:ind w:left="0" w:right="0" w:firstLine="480"/>
              <w:rPr>
                <w:rFonts w:hint="eastAsia"/>
                <w:color w:val="auto"/>
                <w:sz w:val="24"/>
                <w:lang w:eastAsia="zh-CN"/>
              </w:rPr>
            </w:pPr>
            <w:r>
              <w:rPr>
                <w:rFonts w:hint="eastAsia"/>
                <w:color w:val="auto"/>
                <w:sz w:val="24"/>
              </w:rPr>
              <w:t>氮氧化物（NO</w:t>
            </w:r>
            <w:r>
              <w:rPr>
                <w:rFonts w:hint="eastAsia"/>
                <w:color w:val="auto"/>
                <w:sz w:val="24"/>
                <w:vertAlign w:val="subscript"/>
              </w:rPr>
              <w:t>X</w:t>
            </w:r>
            <w:r>
              <w:rPr>
                <w:rFonts w:hint="eastAsia"/>
                <w:color w:val="auto"/>
                <w:sz w:val="24"/>
              </w:rPr>
              <w:t>）</w:t>
            </w:r>
            <w:r>
              <w:rPr>
                <w:rFonts w:hint="eastAsia"/>
                <w:color w:val="auto"/>
                <w:sz w:val="24"/>
                <w:lang w:eastAsia="zh-CN"/>
              </w:rPr>
              <w:t>：</w:t>
            </w:r>
            <w:r>
              <w:rPr>
                <w:rFonts w:hint="eastAsia"/>
                <w:color w:val="auto"/>
                <w:sz w:val="24"/>
              </w:rPr>
              <w:t>作为空气污染物的氮氧化物（NO</w:t>
            </w:r>
            <w:r>
              <w:rPr>
                <w:rFonts w:hint="eastAsia"/>
                <w:color w:val="auto"/>
                <w:sz w:val="24"/>
                <w:vertAlign w:val="subscript"/>
              </w:rPr>
              <w:t>X</w:t>
            </w:r>
            <w:r>
              <w:rPr>
                <w:rFonts w:hint="eastAsia"/>
                <w:color w:val="auto"/>
                <w:sz w:val="24"/>
              </w:rPr>
              <w:t>）常指NO和NO</w:t>
            </w:r>
            <w:r>
              <w:rPr>
                <w:rFonts w:hint="eastAsia"/>
                <w:color w:val="auto"/>
                <w:sz w:val="24"/>
                <w:vertAlign w:val="subscript"/>
              </w:rPr>
              <w:t>2</w:t>
            </w:r>
            <w:r>
              <w:rPr>
                <w:rFonts w:hint="eastAsia"/>
                <w:color w:val="auto"/>
                <w:sz w:val="24"/>
              </w:rPr>
              <w:t>。在高温燃烧条件下，NO</w:t>
            </w:r>
            <w:r>
              <w:rPr>
                <w:rFonts w:hint="eastAsia"/>
                <w:color w:val="auto"/>
                <w:sz w:val="24"/>
                <w:vertAlign w:val="subscript"/>
              </w:rPr>
              <w:t>X</w:t>
            </w:r>
            <w:r>
              <w:rPr>
                <w:rFonts w:hint="eastAsia"/>
                <w:color w:val="auto"/>
                <w:sz w:val="24"/>
              </w:rPr>
              <w:t>主要以NO的形式存在，最初排放的NO</w:t>
            </w:r>
            <w:r>
              <w:rPr>
                <w:rFonts w:hint="eastAsia"/>
                <w:color w:val="auto"/>
                <w:sz w:val="24"/>
                <w:vertAlign w:val="subscript"/>
              </w:rPr>
              <w:t>X</w:t>
            </w:r>
            <w:r>
              <w:rPr>
                <w:rFonts w:hint="eastAsia"/>
                <w:color w:val="auto"/>
                <w:sz w:val="24"/>
              </w:rPr>
              <w:t>中NO约占95%。但是，NO在大气中极易与空气中的氧发生反应，生成NO</w:t>
            </w:r>
            <w:r>
              <w:rPr>
                <w:rFonts w:hint="eastAsia"/>
                <w:color w:val="auto"/>
                <w:sz w:val="24"/>
                <w:vertAlign w:val="subscript"/>
              </w:rPr>
              <w:t>2</w:t>
            </w:r>
            <w:r>
              <w:rPr>
                <w:rFonts w:hint="eastAsia"/>
                <w:color w:val="auto"/>
                <w:sz w:val="24"/>
              </w:rPr>
              <w:t>，故大气中NO</w:t>
            </w:r>
            <w:r>
              <w:rPr>
                <w:rFonts w:hint="eastAsia"/>
                <w:color w:val="auto"/>
                <w:sz w:val="24"/>
                <w:vertAlign w:val="subscript"/>
              </w:rPr>
              <w:t>X</w:t>
            </w:r>
            <w:r>
              <w:rPr>
                <w:rFonts w:hint="eastAsia"/>
                <w:color w:val="auto"/>
                <w:sz w:val="24"/>
              </w:rPr>
              <w:t>普遍以NO</w:t>
            </w:r>
            <w:r>
              <w:rPr>
                <w:rFonts w:hint="eastAsia"/>
                <w:color w:val="auto"/>
                <w:sz w:val="24"/>
                <w:vertAlign w:val="subscript"/>
              </w:rPr>
              <w:t>2</w:t>
            </w:r>
            <w:r>
              <w:rPr>
                <w:rFonts w:hint="eastAsia"/>
                <w:color w:val="auto"/>
                <w:sz w:val="24"/>
              </w:rPr>
              <w:t>的形式存在。因此本次评价环境空气质量现状以NO</w:t>
            </w:r>
            <w:r>
              <w:rPr>
                <w:rFonts w:hint="eastAsia"/>
                <w:color w:val="auto"/>
                <w:sz w:val="24"/>
                <w:vertAlign w:val="subscript"/>
              </w:rPr>
              <w:t>2</w:t>
            </w:r>
            <w:r>
              <w:rPr>
                <w:rFonts w:hint="eastAsia"/>
                <w:color w:val="auto"/>
                <w:sz w:val="24"/>
              </w:rPr>
              <w:t>表征氮氧化物，未对特征污染物（NO</w:t>
            </w:r>
            <w:r>
              <w:rPr>
                <w:rFonts w:hint="eastAsia"/>
                <w:color w:val="auto"/>
                <w:sz w:val="24"/>
                <w:vertAlign w:val="subscript"/>
              </w:rPr>
              <w:t>X</w:t>
            </w:r>
            <w:r>
              <w:rPr>
                <w:rFonts w:hint="eastAsia"/>
                <w:color w:val="auto"/>
                <w:sz w:val="24"/>
              </w:rPr>
              <w:t>）进行监测</w:t>
            </w:r>
            <w:r>
              <w:rPr>
                <w:rFonts w:hint="default"/>
                <w:color w:val="auto"/>
                <w:sz w:val="24"/>
              </w:rPr>
              <w:t>。</w:t>
            </w:r>
          </w:p>
          <w:p w14:paraId="23E3985E">
            <w:pPr>
              <w:keepNext w:val="0"/>
              <w:keepLines w:val="0"/>
              <w:widowControl/>
              <w:suppressLineNumbers w:val="0"/>
              <w:adjustRightInd w:val="0"/>
              <w:snapToGrid w:val="0"/>
              <w:spacing w:before="0" w:beforeAutospacing="0" w:after="0" w:afterAutospacing="0"/>
              <w:ind w:left="0" w:right="0" w:firstLine="480"/>
              <w:rPr>
                <w:rFonts w:hint="eastAsia"/>
                <w:color w:val="auto"/>
                <w:highlight w:val="none"/>
              </w:rPr>
            </w:pPr>
            <w:r>
              <w:rPr>
                <w:rFonts w:hint="eastAsia"/>
                <w:color w:val="auto"/>
                <w:highlight w:val="none"/>
                <w:lang w:val="en-US" w:eastAsia="zh-CN"/>
              </w:rPr>
              <w:t>氨和硫化氢：</w:t>
            </w:r>
            <w:r>
              <w:rPr>
                <w:rFonts w:hint="eastAsia"/>
                <w:color w:val="auto"/>
                <w:highlight w:val="none"/>
              </w:rPr>
              <w:t>本次评价</w:t>
            </w:r>
            <w:r>
              <w:rPr>
                <w:rFonts w:hint="eastAsia"/>
                <w:color w:val="auto"/>
                <w:highlight w:val="none"/>
                <w:lang w:val="en-US" w:eastAsia="zh-CN"/>
              </w:rPr>
              <w:t>引用</w:t>
            </w:r>
            <w:r>
              <w:rPr>
                <w:rFonts w:hint="eastAsia"/>
                <w:color w:val="auto"/>
                <w:highlight w:val="none"/>
                <w:lang w:eastAsia="zh-CN"/>
              </w:rPr>
              <w:t>《</w:t>
            </w:r>
            <w:r>
              <w:rPr>
                <w:rFonts w:hint="eastAsia"/>
                <w:color w:val="auto"/>
                <w:highlight w:val="none"/>
                <w:lang w:val="en-US" w:eastAsia="zh-CN"/>
              </w:rPr>
              <w:t>同新轩食品生产基地项目监测报告</w:t>
            </w:r>
            <w:r>
              <w:rPr>
                <w:rFonts w:hint="eastAsia"/>
                <w:color w:val="auto"/>
                <w:highlight w:val="none"/>
                <w:lang w:eastAsia="zh-CN"/>
              </w:rPr>
              <w:t>》</w:t>
            </w:r>
            <w:r>
              <w:rPr>
                <w:rFonts w:hint="eastAsia"/>
                <w:color w:val="auto"/>
                <w:highlight w:val="none"/>
              </w:rPr>
              <w:t>（</w:t>
            </w:r>
            <w:r>
              <w:rPr>
                <w:rFonts w:hint="eastAsia"/>
                <w:color w:val="auto"/>
                <w:highlight w:val="none"/>
                <w:lang w:val="en-US" w:eastAsia="zh-CN"/>
              </w:rPr>
              <w:t>报告编号：HJ2401-0275</w:t>
            </w:r>
            <w:r>
              <w:rPr>
                <w:rFonts w:hint="eastAsia"/>
                <w:color w:val="auto"/>
                <w:highlight w:val="none"/>
                <w:lang w:eastAsia="zh-CN"/>
              </w:rPr>
              <w:t>）</w:t>
            </w:r>
            <w:r>
              <w:rPr>
                <w:rFonts w:hint="eastAsia"/>
                <w:color w:val="auto"/>
                <w:highlight w:val="none"/>
              </w:rPr>
              <w:t>，见附件</w:t>
            </w:r>
            <w:r>
              <w:rPr>
                <w:rFonts w:hint="eastAsia"/>
                <w:color w:val="auto"/>
                <w:highlight w:val="none"/>
                <w:lang w:val="en-US" w:eastAsia="zh-CN"/>
              </w:rPr>
              <w:t>6</w:t>
            </w:r>
            <w:r>
              <w:rPr>
                <w:rFonts w:hint="default" w:ascii="Times New Roman" w:hAnsi="Times New Roman" w:cs="Times New Roman"/>
                <w:color w:val="auto"/>
                <w:sz w:val="24"/>
                <w:lang w:val="en-US" w:eastAsia="zh-CN"/>
              </w:rPr>
              <w:t>，</w:t>
            </w:r>
            <w:r>
              <w:rPr>
                <w:rFonts w:hint="default" w:ascii="Times New Roman" w:hAnsi="Times New Roman" w:cs="Times New Roman"/>
                <w:color w:val="auto"/>
                <w:sz w:val="24"/>
              </w:rPr>
              <w:t>监测点位</w:t>
            </w:r>
            <w:r>
              <w:rPr>
                <w:rFonts w:hint="eastAsia" w:cs="Times New Roman"/>
                <w:color w:val="auto"/>
                <w:sz w:val="24"/>
                <w:lang w:val="en-US" w:eastAsia="zh-CN"/>
              </w:rPr>
              <w:t>为</w:t>
            </w:r>
            <w:r>
              <w:rPr>
                <w:rFonts w:hint="default" w:ascii="Times New Roman" w:hAnsi="Times New Roman" w:cs="Times New Roman"/>
                <w:color w:val="auto"/>
                <w:sz w:val="24"/>
              </w:rPr>
              <w:t>本项目</w:t>
            </w:r>
            <w:r>
              <w:rPr>
                <w:rFonts w:hint="eastAsia" w:cs="Times New Roman"/>
                <w:color w:val="auto"/>
                <w:sz w:val="24"/>
                <w:lang w:val="en-US" w:eastAsia="zh-CN"/>
              </w:rPr>
              <w:t>西南</w:t>
            </w:r>
            <w:r>
              <w:rPr>
                <w:rFonts w:hint="default" w:ascii="Times New Roman" w:hAnsi="Times New Roman" w:cs="Times New Roman"/>
                <w:color w:val="auto"/>
                <w:sz w:val="24"/>
              </w:rPr>
              <w:t>侧</w:t>
            </w:r>
            <w:r>
              <w:rPr>
                <w:rFonts w:hint="eastAsia" w:cs="Times New Roman"/>
                <w:color w:val="auto"/>
                <w:sz w:val="24"/>
                <w:lang w:val="en-US" w:eastAsia="zh-CN"/>
              </w:rPr>
              <w:t>2169</w:t>
            </w:r>
            <w:r>
              <w:rPr>
                <w:rFonts w:hint="default" w:ascii="Times New Roman" w:hAnsi="Times New Roman" w:cs="Times New Roman"/>
                <w:color w:val="auto"/>
                <w:sz w:val="24"/>
                <w:lang w:val="en-US" w:eastAsia="zh-CN"/>
              </w:rPr>
              <w:t>m</w:t>
            </w:r>
            <w:r>
              <w:rPr>
                <w:rFonts w:hint="default" w:ascii="Times New Roman" w:hAnsi="Times New Roman" w:cs="Times New Roman"/>
                <w:color w:val="auto"/>
                <w:sz w:val="24"/>
              </w:rPr>
              <w:t>，监测日期为20</w:t>
            </w:r>
            <w:r>
              <w:rPr>
                <w:rFonts w:hint="default" w:ascii="Times New Roman" w:hAnsi="Times New Roman" w:cs="Times New Roman"/>
                <w:color w:val="auto"/>
                <w:sz w:val="24"/>
                <w:lang w:val="en-US" w:eastAsia="zh-CN"/>
              </w:rPr>
              <w:t>2</w:t>
            </w:r>
            <w:r>
              <w:rPr>
                <w:rFonts w:hint="eastAsia" w:cs="Times New Roman"/>
                <w:color w:val="auto"/>
                <w:sz w:val="24"/>
                <w:lang w:val="en-US" w:eastAsia="zh-CN"/>
              </w:rPr>
              <w:t>4</w:t>
            </w:r>
            <w:r>
              <w:rPr>
                <w:rFonts w:hint="default" w:ascii="Times New Roman" w:hAnsi="Times New Roman" w:cs="Times New Roman"/>
                <w:color w:val="auto"/>
                <w:sz w:val="24"/>
              </w:rPr>
              <w:t>年</w:t>
            </w:r>
            <w:r>
              <w:rPr>
                <w:rFonts w:hint="eastAsia" w:cs="Times New Roman"/>
                <w:color w:val="auto"/>
                <w:sz w:val="24"/>
                <w:lang w:val="en-US" w:eastAsia="zh-CN"/>
              </w:rPr>
              <w:t>1</w:t>
            </w:r>
            <w:r>
              <w:rPr>
                <w:rFonts w:hint="default" w:ascii="Times New Roman" w:hAnsi="Times New Roman" w:cs="Times New Roman"/>
                <w:color w:val="auto"/>
                <w:sz w:val="24"/>
              </w:rPr>
              <w:t>月</w:t>
            </w:r>
            <w:r>
              <w:rPr>
                <w:rFonts w:hint="eastAsia" w:cs="Times New Roman"/>
                <w:color w:val="auto"/>
                <w:sz w:val="24"/>
                <w:lang w:val="en-US" w:eastAsia="zh-CN"/>
              </w:rPr>
              <w:t>29</w:t>
            </w:r>
            <w:r>
              <w:rPr>
                <w:rFonts w:hint="default" w:ascii="Times New Roman" w:hAnsi="Times New Roman" w:cs="Times New Roman"/>
                <w:color w:val="auto"/>
                <w:sz w:val="24"/>
              </w:rPr>
              <w:t>日至</w:t>
            </w:r>
            <w:r>
              <w:rPr>
                <w:rFonts w:hint="eastAsia" w:cs="Times New Roman"/>
                <w:color w:val="auto"/>
                <w:sz w:val="24"/>
                <w:lang w:val="en-US" w:eastAsia="zh-CN"/>
              </w:rPr>
              <w:t>2</w:t>
            </w:r>
            <w:r>
              <w:rPr>
                <w:rFonts w:hint="default" w:ascii="Times New Roman" w:hAnsi="Times New Roman" w:cs="Times New Roman"/>
                <w:color w:val="auto"/>
                <w:sz w:val="24"/>
              </w:rPr>
              <w:t>月</w:t>
            </w:r>
            <w:r>
              <w:rPr>
                <w:rFonts w:hint="eastAsia" w:cs="Times New Roman"/>
                <w:color w:val="auto"/>
                <w:sz w:val="24"/>
                <w:lang w:val="en-US" w:eastAsia="zh-CN"/>
              </w:rPr>
              <w:t>1</w:t>
            </w:r>
            <w:r>
              <w:rPr>
                <w:rFonts w:hint="default" w:ascii="Times New Roman" w:hAnsi="Times New Roman" w:cs="Times New Roman"/>
                <w:color w:val="auto"/>
                <w:sz w:val="24"/>
              </w:rPr>
              <w:t>日，监测数据</w:t>
            </w:r>
            <w:r>
              <w:rPr>
                <w:rFonts w:hint="eastAsia" w:ascii="Times New Roman" w:hAnsi="Times New Roman" w:cs="Times New Roman"/>
                <w:color w:val="auto"/>
                <w:sz w:val="24"/>
                <w:lang w:val="en-US" w:eastAsia="zh-CN"/>
              </w:rPr>
              <w:t>在有效期</w:t>
            </w:r>
            <w:r>
              <w:rPr>
                <w:rFonts w:hint="eastAsia" w:cs="Times New Roman"/>
                <w:color w:val="auto"/>
                <w:sz w:val="24"/>
                <w:lang w:val="en-US" w:eastAsia="zh-CN"/>
              </w:rPr>
              <w:t>内</w:t>
            </w:r>
            <w:r>
              <w:rPr>
                <w:rFonts w:hint="default" w:ascii="Times New Roman" w:hAnsi="Times New Roman" w:cs="Times New Roman"/>
                <w:color w:val="auto"/>
                <w:sz w:val="24"/>
              </w:rPr>
              <w:t>，由以上分析可知，本次监测数据引用合理</w:t>
            </w:r>
            <w:r>
              <w:rPr>
                <w:rFonts w:hint="eastAsia"/>
                <w:color w:val="auto"/>
                <w:highlight w:val="none"/>
              </w:rPr>
              <w:t>。</w:t>
            </w:r>
          </w:p>
          <w:p w14:paraId="1116E75A">
            <w:pPr>
              <w:keepNext w:val="0"/>
              <w:keepLines w:val="0"/>
              <w:widowControl/>
              <w:suppressLineNumbers w:val="0"/>
              <w:adjustRightInd w:val="0"/>
              <w:snapToGrid w:val="0"/>
              <w:spacing w:before="0" w:beforeAutospacing="0" w:after="0" w:afterAutospacing="0"/>
              <w:ind w:left="0" w:right="0" w:firstLine="480"/>
              <w:rPr>
                <w:rFonts w:hint="default" w:eastAsia="宋体"/>
                <w:b/>
                <w:bCs/>
                <w:color w:val="auto"/>
                <w:highlight w:val="none"/>
                <w:lang w:val="zh-CN"/>
              </w:rPr>
            </w:pPr>
            <w:r>
              <w:rPr>
                <w:rFonts w:hint="eastAsia"/>
                <w:bCs/>
                <w:color w:val="auto"/>
                <w:highlight w:val="none"/>
              </w:rPr>
              <w:t>监测结果内容如下。</w:t>
            </w:r>
          </w:p>
          <w:p w14:paraId="1F789A0A">
            <w:pPr>
              <w:pStyle w:val="77"/>
              <w:keepNext w:val="0"/>
              <w:keepLines w:val="0"/>
              <w:widowControl/>
              <w:suppressLineNumbers w:val="0"/>
              <w:spacing w:before="0" w:beforeLines="0" w:beforeAutospacing="0" w:after="0" w:afterAutospacing="0" w:line="240" w:lineRule="auto"/>
              <w:ind w:left="0" w:right="0"/>
              <w:rPr>
                <w:rFonts w:hint="default" w:eastAsia="宋体"/>
                <w:b/>
                <w:bCs/>
                <w:color w:val="auto"/>
                <w:highlight w:val="none"/>
                <w:lang w:val="zh-CN"/>
              </w:rPr>
            </w:pPr>
            <w:r>
              <w:rPr>
                <w:rFonts w:hint="default" w:eastAsia="宋体"/>
                <w:b/>
                <w:bCs/>
                <w:color w:val="auto"/>
                <w:highlight w:val="none"/>
                <w:lang w:val="zh-CN"/>
              </w:rPr>
              <w:t>表</w:t>
            </w:r>
            <w:r>
              <w:rPr>
                <w:rFonts w:hint="eastAsia" w:eastAsia="宋体"/>
                <w:b/>
                <w:bCs/>
                <w:color w:val="auto"/>
                <w:highlight w:val="none"/>
              </w:rPr>
              <w:t>3-2</w:t>
            </w:r>
            <w:r>
              <w:rPr>
                <w:rFonts w:hint="default" w:eastAsia="宋体"/>
                <w:b/>
                <w:bCs/>
                <w:color w:val="auto"/>
                <w:highlight w:val="none"/>
                <w:lang w:val="zh-CN"/>
              </w:rPr>
              <w:t xml:space="preserve">  </w:t>
            </w:r>
            <w:r>
              <w:rPr>
                <w:rFonts w:hint="eastAsia" w:eastAsia="宋体"/>
                <w:b/>
                <w:bCs/>
                <w:color w:val="auto"/>
                <w:highlight w:val="none"/>
              </w:rPr>
              <w:t>特征污染物</w:t>
            </w:r>
            <w:r>
              <w:rPr>
                <w:rFonts w:hint="default" w:eastAsia="宋体"/>
                <w:b/>
                <w:bCs/>
                <w:color w:val="auto"/>
                <w:highlight w:val="none"/>
                <w:lang w:val="zh-CN"/>
              </w:rPr>
              <w:t>监测结果</w:t>
            </w:r>
            <w:r>
              <w:rPr>
                <w:rFonts w:hint="eastAsia" w:eastAsia="宋体"/>
                <w:b/>
                <w:bCs/>
                <w:color w:val="auto"/>
                <w:highlight w:val="none"/>
              </w:rPr>
              <w:t>一览</w:t>
            </w:r>
            <w:r>
              <w:rPr>
                <w:rFonts w:hint="default" w:eastAsia="宋体"/>
                <w:b/>
                <w:bCs/>
                <w:color w:val="auto"/>
                <w:highlight w:val="none"/>
                <w:lang w:val="zh-CN"/>
              </w:rPr>
              <w:t>表</w:t>
            </w:r>
          </w:p>
          <w:tbl>
            <w:tblPr>
              <w:tblStyle w:val="3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6"/>
              <w:gridCol w:w="1863"/>
              <w:gridCol w:w="1748"/>
              <w:gridCol w:w="1474"/>
              <w:gridCol w:w="1174"/>
              <w:gridCol w:w="908"/>
            </w:tblGrid>
            <w:tr w14:paraId="03A071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539" w:type="pct"/>
                  <w:tcBorders>
                    <w:tl2br w:val="nil"/>
                    <w:tr2bl w:val="nil"/>
                  </w:tcBorders>
                  <w:vAlign w:val="center"/>
                </w:tcPr>
                <w:p w14:paraId="7A823B5A">
                  <w:pPr>
                    <w:keepNext w:val="0"/>
                    <w:keepLines w:val="0"/>
                    <w:widowControl/>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污染物</w:t>
                  </w:r>
                </w:p>
              </w:tc>
              <w:tc>
                <w:tcPr>
                  <w:tcW w:w="1159" w:type="pct"/>
                  <w:tcBorders>
                    <w:tl2br w:val="nil"/>
                    <w:tr2bl w:val="nil"/>
                  </w:tcBorders>
                  <w:vAlign w:val="center"/>
                </w:tcPr>
                <w:p w14:paraId="2BE1DEFD">
                  <w:pPr>
                    <w:keepNext w:val="0"/>
                    <w:keepLines w:val="0"/>
                    <w:widowControl/>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采样日期</w:t>
                  </w:r>
                </w:p>
              </w:tc>
              <w:tc>
                <w:tcPr>
                  <w:tcW w:w="1088" w:type="pct"/>
                  <w:tcBorders>
                    <w:tl2br w:val="nil"/>
                    <w:tr2bl w:val="nil"/>
                  </w:tcBorders>
                  <w:vAlign w:val="center"/>
                </w:tcPr>
                <w:p w14:paraId="7745F263">
                  <w:pPr>
                    <w:keepNext w:val="0"/>
                    <w:keepLines w:val="0"/>
                    <w:widowControl/>
                    <w:suppressLineNumbers w:val="0"/>
                    <w:spacing w:before="0" w:beforeAutospacing="0" w:after="0" w:afterAutospacing="0" w:line="240" w:lineRule="auto"/>
                    <w:ind w:left="0" w:right="0" w:firstLine="0" w:firstLineChars="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监测点位坐标</w:t>
                  </w:r>
                </w:p>
              </w:tc>
              <w:tc>
                <w:tcPr>
                  <w:tcW w:w="917" w:type="pct"/>
                  <w:tcBorders>
                    <w:tl2br w:val="nil"/>
                    <w:tr2bl w:val="nil"/>
                  </w:tcBorders>
                  <w:vAlign w:val="center"/>
                </w:tcPr>
                <w:p w14:paraId="32CEF03D">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0"/>
                      <w:szCs w:val="20"/>
                      <w:highlight w:val="none"/>
                    </w:rPr>
                  </w:pPr>
                  <w:r>
                    <w:rPr>
                      <w:rFonts w:hint="eastAsia" w:ascii="Times New Roman" w:hAnsi="Times New Roman" w:eastAsia="宋体" w:cs="Times New Roman"/>
                      <w:color w:val="auto"/>
                      <w:sz w:val="20"/>
                      <w:szCs w:val="20"/>
                      <w:highlight w:val="none"/>
                    </w:rPr>
                    <w:t>监测浓度范围/（µg/m</w:t>
                  </w:r>
                  <w:r>
                    <w:rPr>
                      <w:rFonts w:hint="eastAsia" w:ascii="Times New Roman" w:hAnsi="Times New Roman" w:eastAsia="宋体" w:cs="Times New Roman"/>
                      <w:color w:val="auto"/>
                      <w:sz w:val="20"/>
                      <w:szCs w:val="20"/>
                      <w:highlight w:val="none"/>
                      <w:vertAlign w:val="superscript"/>
                    </w:rPr>
                    <w:t>3</w:t>
                  </w:r>
                  <w:r>
                    <w:rPr>
                      <w:rFonts w:hint="eastAsia" w:ascii="Times New Roman" w:hAnsi="Times New Roman" w:eastAsia="宋体" w:cs="Times New Roman"/>
                      <w:color w:val="auto"/>
                      <w:sz w:val="20"/>
                      <w:szCs w:val="20"/>
                      <w:highlight w:val="none"/>
                    </w:rPr>
                    <w:t>）</w:t>
                  </w:r>
                </w:p>
              </w:tc>
              <w:tc>
                <w:tcPr>
                  <w:tcW w:w="730" w:type="pct"/>
                  <w:tcBorders>
                    <w:tl2br w:val="nil"/>
                    <w:tr2bl w:val="nil"/>
                  </w:tcBorders>
                  <w:vAlign w:val="center"/>
                </w:tcPr>
                <w:p w14:paraId="78646C60">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标准值</w:t>
                  </w:r>
                  <w:r>
                    <w:rPr>
                      <w:rFonts w:hint="eastAsia" w:ascii="Times New Roman" w:hAnsi="Times New Roman" w:eastAsia="宋体" w:cs="Times New Roman"/>
                      <w:color w:val="auto"/>
                      <w:sz w:val="21"/>
                      <w:szCs w:val="21"/>
                      <w:highlight w:val="none"/>
                      <w:lang w:val="en-US" w:eastAsia="zh-CN"/>
                    </w:rPr>
                    <w:t>（µg/m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w:t>
                  </w:r>
                </w:p>
              </w:tc>
              <w:tc>
                <w:tcPr>
                  <w:tcW w:w="565" w:type="pct"/>
                  <w:tcBorders>
                    <w:tl2br w:val="nil"/>
                    <w:tr2bl w:val="nil"/>
                  </w:tcBorders>
                  <w:vAlign w:val="center"/>
                </w:tcPr>
                <w:p w14:paraId="04C1A23E">
                  <w:pPr>
                    <w:keepNext w:val="0"/>
                    <w:keepLines w:val="0"/>
                    <w:widowControl/>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达标情况</w:t>
                  </w:r>
                </w:p>
              </w:tc>
            </w:tr>
            <w:tr w14:paraId="6A262D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9" w:type="pct"/>
                  <w:tcBorders>
                    <w:tl2br w:val="nil"/>
                    <w:tr2bl w:val="nil"/>
                  </w:tcBorders>
                  <w:vAlign w:val="center"/>
                </w:tcPr>
                <w:p w14:paraId="0D5D0396">
                  <w:pPr>
                    <w:keepNext w:val="0"/>
                    <w:keepLines w:val="0"/>
                    <w:suppressLineNumbers w:val="0"/>
                    <w:snapToGrid w:val="0"/>
                    <w:spacing w:before="0" w:beforeAutospacing="0" w:after="0" w:afterAutospacing="0" w:line="240" w:lineRule="auto"/>
                    <w:ind w:left="0" w:right="0" w:firstLine="0" w:firstLineChars="0"/>
                    <w:jc w:val="center"/>
                    <w:rPr>
                      <w:rFonts w:hint="eastAsia" w:eastAsia="宋体"/>
                      <w:color w:val="auto"/>
                      <w:sz w:val="21"/>
                      <w:szCs w:val="21"/>
                      <w:highlight w:val="none"/>
                      <w:lang w:eastAsia="zh-CN"/>
                    </w:rPr>
                  </w:pPr>
                  <w:r>
                    <w:rPr>
                      <w:rFonts w:hint="eastAsia"/>
                      <w:color w:val="auto"/>
                      <w:sz w:val="21"/>
                      <w:szCs w:val="21"/>
                      <w:highlight w:val="none"/>
                      <w:lang w:val="en-US" w:eastAsia="zh-CN"/>
                    </w:rPr>
                    <w:t>氨</w:t>
                  </w:r>
                </w:p>
              </w:tc>
              <w:tc>
                <w:tcPr>
                  <w:tcW w:w="1159" w:type="pct"/>
                  <w:vMerge w:val="restart"/>
                  <w:tcBorders>
                    <w:tl2br w:val="nil"/>
                    <w:tr2bl w:val="nil"/>
                  </w:tcBorders>
                  <w:vAlign w:val="center"/>
                </w:tcPr>
                <w:p w14:paraId="139709F1">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2024.1.29-2024.2.1</w:t>
                  </w:r>
                </w:p>
              </w:tc>
              <w:tc>
                <w:tcPr>
                  <w:tcW w:w="1088" w:type="pct"/>
                  <w:vMerge w:val="restart"/>
                  <w:tcBorders>
                    <w:tl2br w:val="nil"/>
                    <w:tr2bl w:val="nil"/>
                  </w:tcBorders>
                  <w:vAlign w:val="center"/>
                </w:tcPr>
                <w:p w14:paraId="43BE2CFF">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E</w:t>
                  </w:r>
                  <w:r>
                    <w:rPr>
                      <w:rFonts w:hint="default" w:ascii="Times New Roman" w:hAnsi="Times New Roman" w:eastAsia="宋体" w:cs="Times New Roman"/>
                      <w:color w:val="auto"/>
                      <w:sz w:val="21"/>
                      <w:szCs w:val="21"/>
                      <w:highlight w:val="none"/>
                      <w:lang w:val="en-US" w:eastAsia="zh-CN"/>
                    </w:rPr>
                    <w:t xml:space="preserve">108°59′32.33″ </w:t>
                  </w:r>
                </w:p>
                <w:p w14:paraId="2C731403">
                  <w:pPr>
                    <w:keepNext w:val="0"/>
                    <w:keepLines w:val="0"/>
                    <w:widowControl/>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N</w:t>
                  </w:r>
                  <w:r>
                    <w:rPr>
                      <w:rFonts w:hint="default" w:ascii="Times New Roman" w:hAnsi="Times New Roman" w:eastAsia="宋体" w:cs="Times New Roman"/>
                      <w:color w:val="auto"/>
                      <w:sz w:val="21"/>
                      <w:szCs w:val="21"/>
                      <w:highlight w:val="none"/>
                      <w:lang w:val="en-US" w:eastAsia="zh-CN"/>
                    </w:rPr>
                    <w:t>35°01′13.98″</w:t>
                  </w:r>
                </w:p>
              </w:tc>
              <w:tc>
                <w:tcPr>
                  <w:tcW w:w="1474" w:type="dxa"/>
                  <w:tcBorders>
                    <w:tl2br w:val="nil"/>
                    <w:tr2bl w:val="nil"/>
                  </w:tcBorders>
                  <w:vAlign w:val="center"/>
                </w:tcPr>
                <w:p w14:paraId="18BBA27B">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27~35</w:t>
                  </w:r>
                </w:p>
              </w:tc>
              <w:tc>
                <w:tcPr>
                  <w:tcW w:w="730" w:type="pct"/>
                  <w:tcBorders>
                    <w:tl2br w:val="nil"/>
                    <w:tr2bl w:val="nil"/>
                  </w:tcBorders>
                  <w:vAlign w:val="center"/>
                </w:tcPr>
                <w:p w14:paraId="71ABB021">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200</w:t>
                  </w:r>
                </w:p>
              </w:tc>
              <w:tc>
                <w:tcPr>
                  <w:tcW w:w="565" w:type="pct"/>
                  <w:tcBorders>
                    <w:tl2br w:val="nil"/>
                    <w:tr2bl w:val="nil"/>
                  </w:tcBorders>
                  <w:vAlign w:val="center"/>
                </w:tcPr>
                <w:p w14:paraId="0EA51ECD">
                  <w:pPr>
                    <w:keepNext w:val="0"/>
                    <w:keepLines w:val="0"/>
                    <w:widowControl/>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达标</w:t>
                  </w:r>
                </w:p>
              </w:tc>
            </w:tr>
            <w:tr w14:paraId="79FB8E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9" w:type="pct"/>
                  <w:tcBorders>
                    <w:tl2br w:val="nil"/>
                    <w:tr2bl w:val="nil"/>
                  </w:tcBorders>
                  <w:vAlign w:val="center"/>
                </w:tcPr>
                <w:p w14:paraId="222E4B96">
                  <w:pPr>
                    <w:keepNext w:val="0"/>
                    <w:keepLines w:val="0"/>
                    <w:widowControl/>
                    <w:suppressLineNumbers w:val="0"/>
                    <w:spacing w:before="0" w:beforeAutospacing="0" w:after="0" w:afterAutospacing="0" w:line="240" w:lineRule="auto"/>
                    <w:ind w:left="0" w:right="0" w:firstLine="0" w:firstLineChars="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硫化氢</w:t>
                  </w:r>
                </w:p>
              </w:tc>
              <w:tc>
                <w:tcPr>
                  <w:tcW w:w="1159" w:type="pct"/>
                  <w:vMerge w:val="continue"/>
                  <w:tcBorders>
                    <w:tl2br w:val="nil"/>
                    <w:tr2bl w:val="nil"/>
                  </w:tcBorders>
                  <w:vAlign w:val="center"/>
                </w:tcPr>
                <w:p w14:paraId="7E5D1C2E">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p>
              </w:tc>
              <w:tc>
                <w:tcPr>
                  <w:tcW w:w="1088" w:type="pct"/>
                  <w:vMerge w:val="continue"/>
                  <w:tcBorders>
                    <w:tl2br w:val="nil"/>
                    <w:tr2bl w:val="nil"/>
                  </w:tcBorders>
                  <w:vAlign w:val="center"/>
                </w:tcPr>
                <w:p w14:paraId="702E418B">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color w:val="auto"/>
                      <w:sz w:val="21"/>
                      <w:szCs w:val="21"/>
                      <w:highlight w:val="none"/>
                    </w:rPr>
                  </w:pPr>
                </w:p>
              </w:tc>
              <w:tc>
                <w:tcPr>
                  <w:tcW w:w="1474" w:type="dxa"/>
                  <w:tcBorders>
                    <w:tl2br w:val="nil"/>
                    <w:tr2bl w:val="nil"/>
                  </w:tcBorders>
                  <w:vAlign w:val="center"/>
                </w:tcPr>
                <w:p w14:paraId="2A224F5F">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w:t>
                  </w:r>
                </w:p>
              </w:tc>
              <w:tc>
                <w:tcPr>
                  <w:tcW w:w="730" w:type="pct"/>
                  <w:tcBorders>
                    <w:tl2br w:val="nil"/>
                    <w:tr2bl w:val="nil"/>
                  </w:tcBorders>
                  <w:vAlign w:val="center"/>
                </w:tcPr>
                <w:p w14:paraId="74F46C09">
                  <w:pPr>
                    <w:keepNext w:val="0"/>
                    <w:keepLines w:val="0"/>
                    <w:widowControl/>
                    <w:suppressLineNumbers w:val="0"/>
                    <w:spacing w:before="0" w:beforeAutospacing="0" w:after="0" w:afterAutospacing="0" w:line="240" w:lineRule="auto"/>
                    <w:ind w:left="0" w:right="0" w:firstLine="0" w:firstLineChars="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10</w:t>
                  </w:r>
                </w:p>
              </w:tc>
              <w:tc>
                <w:tcPr>
                  <w:tcW w:w="565" w:type="pct"/>
                  <w:tcBorders>
                    <w:tl2br w:val="nil"/>
                    <w:tr2bl w:val="nil"/>
                  </w:tcBorders>
                  <w:vAlign w:val="center"/>
                </w:tcPr>
                <w:p w14:paraId="3A69394F">
                  <w:pPr>
                    <w:keepNext w:val="0"/>
                    <w:keepLines w:val="0"/>
                    <w:widowControl/>
                    <w:suppressLineNumbers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达标</w:t>
                  </w:r>
                </w:p>
              </w:tc>
            </w:tr>
          </w:tbl>
          <w:p w14:paraId="42D69D20">
            <w:pPr>
              <w:pStyle w:val="182"/>
              <w:keepNext w:val="0"/>
              <w:keepLines w:val="0"/>
              <w:suppressLineNumbers w:val="0"/>
              <w:spacing w:beforeAutospacing="0" w:after="0" w:afterAutospacing="0"/>
              <w:ind w:left="0" w:right="0"/>
              <w:rPr>
                <w:rFonts w:hint="default"/>
                <w:color w:val="auto"/>
                <w:highlight w:val="none"/>
              </w:rPr>
            </w:pPr>
            <w:r>
              <w:rPr>
                <w:rFonts w:hint="default"/>
                <w:color w:val="auto"/>
                <w:szCs w:val="22"/>
                <w:highlight w:val="none"/>
              </w:rPr>
              <w:t>从表中可以看出，</w:t>
            </w:r>
            <w:r>
              <w:rPr>
                <w:rFonts w:hint="eastAsia"/>
                <w:color w:val="auto"/>
                <w:szCs w:val="22"/>
                <w:highlight w:val="none"/>
                <w:lang w:val="en-US" w:eastAsia="zh-CN"/>
              </w:rPr>
              <w:t>项目所在</w:t>
            </w:r>
            <w:r>
              <w:rPr>
                <w:rFonts w:hint="default"/>
                <w:color w:val="auto"/>
                <w:szCs w:val="22"/>
                <w:highlight w:val="none"/>
              </w:rPr>
              <w:t>区域内</w:t>
            </w:r>
            <w:r>
              <w:rPr>
                <w:rFonts w:hint="eastAsia"/>
                <w:color w:val="auto"/>
                <w:highlight w:val="none"/>
                <w:lang w:val="en-US" w:eastAsia="zh-CN"/>
              </w:rPr>
              <w:t>氨、硫化氢浓度值满足《环境影响评价技术导则 大气环境》（HJ2.2-2018）附录D.1中相关限值</w:t>
            </w:r>
            <w:r>
              <w:rPr>
                <w:rFonts w:hint="eastAsia"/>
                <w:color w:val="auto"/>
                <w:highlight w:val="none"/>
              </w:rPr>
              <w:t>。</w:t>
            </w:r>
          </w:p>
          <w:p w14:paraId="2BEEAF06">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rPr>
              <w:t>3、声环境质量</w:t>
            </w:r>
          </w:p>
          <w:p w14:paraId="3224DF4D">
            <w:pPr>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根据现场勘查，本项目厂界周边50m范围内无声环境保护目标，且项目建设性质为</w:t>
            </w:r>
            <w:r>
              <w:rPr>
                <w:rFonts w:hint="eastAsia"/>
                <w:color w:val="auto"/>
                <w:highlight w:val="none"/>
                <w:lang w:val="en-US" w:eastAsia="zh-CN"/>
              </w:rPr>
              <w:t>新</w:t>
            </w:r>
            <w:r>
              <w:rPr>
                <w:rFonts w:hint="default"/>
                <w:color w:val="auto"/>
                <w:highlight w:val="none"/>
              </w:rPr>
              <w:t>建，</w:t>
            </w:r>
            <w:r>
              <w:rPr>
                <w:rFonts w:hint="eastAsia"/>
                <w:color w:val="auto"/>
                <w:highlight w:val="none"/>
                <w:lang w:val="en-US" w:eastAsia="zh-CN"/>
              </w:rPr>
              <w:t>因此，可不</w:t>
            </w:r>
            <w:r>
              <w:rPr>
                <w:rFonts w:hint="default"/>
                <w:color w:val="auto"/>
                <w:highlight w:val="none"/>
              </w:rPr>
              <w:t>进行声环境质量现状监测及评价。</w:t>
            </w:r>
          </w:p>
          <w:p w14:paraId="7EF9D960">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rPr>
              <w:t>4、地下水、土壤环境质量</w:t>
            </w:r>
          </w:p>
          <w:p w14:paraId="5C11796E">
            <w:pPr>
              <w:keepNext w:val="0"/>
              <w:keepLines w:val="0"/>
              <w:suppressLineNumbers w:val="0"/>
              <w:adjustRightInd w:val="0"/>
              <w:snapToGrid w:val="0"/>
              <w:spacing w:before="0" w:beforeAutospacing="0" w:after="0" w:afterAutospacing="0"/>
              <w:ind w:left="0" w:right="0" w:firstLine="480"/>
              <w:rPr>
                <w:rFonts w:hint="default"/>
                <w:color w:val="auto"/>
                <w:highlight w:val="none"/>
              </w:rPr>
            </w:pPr>
            <w:r>
              <w:rPr>
                <w:rFonts w:hint="eastAsia"/>
                <w:color w:val="auto"/>
                <w:highlight w:val="none"/>
              </w:rPr>
              <w:t>本项目厂区内地面</w:t>
            </w:r>
            <w:r>
              <w:rPr>
                <w:rFonts w:hint="eastAsia"/>
                <w:color w:val="auto"/>
                <w:highlight w:val="none"/>
                <w:lang w:val="en-US" w:eastAsia="zh-CN"/>
              </w:rPr>
              <w:t>已</w:t>
            </w:r>
            <w:r>
              <w:rPr>
                <w:rFonts w:hint="eastAsia"/>
                <w:color w:val="auto"/>
                <w:highlight w:val="none"/>
              </w:rPr>
              <w:t>硬化，不存在地下水、土壤污染途径，故无需开展地下水、土壤环境质量现状调查。</w:t>
            </w:r>
          </w:p>
        </w:tc>
      </w:tr>
      <w:tr w14:paraId="279829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51" w:hRule="atLeast"/>
          <w:jc w:val="center"/>
        </w:trPr>
        <w:tc>
          <w:tcPr>
            <w:tcW w:w="446" w:type="pct"/>
            <w:vAlign w:val="center"/>
          </w:tcPr>
          <w:p w14:paraId="276B853B">
            <w:pPr>
              <w:pStyle w:val="80"/>
              <w:keepNext w:val="0"/>
              <w:keepLines w:val="0"/>
              <w:widowControl/>
              <w:suppressLineNumbers w:val="0"/>
              <w:spacing w:before="0" w:beforeAutospacing="0" w:after="0" w:afterAutospacing="0"/>
              <w:ind w:left="0" w:right="0"/>
              <w:rPr>
                <w:rFonts w:hint="default"/>
                <w:color w:val="auto"/>
                <w:sz w:val="24"/>
                <w:szCs w:val="20"/>
                <w:highlight w:val="none"/>
              </w:rPr>
            </w:pPr>
            <w:r>
              <w:rPr>
                <w:rFonts w:hint="default"/>
                <w:color w:val="auto"/>
                <w:sz w:val="24"/>
                <w:szCs w:val="20"/>
                <w:highlight w:val="none"/>
              </w:rPr>
              <w:t>环境</w:t>
            </w:r>
          </w:p>
          <w:p w14:paraId="5071DA3F">
            <w:pPr>
              <w:pStyle w:val="80"/>
              <w:keepNext w:val="0"/>
              <w:keepLines w:val="0"/>
              <w:widowControl/>
              <w:suppressLineNumbers w:val="0"/>
              <w:spacing w:before="0" w:beforeAutospacing="0" w:after="0" w:afterAutospacing="0"/>
              <w:ind w:left="0" w:right="0"/>
              <w:rPr>
                <w:rFonts w:hint="default"/>
                <w:color w:val="auto"/>
                <w:sz w:val="24"/>
                <w:szCs w:val="20"/>
                <w:highlight w:val="none"/>
              </w:rPr>
            </w:pPr>
            <w:r>
              <w:rPr>
                <w:rFonts w:hint="default"/>
                <w:color w:val="auto"/>
                <w:sz w:val="24"/>
                <w:szCs w:val="20"/>
                <w:highlight w:val="none"/>
              </w:rPr>
              <w:t>保护</w:t>
            </w:r>
          </w:p>
          <w:p w14:paraId="4B188E0D">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 w:val="24"/>
                <w:szCs w:val="20"/>
                <w:highlight w:val="none"/>
              </w:rPr>
              <w:t>目标</w:t>
            </w:r>
          </w:p>
        </w:tc>
        <w:tc>
          <w:tcPr>
            <w:tcW w:w="4553" w:type="pct"/>
            <w:vAlign w:val="center"/>
          </w:tcPr>
          <w:p w14:paraId="4EE14AA3">
            <w:pPr>
              <w:keepNext w:val="0"/>
              <w:keepLines w:val="0"/>
              <w:suppressLineNumbers w:val="0"/>
              <w:autoSpaceDE w:val="0"/>
              <w:autoSpaceDN w:val="0"/>
              <w:adjustRightInd w:val="0"/>
              <w:spacing w:before="5" w:beforeAutospacing="0" w:after="0" w:afterAutospacing="0" w:line="10" w:lineRule="exact"/>
              <w:ind w:left="0" w:right="-20" w:firstLine="40"/>
              <w:rPr>
                <w:rFonts w:hint="default"/>
                <w:color w:val="auto"/>
                <w:kern w:val="0"/>
                <w:sz w:val="2"/>
                <w:szCs w:val="2"/>
                <w:highlight w:val="none"/>
              </w:rPr>
            </w:pPr>
          </w:p>
          <w:p w14:paraId="7C1CC652">
            <w:pPr>
              <w:keepNext w:val="0"/>
              <w:keepLines w:val="0"/>
              <w:suppressLineNumbers w:val="0"/>
              <w:spacing w:before="0" w:beforeAutospacing="0" w:after="0" w:afterAutospacing="0"/>
              <w:ind w:left="0" w:right="0" w:firstLine="482"/>
              <w:rPr>
                <w:rFonts w:hint="default"/>
                <w:b/>
                <w:bCs/>
                <w:color w:val="auto"/>
                <w:highlight w:val="none"/>
              </w:rPr>
            </w:pPr>
            <w:r>
              <w:rPr>
                <w:rFonts w:hint="default"/>
                <w:b/>
                <w:bCs/>
                <w:color w:val="auto"/>
                <w:highlight w:val="none"/>
              </w:rPr>
              <w:t>主要环境保护目标（列出名单及保护级别）：</w:t>
            </w:r>
          </w:p>
          <w:p w14:paraId="251B2CC3">
            <w:pPr>
              <w:keepNext w:val="0"/>
              <w:keepLines w:val="0"/>
              <w:suppressLineNumbers w:val="0"/>
              <w:spacing w:before="0" w:beforeAutospacing="0" w:after="0" w:afterAutospacing="0"/>
              <w:ind w:left="0" w:right="0" w:firstLine="600" w:firstLineChars="250"/>
              <w:rPr>
                <w:rFonts w:hint="default" w:eastAsia="宋体"/>
                <w:b/>
                <w:bCs/>
                <w:color w:val="auto"/>
                <w:highlight w:val="none"/>
              </w:rPr>
            </w:pPr>
            <w:r>
              <w:rPr>
                <w:rFonts w:hint="eastAsia"/>
                <w:color w:val="auto"/>
                <w:highlight w:val="none"/>
              </w:rPr>
              <w:t>本项目选址位于西咸新区</w:t>
            </w:r>
            <w:r>
              <w:rPr>
                <w:rFonts w:hint="eastAsia"/>
                <w:color w:val="auto"/>
                <w:highlight w:val="none"/>
                <w:lang w:eastAsia="zh-CN"/>
              </w:rPr>
              <w:t>泾河新城泾干街道泾晨路西</w:t>
            </w:r>
            <w:r>
              <w:rPr>
                <w:rFonts w:hint="eastAsia"/>
                <w:color w:val="auto"/>
                <w:highlight w:val="none"/>
              </w:rPr>
              <w:t>内</w:t>
            </w:r>
            <w:r>
              <w:rPr>
                <w:rFonts w:hint="eastAsia"/>
                <w:color w:val="auto"/>
                <w:highlight w:val="none"/>
                <w:lang w:eastAsia="zh-CN"/>
              </w:rPr>
              <w:t>。</w:t>
            </w:r>
            <w:r>
              <w:rPr>
                <w:rFonts w:hint="default"/>
                <w:color w:val="auto"/>
                <w:kern w:val="0"/>
                <w:highlight w:val="none"/>
              </w:rPr>
              <w:t>根据实地踏勘，本</w:t>
            </w:r>
            <w:r>
              <w:rPr>
                <w:rFonts w:hint="eastAsia"/>
                <w:color w:val="auto"/>
                <w:kern w:val="0"/>
                <w:highlight w:val="none"/>
                <w:lang w:val="en-US" w:eastAsia="zh-CN"/>
              </w:rPr>
              <w:t>项目</w:t>
            </w:r>
            <w:r>
              <w:rPr>
                <w:rFonts w:hint="default"/>
                <w:color w:val="auto"/>
                <w:kern w:val="0"/>
                <w:highlight w:val="none"/>
              </w:rPr>
              <w:t>厂界外500m范围内不存在自然保护区、风景名胜区等保护目标</w:t>
            </w:r>
            <w:r>
              <w:rPr>
                <w:rFonts w:hint="eastAsia"/>
                <w:color w:val="auto"/>
                <w:kern w:val="0"/>
                <w:highlight w:val="none"/>
                <w:lang w:eastAsia="zh-CN"/>
              </w:rPr>
              <w:t>，</w:t>
            </w:r>
            <w:r>
              <w:rPr>
                <w:rFonts w:hint="eastAsia"/>
                <w:color w:val="auto"/>
                <w:kern w:val="0"/>
                <w:highlight w:val="none"/>
                <w:lang w:val="en-US" w:eastAsia="zh-CN"/>
              </w:rPr>
              <w:t>以及</w:t>
            </w:r>
            <w:r>
              <w:rPr>
                <w:rFonts w:hint="default"/>
                <w:color w:val="auto"/>
                <w:kern w:val="0"/>
                <w:highlight w:val="none"/>
              </w:rPr>
              <w:t>集中式饮用水水源、热水、矿泉水、温泉等特殊地下水资源</w:t>
            </w:r>
            <w:r>
              <w:rPr>
                <w:rFonts w:hint="eastAsia"/>
                <w:color w:val="auto"/>
                <w:kern w:val="0"/>
                <w:highlight w:val="none"/>
                <w:lang w:eastAsia="zh-CN"/>
              </w:rPr>
              <w:t>；</w:t>
            </w:r>
            <w:r>
              <w:rPr>
                <w:rFonts w:hint="default"/>
                <w:color w:val="auto"/>
                <w:sz w:val="24"/>
              </w:rPr>
              <w:t>厂界外50m范围内</w:t>
            </w:r>
            <w:r>
              <w:rPr>
                <w:rFonts w:hint="eastAsia"/>
                <w:color w:val="auto"/>
                <w:sz w:val="24"/>
                <w:lang w:val="en-US" w:eastAsia="zh-CN"/>
              </w:rPr>
              <w:t>无</w:t>
            </w:r>
            <w:r>
              <w:rPr>
                <w:rFonts w:hint="default"/>
                <w:color w:val="auto"/>
                <w:sz w:val="24"/>
              </w:rPr>
              <w:t>声环境保护目标</w:t>
            </w:r>
            <w:r>
              <w:rPr>
                <w:rFonts w:hint="eastAsia"/>
                <w:color w:val="auto"/>
                <w:sz w:val="24"/>
                <w:lang w:eastAsia="zh-CN"/>
              </w:rPr>
              <w:t>；</w:t>
            </w:r>
            <w:r>
              <w:rPr>
                <w:rFonts w:hint="eastAsia"/>
                <w:color w:val="auto"/>
                <w:sz w:val="24"/>
                <w:lang w:val="en-US" w:eastAsia="zh-CN"/>
              </w:rPr>
              <w:t>项目</w:t>
            </w:r>
            <w:r>
              <w:rPr>
                <w:rFonts w:hint="default"/>
                <w:color w:val="auto"/>
                <w:sz w:val="24"/>
              </w:rPr>
              <w:t>500m范围内大气环境保护目标见</w:t>
            </w:r>
            <w:r>
              <w:rPr>
                <w:rFonts w:hint="eastAsia"/>
                <w:color w:val="auto"/>
                <w:sz w:val="24"/>
              </w:rPr>
              <w:t>下表</w:t>
            </w:r>
            <w:r>
              <w:rPr>
                <w:rFonts w:hint="default"/>
                <w:color w:val="auto"/>
                <w:kern w:val="0"/>
                <w:highlight w:val="none"/>
              </w:rPr>
              <w:t>。</w:t>
            </w:r>
          </w:p>
          <w:p w14:paraId="2565DA6D">
            <w:pPr>
              <w:pStyle w:val="77"/>
              <w:keepNext w:val="0"/>
              <w:keepLines w:val="0"/>
              <w:widowControl/>
              <w:suppressLineNumbers w:val="0"/>
              <w:spacing w:before="0" w:beforeLines="0" w:beforeAutospacing="0" w:after="0" w:afterAutospacing="0" w:line="240" w:lineRule="auto"/>
              <w:ind w:left="0" w:right="0"/>
              <w:rPr>
                <w:rFonts w:hint="default" w:eastAsia="宋体"/>
                <w:b/>
                <w:bCs/>
                <w:color w:val="auto"/>
                <w:highlight w:val="none"/>
              </w:rPr>
            </w:pPr>
            <w:r>
              <w:rPr>
                <w:rFonts w:hint="default" w:eastAsia="宋体"/>
                <w:b/>
                <w:bCs/>
                <w:color w:val="auto"/>
                <w:highlight w:val="none"/>
              </w:rPr>
              <w:t>表3-3  主要环境保护目标</w:t>
            </w:r>
          </w:p>
          <w:tbl>
            <w:tblPr>
              <w:tblStyle w:val="37"/>
              <w:tblW w:w="497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98"/>
              <w:gridCol w:w="1096"/>
              <w:gridCol w:w="1466"/>
              <w:gridCol w:w="1401"/>
              <w:gridCol w:w="472"/>
              <w:gridCol w:w="1508"/>
              <w:gridCol w:w="667"/>
              <w:gridCol w:w="789"/>
            </w:tblGrid>
            <w:tr w14:paraId="520963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vMerge w:val="restart"/>
                  <w:vAlign w:val="center"/>
                </w:tcPr>
                <w:p w14:paraId="7DD19C0C">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保护内容</w:t>
                  </w:r>
                </w:p>
              </w:tc>
              <w:tc>
                <w:tcPr>
                  <w:tcW w:w="685" w:type="pct"/>
                  <w:vMerge w:val="restart"/>
                  <w:vAlign w:val="center"/>
                </w:tcPr>
                <w:p w14:paraId="36767ADD">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名称</w:t>
                  </w:r>
                </w:p>
              </w:tc>
              <w:tc>
                <w:tcPr>
                  <w:tcW w:w="1792" w:type="pct"/>
                  <w:gridSpan w:val="2"/>
                  <w:vAlign w:val="center"/>
                </w:tcPr>
                <w:p w14:paraId="15E4C1E0">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坐标/°</w:t>
                  </w:r>
                </w:p>
              </w:tc>
              <w:tc>
                <w:tcPr>
                  <w:tcW w:w="295" w:type="pct"/>
                  <w:vMerge w:val="restart"/>
                  <w:vAlign w:val="center"/>
                </w:tcPr>
                <w:p w14:paraId="656FCAC3">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保护对象</w:t>
                  </w:r>
                </w:p>
              </w:tc>
              <w:tc>
                <w:tcPr>
                  <w:tcW w:w="942" w:type="pct"/>
                  <w:vMerge w:val="restart"/>
                  <w:vAlign w:val="center"/>
                </w:tcPr>
                <w:p w14:paraId="46411794">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环境功能区</w:t>
                  </w:r>
                </w:p>
              </w:tc>
              <w:tc>
                <w:tcPr>
                  <w:tcW w:w="417" w:type="pct"/>
                  <w:vMerge w:val="restart"/>
                  <w:vAlign w:val="center"/>
                </w:tcPr>
                <w:p w14:paraId="2FAA62A9">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相对厂址方位</w:t>
                  </w:r>
                </w:p>
              </w:tc>
              <w:tc>
                <w:tcPr>
                  <w:tcW w:w="493" w:type="pct"/>
                  <w:vMerge w:val="restart"/>
                  <w:vAlign w:val="center"/>
                </w:tcPr>
                <w:p w14:paraId="5E4ECFE6">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相对厂界距离（m）</w:t>
                  </w:r>
                </w:p>
              </w:tc>
            </w:tr>
            <w:tr w14:paraId="0A6C72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vMerge w:val="continue"/>
                  <w:vAlign w:val="center"/>
                </w:tcPr>
                <w:p w14:paraId="5BE0EB19">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p>
              </w:tc>
              <w:tc>
                <w:tcPr>
                  <w:tcW w:w="685" w:type="pct"/>
                  <w:vMerge w:val="continue"/>
                  <w:vAlign w:val="center"/>
                </w:tcPr>
                <w:p w14:paraId="11F0CA1F">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p>
              </w:tc>
              <w:tc>
                <w:tcPr>
                  <w:tcW w:w="916" w:type="pct"/>
                  <w:vAlign w:val="center"/>
                </w:tcPr>
                <w:p w14:paraId="63945C6F">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经度</w:t>
                  </w:r>
                </w:p>
              </w:tc>
              <w:tc>
                <w:tcPr>
                  <w:tcW w:w="875" w:type="pct"/>
                  <w:vAlign w:val="center"/>
                </w:tcPr>
                <w:p w14:paraId="02F2767E">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纬度</w:t>
                  </w:r>
                </w:p>
              </w:tc>
              <w:tc>
                <w:tcPr>
                  <w:tcW w:w="295" w:type="pct"/>
                  <w:vMerge w:val="continue"/>
                  <w:vAlign w:val="center"/>
                </w:tcPr>
                <w:p w14:paraId="749BE5FF">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p>
              </w:tc>
              <w:tc>
                <w:tcPr>
                  <w:tcW w:w="942" w:type="pct"/>
                  <w:vMerge w:val="continue"/>
                  <w:vAlign w:val="center"/>
                </w:tcPr>
                <w:p w14:paraId="26DF6B75">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p>
              </w:tc>
              <w:tc>
                <w:tcPr>
                  <w:tcW w:w="417" w:type="pct"/>
                  <w:vMerge w:val="continue"/>
                  <w:vAlign w:val="center"/>
                </w:tcPr>
                <w:p w14:paraId="4D6194BB">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p>
              </w:tc>
              <w:tc>
                <w:tcPr>
                  <w:tcW w:w="493" w:type="pct"/>
                  <w:vMerge w:val="continue"/>
                  <w:vAlign w:val="center"/>
                </w:tcPr>
                <w:p w14:paraId="17975BA3">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p>
              </w:tc>
            </w:tr>
            <w:tr w14:paraId="77E2CE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vMerge w:val="restart"/>
                  <w:vAlign w:val="center"/>
                </w:tcPr>
                <w:p w14:paraId="69608444">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环境</w:t>
                  </w:r>
                </w:p>
                <w:p w14:paraId="3B09A4B9">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空气</w:t>
                  </w:r>
                </w:p>
              </w:tc>
              <w:tc>
                <w:tcPr>
                  <w:tcW w:w="685" w:type="pct"/>
                  <w:vAlign w:val="center"/>
                </w:tcPr>
                <w:p w14:paraId="0E97760A">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南横流村</w:t>
                  </w:r>
                </w:p>
              </w:tc>
              <w:tc>
                <w:tcPr>
                  <w:tcW w:w="916" w:type="pct"/>
                  <w:vAlign w:val="center"/>
                </w:tcPr>
                <w:p w14:paraId="3CC409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eastAsia" w:ascii="Times New Roman" w:hAnsi="Times New Roman" w:eastAsia="宋体" w:cs="Times New Roman"/>
                      <w:color w:val="auto"/>
                      <w:sz w:val="21"/>
                      <w:szCs w:val="21"/>
                      <w:highlight w:val="none"/>
                    </w:rPr>
                    <w:t>108.90009999</w:t>
                  </w:r>
                </w:p>
              </w:tc>
              <w:tc>
                <w:tcPr>
                  <w:tcW w:w="875" w:type="pct"/>
                  <w:vAlign w:val="center"/>
                </w:tcPr>
                <w:p w14:paraId="0C46E19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eastAsia" w:ascii="Times New Roman" w:hAnsi="Times New Roman" w:eastAsia="宋体" w:cs="Times New Roman"/>
                      <w:color w:val="auto"/>
                      <w:sz w:val="21"/>
                      <w:szCs w:val="21"/>
                      <w:highlight w:val="none"/>
                    </w:rPr>
                    <w:t>34.54331914</w:t>
                  </w:r>
                </w:p>
              </w:tc>
              <w:tc>
                <w:tcPr>
                  <w:tcW w:w="295" w:type="pct"/>
                  <w:vMerge w:val="restart"/>
                  <w:vAlign w:val="center"/>
                </w:tcPr>
                <w:p w14:paraId="70C73586">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人群健康</w:t>
                  </w:r>
                </w:p>
              </w:tc>
              <w:tc>
                <w:tcPr>
                  <w:tcW w:w="942" w:type="pct"/>
                  <w:vMerge w:val="restart"/>
                  <w:vAlign w:val="center"/>
                </w:tcPr>
                <w:p w14:paraId="0AC36EB6">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sz w:val="21"/>
                      <w:szCs w:val="21"/>
                      <w:highlight w:val="none"/>
                    </w:rPr>
                    <w:t>《环境空气质量标准》（GB3095-2012）二级标准</w:t>
                  </w:r>
                </w:p>
              </w:tc>
              <w:tc>
                <w:tcPr>
                  <w:tcW w:w="417" w:type="pct"/>
                  <w:vAlign w:val="center"/>
                </w:tcPr>
                <w:p w14:paraId="51AD19B1">
                  <w:pPr>
                    <w:keepNext w:val="0"/>
                    <w:keepLines w:val="0"/>
                    <w:suppressLineNumbers w:val="0"/>
                    <w:adjustRightInd w:val="0"/>
                    <w:snapToGrid w:val="0"/>
                    <w:spacing w:before="0" w:beforeAutospacing="0" w:after="0" w:afterAutospacing="0" w:line="240" w:lineRule="auto"/>
                    <w:ind w:left="0" w:right="0" w:firstLine="0" w:firstLineChars="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西北</w:t>
                  </w:r>
                </w:p>
              </w:tc>
              <w:tc>
                <w:tcPr>
                  <w:tcW w:w="493" w:type="pct"/>
                  <w:vAlign w:val="center"/>
                </w:tcPr>
                <w:p w14:paraId="106951E9">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486</w:t>
                  </w:r>
                </w:p>
              </w:tc>
            </w:tr>
            <w:tr w14:paraId="3C5A27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73" w:type="pct"/>
                  <w:vMerge w:val="continue"/>
                  <w:vAlign w:val="center"/>
                </w:tcPr>
                <w:p w14:paraId="33157E11">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p>
              </w:tc>
              <w:tc>
                <w:tcPr>
                  <w:tcW w:w="685" w:type="pct"/>
                  <w:vAlign w:val="center"/>
                </w:tcPr>
                <w:p w14:paraId="2C531ABB">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lang w:val="en-US" w:eastAsia="zh-CN"/>
                    </w:rPr>
                  </w:pPr>
                  <w:r>
                    <w:rPr>
                      <w:rFonts w:hint="eastAsia"/>
                      <w:color w:val="auto"/>
                      <w:sz w:val="21"/>
                      <w:szCs w:val="21"/>
                      <w:highlight w:val="none"/>
                      <w:lang w:val="en-US" w:eastAsia="zh-CN"/>
                    </w:rPr>
                    <w:t>新庄村</w:t>
                  </w:r>
                </w:p>
              </w:tc>
              <w:tc>
                <w:tcPr>
                  <w:tcW w:w="916" w:type="pct"/>
                  <w:vAlign w:val="center"/>
                </w:tcPr>
                <w:p w14:paraId="18814F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108.90631199</w:t>
                  </w:r>
                </w:p>
              </w:tc>
              <w:tc>
                <w:tcPr>
                  <w:tcW w:w="875" w:type="pct"/>
                  <w:vAlign w:val="center"/>
                </w:tcPr>
                <w:p w14:paraId="6B4BC1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34.54114513</w:t>
                  </w:r>
                </w:p>
              </w:tc>
              <w:tc>
                <w:tcPr>
                  <w:tcW w:w="295" w:type="pct"/>
                  <w:vMerge w:val="continue"/>
                  <w:vAlign w:val="center"/>
                </w:tcPr>
                <w:p w14:paraId="2D5BDE4B">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p>
              </w:tc>
              <w:tc>
                <w:tcPr>
                  <w:tcW w:w="942" w:type="pct"/>
                  <w:vMerge w:val="continue"/>
                  <w:vAlign w:val="center"/>
                </w:tcPr>
                <w:p w14:paraId="6F0D46B4">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p>
              </w:tc>
              <w:tc>
                <w:tcPr>
                  <w:tcW w:w="417" w:type="pct"/>
                  <w:vAlign w:val="center"/>
                </w:tcPr>
                <w:p w14:paraId="78CD2225">
                  <w:pPr>
                    <w:keepNext w:val="0"/>
                    <w:keepLines w:val="0"/>
                    <w:suppressLineNumbers w:val="0"/>
                    <w:adjustRightInd w:val="0"/>
                    <w:snapToGrid w:val="0"/>
                    <w:spacing w:before="0" w:beforeAutospacing="0" w:after="0" w:afterAutospacing="0" w:line="240" w:lineRule="auto"/>
                    <w:ind w:left="0" w:right="0" w:firstLine="0" w:firstLineChars="0"/>
                    <w:jc w:val="center"/>
                    <w:rPr>
                      <w:rFonts w:hint="eastAsia"/>
                      <w:color w:val="auto"/>
                      <w:sz w:val="21"/>
                      <w:szCs w:val="21"/>
                      <w:highlight w:val="none"/>
                      <w:lang w:val="en-US" w:eastAsia="zh-CN"/>
                    </w:rPr>
                  </w:pPr>
                  <w:r>
                    <w:rPr>
                      <w:rFonts w:hint="eastAsia"/>
                      <w:color w:val="auto"/>
                      <w:sz w:val="21"/>
                      <w:szCs w:val="21"/>
                      <w:highlight w:val="none"/>
                      <w:lang w:val="en-US" w:eastAsia="zh-CN"/>
                    </w:rPr>
                    <w:t>东</w:t>
                  </w:r>
                  <w:r>
                    <w:rPr>
                      <w:rFonts w:hint="eastAsia"/>
                      <w:color w:val="auto"/>
                      <w:sz w:val="21"/>
                      <w:szCs w:val="21"/>
                      <w:highlight w:val="none"/>
                    </w:rPr>
                    <w:t>北</w:t>
                  </w:r>
                </w:p>
              </w:tc>
              <w:tc>
                <w:tcPr>
                  <w:tcW w:w="493" w:type="pct"/>
                  <w:vAlign w:val="center"/>
                </w:tcPr>
                <w:p w14:paraId="47234E03">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lang w:val="en-US" w:eastAsia="zh-CN"/>
                    </w:rPr>
                  </w:pPr>
                  <w:r>
                    <w:rPr>
                      <w:rFonts w:hint="eastAsia"/>
                      <w:color w:val="auto"/>
                      <w:sz w:val="21"/>
                      <w:szCs w:val="21"/>
                      <w:highlight w:val="none"/>
                      <w:lang w:val="en-US" w:eastAsia="zh-CN"/>
                    </w:rPr>
                    <w:t>281</w:t>
                  </w:r>
                </w:p>
              </w:tc>
            </w:tr>
          </w:tbl>
          <w:p w14:paraId="78F979FE">
            <w:pPr>
              <w:keepNext w:val="0"/>
              <w:keepLines w:val="0"/>
              <w:suppressLineNumbers w:val="0"/>
              <w:spacing w:before="0" w:beforeAutospacing="0" w:after="0" w:afterAutospacing="0"/>
              <w:ind w:left="0" w:right="0" w:firstLine="0" w:firstLineChars="0"/>
              <w:rPr>
                <w:rFonts w:hint="default"/>
                <w:color w:val="auto"/>
                <w:kern w:val="0"/>
                <w:szCs w:val="21"/>
                <w:highlight w:val="none"/>
              </w:rPr>
            </w:pPr>
          </w:p>
        </w:tc>
      </w:tr>
      <w:tr w14:paraId="091B59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6" w:type="pct"/>
            <w:tcMar>
              <w:left w:w="28" w:type="dxa"/>
              <w:right w:w="28" w:type="dxa"/>
            </w:tcMar>
            <w:vAlign w:val="center"/>
          </w:tcPr>
          <w:p w14:paraId="4D7E05D9">
            <w:pPr>
              <w:pStyle w:val="80"/>
              <w:keepNext w:val="0"/>
              <w:keepLines w:val="0"/>
              <w:widowControl/>
              <w:suppressLineNumbers w:val="0"/>
              <w:spacing w:before="0" w:beforeAutospacing="0" w:after="0" w:afterAutospacing="0"/>
              <w:ind w:left="0" w:right="0"/>
              <w:rPr>
                <w:rFonts w:hint="default"/>
                <w:color w:val="auto"/>
                <w:sz w:val="24"/>
                <w:szCs w:val="20"/>
                <w:highlight w:val="none"/>
              </w:rPr>
            </w:pPr>
            <w:r>
              <w:rPr>
                <w:rFonts w:hint="default"/>
                <w:color w:val="auto"/>
                <w:sz w:val="24"/>
                <w:szCs w:val="20"/>
                <w:highlight w:val="none"/>
              </w:rPr>
              <w:t>污染</w:t>
            </w:r>
          </w:p>
          <w:p w14:paraId="4C0142FD">
            <w:pPr>
              <w:pStyle w:val="80"/>
              <w:keepNext w:val="0"/>
              <w:keepLines w:val="0"/>
              <w:widowControl/>
              <w:suppressLineNumbers w:val="0"/>
              <w:spacing w:before="0" w:beforeAutospacing="0" w:after="0" w:afterAutospacing="0"/>
              <w:ind w:left="0" w:right="0"/>
              <w:rPr>
                <w:rFonts w:hint="default"/>
                <w:color w:val="auto"/>
                <w:sz w:val="24"/>
                <w:szCs w:val="20"/>
                <w:highlight w:val="none"/>
              </w:rPr>
            </w:pPr>
            <w:r>
              <w:rPr>
                <w:rFonts w:hint="default"/>
                <w:color w:val="auto"/>
                <w:sz w:val="24"/>
                <w:szCs w:val="20"/>
                <w:highlight w:val="none"/>
              </w:rPr>
              <w:t>物排</w:t>
            </w:r>
          </w:p>
          <w:p w14:paraId="0D04F028">
            <w:pPr>
              <w:pStyle w:val="80"/>
              <w:keepNext w:val="0"/>
              <w:keepLines w:val="0"/>
              <w:widowControl/>
              <w:suppressLineNumbers w:val="0"/>
              <w:spacing w:before="0" w:beforeAutospacing="0" w:after="0" w:afterAutospacing="0"/>
              <w:ind w:left="0" w:right="0"/>
              <w:rPr>
                <w:rFonts w:hint="default"/>
                <w:color w:val="auto"/>
                <w:sz w:val="24"/>
                <w:szCs w:val="20"/>
                <w:highlight w:val="none"/>
              </w:rPr>
            </w:pPr>
            <w:r>
              <w:rPr>
                <w:rFonts w:hint="default"/>
                <w:color w:val="auto"/>
                <w:sz w:val="24"/>
                <w:szCs w:val="20"/>
                <w:highlight w:val="none"/>
              </w:rPr>
              <w:t>放控</w:t>
            </w:r>
          </w:p>
          <w:p w14:paraId="281C85B3">
            <w:pPr>
              <w:pStyle w:val="80"/>
              <w:keepNext w:val="0"/>
              <w:keepLines w:val="0"/>
              <w:widowControl/>
              <w:suppressLineNumbers w:val="0"/>
              <w:spacing w:before="0" w:beforeAutospacing="0" w:after="0" w:afterAutospacing="0"/>
              <w:ind w:left="0" w:right="0"/>
              <w:rPr>
                <w:rFonts w:hint="default"/>
                <w:color w:val="auto"/>
                <w:sz w:val="24"/>
                <w:szCs w:val="20"/>
                <w:highlight w:val="none"/>
              </w:rPr>
            </w:pPr>
            <w:r>
              <w:rPr>
                <w:rFonts w:hint="default"/>
                <w:color w:val="auto"/>
                <w:sz w:val="24"/>
                <w:szCs w:val="20"/>
                <w:highlight w:val="none"/>
              </w:rPr>
              <w:t>制标</w:t>
            </w:r>
          </w:p>
          <w:p w14:paraId="2551BF07">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 w:val="24"/>
                <w:szCs w:val="20"/>
                <w:highlight w:val="none"/>
              </w:rPr>
              <w:t>准</w:t>
            </w:r>
          </w:p>
        </w:tc>
        <w:tc>
          <w:tcPr>
            <w:tcW w:w="4553" w:type="pct"/>
            <w:vAlign w:val="center"/>
          </w:tcPr>
          <w:p w14:paraId="356637FD">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rPr>
              <w:t>1、</w:t>
            </w:r>
            <w:r>
              <w:rPr>
                <w:rFonts w:hint="default"/>
                <w:b/>
                <w:color w:val="auto"/>
                <w:highlight w:val="none"/>
              </w:rPr>
              <w:t>废气</w:t>
            </w:r>
          </w:p>
          <w:p w14:paraId="270B010E">
            <w:pPr>
              <w:pStyle w:val="32"/>
              <w:keepNext w:val="0"/>
              <w:keepLines w:val="0"/>
              <w:suppressLineNumbers w:val="0"/>
              <w:spacing w:before="0" w:beforeAutospacing="0" w:after="0" w:afterAutospacing="0"/>
              <w:ind w:left="0" w:right="0" w:firstLine="480"/>
              <w:rPr>
                <w:rFonts w:hint="default"/>
                <w:b/>
                <w:bCs/>
                <w:color w:val="auto"/>
                <w:szCs w:val="21"/>
                <w:highlight w:val="none"/>
              </w:rPr>
            </w:pPr>
            <w:r>
              <w:rPr>
                <w:rFonts w:hint="eastAsia" w:ascii="Times New Roman" w:hAnsi="Times New Roman" w:cs="Times New Roman"/>
                <w:color w:val="auto"/>
                <w:sz w:val="24"/>
                <w:lang w:val="en-US" w:eastAsia="zh-CN"/>
              </w:rPr>
              <w:t>运营期燃气锅炉废气</w:t>
            </w:r>
            <w:r>
              <w:rPr>
                <w:rFonts w:hint="default" w:ascii="Times New Roman" w:hAnsi="Times New Roman" w:cs="Times New Roman"/>
                <w:color w:val="auto"/>
                <w:sz w:val="24"/>
                <w:lang w:eastAsia="zh-CN"/>
              </w:rPr>
              <w:t>排放执行《锅炉大气污染物排放标准》（DB61/1226-2018）表3天然气锅炉排放相关浓度限制要求</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4"/>
                <w:lang w:eastAsia="zh-CN"/>
              </w:rPr>
              <w:t>油烟废气排放执行《饮食业油烟排放标准》（GB18483-2001）中的相关要求；恶臭排放执行《恶臭污染物排放标准》（GB14554-93）表1中的二级排放标准限值要求及表2中的排放限值要求</w:t>
            </w:r>
            <w:r>
              <w:rPr>
                <w:rFonts w:hint="eastAsia" w:ascii="Times New Roman" w:hAnsi="Times New Roman"/>
                <w:color w:val="auto"/>
                <w:highlight w:val="none"/>
              </w:rPr>
              <w:t>。</w:t>
            </w:r>
          </w:p>
          <w:p w14:paraId="6D889650">
            <w:pPr>
              <w:pStyle w:val="77"/>
              <w:keepNext w:val="0"/>
              <w:keepLines w:val="0"/>
              <w:widowControl/>
              <w:suppressLineNumbers w:val="0"/>
              <w:spacing w:before="0" w:beforeLines="0" w:beforeAutospacing="0" w:after="0" w:afterAutospacing="0" w:line="240" w:lineRule="auto"/>
              <w:ind w:left="0" w:right="0"/>
              <w:rPr>
                <w:rFonts w:hint="default" w:eastAsia="宋体"/>
                <w:b/>
                <w:bCs/>
                <w:color w:val="auto"/>
                <w:highlight w:val="none"/>
              </w:rPr>
            </w:pPr>
            <w:r>
              <w:rPr>
                <w:rFonts w:hint="default" w:eastAsia="宋体"/>
                <w:b/>
                <w:bCs/>
                <w:color w:val="auto"/>
                <w:highlight w:val="none"/>
              </w:rPr>
              <w:t>表</w:t>
            </w:r>
            <w:r>
              <w:rPr>
                <w:rFonts w:hint="eastAsia" w:eastAsia="宋体"/>
                <w:b/>
                <w:bCs/>
                <w:color w:val="auto"/>
                <w:highlight w:val="none"/>
              </w:rPr>
              <w:t xml:space="preserve">3-4  废气污染物排放标准  </w:t>
            </w:r>
          </w:p>
          <w:tbl>
            <w:tblPr>
              <w:tblStyle w:val="37"/>
              <w:tblW w:w="496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3"/>
              <w:gridCol w:w="637"/>
              <w:gridCol w:w="2295"/>
              <w:gridCol w:w="1943"/>
              <w:gridCol w:w="2400"/>
            </w:tblGrid>
            <w:tr w14:paraId="1A539E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0" w:type="pct"/>
                  <w:tcBorders>
                    <w:tl2br w:val="nil"/>
                    <w:tr2bl w:val="nil"/>
                  </w:tcBorders>
                  <w:vAlign w:val="center"/>
                </w:tcPr>
                <w:p w14:paraId="7015D14E">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阶段</w:t>
                  </w:r>
                </w:p>
              </w:tc>
              <w:tc>
                <w:tcPr>
                  <w:tcW w:w="1837" w:type="pct"/>
                  <w:gridSpan w:val="2"/>
                  <w:tcBorders>
                    <w:tl2br w:val="nil"/>
                    <w:tr2bl w:val="nil"/>
                  </w:tcBorders>
                  <w:vAlign w:val="center"/>
                </w:tcPr>
                <w:p w14:paraId="17DE895A">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污染物</w:t>
                  </w:r>
                </w:p>
              </w:tc>
              <w:tc>
                <w:tcPr>
                  <w:tcW w:w="1217" w:type="pct"/>
                  <w:tcBorders>
                    <w:tl2br w:val="nil"/>
                    <w:tr2bl w:val="nil"/>
                  </w:tcBorders>
                  <w:vAlign w:val="center"/>
                </w:tcPr>
                <w:p w14:paraId="3D07AD57">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排放</w:t>
                  </w:r>
                  <w:r>
                    <w:rPr>
                      <w:rFonts w:hint="default"/>
                      <w:color w:val="auto"/>
                      <w:szCs w:val="20"/>
                      <w:highlight w:val="none"/>
                    </w:rPr>
                    <w:t>限值</w:t>
                  </w:r>
                </w:p>
                <w:p w14:paraId="6F5E2E0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kern w:val="24"/>
                      <w:szCs w:val="20"/>
                      <w:highlight w:val="none"/>
                    </w:rPr>
                    <w:t>（</w:t>
                  </w:r>
                  <w:r>
                    <w:rPr>
                      <w:rFonts w:hint="default"/>
                      <w:color w:val="auto"/>
                      <w:kern w:val="24"/>
                      <w:szCs w:val="20"/>
                      <w:highlight w:val="none"/>
                    </w:rPr>
                    <w:t>mg/m</w:t>
                  </w:r>
                  <w:r>
                    <w:rPr>
                      <w:rFonts w:hint="default"/>
                      <w:color w:val="auto"/>
                      <w:kern w:val="24"/>
                      <w:szCs w:val="20"/>
                      <w:highlight w:val="none"/>
                      <w:vertAlign w:val="superscript"/>
                    </w:rPr>
                    <w:t>3</w:t>
                  </w:r>
                  <w:r>
                    <w:rPr>
                      <w:rFonts w:hint="eastAsia"/>
                      <w:color w:val="auto"/>
                      <w:kern w:val="24"/>
                      <w:szCs w:val="20"/>
                      <w:highlight w:val="none"/>
                    </w:rPr>
                    <w:t>）</w:t>
                  </w:r>
                </w:p>
              </w:tc>
              <w:tc>
                <w:tcPr>
                  <w:tcW w:w="1504" w:type="pct"/>
                  <w:tcBorders>
                    <w:tl2br w:val="nil"/>
                    <w:tr2bl w:val="nil"/>
                  </w:tcBorders>
                  <w:vAlign w:val="center"/>
                </w:tcPr>
                <w:p w14:paraId="1FDEDAB7">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执行标准</w:t>
                  </w:r>
                </w:p>
              </w:tc>
            </w:tr>
            <w:tr w14:paraId="69A110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0" w:type="pct"/>
                  <w:vMerge w:val="restart"/>
                  <w:tcBorders>
                    <w:tl2br w:val="nil"/>
                    <w:tr2bl w:val="nil"/>
                  </w:tcBorders>
                  <w:vAlign w:val="center"/>
                </w:tcPr>
                <w:p w14:paraId="17A86D1C">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运营期</w:t>
                  </w:r>
                </w:p>
              </w:tc>
              <w:tc>
                <w:tcPr>
                  <w:tcW w:w="399" w:type="pct"/>
                  <w:vMerge w:val="restart"/>
                  <w:tcBorders>
                    <w:tl2br w:val="nil"/>
                    <w:tr2bl w:val="nil"/>
                  </w:tcBorders>
                  <w:vAlign w:val="center"/>
                </w:tcPr>
                <w:p w14:paraId="0AE3EEF6">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锅炉废气</w:t>
                  </w:r>
                </w:p>
              </w:tc>
              <w:tc>
                <w:tcPr>
                  <w:tcW w:w="1438" w:type="pct"/>
                  <w:tcBorders>
                    <w:tl2br w:val="nil"/>
                    <w:tr2bl w:val="nil"/>
                  </w:tcBorders>
                  <w:vAlign w:val="center"/>
                </w:tcPr>
                <w:p w14:paraId="12C4E53C">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eastAsia="zh-CN"/>
                    </w:rPr>
                  </w:pPr>
                  <w:r>
                    <w:rPr>
                      <w:rFonts w:hint="default" w:ascii="Times New Roman" w:hAnsi="Times New Roman" w:eastAsia="宋体" w:cs="Times New Roman"/>
                      <w:color w:val="auto"/>
                      <w:szCs w:val="20"/>
                      <w:highlight w:val="none"/>
                      <w:lang w:eastAsia="zh-CN"/>
                    </w:rPr>
                    <w:t>颗粒物</w:t>
                  </w:r>
                </w:p>
              </w:tc>
              <w:tc>
                <w:tcPr>
                  <w:tcW w:w="1217" w:type="pct"/>
                  <w:tcBorders>
                    <w:tl2br w:val="nil"/>
                    <w:tr2bl w:val="nil"/>
                  </w:tcBorders>
                  <w:vAlign w:val="center"/>
                </w:tcPr>
                <w:p w14:paraId="744A5568">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eastAsia="zh-CN"/>
                    </w:rPr>
                  </w:pPr>
                  <w:r>
                    <w:rPr>
                      <w:rFonts w:hint="default" w:ascii="Times New Roman" w:hAnsi="Times New Roman" w:eastAsia="宋体" w:cs="Times New Roman"/>
                      <w:color w:val="auto"/>
                      <w:szCs w:val="20"/>
                      <w:highlight w:val="none"/>
                      <w:lang w:eastAsia="zh-CN"/>
                    </w:rPr>
                    <w:t>10</w:t>
                  </w:r>
                </w:p>
              </w:tc>
              <w:tc>
                <w:tcPr>
                  <w:tcW w:w="1504" w:type="pct"/>
                  <w:vMerge w:val="restart"/>
                  <w:tcBorders>
                    <w:tl2br w:val="nil"/>
                    <w:tr2bl w:val="nil"/>
                  </w:tcBorders>
                  <w:vAlign w:val="center"/>
                </w:tcPr>
                <w:p w14:paraId="6A50555E">
                  <w:pPr>
                    <w:pStyle w:val="80"/>
                    <w:keepNext w:val="0"/>
                    <w:keepLines w:val="0"/>
                    <w:widowControl/>
                    <w:suppressLineNumbers w:val="0"/>
                    <w:spacing w:before="0" w:beforeAutospacing="0" w:after="0" w:afterAutospacing="0"/>
                    <w:ind w:left="0" w:right="0"/>
                    <w:rPr>
                      <w:rFonts w:hint="default"/>
                      <w:color w:val="auto"/>
                      <w:szCs w:val="20"/>
                      <w:highlight w:val="none"/>
                      <w:lang w:val="en-US"/>
                    </w:rPr>
                  </w:pPr>
                  <w:r>
                    <w:rPr>
                      <w:rFonts w:hint="default" w:ascii="Times New Roman" w:hAnsi="Times New Roman" w:cs="Times New Roman"/>
                      <w:color w:val="auto"/>
                      <w:sz w:val="21"/>
                      <w:szCs w:val="21"/>
                      <w:lang w:eastAsia="zh-CN"/>
                    </w:rPr>
                    <w:t>《锅炉大气污染物排放标准》（DB61/1226-2018）</w:t>
                  </w:r>
                  <w:r>
                    <w:rPr>
                      <w:rFonts w:hint="eastAsia" w:cs="Times New Roman"/>
                      <w:color w:val="auto"/>
                      <w:sz w:val="21"/>
                      <w:szCs w:val="21"/>
                      <w:lang w:val="en-US" w:eastAsia="zh-CN"/>
                    </w:rPr>
                    <w:t>表3</w:t>
                  </w:r>
                </w:p>
              </w:tc>
            </w:tr>
            <w:tr w14:paraId="7E954D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0" w:type="pct"/>
                  <w:vMerge w:val="continue"/>
                  <w:tcBorders>
                    <w:tl2br w:val="nil"/>
                    <w:tr2bl w:val="nil"/>
                  </w:tcBorders>
                  <w:vAlign w:val="center"/>
                </w:tcPr>
                <w:p w14:paraId="7B0F5D35">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399" w:type="pct"/>
                  <w:vMerge w:val="continue"/>
                  <w:tcBorders>
                    <w:tl2br w:val="nil"/>
                    <w:tr2bl w:val="nil"/>
                  </w:tcBorders>
                  <w:vAlign w:val="center"/>
                </w:tcPr>
                <w:p w14:paraId="106FFDDF">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1438" w:type="pct"/>
                  <w:tcBorders>
                    <w:tl2br w:val="nil"/>
                    <w:tr2bl w:val="nil"/>
                  </w:tcBorders>
                  <w:vAlign w:val="center"/>
                </w:tcPr>
                <w:p w14:paraId="592F8ED9">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eastAsia="zh-CN"/>
                    </w:rPr>
                  </w:pPr>
                  <w:r>
                    <w:rPr>
                      <w:rFonts w:hint="default" w:ascii="Times New Roman" w:hAnsi="Times New Roman" w:eastAsia="宋体" w:cs="Times New Roman"/>
                      <w:color w:val="auto"/>
                      <w:szCs w:val="20"/>
                      <w:highlight w:val="none"/>
                      <w:lang w:eastAsia="zh-CN"/>
                    </w:rPr>
                    <w:t>SO</w:t>
                  </w:r>
                  <w:r>
                    <w:rPr>
                      <w:rFonts w:hint="default" w:ascii="Times New Roman" w:hAnsi="Times New Roman" w:eastAsia="宋体" w:cs="Times New Roman"/>
                      <w:color w:val="auto"/>
                      <w:szCs w:val="20"/>
                      <w:highlight w:val="none"/>
                      <w:vertAlign w:val="subscript"/>
                      <w:lang w:eastAsia="zh-CN"/>
                    </w:rPr>
                    <w:t>2</w:t>
                  </w:r>
                </w:p>
              </w:tc>
              <w:tc>
                <w:tcPr>
                  <w:tcW w:w="1217" w:type="pct"/>
                  <w:tcBorders>
                    <w:tl2br w:val="nil"/>
                    <w:tr2bl w:val="nil"/>
                  </w:tcBorders>
                  <w:vAlign w:val="center"/>
                </w:tcPr>
                <w:p w14:paraId="2199B89D">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eastAsia="zh-CN"/>
                    </w:rPr>
                  </w:pPr>
                  <w:r>
                    <w:rPr>
                      <w:rFonts w:hint="default" w:ascii="Times New Roman" w:hAnsi="Times New Roman" w:eastAsia="宋体" w:cs="Times New Roman"/>
                      <w:color w:val="auto"/>
                      <w:szCs w:val="20"/>
                      <w:highlight w:val="none"/>
                      <w:lang w:eastAsia="zh-CN"/>
                    </w:rPr>
                    <w:t>20</w:t>
                  </w:r>
                </w:p>
              </w:tc>
              <w:tc>
                <w:tcPr>
                  <w:tcW w:w="1504" w:type="pct"/>
                  <w:vMerge w:val="continue"/>
                  <w:tcBorders>
                    <w:tl2br w:val="nil"/>
                    <w:tr2bl w:val="nil"/>
                  </w:tcBorders>
                  <w:vAlign w:val="center"/>
                </w:tcPr>
                <w:p w14:paraId="1BBEFCDE">
                  <w:pPr>
                    <w:pStyle w:val="80"/>
                    <w:keepNext w:val="0"/>
                    <w:keepLines w:val="0"/>
                    <w:widowControl/>
                    <w:suppressLineNumbers w:val="0"/>
                    <w:spacing w:before="0" w:beforeAutospacing="0" w:after="0" w:afterAutospacing="0"/>
                    <w:ind w:left="0" w:right="0"/>
                    <w:rPr>
                      <w:rFonts w:hint="default" w:ascii="Times New Roman" w:hAnsi="Times New Roman" w:cs="Times New Roman"/>
                      <w:color w:val="auto"/>
                      <w:sz w:val="21"/>
                      <w:szCs w:val="21"/>
                      <w:lang w:eastAsia="zh-CN"/>
                    </w:rPr>
                  </w:pPr>
                </w:p>
              </w:tc>
            </w:tr>
            <w:tr w14:paraId="17F51B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0" w:type="pct"/>
                  <w:vMerge w:val="continue"/>
                  <w:tcBorders>
                    <w:tl2br w:val="nil"/>
                    <w:tr2bl w:val="nil"/>
                  </w:tcBorders>
                  <w:vAlign w:val="center"/>
                </w:tcPr>
                <w:p w14:paraId="2B098456">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399" w:type="pct"/>
                  <w:vMerge w:val="continue"/>
                  <w:tcBorders>
                    <w:tl2br w:val="nil"/>
                    <w:tr2bl w:val="nil"/>
                  </w:tcBorders>
                  <w:vAlign w:val="center"/>
                </w:tcPr>
                <w:p w14:paraId="29046223">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1438" w:type="pct"/>
                  <w:tcBorders>
                    <w:tl2br w:val="nil"/>
                    <w:tr2bl w:val="nil"/>
                  </w:tcBorders>
                  <w:vAlign w:val="center"/>
                </w:tcPr>
                <w:p w14:paraId="1E3532DF">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eastAsia="zh-CN"/>
                    </w:rPr>
                  </w:pPr>
                  <w:r>
                    <w:rPr>
                      <w:rFonts w:hint="default" w:ascii="Times New Roman" w:hAnsi="Times New Roman" w:eastAsia="宋体" w:cs="Times New Roman"/>
                      <w:color w:val="auto"/>
                      <w:szCs w:val="20"/>
                      <w:highlight w:val="none"/>
                      <w:lang w:eastAsia="zh-CN"/>
                    </w:rPr>
                    <w:t>NOx</w:t>
                  </w:r>
                </w:p>
              </w:tc>
              <w:tc>
                <w:tcPr>
                  <w:tcW w:w="1217" w:type="pct"/>
                  <w:tcBorders>
                    <w:tl2br w:val="nil"/>
                    <w:tr2bl w:val="nil"/>
                  </w:tcBorders>
                  <w:vAlign w:val="center"/>
                </w:tcPr>
                <w:p w14:paraId="6B32AFF0">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val="en-US" w:eastAsia="zh-CN"/>
                    </w:rPr>
                  </w:pPr>
                  <w:r>
                    <w:rPr>
                      <w:rFonts w:hint="eastAsia" w:cs="Times New Roman"/>
                      <w:color w:val="auto"/>
                      <w:szCs w:val="20"/>
                      <w:highlight w:val="none"/>
                      <w:lang w:val="en-US" w:eastAsia="zh-CN"/>
                    </w:rPr>
                    <w:t>30</w:t>
                  </w:r>
                </w:p>
              </w:tc>
              <w:tc>
                <w:tcPr>
                  <w:tcW w:w="1504" w:type="pct"/>
                  <w:tcBorders>
                    <w:tl2br w:val="nil"/>
                    <w:tr2bl w:val="nil"/>
                  </w:tcBorders>
                  <w:vAlign w:val="center"/>
                </w:tcPr>
                <w:p w14:paraId="64C279C2">
                  <w:pPr>
                    <w:pStyle w:val="80"/>
                    <w:keepNext w:val="0"/>
                    <w:keepLines w:val="0"/>
                    <w:widowControl/>
                    <w:suppressLineNumbers w:val="0"/>
                    <w:spacing w:before="0" w:beforeAutospacing="0" w:after="0" w:afterAutospacing="0"/>
                    <w:ind w:left="0" w:right="0"/>
                    <w:rPr>
                      <w:rFonts w:hint="default" w:ascii="Times New Roman" w:hAnsi="Times New Roman" w:cs="Times New Roman"/>
                      <w:color w:val="auto"/>
                      <w:sz w:val="21"/>
                      <w:szCs w:val="21"/>
                      <w:lang w:eastAsia="zh-CN"/>
                    </w:rPr>
                  </w:pPr>
                  <w:r>
                    <w:rPr>
                      <w:rFonts w:hint="default"/>
                      <w:color w:val="auto"/>
                      <w:kern w:val="2"/>
                      <w:szCs w:val="24"/>
                      <w:highlight w:val="none"/>
                    </w:rPr>
                    <w:t>《</w:t>
                  </w:r>
                  <w:r>
                    <w:rPr>
                      <w:rFonts w:hint="eastAsia"/>
                      <w:color w:val="auto"/>
                      <w:kern w:val="2"/>
                      <w:szCs w:val="24"/>
                      <w:highlight w:val="none"/>
                    </w:rPr>
                    <w:t>西咸新区</w:t>
                  </w:r>
                  <w:r>
                    <w:rPr>
                      <w:rFonts w:hint="default"/>
                      <w:color w:val="auto"/>
                      <w:kern w:val="2"/>
                      <w:szCs w:val="24"/>
                      <w:highlight w:val="none"/>
                    </w:rPr>
                    <w:t>大气污染治理专项行动</w:t>
                  </w:r>
                  <w:r>
                    <w:rPr>
                      <w:rFonts w:hint="eastAsia"/>
                      <w:color w:val="auto"/>
                      <w:kern w:val="2"/>
                      <w:szCs w:val="24"/>
                      <w:highlight w:val="none"/>
                      <w:lang w:val="en-US" w:eastAsia="zh-CN"/>
                    </w:rPr>
                    <w:t>2024</w:t>
                  </w:r>
                  <w:r>
                    <w:rPr>
                      <w:rFonts w:hint="default"/>
                      <w:color w:val="auto"/>
                      <w:kern w:val="2"/>
                      <w:szCs w:val="24"/>
                      <w:highlight w:val="none"/>
                    </w:rPr>
                    <w:t>年</w:t>
                  </w:r>
                  <w:r>
                    <w:rPr>
                      <w:rFonts w:hint="eastAsia"/>
                      <w:color w:val="auto"/>
                      <w:kern w:val="2"/>
                      <w:szCs w:val="24"/>
                      <w:highlight w:val="none"/>
                      <w:lang w:val="en-US" w:eastAsia="zh-CN"/>
                    </w:rPr>
                    <w:t>工作方案</w:t>
                  </w:r>
                  <w:r>
                    <w:rPr>
                      <w:rFonts w:hint="default"/>
                      <w:color w:val="auto"/>
                      <w:szCs w:val="20"/>
                      <w:highlight w:val="none"/>
                      <w:lang w:val="en-US" w:eastAsia="zh-CN"/>
                    </w:rPr>
                    <w:t>》</w:t>
                  </w:r>
                </w:p>
              </w:tc>
            </w:tr>
            <w:tr w14:paraId="2B6222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0" w:type="pct"/>
                  <w:vMerge w:val="continue"/>
                  <w:tcBorders>
                    <w:tl2br w:val="nil"/>
                    <w:tr2bl w:val="nil"/>
                  </w:tcBorders>
                  <w:vAlign w:val="center"/>
                </w:tcPr>
                <w:p w14:paraId="07E1388E">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399" w:type="pct"/>
                  <w:tcBorders>
                    <w:tl2br w:val="nil"/>
                    <w:tr2bl w:val="nil"/>
                  </w:tcBorders>
                  <w:vAlign w:val="center"/>
                </w:tcPr>
                <w:p w14:paraId="056AF18B">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油烟</w:t>
                  </w:r>
                </w:p>
              </w:tc>
              <w:tc>
                <w:tcPr>
                  <w:tcW w:w="1438" w:type="pct"/>
                  <w:tcBorders>
                    <w:tl2br w:val="nil"/>
                    <w:tr2bl w:val="nil"/>
                  </w:tcBorders>
                  <w:vAlign w:val="center"/>
                </w:tcPr>
                <w:p w14:paraId="7F42EEB6">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eastAsia="zh-CN"/>
                    </w:rPr>
                  </w:pPr>
                  <w:r>
                    <w:rPr>
                      <w:rFonts w:hint="default" w:ascii="Times New Roman" w:hAnsi="Times New Roman" w:eastAsia="宋体" w:cs="Times New Roman"/>
                      <w:color w:val="auto"/>
                      <w:szCs w:val="20"/>
                      <w:highlight w:val="none"/>
                      <w:lang w:eastAsia="zh-CN"/>
                    </w:rPr>
                    <w:t>油烟</w:t>
                  </w:r>
                  <w:r>
                    <w:rPr>
                      <w:rFonts w:hint="default" w:ascii="Times New Roman" w:hAnsi="Times New Roman" w:eastAsia="宋体" w:cs="Times New Roman"/>
                      <w:color w:val="auto"/>
                      <w:szCs w:val="20"/>
                      <w:highlight w:val="none"/>
                      <w:lang w:val="en-US" w:eastAsia="zh-CN"/>
                    </w:rPr>
                    <w:t>（</w:t>
                  </w:r>
                  <w:r>
                    <w:rPr>
                      <w:rFonts w:hint="eastAsia" w:cs="Times New Roman"/>
                      <w:color w:val="auto"/>
                      <w:szCs w:val="20"/>
                      <w:highlight w:val="none"/>
                      <w:lang w:val="en-US" w:eastAsia="zh-CN"/>
                    </w:rPr>
                    <w:t>基准灶头6个，大型规模，净化设施最低</w:t>
                  </w:r>
                  <w:r>
                    <w:rPr>
                      <w:rFonts w:hint="default" w:ascii="Times New Roman" w:hAnsi="Times New Roman" w:eastAsia="宋体" w:cs="Times New Roman"/>
                      <w:color w:val="auto"/>
                      <w:szCs w:val="20"/>
                      <w:highlight w:val="none"/>
                      <w:lang w:val="en-US" w:eastAsia="zh-CN"/>
                    </w:rPr>
                    <w:t>去除效率</w:t>
                  </w:r>
                  <w:r>
                    <w:rPr>
                      <w:rFonts w:hint="eastAsia" w:ascii="Times New Roman" w:hAnsi="Times New Roman" w:eastAsia="宋体" w:cs="Times New Roman"/>
                      <w:color w:val="auto"/>
                      <w:szCs w:val="20"/>
                      <w:highlight w:val="none"/>
                      <w:lang w:val="en-US" w:eastAsia="zh-CN"/>
                    </w:rPr>
                    <w:t>85</w:t>
                  </w:r>
                  <w:r>
                    <w:rPr>
                      <w:rFonts w:hint="default" w:ascii="Times New Roman" w:hAnsi="Times New Roman" w:eastAsia="宋体" w:cs="Times New Roman"/>
                      <w:color w:val="auto"/>
                      <w:szCs w:val="20"/>
                      <w:highlight w:val="none"/>
                      <w:lang w:eastAsia="zh-CN"/>
                    </w:rPr>
                    <w:t>%</w:t>
                  </w:r>
                  <w:r>
                    <w:rPr>
                      <w:rFonts w:hint="default" w:ascii="Times New Roman" w:hAnsi="Times New Roman" w:eastAsia="宋体" w:cs="Times New Roman"/>
                      <w:color w:val="auto"/>
                      <w:szCs w:val="20"/>
                      <w:highlight w:val="none"/>
                      <w:lang w:val="en-US" w:eastAsia="zh-CN"/>
                    </w:rPr>
                    <w:t>）</w:t>
                  </w:r>
                </w:p>
              </w:tc>
              <w:tc>
                <w:tcPr>
                  <w:tcW w:w="1217" w:type="pct"/>
                  <w:tcBorders>
                    <w:tl2br w:val="nil"/>
                    <w:tr2bl w:val="nil"/>
                  </w:tcBorders>
                  <w:vAlign w:val="center"/>
                </w:tcPr>
                <w:p w14:paraId="5C935555">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eastAsia="zh-CN"/>
                    </w:rPr>
                  </w:pPr>
                  <w:r>
                    <w:rPr>
                      <w:rFonts w:hint="default" w:ascii="Times New Roman" w:hAnsi="Times New Roman" w:eastAsia="宋体" w:cs="Times New Roman"/>
                      <w:color w:val="auto"/>
                      <w:szCs w:val="20"/>
                      <w:highlight w:val="none"/>
                      <w:lang w:eastAsia="zh-CN"/>
                    </w:rPr>
                    <w:t>2.0</w:t>
                  </w:r>
                </w:p>
              </w:tc>
              <w:tc>
                <w:tcPr>
                  <w:tcW w:w="1504" w:type="pct"/>
                  <w:tcBorders>
                    <w:tl2br w:val="nil"/>
                    <w:tr2bl w:val="nil"/>
                  </w:tcBorders>
                  <w:vAlign w:val="center"/>
                </w:tcPr>
                <w:p w14:paraId="0B30A353">
                  <w:pPr>
                    <w:pStyle w:val="80"/>
                    <w:keepNext w:val="0"/>
                    <w:keepLines w:val="0"/>
                    <w:widowControl/>
                    <w:suppressLineNumbers w:val="0"/>
                    <w:spacing w:before="0" w:beforeAutospacing="0" w:after="0" w:afterAutospacing="0"/>
                    <w:ind w:left="0" w:right="0"/>
                    <w:rPr>
                      <w:rFonts w:hint="eastAsia"/>
                      <w:color w:val="auto"/>
                      <w:szCs w:val="20"/>
                      <w:highlight w:val="none"/>
                    </w:rPr>
                  </w:pPr>
                  <w:r>
                    <w:rPr>
                      <w:rFonts w:hint="default" w:ascii="Times New Roman" w:hAnsi="Times New Roman" w:cs="Times New Roman"/>
                      <w:color w:val="auto"/>
                      <w:sz w:val="21"/>
                      <w:szCs w:val="21"/>
                      <w:lang w:eastAsia="zh-CN"/>
                    </w:rPr>
                    <w:t>《饮食业油烟排放标准》（GB18483-2001）</w:t>
                  </w:r>
                </w:p>
              </w:tc>
            </w:tr>
            <w:tr w14:paraId="066757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0" w:type="pct"/>
                  <w:vMerge w:val="continue"/>
                  <w:tcBorders>
                    <w:tl2br w:val="nil"/>
                    <w:tr2bl w:val="nil"/>
                  </w:tcBorders>
                  <w:vAlign w:val="center"/>
                </w:tcPr>
                <w:p w14:paraId="3A5083DA">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399" w:type="pct"/>
                  <w:tcBorders>
                    <w:tl2br w:val="nil"/>
                    <w:tr2bl w:val="nil"/>
                  </w:tcBorders>
                  <w:vAlign w:val="center"/>
                </w:tcPr>
                <w:p w14:paraId="0D09E363">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粉尘</w:t>
                  </w:r>
                </w:p>
              </w:tc>
              <w:tc>
                <w:tcPr>
                  <w:tcW w:w="1438" w:type="pct"/>
                  <w:tcBorders>
                    <w:tl2br w:val="nil"/>
                    <w:tr2bl w:val="nil"/>
                  </w:tcBorders>
                  <w:vAlign w:val="center"/>
                </w:tcPr>
                <w:p w14:paraId="79005F58">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val="en-US" w:eastAsia="zh-CN"/>
                    </w:rPr>
                  </w:pPr>
                  <w:r>
                    <w:rPr>
                      <w:rFonts w:hint="eastAsia" w:cs="Times New Roman"/>
                      <w:color w:val="auto"/>
                      <w:szCs w:val="20"/>
                      <w:highlight w:val="none"/>
                      <w:lang w:val="en-US" w:eastAsia="zh-CN"/>
                    </w:rPr>
                    <w:t>颗粒物（无组织排放）</w:t>
                  </w:r>
                </w:p>
              </w:tc>
              <w:tc>
                <w:tcPr>
                  <w:tcW w:w="1217" w:type="pct"/>
                  <w:tcBorders>
                    <w:tl2br w:val="nil"/>
                    <w:tr2bl w:val="nil"/>
                  </w:tcBorders>
                  <w:vAlign w:val="center"/>
                </w:tcPr>
                <w:p w14:paraId="68441899">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val="en-US" w:eastAsia="zh-CN"/>
                    </w:rPr>
                  </w:pPr>
                  <w:r>
                    <w:rPr>
                      <w:rFonts w:hint="eastAsia" w:cs="Times New Roman"/>
                      <w:color w:val="auto"/>
                      <w:szCs w:val="20"/>
                      <w:highlight w:val="none"/>
                      <w:lang w:val="en-US" w:eastAsia="zh-CN"/>
                    </w:rPr>
                    <w:t>1.0</w:t>
                  </w:r>
                </w:p>
              </w:tc>
              <w:tc>
                <w:tcPr>
                  <w:tcW w:w="1504" w:type="pct"/>
                  <w:tcBorders>
                    <w:tl2br w:val="nil"/>
                    <w:tr2bl w:val="nil"/>
                  </w:tcBorders>
                  <w:vAlign w:val="center"/>
                </w:tcPr>
                <w:p w14:paraId="7DD9C245">
                  <w:pPr>
                    <w:pStyle w:val="80"/>
                    <w:keepNext w:val="0"/>
                    <w:keepLines w:val="0"/>
                    <w:widowControl/>
                    <w:suppressLineNumbers w:val="0"/>
                    <w:spacing w:before="0" w:beforeAutospacing="0" w:after="0" w:afterAutospacing="0"/>
                    <w:ind w:left="0" w:right="0"/>
                    <w:rPr>
                      <w:rFonts w:hint="default" w:ascii="Times New Roman" w:hAnsi="Times New Roman" w:cs="Times New Roman"/>
                      <w:color w:val="auto"/>
                      <w:sz w:val="21"/>
                      <w:szCs w:val="21"/>
                      <w:lang w:eastAsia="zh-CN"/>
                    </w:rPr>
                  </w:pPr>
                  <w:r>
                    <w:rPr>
                      <w:rFonts w:hint="default" w:ascii="Times New Roman" w:hAnsi="Times New Roman" w:eastAsia="宋体" w:cs="Times New Roman"/>
                      <w:b w:val="0"/>
                      <w:color w:val="auto"/>
                      <w:kern w:val="2"/>
                      <w:sz w:val="21"/>
                      <w:szCs w:val="24"/>
                      <w:lang w:val="en-US" w:eastAsia="zh-CN" w:bidi="ar-SA"/>
                    </w:rPr>
                    <w:t>《大气污染物综合排放标准》（GB16297-1996）表2标准</w:t>
                  </w:r>
                </w:p>
              </w:tc>
            </w:tr>
            <w:tr w14:paraId="0812D1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0" w:type="pct"/>
                  <w:vMerge w:val="continue"/>
                  <w:tcBorders>
                    <w:tl2br w:val="nil"/>
                    <w:tr2bl w:val="nil"/>
                  </w:tcBorders>
                  <w:vAlign w:val="center"/>
                </w:tcPr>
                <w:p w14:paraId="00F89A9B">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99" w:type="pct"/>
                  <w:vMerge w:val="restart"/>
                  <w:tcBorders>
                    <w:tl2br w:val="nil"/>
                    <w:tr2bl w:val="nil"/>
                  </w:tcBorders>
                  <w:vAlign w:val="center"/>
                </w:tcPr>
                <w:p w14:paraId="2553F95A">
                  <w:pPr>
                    <w:pStyle w:val="80"/>
                    <w:keepNext w:val="0"/>
                    <w:keepLines w:val="0"/>
                    <w:widowControl/>
                    <w:suppressLineNumbers w:val="0"/>
                    <w:spacing w:before="0" w:beforeAutospacing="0" w:after="0" w:afterAutospacing="0"/>
                    <w:ind w:left="0" w:right="0"/>
                    <w:rPr>
                      <w:rFonts w:hint="eastAsia" w:eastAsia="宋体"/>
                      <w:color w:val="auto"/>
                      <w:szCs w:val="20"/>
                      <w:highlight w:val="none"/>
                      <w:lang w:eastAsia="zh-CN"/>
                    </w:rPr>
                  </w:pPr>
                  <w:r>
                    <w:rPr>
                      <w:rFonts w:hint="eastAsia"/>
                      <w:color w:val="auto"/>
                      <w:szCs w:val="20"/>
                      <w:highlight w:val="none"/>
                      <w:lang w:val="en-US" w:eastAsia="zh-CN"/>
                    </w:rPr>
                    <w:t>异味</w:t>
                  </w:r>
                </w:p>
              </w:tc>
              <w:tc>
                <w:tcPr>
                  <w:tcW w:w="1438" w:type="pct"/>
                  <w:tcBorders>
                    <w:tl2br w:val="nil"/>
                    <w:tr2bl w:val="nil"/>
                  </w:tcBorders>
                  <w:vAlign w:val="center"/>
                </w:tcPr>
                <w:p w14:paraId="7B75E9DC">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eastAsia="zh-CN"/>
                    </w:rPr>
                  </w:pPr>
                  <w:r>
                    <w:rPr>
                      <w:rFonts w:hint="default" w:ascii="Times New Roman" w:hAnsi="Times New Roman" w:eastAsia="宋体" w:cs="Times New Roman"/>
                      <w:color w:val="auto"/>
                      <w:szCs w:val="20"/>
                      <w:highlight w:val="none"/>
                      <w:lang w:eastAsia="zh-CN"/>
                    </w:rPr>
                    <w:t>氨</w:t>
                  </w:r>
                </w:p>
              </w:tc>
              <w:tc>
                <w:tcPr>
                  <w:tcW w:w="1217" w:type="pct"/>
                  <w:tcBorders>
                    <w:tl2br w:val="nil"/>
                    <w:tr2bl w:val="nil"/>
                  </w:tcBorders>
                  <w:vAlign w:val="center"/>
                </w:tcPr>
                <w:p w14:paraId="55D6B730">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eastAsia="zh-CN"/>
                    </w:rPr>
                  </w:pPr>
                  <w:r>
                    <w:rPr>
                      <w:rFonts w:hint="default" w:ascii="Times New Roman" w:hAnsi="Times New Roman" w:eastAsia="宋体" w:cs="Times New Roman"/>
                      <w:color w:val="auto"/>
                      <w:szCs w:val="20"/>
                      <w:highlight w:val="none"/>
                      <w:lang w:eastAsia="zh-CN"/>
                    </w:rPr>
                    <w:t>1.5</w:t>
                  </w:r>
                </w:p>
              </w:tc>
              <w:tc>
                <w:tcPr>
                  <w:tcW w:w="1504" w:type="pct"/>
                  <w:vMerge w:val="restart"/>
                  <w:tcBorders>
                    <w:tl2br w:val="nil"/>
                    <w:tr2bl w:val="nil"/>
                  </w:tcBorders>
                  <w:vAlign w:val="center"/>
                </w:tcPr>
                <w:p w14:paraId="16A2FAD4">
                  <w:pPr>
                    <w:pStyle w:val="80"/>
                    <w:keepNext w:val="0"/>
                    <w:keepLines w:val="0"/>
                    <w:widowControl/>
                    <w:suppressLineNumbers w:val="0"/>
                    <w:spacing w:before="0" w:beforeAutospacing="0" w:after="0" w:afterAutospacing="0"/>
                    <w:ind w:left="0" w:right="0"/>
                    <w:rPr>
                      <w:rFonts w:hint="default"/>
                      <w:color w:val="auto"/>
                      <w:szCs w:val="20"/>
                      <w:highlight w:val="none"/>
                      <w:lang w:val="en-US"/>
                    </w:rPr>
                  </w:pPr>
                  <w:r>
                    <w:rPr>
                      <w:rFonts w:hint="default" w:ascii="Times New Roman" w:hAnsi="Times New Roman" w:cs="Times New Roman"/>
                      <w:color w:val="auto"/>
                      <w:sz w:val="21"/>
                      <w:szCs w:val="21"/>
                      <w:lang w:eastAsia="zh-CN"/>
                    </w:rPr>
                    <w:t>《恶臭污染物排放标准》（GB14554-93）</w:t>
                  </w:r>
                  <w:r>
                    <w:rPr>
                      <w:rFonts w:hint="eastAsia" w:cs="Times New Roman"/>
                      <w:color w:val="auto"/>
                      <w:sz w:val="21"/>
                      <w:szCs w:val="21"/>
                      <w:lang w:val="en-US" w:eastAsia="zh-CN"/>
                    </w:rPr>
                    <w:t>表1</w:t>
                  </w:r>
                </w:p>
              </w:tc>
            </w:tr>
            <w:tr w14:paraId="397820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0" w:type="pct"/>
                  <w:vMerge w:val="continue"/>
                  <w:tcBorders>
                    <w:tl2br w:val="nil"/>
                    <w:tr2bl w:val="nil"/>
                  </w:tcBorders>
                  <w:vAlign w:val="center"/>
                </w:tcPr>
                <w:p w14:paraId="1B6E9878">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99" w:type="pct"/>
                  <w:vMerge w:val="continue"/>
                  <w:tcBorders>
                    <w:tl2br w:val="nil"/>
                    <w:tr2bl w:val="nil"/>
                  </w:tcBorders>
                  <w:vAlign w:val="center"/>
                </w:tcPr>
                <w:p w14:paraId="08938602">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1438" w:type="pct"/>
                  <w:tcBorders>
                    <w:tl2br w:val="nil"/>
                    <w:tr2bl w:val="nil"/>
                  </w:tcBorders>
                  <w:shd w:val="clear" w:color="auto" w:fill="auto"/>
                  <w:vAlign w:val="center"/>
                </w:tcPr>
                <w:p w14:paraId="49549EAC">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default" w:ascii="Times New Roman" w:hAnsi="Times New Roman" w:eastAsia="宋体" w:cs="Times New Roman"/>
                      <w:color w:val="auto"/>
                      <w:szCs w:val="20"/>
                      <w:highlight w:val="none"/>
                      <w:lang w:eastAsia="zh-CN"/>
                    </w:rPr>
                    <w:t>硫化氢</w:t>
                  </w:r>
                </w:p>
              </w:tc>
              <w:tc>
                <w:tcPr>
                  <w:tcW w:w="1217" w:type="pct"/>
                  <w:tcBorders>
                    <w:tl2br w:val="nil"/>
                    <w:tr2bl w:val="nil"/>
                  </w:tcBorders>
                  <w:shd w:val="clear" w:color="auto" w:fill="auto"/>
                  <w:vAlign w:val="center"/>
                </w:tcPr>
                <w:p w14:paraId="29E5A41D">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default" w:ascii="Times New Roman" w:hAnsi="Times New Roman" w:eastAsia="宋体" w:cs="Times New Roman"/>
                      <w:color w:val="auto"/>
                      <w:szCs w:val="20"/>
                      <w:highlight w:val="none"/>
                      <w:lang w:eastAsia="zh-CN"/>
                    </w:rPr>
                    <w:t>0.06</w:t>
                  </w:r>
                </w:p>
              </w:tc>
              <w:tc>
                <w:tcPr>
                  <w:tcW w:w="1504" w:type="pct"/>
                  <w:vMerge w:val="continue"/>
                  <w:tcBorders>
                    <w:tl2br w:val="nil"/>
                    <w:tr2bl w:val="nil"/>
                  </w:tcBorders>
                  <w:vAlign w:val="center"/>
                </w:tcPr>
                <w:p w14:paraId="31096968">
                  <w:pPr>
                    <w:pStyle w:val="80"/>
                    <w:keepNext w:val="0"/>
                    <w:keepLines w:val="0"/>
                    <w:widowControl/>
                    <w:suppressLineNumbers w:val="0"/>
                    <w:spacing w:before="0" w:beforeAutospacing="0" w:after="0" w:afterAutospacing="0"/>
                    <w:ind w:left="0" w:right="0"/>
                    <w:rPr>
                      <w:rFonts w:hint="default" w:ascii="Times New Roman" w:hAnsi="Times New Roman" w:cs="Times New Roman"/>
                      <w:color w:val="auto"/>
                      <w:sz w:val="21"/>
                      <w:szCs w:val="21"/>
                      <w:lang w:eastAsia="zh-CN"/>
                    </w:rPr>
                  </w:pPr>
                </w:p>
              </w:tc>
            </w:tr>
            <w:tr w14:paraId="7CE3DC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0" w:type="pct"/>
                  <w:vMerge w:val="continue"/>
                  <w:tcBorders>
                    <w:tl2br w:val="nil"/>
                    <w:tr2bl w:val="nil"/>
                  </w:tcBorders>
                  <w:vAlign w:val="center"/>
                </w:tcPr>
                <w:p w14:paraId="0FFB7150">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99" w:type="pct"/>
                  <w:vMerge w:val="continue"/>
                  <w:tcBorders>
                    <w:tl2br w:val="nil"/>
                    <w:tr2bl w:val="nil"/>
                  </w:tcBorders>
                  <w:vAlign w:val="center"/>
                </w:tcPr>
                <w:p w14:paraId="250D3EF8">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1438" w:type="pct"/>
                  <w:tcBorders>
                    <w:tl2br w:val="nil"/>
                    <w:tr2bl w:val="nil"/>
                  </w:tcBorders>
                  <w:vAlign w:val="center"/>
                </w:tcPr>
                <w:p w14:paraId="31BF3A06">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val="en-US" w:eastAsia="zh-CN"/>
                    </w:rPr>
                  </w:pPr>
                  <w:r>
                    <w:rPr>
                      <w:rFonts w:hint="eastAsia" w:cs="Times New Roman"/>
                      <w:color w:val="auto"/>
                      <w:szCs w:val="20"/>
                      <w:highlight w:val="none"/>
                      <w:lang w:val="en-US" w:eastAsia="zh-CN"/>
                    </w:rPr>
                    <w:t>臭气浓度</w:t>
                  </w:r>
                </w:p>
              </w:tc>
              <w:tc>
                <w:tcPr>
                  <w:tcW w:w="1217" w:type="pct"/>
                  <w:tcBorders>
                    <w:tl2br w:val="nil"/>
                    <w:tr2bl w:val="nil"/>
                  </w:tcBorders>
                  <w:vAlign w:val="center"/>
                </w:tcPr>
                <w:p w14:paraId="54D9530B">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eastAsia="zh-CN"/>
                    </w:rPr>
                  </w:pPr>
                  <w:r>
                    <w:rPr>
                      <w:rFonts w:hint="eastAsia" w:ascii="Times New Roman" w:hAnsi="Times New Roman" w:eastAsia="宋体" w:cs="Times New Roman"/>
                      <w:color w:val="auto"/>
                      <w:sz w:val="21"/>
                      <w:szCs w:val="21"/>
                      <w:lang w:val="en-US" w:eastAsia="zh-CN"/>
                    </w:rPr>
                    <w:t>20（无量纲）</w:t>
                  </w:r>
                </w:p>
              </w:tc>
              <w:tc>
                <w:tcPr>
                  <w:tcW w:w="1504" w:type="pct"/>
                  <w:vMerge w:val="continue"/>
                  <w:tcBorders>
                    <w:tl2br w:val="nil"/>
                    <w:tr2bl w:val="nil"/>
                  </w:tcBorders>
                  <w:vAlign w:val="center"/>
                </w:tcPr>
                <w:p w14:paraId="028FE53B">
                  <w:pPr>
                    <w:pStyle w:val="80"/>
                    <w:keepNext w:val="0"/>
                    <w:keepLines w:val="0"/>
                    <w:widowControl/>
                    <w:suppressLineNumbers w:val="0"/>
                    <w:spacing w:before="0" w:beforeAutospacing="0" w:after="0" w:afterAutospacing="0"/>
                    <w:ind w:left="0" w:right="0"/>
                    <w:rPr>
                      <w:rFonts w:hint="default"/>
                      <w:color w:val="auto"/>
                      <w:szCs w:val="21"/>
                      <w:highlight w:val="none"/>
                    </w:rPr>
                  </w:pPr>
                </w:p>
              </w:tc>
            </w:tr>
          </w:tbl>
          <w:p w14:paraId="0B283FF5">
            <w:pPr>
              <w:keepNext w:val="0"/>
              <w:keepLines w:val="0"/>
              <w:suppressLineNumbers w:val="0"/>
              <w:spacing w:before="0" w:beforeAutospacing="0" w:after="0" w:afterAutospacing="0"/>
              <w:ind w:left="480" w:right="0" w:firstLine="0" w:firstLineChars="0"/>
              <w:rPr>
                <w:rFonts w:hint="default"/>
                <w:b/>
                <w:color w:val="auto"/>
                <w:highlight w:val="none"/>
              </w:rPr>
            </w:pPr>
            <w:r>
              <w:rPr>
                <w:rFonts w:hint="eastAsia"/>
                <w:b/>
                <w:color w:val="auto"/>
                <w:highlight w:val="none"/>
              </w:rPr>
              <w:t>2、</w:t>
            </w:r>
            <w:r>
              <w:rPr>
                <w:rFonts w:hint="default"/>
                <w:b/>
                <w:color w:val="auto"/>
                <w:highlight w:val="none"/>
              </w:rPr>
              <w:t>废水</w:t>
            </w:r>
          </w:p>
          <w:p w14:paraId="45BA6A52">
            <w:pPr>
              <w:keepNext w:val="0"/>
              <w:keepLines w:val="0"/>
              <w:suppressLineNumbers w:val="0"/>
              <w:autoSpaceDE w:val="0"/>
              <w:autoSpaceDN w:val="0"/>
              <w:adjustRightInd w:val="0"/>
              <w:snapToGrid w:val="0"/>
              <w:spacing w:before="0" w:beforeAutospacing="0" w:after="0" w:afterAutospacing="0"/>
              <w:ind w:left="0" w:right="0" w:firstLine="480"/>
              <w:rPr>
                <w:rFonts w:hint="default"/>
                <w:color w:val="auto"/>
                <w:kern w:val="0"/>
                <w:highlight w:val="none"/>
              </w:rPr>
            </w:pPr>
            <w:r>
              <w:rPr>
                <w:rFonts w:hint="eastAsia"/>
                <w:color w:val="auto"/>
                <w:highlight w:val="none"/>
                <w:lang w:val="en-US" w:eastAsia="zh-CN"/>
              </w:rPr>
              <w:t>运营期废水</w:t>
            </w:r>
            <w:r>
              <w:rPr>
                <w:rFonts w:hint="default"/>
                <w:color w:val="auto"/>
                <w:highlight w:val="none"/>
              </w:rPr>
              <w:t>排放</w:t>
            </w:r>
            <w:r>
              <w:rPr>
                <w:rFonts w:hint="default"/>
                <w:color w:val="auto"/>
                <w:kern w:val="0"/>
                <w:highlight w:val="none"/>
              </w:rPr>
              <w:t>执行《污水综合排放标准》（GB8978-1996）三级标准及《污水排入城镇下水道水质标准》（GB/T 31962-2015）B级标准。</w:t>
            </w:r>
          </w:p>
          <w:p w14:paraId="067CFB11">
            <w:pPr>
              <w:pStyle w:val="77"/>
              <w:keepNext w:val="0"/>
              <w:keepLines w:val="0"/>
              <w:widowControl/>
              <w:suppressLineNumbers w:val="0"/>
              <w:spacing w:before="0" w:beforeLines="0" w:beforeAutospacing="0" w:after="0" w:afterAutospacing="0" w:line="240" w:lineRule="auto"/>
              <w:ind w:left="0" w:right="0"/>
              <w:rPr>
                <w:rFonts w:hint="default" w:eastAsia="宋体"/>
                <w:b/>
                <w:bCs/>
                <w:color w:val="auto"/>
                <w:highlight w:val="none"/>
              </w:rPr>
            </w:pPr>
            <w:r>
              <w:rPr>
                <w:rFonts w:hint="default" w:eastAsia="宋体"/>
                <w:b/>
                <w:bCs/>
                <w:color w:val="auto"/>
                <w:highlight w:val="none"/>
              </w:rPr>
              <w:t>表</w:t>
            </w:r>
            <w:r>
              <w:rPr>
                <w:rFonts w:hint="eastAsia" w:eastAsia="宋体"/>
                <w:b/>
                <w:bCs/>
                <w:color w:val="auto"/>
                <w:highlight w:val="none"/>
              </w:rPr>
              <w:t xml:space="preserve">3-5 </w:t>
            </w:r>
            <w:r>
              <w:rPr>
                <w:rFonts w:hint="default" w:eastAsia="宋体"/>
                <w:b/>
                <w:bCs/>
                <w:color w:val="auto"/>
                <w:highlight w:val="none"/>
              </w:rPr>
              <w:t xml:space="preserve"> 水污染物排放标准</w:t>
            </w:r>
          </w:p>
          <w:tbl>
            <w:tblPr>
              <w:tblStyle w:val="3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4"/>
              <w:gridCol w:w="1741"/>
              <w:gridCol w:w="1094"/>
              <w:gridCol w:w="1131"/>
              <w:gridCol w:w="3384"/>
            </w:tblGrid>
            <w:tr w14:paraId="226EF9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25" w:type="pct"/>
                  <w:vAlign w:val="center"/>
                </w:tcPr>
                <w:p w14:paraId="6DD727CD">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序号</w:t>
                  </w:r>
                </w:p>
              </w:tc>
              <w:tc>
                <w:tcPr>
                  <w:tcW w:w="1083" w:type="pct"/>
                  <w:vAlign w:val="center"/>
                </w:tcPr>
                <w:p w14:paraId="181121D0">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污染物指标</w:t>
                  </w:r>
                </w:p>
              </w:tc>
              <w:tc>
                <w:tcPr>
                  <w:tcW w:w="680" w:type="pct"/>
                  <w:vAlign w:val="center"/>
                </w:tcPr>
                <w:p w14:paraId="473E08C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标准限值</w:t>
                  </w:r>
                </w:p>
              </w:tc>
              <w:tc>
                <w:tcPr>
                  <w:tcW w:w="703" w:type="pct"/>
                  <w:vAlign w:val="center"/>
                </w:tcPr>
                <w:p w14:paraId="0F8AD46A">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单位</w:t>
                  </w:r>
                </w:p>
              </w:tc>
              <w:tc>
                <w:tcPr>
                  <w:tcW w:w="2106" w:type="pct"/>
                  <w:vAlign w:val="center"/>
                </w:tcPr>
                <w:p w14:paraId="5F55FC8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执行标准</w:t>
                  </w:r>
                  <w:r>
                    <w:rPr>
                      <w:rFonts w:hint="eastAsia"/>
                      <w:color w:val="auto"/>
                      <w:szCs w:val="20"/>
                      <w:highlight w:val="none"/>
                    </w:rPr>
                    <w:t>及级别</w:t>
                  </w:r>
                </w:p>
              </w:tc>
            </w:tr>
            <w:tr w14:paraId="19D5F1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25" w:type="pct"/>
                  <w:vAlign w:val="center"/>
                </w:tcPr>
                <w:p w14:paraId="79C08102">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1</w:t>
                  </w:r>
                </w:p>
              </w:tc>
              <w:tc>
                <w:tcPr>
                  <w:tcW w:w="1083" w:type="pct"/>
                  <w:vAlign w:val="center"/>
                </w:tcPr>
                <w:p w14:paraId="22A5BC2A">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rPr>
                    <w:t>化学需氧量</w:t>
                  </w:r>
                </w:p>
              </w:tc>
              <w:tc>
                <w:tcPr>
                  <w:tcW w:w="680" w:type="pct"/>
                  <w:vAlign w:val="center"/>
                </w:tcPr>
                <w:p w14:paraId="739A8596">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rPr>
                    <w:t>5</w:t>
                  </w:r>
                  <w:r>
                    <w:rPr>
                      <w:rFonts w:hint="default"/>
                      <w:color w:val="auto"/>
                      <w:szCs w:val="20"/>
                      <w:highlight w:val="none"/>
                    </w:rPr>
                    <w:t>00</w:t>
                  </w:r>
                </w:p>
              </w:tc>
              <w:tc>
                <w:tcPr>
                  <w:tcW w:w="703" w:type="pct"/>
                  <w:vMerge w:val="restart"/>
                  <w:vAlign w:val="center"/>
                </w:tcPr>
                <w:p w14:paraId="62B79F9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mg/L</w:t>
                  </w:r>
                </w:p>
              </w:tc>
              <w:tc>
                <w:tcPr>
                  <w:tcW w:w="2106" w:type="pct"/>
                  <w:vMerge w:val="restart"/>
                  <w:vAlign w:val="center"/>
                </w:tcPr>
                <w:p w14:paraId="4E736DB5">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《污水综合排放标准》（GB 8978-1996）表4中三级标准</w:t>
                  </w:r>
                </w:p>
              </w:tc>
            </w:tr>
            <w:tr w14:paraId="4094BB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25" w:type="pct"/>
                  <w:vAlign w:val="center"/>
                </w:tcPr>
                <w:p w14:paraId="4FF6906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2</w:t>
                  </w:r>
                </w:p>
              </w:tc>
              <w:tc>
                <w:tcPr>
                  <w:tcW w:w="1083" w:type="pct"/>
                  <w:vAlign w:val="center"/>
                </w:tcPr>
                <w:p w14:paraId="30946F61">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rPr>
                    <w:t>五日生化需氧量</w:t>
                  </w:r>
                </w:p>
              </w:tc>
              <w:tc>
                <w:tcPr>
                  <w:tcW w:w="680" w:type="pct"/>
                  <w:vAlign w:val="center"/>
                </w:tcPr>
                <w:p w14:paraId="38BA8694">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rPr>
                    <w:t>3</w:t>
                  </w:r>
                  <w:r>
                    <w:rPr>
                      <w:rFonts w:hint="default"/>
                      <w:color w:val="auto"/>
                      <w:szCs w:val="20"/>
                      <w:highlight w:val="none"/>
                    </w:rPr>
                    <w:t>00</w:t>
                  </w:r>
                </w:p>
              </w:tc>
              <w:tc>
                <w:tcPr>
                  <w:tcW w:w="703" w:type="pct"/>
                  <w:vMerge w:val="continue"/>
                  <w:vAlign w:val="center"/>
                </w:tcPr>
                <w:p w14:paraId="067CFF64">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2106" w:type="pct"/>
                  <w:vMerge w:val="continue"/>
                  <w:vAlign w:val="center"/>
                </w:tcPr>
                <w:p w14:paraId="79D112CD">
                  <w:pPr>
                    <w:pStyle w:val="80"/>
                    <w:keepNext w:val="0"/>
                    <w:keepLines w:val="0"/>
                    <w:widowControl/>
                    <w:suppressLineNumbers w:val="0"/>
                    <w:spacing w:before="0" w:beforeAutospacing="0" w:after="0" w:afterAutospacing="0"/>
                    <w:ind w:left="0" w:right="0"/>
                    <w:rPr>
                      <w:rFonts w:hint="default"/>
                      <w:color w:val="auto"/>
                      <w:szCs w:val="20"/>
                      <w:highlight w:val="none"/>
                    </w:rPr>
                  </w:pPr>
                </w:p>
              </w:tc>
            </w:tr>
            <w:tr w14:paraId="4E6127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25" w:type="pct"/>
                  <w:vAlign w:val="center"/>
                </w:tcPr>
                <w:p w14:paraId="5114E53E">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3</w:t>
                  </w:r>
                </w:p>
              </w:tc>
              <w:tc>
                <w:tcPr>
                  <w:tcW w:w="1083" w:type="pct"/>
                  <w:vAlign w:val="center"/>
                </w:tcPr>
                <w:p w14:paraId="3066B321">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rPr>
                    <w:t>悬浮物</w:t>
                  </w:r>
                </w:p>
              </w:tc>
              <w:tc>
                <w:tcPr>
                  <w:tcW w:w="680" w:type="pct"/>
                  <w:vAlign w:val="center"/>
                </w:tcPr>
                <w:p w14:paraId="0276F9C1">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rPr>
                    <w:t>4</w:t>
                  </w:r>
                  <w:r>
                    <w:rPr>
                      <w:rFonts w:hint="default"/>
                      <w:color w:val="auto"/>
                      <w:szCs w:val="20"/>
                      <w:highlight w:val="none"/>
                    </w:rPr>
                    <w:t>00</w:t>
                  </w:r>
                </w:p>
              </w:tc>
              <w:tc>
                <w:tcPr>
                  <w:tcW w:w="703" w:type="pct"/>
                  <w:vMerge w:val="continue"/>
                  <w:vAlign w:val="center"/>
                </w:tcPr>
                <w:p w14:paraId="5350487F">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2106" w:type="pct"/>
                  <w:vMerge w:val="continue"/>
                  <w:vAlign w:val="center"/>
                </w:tcPr>
                <w:p w14:paraId="101F21E5">
                  <w:pPr>
                    <w:pStyle w:val="80"/>
                    <w:keepNext w:val="0"/>
                    <w:keepLines w:val="0"/>
                    <w:widowControl/>
                    <w:suppressLineNumbers w:val="0"/>
                    <w:spacing w:before="0" w:beforeAutospacing="0" w:after="0" w:afterAutospacing="0"/>
                    <w:ind w:left="0" w:right="0"/>
                    <w:rPr>
                      <w:rFonts w:hint="default"/>
                      <w:color w:val="auto"/>
                      <w:szCs w:val="20"/>
                      <w:highlight w:val="none"/>
                    </w:rPr>
                  </w:pPr>
                </w:p>
              </w:tc>
            </w:tr>
            <w:tr w14:paraId="611D95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25" w:type="pct"/>
                  <w:vAlign w:val="center"/>
                </w:tcPr>
                <w:p w14:paraId="1FCCDBA1">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4</w:t>
                  </w:r>
                </w:p>
              </w:tc>
              <w:tc>
                <w:tcPr>
                  <w:tcW w:w="1083" w:type="pct"/>
                  <w:vAlign w:val="center"/>
                </w:tcPr>
                <w:p w14:paraId="79FDE3AC">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rPr>
                    <w:t>氨氮</w:t>
                  </w:r>
                </w:p>
              </w:tc>
              <w:tc>
                <w:tcPr>
                  <w:tcW w:w="680" w:type="pct"/>
                  <w:vAlign w:val="center"/>
                </w:tcPr>
                <w:p w14:paraId="5A33F9F2">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rPr>
                    <w:t>4</w:t>
                  </w:r>
                  <w:r>
                    <w:rPr>
                      <w:rFonts w:hint="default"/>
                      <w:color w:val="auto"/>
                      <w:szCs w:val="20"/>
                      <w:highlight w:val="none"/>
                    </w:rPr>
                    <w:t>5</w:t>
                  </w:r>
                </w:p>
              </w:tc>
              <w:tc>
                <w:tcPr>
                  <w:tcW w:w="703" w:type="pct"/>
                  <w:vMerge w:val="continue"/>
                  <w:vAlign w:val="center"/>
                </w:tcPr>
                <w:p w14:paraId="783F5418">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2106" w:type="pct"/>
                  <w:vMerge w:val="restart"/>
                  <w:vAlign w:val="center"/>
                </w:tcPr>
                <w:p w14:paraId="2389060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《污水排入城镇下水道水质标准》（GB/T 31962-2015）中B级标准</w:t>
                  </w:r>
                </w:p>
              </w:tc>
            </w:tr>
            <w:tr w14:paraId="6CAB6F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25" w:type="pct"/>
                  <w:shd w:val="clear" w:color="auto" w:fill="auto"/>
                  <w:vAlign w:val="center"/>
                </w:tcPr>
                <w:p w14:paraId="79AD022D">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eastAsia="zh-CN"/>
                    </w:rPr>
                    <w:t>5</w:t>
                  </w:r>
                </w:p>
              </w:tc>
              <w:tc>
                <w:tcPr>
                  <w:tcW w:w="1083" w:type="pct"/>
                  <w:vAlign w:val="center"/>
                </w:tcPr>
                <w:p w14:paraId="6EB6FE8D">
                  <w:pPr>
                    <w:pStyle w:val="80"/>
                    <w:keepNext w:val="0"/>
                    <w:keepLines w:val="0"/>
                    <w:widowControl/>
                    <w:suppressLineNumbers w:val="0"/>
                    <w:spacing w:before="0" w:beforeAutospacing="0" w:after="0" w:afterAutospacing="0"/>
                    <w:ind w:left="0" w:leftChars="0" w:right="0" w:rightChars="0"/>
                    <w:rPr>
                      <w:rFonts w:hint="eastAsia" w:eastAsia="宋体"/>
                      <w:color w:val="auto"/>
                      <w:szCs w:val="20"/>
                      <w:highlight w:val="none"/>
                      <w:lang w:val="en-US" w:eastAsia="zh-CN"/>
                    </w:rPr>
                  </w:pPr>
                  <w:r>
                    <w:rPr>
                      <w:rFonts w:hint="eastAsia"/>
                      <w:color w:val="auto"/>
                      <w:szCs w:val="20"/>
                      <w:highlight w:val="none"/>
                      <w:lang w:val="en-US" w:eastAsia="zh-CN"/>
                    </w:rPr>
                    <w:t>总磷</w:t>
                  </w:r>
                </w:p>
              </w:tc>
              <w:tc>
                <w:tcPr>
                  <w:tcW w:w="680" w:type="pct"/>
                  <w:vAlign w:val="center"/>
                </w:tcPr>
                <w:p w14:paraId="32E499FF">
                  <w:pPr>
                    <w:pStyle w:val="80"/>
                    <w:keepNext w:val="0"/>
                    <w:keepLines w:val="0"/>
                    <w:widowControl/>
                    <w:suppressLineNumbers w:val="0"/>
                    <w:spacing w:before="0" w:beforeAutospacing="0" w:after="0" w:afterAutospacing="0"/>
                    <w:ind w:left="0" w:leftChars="0" w:right="0" w:rightChars="0"/>
                    <w:rPr>
                      <w:rFonts w:hint="eastAsia" w:eastAsia="宋体"/>
                      <w:color w:val="auto"/>
                      <w:szCs w:val="20"/>
                      <w:highlight w:val="none"/>
                      <w:lang w:val="en-US" w:eastAsia="zh-CN"/>
                    </w:rPr>
                  </w:pPr>
                  <w:r>
                    <w:rPr>
                      <w:rFonts w:hint="eastAsia"/>
                      <w:color w:val="auto"/>
                      <w:szCs w:val="20"/>
                      <w:highlight w:val="none"/>
                      <w:lang w:val="en-US" w:eastAsia="zh-CN"/>
                    </w:rPr>
                    <w:t>8</w:t>
                  </w:r>
                </w:p>
              </w:tc>
              <w:tc>
                <w:tcPr>
                  <w:tcW w:w="703" w:type="pct"/>
                  <w:vMerge w:val="continue"/>
                  <w:vAlign w:val="center"/>
                </w:tcPr>
                <w:p w14:paraId="34C9C54D">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2106" w:type="pct"/>
                  <w:vMerge w:val="continue"/>
                  <w:vAlign w:val="center"/>
                </w:tcPr>
                <w:p w14:paraId="376BB1F5">
                  <w:pPr>
                    <w:pStyle w:val="80"/>
                    <w:keepNext w:val="0"/>
                    <w:keepLines w:val="0"/>
                    <w:widowControl/>
                    <w:suppressLineNumbers w:val="0"/>
                    <w:spacing w:before="0" w:beforeAutospacing="0" w:after="0" w:afterAutospacing="0"/>
                    <w:ind w:left="0" w:right="0"/>
                    <w:rPr>
                      <w:rFonts w:hint="eastAsia"/>
                      <w:color w:val="auto"/>
                      <w:szCs w:val="20"/>
                      <w:highlight w:val="none"/>
                    </w:rPr>
                  </w:pPr>
                </w:p>
              </w:tc>
            </w:tr>
            <w:tr w14:paraId="364672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25" w:type="pct"/>
                  <w:shd w:val="clear" w:color="auto" w:fill="auto"/>
                  <w:vAlign w:val="center"/>
                </w:tcPr>
                <w:p w14:paraId="61AFF62A">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6</w:t>
                  </w:r>
                </w:p>
              </w:tc>
              <w:tc>
                <w:tcPr>
                  <w:tcW w:w="1083" w:type="pct"/>
                  <w:vAlign w:val="center"/>
                </w:tcPr>
                <w:p w14:paraId="41F0E81F">
                  <w:pPr>
                    <w:pStyle w:val="80"/>
                    <w:keepNext w:val="0"/>
                    <w:keepLines w:val="0"/>
                    <w:widowControl/>
                    <w:suppressLineNumbers w:val="0"/>
                    <w:spacing w:before="0" w:beforeAutospacing="0" w:after="0" w:afterAutospacing="0"/>
                    <w:ind w:left="0" w:leftChars="0" w:right="0" w:rightChars="0"/>
                    <w:rPr>
                      <w:rFonts w:hint="eastAsia" w:eastAsia="宋体"/>
                      <w:color w:val="auto"/>
                      <w:szCs w:val="20"/>
                      <w:highlight w:val="none"/>
                      <w:lang w:val="en-US" w:eastAsia="zh-CN"/>
                    </w:rPr>
                  </w:pPr>
                  <w:r>
                    <w:rPr>
                      <w:rFonts w:hint="eastAsia"/>
                      <w:color w:val="auto"/>
                      <w:szCs w:val="20"/>
                      <w:highlight w:val="none"/>
                      <w:lang w:val="en-US" w:eastAsia="zh-CN"/>
                    </w:rPr>
                    <w:t>总氮</w:t>
                  </w:r>
                </w:p>
              </w:tc>
              <w:tc>
                <w:tcPr>
                  <w:tcW w:w="680" w:type="pct"/>
                  <w:vAlign w:val="center"/>
                </w:tcPr>
                <w:p w14:paraId="3717B52F">
                  <w:pPr>
                    <w:pStyle w:val="80"/>
                    <w:keepNext w:val="0"/>
                    <w:keepLines w:val="0"/>
                    <w:widowControl/>
                    <w:suppressLineNumbers w:val="0"/>
                    <w:spacing w:before="0" w:beforeAutospacing="0" w:after="0" w:afterAutospacing="0"/>
                    <w:ind w:left="0" w:leftChars="0" w:right="0" w:rightChars="0"/>
                    <w:rPr>
                      <w:rFonts w:hint="default" w:eastAsia="宋体"/>
                      <w:color w:val="auto"/>
                      <w:szCs w:val="20"/>
                      <w:highlight w:val="none"/>
                      <w:lang w:val="en-US" w:eastAsia="zh-CN"/>
                    </w:rPr>
                  </w:pPr>
                  <w:r>
                    <w:rPr>
                      <w:rFonts w:hint="eastAsia"/>
                      <w:color w:val="auto"/>
                      <w:szCs w:val="20"/>
                      <w:highlight w:val="none"/>
                      <w:lang w:val="en-US" w:eastAsia="zh-CN"/>
                    </w:rPr>
                    <w:t>70</w:t>
                  </w:r>
                </w:p>
              </w:tc>
              <w:tc>
                <w:tcPr>
                  <w:tcW w:w="703" w:type="pct"/>
                  <w:vMerge w:val="continue"/>
                  <w:vAlign w:val="center"/>
                </w:tcPr>
                <w:p w14:paraId="3F448902">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2106" w:type="pct"/>
                  <w:vMerge w:val="continue"/>
                  <w:vAlign w:val="center"/>
                </w:tcPr>
                <w:p w14:paraId="3235DCEA">
                  <w:pPr>
                    <w:pStyle w:val="80"/>
                    <w:keepNext w:val="0"/>
                    <w:keepLines w:val="0"/>
                    <w:widowControl/>
                    <w:suppressLineNumbers w:val="0"/>
                    <w:spacing w:before="0" w:beforeAutospacing="0" w:after="0" w:afterAutospacing="0"/>
                    <w:ind w:left="0" w:right="0"/>
                    <w:rPr>
                      <w:rFonts w:hint="eastAsia"/>
                      <w:color w:val="auto"/>
                      <w:szCs w:val="20"/>
                      <w:highlight w:val="none"/>
                    </w:rPr>
                  </w:pPr>
                </w:p>
              </w:tc>
            </w:tr>
            <w:tr w14:paraId="54F974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25" w:type="pct"/>
                  <w:vAlign w:val="center"/>
                </w:tcPr>
                <w:p w14:paraId="1801663D">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7</w:t>
                  </w:r>
                </w:p>
              </w:tc>
              <w:tc>
                <w:tcPr>
                  <w:tcW w:w="1083" w:type="pct"/>
                  <w:vAlign w:val="center"/>
                </w:tcPr>
                <w:p w14:paraId="1AEEE987">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动植物油</w:t>
                  </w:r>
                </w:p>
              </w:tc>
              <w:tc>
                <w:tcPr>
                  <w:tcW w:w="680" w:type="pct"/>
                  <w:vAlign w:val="center"/>
                </w:tcPr>
                <w:p w14:paraId="7E459967">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100</w:t>
                  </w:r>
                </w:p>
              </w:tc>
              <w:tc>
                <w:tcPr>
                  <w:tcW w:w="703" w:type="pct"/>
                  <w:vMerge w:val="continue"/>
                  <w:vAlign w:val="center"/>
                </w:tcPr>
                <w:p w14:paraId="06C2C8B4">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2106" w:type="pct"/>
                  <w:vMerge w:val="continue"/>
                  <w:vAlign w:val="center"/>
                </w:tcPr>
                <w:p w14:paraId="5205646A">
                  <w:pPr>
                    <w:pStyle w:val="80"/>
                    <w:keepNext w:val="0"/>
                    <w:keepLines w:val="0"/>
                    <w:widowControl/>
                    <w:suppressLineNumbers w:val="0"/>
                    <w:spacing w:before="0" w:beforeAutospacing="0" w:after="0" w:afterAutospacing="0"/>
                    <w:ind w:left="0" w:right="0"/>
                    <w:rPr>
                      <w:rFonts w:hint="default"/>
                      <w:color w:val="auto"/>
                      <w:szCs w:val="20"/>
                      <w:highlight w:val="none"/>
                    </w:rPr>
                  </w:pPr>
                </w:p>
              </w:tc>
            </w:tr>
            <w:tr w14:paraId="4D5D66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25" w:type="pct"/>
                  <w:vAlign w:val="center"/>
                </w:tcPr>
                <w:p w14:paraId="62BACDE8">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8</w:t>
                  </w:r>
                </w:p>
              </w:tc>
              <w:tc>
                <w:tcPr>
                  <w:tcW w:w="1083" w:type="pct"/>
                  <w:vAlign w:val="center"/>
                </w:tcPr>
                <w:p w14:paraId="7643C2AC">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LAS</w:t>
                  </w:r>
                </w:p>
              </w:tc>
              <w:tc>
                <w:tcPr>
                  <w:tcW w:w="680" w:type="pct"/>
                  <w:vAlign w:val="center"/>
                </w:tcPr>
                <w:p w14:paraId="10BEA859">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20</w:t>
                  </w:r>
                </w:p>
              </w:tc>
              <w:tc>
                <w:tcPr>
                  <w:tcW w:w="703" w:type="pct"/>
                  <w:vMerge w:val="continue"/>
                  <w:vAlign w:val="center"/>
                </w:tcPr>
                <w:p w14:paraId="4F40F825">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2106" w:type="pct"/>
                  <w:vMerge w:val="continue"/>
                  <w:vAlign w:val="center"/>
                </w:tcPr>
                <w:p w14:paraId="5B564488">
                  <w:pPr>
                    <w:pStyle w:val="80"/>
                    <w:keepNext w:val="0"/>
                    <w:keepLines w:val="0"/>
                    <w:widowControl/>
                    <w:suppressLineNumbers w:val="0"/>
                    <w:spacing w:before="0" w:beforeAutospacing="0" w:after="0" w:afterAutospacing="0"/>
                    <w:ind w:left="0" w:right="0"/>
                    <w:rPr>
                      <w:rFonts w:hint="default"/>
                      <w:color w:val="auto"/>
                      <w:szCs w:val="20"/>
                      <w:highlight w:val="none"/>
                    </w:rPr>
                  </w:pPr>
                </w:p>
              </w:tc>
            </w:tr>
          </w:tbl>
          <w:p w14:paraId="27C788CB">
            <w:pPr>
              <w:keepNext w:val="0"/>
              <w:keepLines w:val="0"/>
              <w:suppressLineNumbers w:val="0"/>
              <w:tabs>
                <w:tab w:val="left" w:pos="8607"/>
              </w:tabs>
              <w:adjustRightInd w:val="0"/>
              <w:snapToGrid w:val="0"/>
              <w:spacing w:before="0" w:beforeAutospacing="0" w:after="0" w:afterAutospacing="0"/>
              <w:ind w:left="480" w:right="0" w:firstLine="0" w:firstLineChars="0"/>
              <w:rPr>
                <w:rFonts w:hint="default"/>
                <w:b/>
                <w:color w:val="auto"/>
                <w:highlight w:val="none"/>
              </w:rPr>
            </w:pPr>
            <w:r>
              <w:rPr>
                <w:rFonts w:hint="eastAsia"/>
                <w:b/>
                <w:color w:val="auto"/>
                <w:highlight w:val="none"/>
              </w:rPr>
              <w:t>3、</w:t>
            </w:r>
            <w:r>
              <w:rPr>
                <w:rFonts w:hint="default"/>
                <w:b/>
                <w:color w:val="auto"/>
                <w:highlight w:val="none"/>
              </w:rPr>
              <w:t>噪声</w:t>
            </w:r>
          </w:p>
          <w:p w14:paraId="2E9B100B">
            <w:pPr>
              <w:keepNext w:val="0"/>
              <w:keepLines w:val="0"/>
              <w:suppressLineNumbers w:val="0"/>
              <w:tabs>
                <w:tab w:val="left" w:pos="8607"/>
              </w:tabs>
              <w:spacing w:before="0" w:beforeAutospacing="0" w:after="0" w:afterAutospacing="0"/>
              <w:ind w:left="0" w:right="0" w:firstLine="480"/>
              <w:rPr>
                <w:rFonts w:hint="default"/>
                <w:color w:val="auto"/>
                <w:highlight w:val="none"/>
              </w:rPr>
            </w:pPr>
            <w:r>
              <w:rPr>
                <w:rFonts w:hint="eastAsia"/>
                <w:color w:val="auto"/>
                <w:highlight w:val="none"/>
              </w:rPr>
              <w:t>施工期间噪声执行《</w:t>
            </w:r>
            <w:r>
              <w:rPr>
                <w:rFonts w:hint="eastAsia"/>
                <w:color w:val="auto"/>
                <w:highlight w:val="none"/>
                <w:lang w:eastAsia="zh-CN"/>
              </w:rPr>
              <w:t>建筑施工场界环境噪声排放标准</w:t>
            </w:r>
            <w:r>
              <w:rPr>
                <w:rFonts w:hint="eastAsia"/>
                <w:color w:val="auto"/>
                <w:highlight w:val="none"/>
              </w:rPr>
              <w:t>》（GB12523-2011） 中的要求；运营期</w:t>
            </w:r>
            <w:r>
              <w:rPr>
                <w:rFonts w:hint="default"/>
                <w:color w:val="auto"/>
                <w:highlight w:val="none"/>
              </w:rPr>
              <w:t>噪声</w:t>
            </w:r>
            <w:r>
              <w:rPr>
                <w:rFonts w:hint="eastAsia"/>
                <w:color w:val="auto"/>
                <w:highlight w:val="none"/>
              </w:rPr>
              <w:t>排放</w:t>
            </w:r>
            <w:r>
              <w:rPr>
                <w:rFonts w:hint="default"/>
                <w:color w:val="auto"/>
                <w:highlight w:val="none"/>
              </w:rPr>
              <w:t>执行《工业企业厂界环境噪声排放标准》（GB12348-2008）中</w:t>
            </w:r>
            <w:r>
              <w:rPr>
                <w:rFonts w:hint="eastAsia"/>
                <w:color w:val="auto"/>
                <w:highlight w:val="none"/>
                <w:lang w:val="en-US" w:eastAsia="zh-CN"/>
              </w:rPr>
              <w:t>2</w:t>
            </w:r>
            <w:r>
              <w:rPr>
                <w:rFonts w:hint="default"/>
                <w:color w:val="auto"/>
                <w:highlight w:val="none"/>
              </w:rPr>
              <w:t>类标准</w:t>
            </w:r>
            <w:r>
              <w:rPr>
                <w:rFonts w:hint="eastAsia"/>
                <w:color w:val="auto"/>
                <w:highlight w:val="none"/>
              </w:rPr>
              <w:t>要求</w:t>
            </w:r>
            <w:r>
              <w:rPr>
                <w:rFonts w:hint="default"/>
                <w:color w:val="auto"/>
                <w:highlight w:val="none"/>
              </w:rPr>
              <w:t>。</w:t>
            </w:r>
          </w:p>
          <w:p w14:paraId="32E89D36">
            <w:pPr>
              <w:pStyle w:val="77"/>
              <w:keepNext w:val="0"/>
              <w:keepLines w:val="0"/>
              <w:widowControl/>
              <w:suppressLineNumbers w:val="0"/>
              <w:spacing w:before="0" w:beforeLines="0" w:beforeAutospacing="0" w:after="0" w:afterAutospacing="0" w:line="240" w:lineRule="auto"/>
              <w:ind w:left="0" w:right="0"/>
              <w:rPr>
                <w:rFonts w:hint="default" w:eastAsia="宋体"/>
                <w:b/>
                <w:bCs/>
                <w:color w:val="auto"/>
                <w:highlight w:val="none"/>
              </w:rPr>
            </w:pPr>
            <w:r>
              <w:rPr>
                <w:rFonts w:hint="default" w:eastAsia="宋体"/>
                <w:b/>
                <w:bCs/>
                <w:color w:val="auto"/>
                <w:highlight w:val="none"/>
              </w:rPr>
              <w:t>表</w:t>
            </w:r>
            <w:r>
              <w:rPr>
                <w:rFonts w:hint="eastAsia" w:eastAsia="宋体"/>
                <w:b/>
                <w:bCs/>
                <w:color w:val="auto"/>
                <w:highlight w:val="none"/>
              </w:rPr>
              <w:t>3-6</w:t>
            </w:r>
            <w:r>
              <w:rPr>
                <w:rFonts w:hint="default" w:eastAsia="宋体"/>
                <w:b/>
                <w:bCs/>
                <w:color w:val="auto"/>
                <w:highlight w:val="none"/>
              </w:rPr>
              <w:t xml:space="preserve">  </w:t>
            </w:r>
            <w:r>
              <w:rPr>
                <w:rFonts w:hint="eastAsia" w:eastAsia="宋体"/>
                <w:b/>
                <w:bCs/>
                <w:color w:val="auto"/>
                <w:highlight w:val="none"/>
              </w:rPr>
              <w:t>工业企业环境噪声</w:t>
            </w:r>
            <w:r>
              <w:rPr>
                <w:rFonts w:hint="default" w:eastAsia="宋体"/>
                <w:b/>
                <w:bCs/>
                <w:color w:val="auto"/>
                <w:highlight w:val="none"/>
              </w:rPr>
              <w:t>排放标准</w:t>
            </w:r>
          </w:p>
          <w:tbl>
            <w:tblPr>
              <w:tblStyle w:val="3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57" w:type="dxa"/>
                <w:left w:w="28" w:type="dxa"/>
                <w:bottom w:w="57" w:type="dxa"/>
                <w:right w:w="28" w:type="dxa"/>
              </w:tblCellMar>
            </w:tblPr>
            <w:tblGrid>
              <w:gridCol w:w="1225"/>
              <w:gridCol w:w="4868"/>
              <w:gridCol w:w="1049"/>
              <w:gridCol w:w="892"/>
            </w:tblGrid>
            <w:tr w14:paraId="197EC4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28" w:type="dxa"/>
                  <w:bottom w:w="57" w:type="dxa"/>
                  <w:right w:w="28" w:type="dxa"/>
                </w:tblCellMar>
              </w:tblPrEx>
              <w:trPr>
                <w:trHeight w:val="90" w:hRule="atLeast"/>
                <w:jc w:val="center"/>
              </w:trPr>
              <w:tc>
                <w:tcPr>
                  <w:tcW w:w="762" w:type="pct"/>
                  <w:vMerge w:val="restart"/>
                  <w:tcBorders>
                    <w:tl2br w:val="nil"/>
                    <w:tr2bl w:val="nil"/>
                  </w:tcBorders>
                  <w:tcMar>
                    <w:left w:w="57" w:type="dxa"/>
                    <w:right w:w="57" w:type="dxa"/>
                  </w:tcMar>
                  <w:vAlign w:val="center"/>
                </w:tcPr>
                <w:p w14:paraId="5961D97A">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类别</w:t>
                  </w:r>
                </w:p>
              </w:tc>
              <w:tc>
                <w:tcPr>
                  <w:tcW w:w="3028" w:type="pct"/>
                  <w:vMerge w:val="restart"/>
                  <w:tcBorders>
                    <w:tl2br w:val="nil"/>
                    <w:tr2bl w:val="nil"/>
                  </w:tcBorders>
                  <w:tcMar>
                    <w:left w:w="57" w:type="dxa"/>
                    <w:right w:w="57" w:type="dxa"/>
                  </w:tcMar>
                  <w:vAlign w:val="center"/>
                </w:tcPr>
                <w:p w14:paraId="66C0A24B">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标准名称及级（类别）</w:t>
                  </w:r>
                </w:p>
              </w:tc>
              <w:tc>
                <w:tcPr>
                  <w:tcW w:w="1208" w:type="pct"/>
                  <w:gridSpan w:val="2"/>
                  <w:tcBorders>
                    <w:tl2br w:val="nil"/>
                    <w:tr2bl w:val="nil"/>
                  </w:tcBorders>
                  <w:tcMar>
                    <w:left w:w="57" w:type="dxa"/>
                    <w:right w:w="57" w:type="dxa"/>
                  </w:tcMar>
                  <w:vAlign w:val="center"/>
                </w:tcPr>
                <w:p w14:paraId="3CBAD101">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标准</w:t>
                  </w:r>
                  <w:r>
                    <w:rPr>
                      <w:rFonts w:hint="eastAsia"/>
                      <w:color w:val="auto"/>
                      <w:szCs w:val="20"/>
                      <w:highlight w:val="none"/>
                    </w:rPr>
                    <w:t>限</w:t>
                  </w:r>
                  <w:r>
                    <w:rPr>
                      <w:rFonts w:hint="default"/>
                      <w:color w:val="auto"/>
                      <w:szCs w:val="20"/>
                      <w:highlight w:val="none"/>
                    </w:rPr>
                    <w:t>值</w:t>
                  </w:r>
                  <w:r>
                    <w:rPr>
                      <w:rFonts w:hint="eastAsia"/>
                      <w:color w:val="auto"/>
                      <w:szCs w:val="20"/>
                      <w:highlight w:val="none"/>
                    </w:rPr>
                    <w:t>dB（A）</w:t>
                  </w:r>
                </w:p>
              </w:tc>
            </w:tr>
            <w:tr w14:paraId="4E8F72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28" w:type="dxa"/>
                  <w:bottom w:w="57" w:type="dxa"/>
                  <w:right w:w="28" w:type="dxa"/>
                </w:tblCellMar>
              </w:tblPrEx>
              <w:trPr>
                <w:trHeight w:val="90" w:hRule="atLeast"/>
                <w:jc w:val="center"/>
              </w:trPr>
              <w:tc>
                <w:tcPr>
                  <w:tcW w:w="762" w:type="pct"/>
                  <w:vMerge w:val="continue"/>
                  <w:tcBorders>
                    <w:tl2br w:val="nil"/>
                    <w:tr2bl w:val="nil"/>
                  </w:tcBorders>
                  <w:tcMar>
                    <w:left w:w="57" w:type="dxa"/>
                    <w:right w:w="57" w:type="dxa"/>
                  </w:tcMar>
                  <w:vAlign w:val="center"/>
                </w:tcPr>
                <w:p w14:paraId="65AC8D98">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028" w:type="pct"/>
                  <w:vMerge w:val="continue"/>
                  <w:tcBorders>
                    <w:tl2br w:val="nil"/>
                    <w:tr2bl w:val="nil"/>
                  </w:tcBorders>
                  <w:tcMar>
                    <w:left w:w="57" w:type="dxa"/>
                    <w:right w:w="57" w:type="dxa"/>
                  </w:tcMar>
                  <w:vAlign w:val="center"/>
                </w:tcPr>
                <w:p w14:paraId="107F22C7">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653" w:type="pct"/>
                  <w:tcBorders>
                    <w:tl2br w:val="nil"/>
                    <w:tr2bl w:val="nil"/>
                  </w:tcBorders>
                  <w:tcMar>
                    <w:left w:w="57" w:type="dxa"/>
                    <w:right w:w="57" w:type="dxa"/>
                  </w:tcMar>
                  <w:vAlign w:val="center"/>
                </w:tcPr>
                <w:p w14:paraId="2EF8ACBE">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昼间</w:t>
                  </w:r>
                </w:p>
              </w:tc>
              <w:tc>
                <w:tcPr>
                  <w:tcW w:w="555" w:type="pct"/>
                  <w:tcBorders>
                    <w:tl2br w:val="nil"/>
                    <w:tr2bl w:val="nil"/>
                  </w:tcBorders>
                  <w:tcMar>
                    <w:left w:w="57" w:type="dxa"/>
                    <w:right w:w="57" w:type="dxa"/>
                  </w:tcMar>
                  <w:vAlign w:val="center"/>
                </w:tcPr>
                <w:p w14:paraId="4F8E100A">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夜间</w:t>
                  </w:r>
                </w:p>
              </w:tc>
            </w:tr>
            <w:tr w14:paraId="0FC74D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28" w:type="dxa"/>
                  <w:bottom w:w="57" w:type="dxa"/>
                  <w:right w:w="28" w:type="dxa"/>
                </w:tblCellMar>
              </w:tblPrEx>
              <w:trPr>
                <w:trHeight w:val="454" w:hRule="atLeast"/>
                <w:jc w:val="center"/>
              </w:trPr>
              <w:tc>
                <w:tcPr>
                  <w:tcW w:w="762" w:type="pct"/>
                  <w:tcBorders>
                    <w:tl2br w:val="nil"/>
                    <w:tr2bl w:val="nil"/>
                  </w:tcBorders>
                  <w:tcMar>
                    <w:left w:w="57" w:type="dxa"/>
                    <w:right w:w="57" w:type="dxa"/>
                  </w:tcMar>
                  <w:vAlign w:val="center"/>
                </w:tcPr>
                <w:p w14:paraId="3C4D0455">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施工期噪声</w:t>
                  </w:r>
                </w:p>
              </w:tc>
              <w:tc>
                <w:tcPr>
                  <w:tcW w:w="3028" w:type="pct"/>
                  <w:tcBorders>
                    <w:tl2br w:val="nil"/>
                    <w:tr2bl w:val="nil"/>
                  </w:tcBorders>
                  <w:tcMar>
                    <w:left w:w="57" w:type="dxa"/>
                    <w:right w:w="57" w:type="dxa"/>
                  </w:tcMar>
                  <w:vAlign w:val="center"/>
                </w:tcPr>
                <w:p w14:paraId="7343D1AB">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w:t>
                  </w:r>
                  <w:r>
                    <w:rPr>
                      <w:rFonts w:hint="eastAsia"/>
                      <w:color w:val="auto"/>
                      <w:szCs w:val="20"/>
                      <w:highlight w:val="none"/>
                      <w:lang w:eastAsia="zh-CN"/>
                    </w:rPr>
                    <w:t>建筑施工场界环境噪声排放标准</w:t>
                  </w:r>
                  <w:r>
                    <w:rPr>
                      <w:rFonts w:hint="eastAsia"/>
                      <w:color w:val="auto"/>
                      <w:szCs w:val="20"/>
                      <w:highlight w:val="none"/>
                    </w:rPr>
                    <w:t>》（GB12523-2011）中标准限值</w:t>
                  </w:r>
                </w:p>
              </w:tc>
              <w:tc>
                <w:tcPr>
                  <w:tcW w:w="653" w:type="pct"/>
                  <w:tcBorders>
                    <w:tl2br w:val="nil"/>
                    <w:tr2bl w:val="nil"/>
                  </w:tcBorders>
                  <w:tcMar>
                    <w:left w:w="57" w:type="dxa"/>
                    <w:right w:w="57" w:type="dxa"/>
                  </w:tcMar>
                  <w:vAlign w:val="center"/>
                </w:tcPr>
                <w:p w14:paraId="67F7204D">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70</w:t>
                  </w:r>
                </w:p>
              </w:tc>
              <w:tc>
                <w:tcPr>
                  <w:tcW w:w="555" w:type="pct"/>
                  <w:tcBorders>
                    <w:tl2br w:val="nil"/>
                    <w:tr2bl w:val="nil"/>
                  </w:tcBorders>
                  <w:tcMar>
                    <w:left w:w="57" w:type="dxa"/>
                    <w:right w:w="57" w:type="dxa"/>
                  </w:tcMar>
                  <w:vAlign w:val="center"/>
                </w:tcPr>
                <w:p w14:paraId="6E4C4D62">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55</w:t>
                  </w:r>
                </w:p>
              </w:tc>
            </w:tr>
            <w:tr w14:paraId="59E076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57" w:type="dxa"/>
                  <w:left w:w="28" w:type="dxa"/>
                  <w:bottom w:w="57" w:type="dxa"/>
                  <w:right w:w="28" w:type="dxa"/>
                </w:tblCellMar>
              </w:tblPrEx>
              <w:trPr>
                <w:trHeight w:val="454" w:hRule="atLeast"/>
                <w:jc w:val="center"/>
              </w:trPr>
              <w:tc>
                <w:tcPr>
                  <w:tcW w:w="762" w:type="pct"/>
                  <w:tcBorders>
                    <w:tl2br w:val="nil"/>
                    <w:tr2bl w:val="nil"/>
                  </w:tcBorders>
                  <w:tcMar>
                    <w:left w:w="57" w:type="dxa"/>
                    <w:right w:w="57" w:type="dxa"/>
                  </w:tcMar>
                  <w:vAlign w:val="center"/>
                </w:tcPr>
                <w:p w14:paraId="0833EB6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运营期噪声</w:t>
                  </w:r>
                </w:p>
              </w:tc>
              <w:tc>
                <w:tcPr>
                  <w:tcW w:w="3028" w:type="pct"/>
                  <w:tcBorders>
                    <w:tl2br w:val="nil"/>
                    <w:tr2bl w:val="nil"/>
                  </w:tcBorders>
                  <w:tcMar>
                    <w:left w:w="57" w:type="dxa"/>
                    <w:right w:w="57" w:type="dxa"/>
                  </w:tcMar>
                  <w:vAlign w:val="center"/>
                </w:tcPr>
                <w:p w14:paraId="694E1A2E">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《工业企业厂界环境噪声排放标准》（GB12348-2008）</w:t>
                  </w:r>
                  <w:r>
                    <w:rPr>
                      <w:rFonts w:hint="eastAsia"/>
                      <w:color w:val="auto"/>
                      <w:szCs w:val="20"/>
                      <w:highlight w:val="none"/>
                      <w:lang w:val="en-US" w:eastAsia="zh-CN"/>
                    </w:rPr>
                    <w:t>2</w:t>
                  </w:r>
                  <w:r>
                    <w:rPr>
                      <w:rFonts w:hint="default"/>
                      <w:color w:val="auto"/>
                      <w:szCs w:val="20"/>
                      <w:highlight w:val="none"/>
                    </w:rPr>
                    <w:t>类标准</w:t>
                  </w:r>
                </w:p>
              </w:tc>
              <w:tc>
                <w:tcPr>
                  <w:tcW w:w="653" w:type="pct"/>
                  <w:tcBorders>
                    <w:tl2br w:val="nil"/>
                    <w:tr2bl w:val="nil"/>
                  </w:tcBorders>
                  <w:tcMar>
                    <w:left w:w="57" w:type="dxa"/>
                    <w:right w:w="57" w:type="dxa"/>
                  </w:tcMar>
                  <w:vAlign w:val="center"/>
                </w:tcPr>
                <w:p w14:paraId="137EDE7B">
                  <w:pPr>
                    <w:pStyle w:val="80"/>
                    <w:keepNext w:val="0"/>
                    <w:keepLines w:val="0"/>
                    <w:widowControl/>
                    <w:suppressLineNumbers w:val="0"/>
                    <w:spacing w:before="0" w:beforeAutospacing="0" w:after="0" w:afterAutospacing="0"/>
                    <w:ind w:left="0" w:right="0"/>
                    <w:rPr>
                      <w:rFonts w:hint="eastAsia" w:eastAsia="宋体"/>
                      <w:color w:val="auto"/>
                      <w:szCs w:val="20"/>
                      <w:highlight w:val="none"/>
                      <w:lang w:eastAsia="zh-CN"/>
                    </w:rPr>
                  </w:pPr>
                  <w:r>
                    <w:rPr>
                      <w:rFonts w:hint="eastAsia"/>
                      <w:color w:val="auto"/>
                      <w:szCs w:val="20"/>
                      <w:highlight w:val="none"/>
                    </w:rPr>
                    <w:t>6</w:t>
                  </w:r>
                  <w:r>
                    <w:rPr>
                      <w:rFonts w:hint="eastAsia"/>
                      <w:color w:val="auto"/>
                      <w:szCs w:val="20"/>
                      <w:highlight w:val="none"/>
                      <w:lang w:val="en-US" w:eastAsia="zh-CN"/>
                    </w:rPr>
                    <w:t>0</w:t>
                  </w:r>
                </w:p>
              </w:tc>
              <w:tc>
                <w:tcPr>
                  <w:tcW w:w="555" w:type="pct"/>
                  <w:tcBorders>
                    <w:tl2br w:val="nil"/>
                    <w:tr2bl w:val="nil"/>
                  </w:tcBorders>
                  <w:tcMar>
                    <w:left w:w="57" w:type="dxa"/>
                    <w:right w:w="57" w:type="dxa"/>
                  </w:tcMar>
                  <w:vAlign w:val="center"/>
                </w:tcPr>
                <w:p w14:paraId="0FE2DD53">
                  <w:pPr>
                    <w:pStyle w:val="80"/>
                    <w:keepNext w:val="0"/>
                    <w:keepLines w:val="0"/>
                    <w:widowControl/>
                    <w:suppressLineNumbers w:val="0"/>
                    <w:spacing w:before="0" w:beforeAutospacing="0" w:after="0" w:afterAutospacing="0"/>
                    <w:ind w:left="0" w:right="0"/>
                    <w:rPr>
                      <w:rFonts w:hint="eastAsia" w:eastAsia="宋体"/>
                      <w:color w:val="auto"/>
                      <w:szCs w:val="20"/>
                      <w:highlight w:val="none"/>
                      <w:lang w:eastAsia="zh-CN"/>
                    </w:rPr>
                  </w:pPr>
                  <w:r>
                    <w:rPr>
                      <w:rFonts w:hint="eastAsia"/>
                      <w:color w:val="auto"/>
                      <w:szCs w:val="20"/>
                      <w:highlight w:val="none"/>
                    </w:rPr>
                    <w:t>5</w:t>
                  </w:r>
                  <w:r>
                    <w:rPr>
                      <w:rFonts w:hint="eastAsia"/>
                      <w:color w:val="auto"/>
                      <w:szCs w:val="20"/>
                      <w:highlight w:val="none"/>
                      <w:lang w:val="en-US" w:eastAsia="zh-CN"/>
                    </w:rPr>
                    <w:t>0</w:t>
                  </w:r>
                </w:p>
              </w:tc>
            </w:tr>
          </w:tbl>
          <w:p w14:paraId="3938B809">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rPr>
              <w:t>4、固废</w:t>
            </w:r>
          </w:p>
          <w:p w14:paraId="66F15A6B">
            <w:pPr>
              <w:keepNext w:val="0"/>
              <w:keepLines w:val="0"/>
              <w:suppressLineNumbers w:val="0"/>
              <w:spacing w:before="0" w:beforeAutospacing="0" w:after="0" w:afterAutospacing="0"/>
              <w:ind w:left="0" w:right="0" w:firstLine="480"/>
              <w:rPr>
                <w:rFonts w:hint="default"/>
                <w:color w:val="auto"/>
                <w:kern w:val="0"/>
                <w:szCs w:val="21"/>
                <w:highlight w:val="none"/>
              </w:rPr>
            </w:pPr>
            <w:r>
              <w:rPr>
                <w:rFonts w:hint="eastAsia"/>
                <w:color w:val="auto"/>
                <w:highlight w:val="none"/>
              </w:rPr>
              <w:t>一般固体废物执行《一般工业固体废物贮存和填埋污染控制标准》（GB18599-2020）中相关要求；危险废物执行《危险废物贮存污染控制标准》（GB18597-2023）中相关要求。</w:t>
            </w:r>
          </w:p>
        </w:tc>
      </w:tr>
      <w:tr w14:paraId="2A668F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16" w:hRule="atLeast"/>
          <w:jc w:val="center"/>
        </w:trPr>
        <w:tc>
          <w:tcPr>
            <w:tcW w:w="446" w:type="pct"/>
            <w:vAlign w:val="center"/>
          </w:tcPr>
          <w:p w14:paraId="0FB7184B">
            <w:pPr>
              <w:pStyle w:val="80"/>
              <w:keepNext w:val="0"/>
              <w:keepLines w:val="0"/>
              <w:widowControl/>
              <w:suppressLineNumbers w:val="0"/>
              <w:spacing w:before="0" w:beforeAutospacing="0" w:after="0" w:afterAutospacing="0"/>
              <w:ind w:left="0" w:right="0"/>
              <w:rPr>
                <w:rFonts w:hint="default"/>
                <w:color w:val="auto"/>
                <w:sz w:val="24"/>
                <w:szCs w:val="20"/>
                <w:highlight w:val="none"/>
              </w:rPr>
            </w:pPr>
            <w:r>
              <w:rPr>
                <w:rFonts w:hint="default"/>
                <w:color w:val="auto"/>
                <w:sz w:val="24"/>
                <w:szCs w:val="20"/>
                <w:highlight w:val="none"/>
              </w:rPr>
              <w:t>总量</w:t>
            </w:r>
          </w:p>
          <w:p w14:paraId="512C53D2">
            <w:pPr>
              <w:pStyle w:val="80"/>
              <w:keepNext w:val="0"/>
              <w:keepLines w:val="0"/>
              <w:widowControl/>
              <w:suppressLineNumbers w:val="0"/>
              <w:spacing w:before="0" w:beforeAutospacing="0" w:after="0" w:afterAutospacing="0"/>
              <w:ind w:left="0" w:right="0"/>
              <w:rPr>
                <w:rFonts w:hint="default"/>
                <w:color w:val="auto"/>
                <w:sz w:val="24"/>
                <w:szCs w:val="20"/>
                <w:highlight w:val="none"/>
              </w:rPr>
            </w:pPr>
            <w:r>
              <w:rPr>
                <w:rFonts w:hint="default"/>
                <w:color w:val="auto"/>
                <w:sz w:val="24"/>
                <w:szCs w:val="20"/>
                <w:highlight w:val="none"/>
              </w:rPr>
              <w:t>控制</w:t>
            </w:r>
          </w:p>
          <w:p w14:paraId="1CB91A0B">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 w:val="24"/>
                <w:szCs w:val="20"/>
                <w:highlight w:val="none"/>
              </w:rPr>
              <w:t>指标</w:t>
            </w:r>
          </w:p>
        </w:tc>
        <w:tc>
          <w:tcPr>
            <w:tcW w:w="4553" w:type="pct"/>
            <w:vAlign w:val="center"/>
          </w:tcPr>
          <w:p w14:paraId="3A8DF672">
            <w:pPr>
              <w:keepNext w:val="0"/>
              <w:keepLines w:val="0"/>
              <w:suppressLineNumbers w:val="0"/>
              <w:spacing w:before="0" w:beforeAutospacing="0" w:after="0" w:afterAutospacing="0"/>
              <w:ind w:left="0" w:right="0" w:firstLine="480"/>
              <w:jc w:val="left"/>
              <w:rPr>
                <w:rFonts w:hint="default"/>
                <w:color w:val="auto"/>
                <w:highlight w:val="none"/>
              </w:rPr>
            </w:pPr>
            <w:r>
              <w:rPr>
                <w:rFonts w:hint="default"/>
                <w:color w:val="auto"/>
                <w:highlight w:val="none"/>
              </w:rPr>
              <w:t>根</w:t>
            </w:r>
            <w:r>
              <w:rPr>
                <w:rFonts w:hint="eastAsia" w:ascii="宋体"/>
                <w:color w:val="auto"/>
                <w:highlight w:val="none"/>
              </w:rPr>
              <w:t>据“十四五”期间总量控制要求，我国“十四五”</w:t>
            </w:r>
            <w:r>
              <w:rPr>
                <w:rFonts w:hint="default"/>
                <w:color w:val="auto"/>
                <w:highlight w:val="none"/>
              </w:rPr>
              <w:t>期间</w:t>
            </w:r>
            <w:r>
              <w:rPr>
                <w:rFonts w:hint="eastAsia"/>
                <w:color w:val="auto"/>
                <w:highlight w:val="none"/>
              </w:rPr>
              <w:t>对</w:t>
            </w:r>
            <w:r>
              <w:rPr>
                <w:rFonts w:hint="default"/>
                <w:color w:val="auto"/>
                <w:highlight w:val="none"/>
              </w:rPr>
              <w:t>COD、NH</w:t>
            </w:r>
            <w:r>
              <w:rPr>
                <w:rFonts w:hint="default"/>
                <w:color w:val="auto"/>
                <w:highlight w:val="none"/>
                <w:vertAlign w:val="subscript"/>
              </w:rPr>
              <w:t>3</w:t>
            </w:r>
            <w:r>
              <w:rPr>
                <w:rFonts w:hint="default"/>
                <w:color w:val="auto"/>
                <w:highlight w:val="none"/>
              </w:rPr>
              <w:t>-N、NOx、VOCs</w:t>
            </w:r>
            <w:r>
              <w:rPr>
                <w:rFonts w:hint="eastAsia"/>
                <w:color w:val="auto"/>
                <w:highlight w:val="none"/>
              </w:rPr>
              <w:t>这4种</w:t>
            </w:r>
            <w:r>
              <w:rPr>
                <w:rFonts w:hint="default"/>
                <w:color w:val="auto"/>
                <w:highlight w:val="none"/>
              </w:rPr>
              <w:t>污染物实行排放总量控制。</w:t>
            </w:r>
          </w:p>
          <w:p w14:paraId="3E6A8B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本项目总量指标如下：</w:t>
            </w:r>
          </w:p>
          <w:p w14:paraId="18E2D0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COD</w:t>
            </w:r>
            <w:r>
              <w:rPr>
                <w:rFonts w:hint="eastAsia"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0.487</w:t>
            </w:r>
            <w:r>
              <w:rPr>
                <w:rFonts w:hint="eastAsia" w:ascii="Times New Roman" w:hAnsi="Times New Roman" w:eastAsia="宋体" w:cs="Times New Roman"/>
                <w:color w:val="auto"/>
                <w:sz w:val="24"/>
                <w:szCs w:val="24"/>
                <w:highlight w:val="none"/>
                <w:lang w:val="en-US" w:eastAsia="zh-CN"/>
              </w:rPr>
              <w:t>t/a；</w:t>
            </w:r>
          </w:p>
          <w:p w14:paraId="32D1EF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NH</w:t>
            </w:r>
            <w:r>
              <w:rPr>
                <w:rFonts w:hint="default" w:ascii="Times New Roman" w:hAnsi="Times New Roman" w:eastAsia="宋体" w:cs="Times New Roman"/>
                <w:color w:val="auto"/>
                <w:sz w:val="24"/>
                <w:szCs w:val="24"/>
                <w:highlight w:val="none"/>
                <w:vertAlign w:val="subscript"/>
                <w:lang w:val="en-US" w:eastAsia="zh-CN"/>
              </w:rPr>
              <w:t>3</w:t>
            </w:r>
            <w:r>
              <w:rPr>
                <w:rFonts w:hint="default" w:ascii="Times New Roman" w:hAnsi="Times New Roman" w:eastAsia="宋体" w:cs="Times New Roman"/>
                <w:color w:val="auto"/>
                <w:sz w:val="24"/>
                <w:szCs w:val="24"/>
                <w:highlight w:val="none"/>
                <w:lang w:val="en-US" w:eastAsia="zh-CN"/>
              </w:rPr>
              <w:t>-N</w:t>
            </w:r>
            <w:r>
              <w:rPr>
                <w:rFonts w:hint="eastAsia"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0.08</w:t>
            </w:r>
            <w:r>
              <w:rPr>
                <w:rFonts w:hint="eastAsia" w:ascii="Times New Roman" w:hAnsi="Times New Roman" w:eastAsia="宋体" w:cs="Times New Roman"/>
                <w:color w:val="auto"/>
                <w:sz w:val="24"/>
                <w:szCs w:val="24"/>
                <w:highlight w:val="none"/>
                <w:lang w:val="en-US" w:eastAsia="zh-CN"/>
              </w:rPr>
              <w:t>t/a；</w:t>
            </w:r>
          </w:p>
          <w:p w14:paraId="671730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sz w:val="24"/>
                <w:szCs w:val="24"/>
                <w:highlight w:val="none"/>
                <w:lang w:val="en-US" w:eastAsia="zh-CN"/>
              </w:rPr>
            </w:pPr>
            <w:r>
              <w:rPr>
                <w:rFonts w:hint="default"/>
                <w:color w:val="auto"/>
                <w:highlight w:val="none"/>
              </w:rPr>
              <w:t>NOx</w:t>
            </w:r>
            <w:r>
              <w:rPr>
                <w:rFonts w:hint="default"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0.17</w:t>
            </w:r>
            <w:r>
              <w:rPr>
                <w:rFonts w:hint="default" w:ascii="Times New Roman" w:hAnsi="Times New Roman" w:eastAsia="宋体" w:cs="Times New Roman"/>
                <w:color w:val="auto"/>
                <w:sz w:val="24"/>
                <w:szCs w:val="24"/>
                <w:highlight w:val="none"/>
                <w:lang w:val="en-US" w:eastAsia="zh-CN"/>
              </w:rPr>
              <w:t>t/a</w:t>
            </w:r>
            <w:r>
              <w:rPr>
                <w:rFonts w:hint="eastAsia" w:ascii="Times New Roman" w:hAnsi="Times New Roman" w:eastAsia="宋体" w:cs="Times New Roman"/>
                <w:color w:val="auto"/>
                <w:sz w:val="24"/>
                <w:szCs w:val="24"/>
                <w:highlight w:val="none"/>
                <w:lang w:val="en-US" w:eastAsia="zh-CN"/>
              </w:rPr>
              <w:t>。</w:t>
            </w:r>
          </w:p>
          <w:p w14:paraId="7C7459AB">
            <w:pPr>
              <w:keepNext w:val="0"/>
              <w:keepLines w:val="0"/>
              <w:suppressLineNumbers w:val="0"/>
              <w:spacing w:before="0" w:beforeAutospacing="0" w:after="0" w:afterAutospacing="0"/>
              <w:ind w:left="0" w:right="0" w:firstLine="480"/>
              <w:rPr>
                <w:rFonts w:hint="default"/>
                <w:color w:val="auto"/>
                <w:kern w:val="0"/>
                <w:szCs w:val="21"/>
                <w:highlight w:val="none"/>
              </w:rPr>
            </w:pPr>
            <w:r>
              <w:rPr>
                <w:rFonts w:hint="eastAsia"/>
                <w:color w:val="auto"/>
                <w:highlight w:val="none"/>
              </w:rPr>
              <w:t>本项目</w:t>
            </w:r>
            <w:r>
              <w:rPr>
                <w:rFonts w:hint="eastAsia" w:ascii="Times New Roman" w:hAnsi="Times New Roman" w:cs="Times New Roman"/>
                <w:color w:val="auto"/>
                <w:sz w:val="24"/>
                <w:highlight w:val="none"/>
                <w:lang w:val="en-US" w:eastAsia="zh-CN"/>
              </w:rPr>
              <w:t>废水</w:t>
            </w:r>
            <w:r>
              <w:rPr>
                <w:rFonts w:hint="eastAsia"/>
                <w:color w:val="auto"/>
                <w:highlight w:val="none"/>
              </w:rPr>
              <w:t>排放</w:t>
            </w:r>
            <w:r>
              <w:rPr>
                <w:rFonts w:hint="default"/>
                <w:color w:val="auto"/>
                <w:highlight w:val="none"/>
              </w:rPr>
              <w:t>总量</w:t>
            </w:r>
            <w:r>
              <w:rPr>
                <w:rFonts w:hint="eastAsia"/>
                <w:color w:val="auto"/>
                <w:highlight w:val="none"/>
              </w:rPr>
              <w:t>纳入泾河新城第二污水处理厂总量指标</w:t>
            </w:r>
            <w:r>
              <w:rPr>
                <w:rFonts w:hint="eastAsia"/>
                <w:color w:val="auto"/>
                <w:lang w:eastAsia="zh-CN"/>
              </w:rPr>
              <w:t>，</w:t>
            </w:r>
            <w:r>
              <w:rPr>
                <w:rFonts w:hint="eastAsia"/>
                <w:color w:val="auto"/>
                <w:lang w:val="en-US" w:eastAsia="zh-CN"/>
              </w:rPr>
              <w:t>不再另行申请</w:t>
            </w:r>
            <w:r>
              <w:rPr>
                <w:rFonts w:hint="eastAsia"/>
                <w:color w:val="auto"/>
                <w:kern w:val="0"/>
                <w:szCs w:val="20"/>
                <w:highlight w:val="none"/>
              </w:rPr>
              <w:t>。</w:t>
            </w:r>
          </w:p>
        </w:tc>
      </w:tr>
    </w:tbl>
    <w:p w14:paraId="20F46688">
      <w:pPr>
        <w:pStyle w:val="32"/>
        <w:ind w:firstLine="0" w:firstLineChars="0"/>
        <w:jc w:val="center"/>
        <w:outlineLvl w:val="0"/>
        <w:rPr>
          <w:rFonts w:ascii="Times New Roman" w:hAnsi="Times New Roman" w:eastAsia="黑体"/>
          <w:snapToGrid w:val="0"/>
          <w:color w:val="auto"/>
          <w:sz w:val="30"/>
          <w:szCs w:val="30"/>
          <w:highlight w:val="none"/>
        </w:rPr>
      </w:pPr>
      <w:r>
        <w:rPr>
          <w:rFonts w:ascii="Times New Roman" w:hAnsi="Times New Roman" w:eastAsia="黑体"/>
          <w:snapToGrid w:val="0"/>
          <w:color w:val="auto"/>
          <w:sz w:val="36"/>
          <w:szCs w:val="36"/>
          <w:highlight w:val="none"/>
        </w:rPr>
        <w:br w:type="page"/>
      </w:r>
      <w:r>
        <w:rPr>
          <w:rFonts w:ascii="Times New Roman" w:hAnsi="Times New Roman" w:eastAsia="黑体"/>
          <w:snapToGrid w:val="0"/>
          <w:color w:val="auto"/>
          <w:sz w:val="30"/>
          <w:szCs w:val="30"/>
          <w:highlight w:val="none"/>
        </w:rPr>
        <w:t>四、主要环境影响和保护措施</w:t>
      </w:r>
    </w:p>
    <w:tbl>
      <w:tblPr>
        <w:tblStyle w:val="37"/>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94"/>
        <w:gridCol w:w="8487"/>
      </w:tblGrid>
      <w:tr w14:paraId="5977FF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95" w:hRule="atLeast"/>
          <w:jc w:val="center"/>
        </w:trPr>
        <w:tc>
          <w:tcPr>
            <w:tcW w:w="494" w:type="dxa"/>
            <w:tcMar>
              <w:left w:w="28" w:type="dxa"/>
              <w:right w:w="28" w:type="dxa"/>
            </w:tcMar>
            <w:vAlign w:val="center"/>
          </w:tcPr>
          <w:p w14:paraId="566E156F">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施工</w:t>
            </w:r>
          </w:p>
          <w:p w14:paraId="42D3F95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期环</w:t>
            </w:r>
          </w:p>
          <w:p w14:paraId="6080FDF2">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境保</w:t>
            </w:r>
          </w:p>
          <w:p w14:paraId="7D16D129">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护措</w:t>
            </w:r>
          </w:p>
          <w:p w14:paraId="731DBE3E">
            <w:pPr>
              <w:pStyle w:val="80"/>
              <w:keepNext w:val="0"/>
              <w:keepLines w:val="0"/>
              <w:widowControl/>
              <w:suppressLineNumbers w:val="0"/>
              <w:spacing w:before="0" w:beforeAutospacing="0" w:after="0" w:afterAutospacing="0"/>
              <w:ind w:left="0" w:right="0"/>
              <w:rPr>
                <w:rFonts w:hint="default"/>
                <w:bCs/>
                <w:color w:val="auto"/>
                <w:szCs w:val="20"/>
                <w:highlight w:val="none"/>
              </w:rPr>
            </w:pPr>
            <w:r>
              <w:rPr>
                <w:rFonts w:hint="default"/>
                <w:color w:val="auto"/>
                <w:szCs w:val="20"/>
                <w:highlight w:val="none"/>
              </w:rPr>
              <w:t>施</w:t>
            </w:r>
          </w:p>
        </w:tc>
        <w:tc>
          <w:tcPr>
            <w:tcW w:w="8487" w:type="dxa"/>
            <w:vAlign w:val="center"/>
          </w:tcPr>
          <w:p w14:paraId="5B64C1DC">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lang w:val="en-US" w:eastAsia="zh-CN"/>
              </w:rPr>
            </w:pPr>
            <w:r>
              <w:rPr>
                <w:rFonts w:hint="default" w:ascii="Times New Roman" w:hAnsi="Times New Roman" w:eastAsia="宋体" w:cs="Times New Roman"/>
                <w:color w:val="auto"/>
                <w:kern w:val="0"/>
                <w:sz w:val="24"/>
                <w:lang w:val="en-US" w:eastAsia="zh-CN"/>
              </w:rPr>
              <w:t>本项目</w:t>
            </w:r>
            <w:r>
              <w:rPr>
                <w:rFonts w:hint="eastAsia" w:ascii="Times New Roman" w:hAnsi="Times New Roman" w:eastAsia="宋体" w:cs="Times New Roman"/>
                <w:color w:val="auto"/>
                <w:kern w:val="0"/>
                <w:sz w:val="24"/>
                <w:lang w:val="en-US" w:eastAsia="zh-CN"/>
              </w:rPr>
              <w:t>在已建厂房内建设，项目不涉及土建施工，施工期建设内容主要为设备安装，施工量小，</w:t>
            </w:r>
            <w:r>
              <w:rPr>
                <w:rFonts w:hint="default" w:ascii="Times New Roman" w:hAnsi="Times New Roman" w:eastAsia="宋体" w:cs="Times New Roman"/>
                <w:color w:val="auto"/>
                <w:kern w:val="0"/>
                <w:sz w:val="24"/>
                <w:lang w:val="en-US" w:eastAsia="zh-CN"/>
              </w:rPr>
              <w:t>故对施工期进行</w:t>
            </w:r>
            <w:r>
              <w:rPr>
                <w:rFonts w:hint="eastAsia" w:ascii="Times New Roman" w:hAnsi="Times New Roman" w:eastAsia="宋体" w:cs="Times New Roman"/>
                <w:color w:val="auto"/>
                <w:kern w:val="0"/>
                <w:sz w:val="24"/>
                <w:lang w:val="en-US" w:eastAsia="zh-CN"/>
              </w:rPr>
              <w:t>简要</w:t>
            </w:r>
            <w:r>
              <w:rPr>
                <w:rFonts w:hint="default" w:ascii="Times New Roman" w:hAnsi="Times New Roman" w:eastAsia="宋体" w:cs="Times New Roman"/>
                <w:color w:val="auto"/>
                <w:kern w:val="0"/>
                <w:sz w:val="24"/>
                <w:lang w:val="en-US" w:eastAsia="zh-CN"/>
              </w:rPr>
              <w:t>分析。</w:t>
            </w:r>
          </w:p>
          <w:p w14:paraId="6D6A6E06">
            <w:pPr>
              <w:pStyle w:val="170"/>
              <w:keepNext w:val="0"/>
              <w:keepLines w:val="0"/>
              <w:suppressLineNumbers w:val="0"/>
              <w:adjustRightInd w:val="0"/>
              <w:snapToGrid w:val="0"/>
              <w:spacing w:before="0" w:beforeAutospacing="0" w:after="0" w:afterAutospacing="0" w:line="360" w:lineRule="auto"/>
              <w:ind w:left="0" w:right="0" w:firstLine="498"/>
              <w:rPr>
                <w:rFonts w:hint="default" w:cs="Times New Roman"/>
                <w:b/>
                <w:color w:val="auto"/>
                <w:spacing w:val="4"/>
                <w:szCs w:val="24"/>
              </w:rPr>
            </w:pPr>
            <w:r>
              <w:rPr>
                <w:rFonts w:hint="default" w:cs="Times New Roman"/>
                <w:b/>
                <w:color w:val="auto"/>
                <w:spacing w:val="4"/>
                <w:szCs w:val="24"/>
              </w:rPr>
              <w:t>1、施工</w:t>
            </w:r>
            <w:r>
              <w:rPr>
                <w:rFonts w:hint="eastAsia" w:cs="Times New Roman"/>
                <w:b/>
                <w:color w:val="auto"/>
                <w:spacing w:val="4"/>
                <w:szCs w:val="24"/>
                <w:lang w:val="en-US" w:eastAsia="zh-CN"/>
              </w:rPr>
              <w:t>大气环境防治</w:t>
            </w:r>
            <w:r>
              <w:rPr>
                <w:rFonts w:hint="eastAsia" w:cs="Times New Roman"/>
                <w:b/>
                <w:color w:val="auto"/>
                <w:spacing w:val="4"/>
                <w:szCs w:val="24"/>
              </w:rPr>
              <w:t>措施</w:t>
            </w:r>
          </w:p>
          <w:p w14:paraId="37FE47DC">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lang w:val="en-US" w:eastAsia="zh-CN"/>
              </w:rPr>
            </w:pPr>
            <w:r>
              <w:rPr>
                <w:rFonts w:hint="default" w:ascii="Times New Roman" w:hAnsi="Times New Roman" w:eastAsia="宋体" w:cs="Times New Roman"/>
                <w:color w:val="auto"/>
                <w:kern w:val="0"/>
                <w:sz w:val="24"/>
                <w:lang w:val="en-US" w:eastAsia="zh-CN"/>
              </w:rPr>
              <w:t>项目主要扬尘污染因素为施工场地建筑材料现场搬运</w:t>
            </w:r>
            <w:r>
              <w:rPr>
                <w:rFonts w:hint="eastAsia" w:ascii="Times New Roman" w:hAnsi="Times New Roman" w:eastAsia="宋体" w:cs="Times New Roman"/>
                <w:color w:val="auto"/>
                <w:kern w:val="0"/>
                <w:sz w:val="24"/>
                <w:lang w:val="en-US" w:eastAsia="zh-CN"/>
              </w:rPr>
              <w:t>和材料</w:t>
            </w:r>
            <w:r>
              <w:rPr>
                <w:rFonts w:hint="default" w:ascii="Times New Roman" w:hAnsi="Times New Roman" w:eastAsia="宋体" w:cs="Times New Roman"/>
                <w:color w:val="auto"/>
                <w:kern w:val="0"/>
                <w:sz w:val="24"/>
                <w:lang w:val="en-US" w:eastAsia="zh-CN"/>
              </w:rPr>
              <w:t>堆放，施工垃圾的清理扬尘在施工高峰期的不断增多，造成的扬尘污染</w:t>
            </w:r>
            <w:r>
              <w:rPr>
                <w:rFonts w:hint="eastAsia" w:ascii="Times New Roman" w:hAnsi="Times New Roman" w:eastAsia="宋体" w:cs="Times New Roman"/>
                <w:color w:val="auto"/>
                <w:kern w:val="0"/>
                <w:sz w:val="24"/>
                <w:lang w:val="en-US" w:eastAsia="zh-CN"/>
              </w:rPr>
              <w:t>，</w:t>
            </w:r>
            <w:r>
              <w:rPr>
                <w:rFonts w:hint="default" w:ascii="Times New Roman" w:hAnsi="Times New Roman" w:eastAsia="宋体" w:cs="Times New Roman"/>
                <w:color w:val="auto"/>
                <w:kern w:val="0"/>
                <w:sz w:val="24"/>
                <w:lang w:val="en-US" w:eastAsia="zh-CN"/>
              </w:rPr>
              <w:t>环评提</w:t>
            </w:r>
            <w:r>
              <w:rPr>
                <w:rFonts w:hint="eastAsia" w:ascii="Times New Roman" w:hAnsi="Times New Roman" w:eastAsia="宋体" w:cs="Times New Roman"/>
                <w:color w:val="auto"/>
                <w:kern w:val="0"/>
                <w:sz w:val="24"/>
                <w:lang w:val="en-US" w:eastAsia="zh-CN"/>
              </w:rPr>
              <w:t>出</w:t>
            </w:r>
            <w:r>
              <w:rPr>
                <w:rFonts w:hint="default" w:ascii="Times New Roman" w:hAnsi="Times New Roman" w:eastAsia="宋体" w:cs="Times New Roman"/>
                <w:color w:val="auto"/>
                <w:kern w:val="0"/>
                <w:sz w:val="24"/>
                <w:lang w:val="en-US" w:eastAsia="zh-CN"/>
              </w:rPr>
              <w:t>具体防治措施如下：</w:t>
            </w:r>
          </w:p>
          <w:p w14:paraId="4F2A6575">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lang w:val="en-US" w:eastAsia="zh-CN"/>
              </w:rPr>
              <w:t>①</w:t>
            </w:r>
            <w:r>
              <w:rPr>
                <w:rFonts w:hint="default" w:ascii="Times New Roman" w:hAnsi="Times New Roman" w:eastAsia="宋体" w:cs="Times New Roman"/>
                <w:color w:val="auto"/>
                <w:kern w:val="0"/>
                <w:sz w:val="24"/>
              </w:rPr>
              <w:t>施工现场必须设置固定垃圾存放点，垃圾应分类集中堆放并覆盖，及时清运，严禁焚烧、填埋和随意丢弃。</w:t>
            </w:r>
          </w:p>
          <w:p w14:paraId="2CEFF3A8">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②当发布雾霾橙色以上等级预警或环境空气质量连续</w:t>
            </w:r>
            <w:r>
              <w:rPr>
                <w:rFonts w:hint="eastAsia" w:ascii="Times New Roman" w:hAnsi="Times New Roman" w:eastAsia="宋体" w:cs="Times New Roman"/>
                <w:color w:val="auto"/>
                <w:kern w:val="0"/>
                <w:sz w:val="24"/>
              </w:rPr>
              <w:t>多</w:t>
            </w:r>
            <w:r>
              <w:rPr>
                <w:rFonts w:hint="default" w:ascii="Times New Roman" w:hAnsi="Times New Roman" w:eastAsia="宋体" w:cs="Times New Roman"/>
                <w:color w:val="auto"/>
                <w:kern w:val="0"/>
                <w:sz w:val="24"/>
              </w:rPr>
              <w:t>天达到严重污染日标准且无改善趋势时，应暂停建筑工地施工作业。施工企业定期召开安全例会和安全检查时，要将扬尘治理工作作为重要内容。</w:t>
            </w:r>
          </w:p>
          <w:p w14:paraId="1AF418A5">
            <w:pPr>
              <w:pStyle w:val="170"/>
              <w:keepNext w:val="0"/>
              <w:keepLines w:val="0"/>
              <w:suppressLineNumbers w:val="0"/>
              <w:adjustRightInd w:val="0"/>
              <w:snapToGrid w:val="0"/>
              <w:spacing w:before="0" w:beforeAutospacing="0" w:after="0" w:afterAutospacing="0" w:line="360" w:lineRule="auto"/>
              <w:ind w:left="0" w:right="0" w:firstLine="498"/>
              <w:rPr>
                <w:rFonts w:hint="eastAsia" w:cs="Times New Roman"/>
                <w:b/>
                <w:color w:val="auto"/>
                <w:spacing w:val="4"/>
                <w:szCs w:val="24"/>
              </w:rPr>
            </w:pPr>
            <w:r>
              <w:rPr>
                <w:rFonts w:hint="eastAsia" w:cs="Times New Roman"/>
                <w:b/>
                <w:color w:val="auto"/>
                <w:spacing w:val="4"/>
                <w:szCs w:val="24"/>
              </w:rPr>
              <w:t>2</w:t>
            </w:r>
            <w:r>
              <w:rPr>
                <w:rFonts w:hint="default" w:cs="Times New Roman"/>
                <w:b/>
                <w:color w:val="auto"/>
                <w:spacing w:val="4"/>
                <w:szCs w:val="24"/>
              </w:rPr>
              <w:t>、</w:t>
            </w:r>
            <w:r>
              <w:rPr>
                <w:rFonts w:hint="eastAsia" w:cs="Times New Roman"/>
                <w:b/>
                <w:color w:val="auto"/>
                <w:spacing w:val="4"/>
                <w:szCs w:val="24"/>
                <w:lang w:val="en-US" w:eastAsia="zh-CN"/>
              </w:rPr>
              <w:t>水环境防治</w:t>
            </w:r>
            <w:r>
              <w:rPr>
                <w:rFonts w:hint="eastAsia" w:cs="Times New Roman"/>
                <w:b/>
                <w:color w:val="auto"/>
                <w:spacing w:val="4"/>
                <w:szCs w:val="24"/>
              </w:rPr>
              <w:t>措施</w:t>
            </w:r>
          </w:p>
          <w:p w14:paraId="44E27014">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auto"/>
                <w:sz w:val="24"/>
              </w:rPr>
            </w:pPr>
            <w:r>
              <w:rPr>
                <w:rFonts w:hint="default"/>
                <w:color w:val="auto"/>
                <w:sz w:val="24"/>
              </w:rPr>
              <w:t>本项目施工期的废水主要为施工人员生活污水。施工人员均不在施工场所居住，如厕依托</w:t>
            </w:r>
            <w:r>
              <w:rPr>
                <w:rFonts w:hint="eastAsia"/>
                <w:color w:val="auto"/>
                <w:sz w:val="24"/>
              </w:rPr>
              <w:t>厂区卫生间</w:t>
            </w:r>
            <w:r>
              <w:rPr>
                <w:rFonts w:hint="default"/>
                <w:color w:val="auto"/>
                <w:sz w:val="24"/>
              </w:rPr>
              <w:t>。</w:t>
            </w:r>
          </w:p>
          <w:p w14:paraId="359F75E5">
            <w:pPr>
              <w:pStyle w:val="170"/>
              <w:keepNext w:val="0"/>
              <w:keepLines w:val="0"/>
              <w:suppressLineNumbers w:val="0"/>
              <w:adjustRightInd w:val="0"/>
              <w:snapToGrid w:val="0"/>
              <w:spacing w:before="0" w:beforeAutospacing="0" w:after="0" w:afterAutospacing="0" w:line="360" w:lineRule="auto"/>
              <w:ind w:left="0" w:right="0" w:firstLine="498"/>
              <w:rPr>
                <w:rFonts w:hint="default" w:cs="Times New Roman"/>
                <w:b/>
                <w:color w:val="auto"/>
                <w:spacing w:val="4"/>
                <w:szCs w:val="24"/>
              </w:rPr>
            </w:pPr>
            <w:r>
              <w:rPr>
                <w:rFonts w:hint="eastAsia" w:cs="Times New Roman"/>
                <w:b/>
                <w:color w:val="auto"/>
                <w:spacing w:val="4"/>
                <w:szCs w:val="24"/>
              </w:rPr>
              <w:t>3</w:t>
            </w:r>
            <w:r>
              <w:rPr>
                <w:rFonts w:hint="default" w:cs="Times New Roman"/>
                <w:b/>
                <w:color w:val="auto"/>
                <w:spacing w:val="4"/>
                <w:szCs w:val="24"/>
              </w:rPr>
              <w:t>、</w:t>
            </w:r>
            <w:r>
              <w:rPr>
                <w:rFonts w:hint="eastAsia" w:cs="Times New Roman"/>
                <w:b/>
                <w:color w:val="auto"/>
                <w:spacing w:val="4"/>
                <w:szCs w:val="24"/>
                <w:lang w:val="en-US" w:eastAsia="zh-CN"/>
              </w:rPr>
              <w:t>声环境防治</w:t>
            </w:r>
            <w:r>
              <w:rPr>
                <w:rFonts w:hint="eastAsia" w:cs="Times New Roman"/>
                <w:b/>
                <w:color w:val="auto"/>
                <w:spacing w:val="4"/>
                <w:szCs w:val="24"/>
              </w:rPr>
              <w:t>措施</w:t>
            </w:r>
          </w:p>
          <w:p w14:paraId="00A9C8D2">
            <w:pPr>
              <w:keepNext w:val="0"/>
              <w:keepLines w:val="0"/>
              <w:suppressLineNumbers w:val="0"/>
              <w:spacing w:before="0" w:beforeAutospacing="0" w:after="0" w:afterAutospacing="0" w:line="360" w:lineRule="auto"/>
              <w:ind w:left="0" w:right="0" w:firstLine="480" w:firstLineChars="200"/>
              <w:rPr>
                <w:rFonts w:hint="default" w:hAnsi="宋体"/>
                <w:color w:val="auto"/>
                <w:kern w:val="0"/>
                <w:sz w:val="24"/>
              </w:rPr>
            </w:pPr>
            <w:r>
              <w:rPr>
                <w:rFonts w:hint="default"/>
                <w:color w:val="auto"/>
                <w:sz w:val="24"/>
              </w:rPr>
              <w:t>施工期噪声主要是设备安装噪声以及运输汽车交通噪声。噪声主要是</w:t>
            </w:r>
            <w:r>
              <w:rPr>
                <w:rFonts w:hint="eastAsia"/>
                <w:color w:val="auto"/>
                <w:sz w:val="24"/>
                <w:lang w:eastAsia="zh-CN"/>
              </w:rPr>
              <w:t>吊车、电动工具</w:t>
            </w:r>
            <w:r>
              <w:rPr>
                <w:rFonts w:hint="eastAsia"/>
                <w:color w:val="auto"/>
                <w:sz w:val="24"/>
              </w:rPr>
              <w:t>及车辆</w:t>
            </w:r>
            <w:r>
              <w:rPr>
                <w:rFonts w:hint="default"/>
                <w:color w:val="auto"/>
                <w:sz w:val="24"/>
              </w:rPr>
              <w:t>运输噪声。</w:t>
            </w:r>
            <w:r>
              <w:rPr>
                <w:rFonts w:hint="eastAsia"/>
                <w:color w:val="auto"/>
                <w:sz w:val="24"/>
                <w:lang w:eastAsia="zh-CN"/>
              </w:rPr>
              <w:t>为了减少项目</w:t>
            </w:r>
            <w:r>
              <w:rPr>
                <w:rFonts w:hint="default"/>
                <w:color w:val="auto"/>
                <w:sz w:val="24"/>
              </w:rPr>
              <w:t>施工</w:t>
            </w:r>
            <w:r>
              <w:rPr>
                <w:rFonts w:hint="eastAsia"/>
                <w:color w:val="auto"/>
                <w:sz w:val="24"/>
              </w:rPr>
              <w:t>期间</w:t>
            </w:r>
            <w:r>
              <w:rPr>
                <w:rFonts w:hint="eastAsia"/>
                <w:color w:val="auto"/>
                <w:sz w:val="24"/>
                <w:lang w:eastAsia="zh-CN"/>
              </w:rPr>
              <w:t>噪声</w:t>
            </w:r>
            <w:r>
              <w:rPr>
                <w:rFonts w:hint="default"/>
                <w:color w:val="auto"/>
                <w:sz w:val="24"/>
              </w:rPr>
              <w:t>影响，建议建设单位做好施工期的工程管理工作，合理安排工期、施工工序以及施工机械设备布置，严格控制高噪声设备的运行时段，项目施工期噪声可满足《建筑施工场界环境噪声排放标准》（GB12523-2011）</w:t>
            </w:r>
            <w:r>
              <w:rPr>
                <w:rFonts w:hint="eastAsia"/>
                <w:color w:val="auto"/>
                <w:sz w:val="24"/>
              </w:rPr>
              <w:t>相关限值要求。</w:t>
            </w:r>
          </w:p>
          <w:p w14:paraId="782890C6">
            <w:pPr>
              <w:keepNext w:val="0"/>
              <w:keepLines w:val="0"/>
              <w:suppressLineNumbers w:val="0"/>
              <w:adjustRightInd w:val="0"/>
              <w:snapToGrid w:val="0"/>
              <w:spacing w:before="0" w:beforeAutospacing="0" w:after="0" w:afterAutospacing="0" w:line="360" w:lineRule="auto"/>
              <w:ind w:left="0" w:right="0" w:firstLine="498" w:firstLineChars="200"/>
              <w:rPr>
                <w:rFonts w:hint="eastAsia"/>
                <w:b/>
                <w:color w:val="auto"/>
                <w:spacing w:val="4"/>
                <w:sz w:val="24"/>
              </w:rPr>
            </w:pPr>
            <w:r>
              <w:rPr>
                <w:rFonts w:hint="default"/>
                <w:b/>
                <w:color w:val="auto"/>
                <w:spacing w:val="4"/>
                <w:sz w:val="24"/>
              </w:rPr>
              <w:t>4、固废</w:t>
            </w:r>
            <w:r>
              <w:rPr>
                <w:rFonts w:hint="eastAsia"/>
                <w:b/>
                <w:color w:val="auto"/>
                <w:spacing w:val="4"/>
                <w:sz w:val="24"/>
                <w:lang w:val="en-US" w:eastAsia="zh-CN"/>
              </w:rPr>
              <w:t>防治</w:t>
            </w:r>
            <w:r>
              <w:rPr>
                <w:rFonts w:hint="eastAsia"/>
                <w:b/>
                <w:color w:val="auto"/>
                <w:spacing w:val="4"/>
                <w:sz w:val="24"/>
              </w:rPr>
              <w:t>措施</w:t>
            </w:r>
          </w:p>
          <w:p w14:paraId="68C460F4">
            <w:pPr>
              <w:keepNext w:val="0"/>
              <w:keepLines w:val="0"/>
              <w:suppressLineNumbers w:val="0"/>
              <w:spacing w:before="0" w:beforeAutospacing="0" w:after="0" w:afterAutospacing="0"/>
              <w:ind w:left="0" w:right="0" w:firstLine="480"/>
              <w:rPr>
                <w:rFonts w:hint="default"/>
                <w:bCs/>
                <w:color w:val="auto"/>
                <w:spacing w:val="4"/>
                <w:szCs w:val="21"/>
                <w:highlight w:val="none"/>
              </w:rPr>
            </w:pPr>
            <w:r>
              <w:rPr>
                <w:rFonts w:hint="default" w:ascii="Times New Roman" w:hAnsi="Times New Roman" w:eastAsia="宋体" w:cs="Times New Roman"/>
                <w:color w:val="auto"/>
                <w:kern w:val="2"/>
                <w:sz w:val="24"/>
                <w:szCs w:val="24"/>
                <w:lang w:val="en-US" w:eastAsia="zh-CN" w:bidi="ar-SA"/>
              </w:rPr>
              <w:t>本项目</w:t>
            </w:r>
            <w:r>
              <w:rPr>
                <w:rFonts w:hint="eastAsia" w:ascii="Times New Roman" w:hAnsi="Times New Roman" w:eastAsia="宋体" w:cs="Times New Roman"/>
                <w:color w:val="auto"/>
                <w:kern w:val="2"/>
                <w:sz w:val="24"/>
                <w:szCs w:val="24"/>
                <w:lang w:val="en-US" w:eastAsia="zh-CN" w:bidi="ar-SA"/>
              </w:rPr>
              <w:t>施工期固废主要为</w:t>
            </w:r>
            <w:r>
              <w:rPr>
                <w:rFonts w:hint="default" w:ascii="Times New Roman" w:hAnsi="Times New Roman" w:eastAsia="宋体" w:cs="Times New Roman"/>
                <w:color w:val="auto"/>
                <w:kern w:val="2"/>
                <w:sz w:val="24"/>
                <w:szCs w:val="24"/>
                <w:lang w:val="en-US" w:eastAsia="zh-CN" w:bidi="ar-SA"/>
              </w:rPr>
              <w:t>设备废包装物</w:t>
            </w:r>
            <w:r>
              <w:rPr>
                <w:rFonts w:hint="eastAsia" w:ascii="Times New Roman" w:hAnsi="Times New Roman" w:eastAsia="宋体" w:cs="Times New Roman"/>
                <w:color w:val="auto"/>
                <w:kern w:val="2"/>
                <w:sz w:val="24"/>
                <w:szCs w:val="24"/>
                <w:lang w:val="en-US" w:eastAsia="zh-CN" w:bidi="ar-SA"/>
              </w:rPr>
              <w:t>和生活垃圾</w:t>
            </w:r>
            <w:r>
              <w:rPr>
                <w:rFonts w:hint="default" w:ascii="Times New Roman" w:hAnsi="Times New Roman" w:eastAsia="宋体" w:cs="Times New Roman"/>
                <w:color w:val="auto"/>
                <w:kern w:val="2"/>
                <w:sz w:val="24"/>
                <w:szCs w:val="24"/>
                <w:lang w:val="en-US" w:eastAsia="zh-CN" w:bidi="ar-SA"/>
              </w:rPr>
              <w:t>等。设备废包装物统一收集后外售给废品回收站；生活垃圾由带盖垃圾桶分类收集后，交环卫部门处置；施工期各种固体废物均可以</w:t>
            </w:r>
            <w:r>
              <w:rPr>
                <w:rFonts w:hint="eastAsia" w:ascii="Times New Roman" w:hAnsi="Times New Roman" w:eastAsia="宋体" w:cs="Times New Roman"/>
                <w:color w:val="auto"/>
                <w:kern w:val="2"/>
                <w:sz w:val="24"/>
                <w:szCs w:val="24"/>
                <w:lang w:val="en-US" w:eastAsia="zh-CN" w:bidi="ar-SA"/>
              </w:rPr>
              <w:t>得到妥善处置。</w:t>
            </w:r>
          </w:p>
        </w:tc>
      </w:tr>
      <w:tr w14:paraId="554659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94" w:type="dxa"/>
            <w:tcMar>
              <w:left w:w="28" w:type="dxa"/>
              <w:right w:w="28" w:type="dxa"/>
            </w:tcMar>
            <w:vAlign w:val="center"/>
          </w:tcPr>
          <w:p w14:paraId="04105C1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运营</w:t>
            </w:r>
          </w:p>
          <w:p w14:paraId="2A6D147C">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期环</w:t>
            </w:r>
          </w:p>
          <w:p w14:paraId="424BDD4F">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境影</w:t>
            </w:r>
          </w:p>
          <w:p w14:paraId="1ACDED48">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响和</w:t>
            </w:r>
          </w:p>
          <w:p w14:paraId="35A108D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保护</w:t>
            </w:r>
          </w:p>
          <w:p w14:paraId="444B365A">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措施</w:t>
            </w:r>
          </w:p>
        </w:tc>
        <w:tc>
          <w:tcPr>
            <w:tcW w:w="8487" w:type="dxa"/>
            <w:vAlign w:val="center"/>
          </w:tcPr>
          <w:p w14:paraId="69E78BD3">
            <w:pPr>
              <w:keepNext w:val="0"/>
              <w:keepLines w:val="0"/>
              <w:suppressLineNumbers w:val="0"/>
              <w:spacing w:before="0" w:beforeAutospacing="0" w:after="0" w:afterAutospacing="0"/>
              <w:ind w:left="0" w:right="0" w:firstLine="482"/>
              <w:rPr>
                <w:rFonts w:hint="default"/>
                <w:b/>
                <w:color w:val="auto"/>
                <w:highlight w:val="none"/>
              </w:rPr>
            </w:pPr>
            <w:r>
              <w:rPr>
                <w:rFonts w:hint="default"/>
                <w:b/>
                <w:color w:val="auto"/>
                <w:highlight w:val="none"/>
              </w:rPr>
              <w:t>一、</w:t>
            </w:r>
            <w:r>
              <w:rPr>
                <w:rFonts w:hint="eastAsia"/>
                <w:b/>
                <w:color w:val="auto"/>
                <w:highlight w:val="none"/>
              </w:rPr>
              <w:t>废气</w:t>
            </w:r>
          </w:p>
          <w:p w14:paraId="525CCC1A">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本项目运营期产生的废气主要为</w:t>
            </w:r>
            <w:r>
              <w:rPr>
                <w:rFonts w:hint="eastAsia"/>
                <w:color w:val="auto"/>
                <w:highlight w:val="none"/>
                <w:lang w:val="en-US" w:eastAsia="zh-CN"/>
              </w:rPr>
              <w:t>燃气锅炉废气、油烟废气、和面调粉产生粉尘、烘烤产生的异味废气和地埋式污水处理设施产生的异味废气</w:t>
            </w:r>
            <w:r>
              <w:rPr>
                <w:rFonts w:hint="eastAsia"/>
                <w:color w:val="auto"/>
                <w:highlight w:val="none"/>
              </w:rPr>
              <w:t>。</w:t>
            </w:r>
          </w:p>
          <w:p w14:paraId="04911ED6">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rPr>
              <w:t>1、废气排放情况</w:t>
            </w:r>
          </w:p>
          <w:p w14:paraId="685D94FF">
            <w:pPr>
              <w:keepNext w:val="0"/>
              <w:keepLines w:val="0"/>
              <w:suppressLineNumbers w:val="0"/>
              <w:spacing w:before="0" w:beforeAutospacing="0" w:after="0" w:afterAutospacing="0"/>
              <w:ind w:left="0" w:right="0" w:firstLine="480"/>
              <w:rPr>
                <w:rFonts w:hint="default"/>
                <w:color w:val="auto"/>
                <w:kern w:val="0"/>
                <w:highlight w:val="none"/>
              </w:rPr>
            </w:pPr>
            <w:r>
              <w:rPr>
                <w:rFonts w:hint="eastAsia"/>
                <w:color w:val="auto"/>
                <w:highlight w:val="none"/>
              </w:rPr>
              <w:t>废气源强核算结果见下表：</w:t>
            </w:r>
          </w:p>
        </w:tc>
      </w:tr>
    </w:tbl>
    <w:p w14:paraId="47565FA2">
      <w:pPr>
        <w:pStyle w:val="80"/>
        <w:rPr>
          <w:color w:val="auto"/>
          <w:highlight w:val="none"/>
        </w:rPr>
        <w:sectPr>
          <w:pgSz w:w="11907" w:h="16840"/>
          <w:pgMar w:top="1701" w:right="1531" w:bottom="2127" w:left="1531" w:header="851" w:footer="1134" w:gutter="0"/>
          <w:pgBorders>
            <w:top w:val="none" w:sz="0" w:space="0"/>
            <w:left w:val="none" w:sz="0" w:space="0"/>
            <w:bottom w:val="none" w:sz="0" w:space="0"/>
            <w:right w:val="none" w:sz="0" w:space="0"/>
          </w:pgBorders>
          <w:pgNumType w:fmt="numberInDash"/>
          <w:cols w:space="720" w:num="1"/>
          <w:docGrid w:linePitch="312" w:charSpace="0"/>
        </w:sectPr>
      </w:pPr>
    </w:p>
    <w:tbl>
      <w:tblPr>
        <w:tblStyle w:val="38"/>
        <w:tblW w:w="500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2"/>
        <w:gridCol w:w="12507"/>
      </w:tblGrid>
      <w:tr w14:paraId="59B2D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3" w:hRule="atLeast"/>
        </w:trPr>
        <w:tc>
          <w:tcPr>
            <w:tcW w:w="280" w:type="pct"/>
            <w:vAlign w:val="center"/>
          </w:tcPr>
          <w:p w14:paraId="4E5484E0">
            <w:pPr>
              <w:keepNext w:val="0"/>
              <w:keepLines w:val="0"/>
              <w:suppressLineNumbers w:val="0"/>
              <w:adjustRightInd w:val="0"/>
              <w:snapToGrid w:val="0"/>
              <w:spacing w:before="0" w:beforeAutospacing="0" w:after="0" w:afterAutospacing="0" w:line="240" w:lineRule="auto"/>
              <w:ind w:left="0" w:right="0" w:firstLine="0" w:firstLineChars="0"/>
              <w:jc w:val="left"/>
              <w:rPr>
                <w:rFonts w:hint="default"/>
                <w:bCs/>
                <w:color w:val="auto"/>
                <w:kern w:val="21"/>
                <w:highlight w:val="none"/>
              </w:rPr>
            </w:pPr>
            <w:r>
              <w:rPr>
                <w:rFonts w:hint="default"/>
                <w:bCs/>
                <w:color w:val="auto"/>
                <w:kern w:val="21"/>
                <w:highlight w:val="none"/>
              </w:rPr>
              <w:t>运营期环</w:t>
            </w:r>
          </w:p>
          <w:p w14:paraId="4B7F4367">
            <w:pPr>
              <w:keepNext w:val="0"/>
              <w:keepLines w:val="0"/>
              <w:suppressLineNumbers w:val="0"/>
              <w:adjustRightInd w:val="0"/>
              <w:snapToGrid w:val="0"/>
              <w:spacing w:before="0" w:beforeAutospacing="0" w:after="0" w:afterAutospacing="0" w:line="240" w:lineRule="auto"/>
              <w:ind w:left="0" w:right="0" w:firstLine="0" w:firstLineChars="0"/>
              <w:jc w:val="left"/>
              <w:rPr>
                <w:rFonts w:hint="default"/>
                <w:bCs/>
                <w:color w:val="auto"/>
                <w:kern w:val="21"/>
                <w:highlight w:val="none"/>
              </w:rPr>
            </w:pPr>
            <w:r>
              <w:rPr>
                <w:rFonts w:hint="default"/>
                <w:bCs/>
                <w:color w:val="auto"/>
                <w:kern w:val="21"/>
                <w:highlight w:val="none"/>
              </w:rPr>
              <w:t>境影响和</w:t>
            </w:r>
          </w:p>
          <w:p w14:paraId="26CC918A">
            <w:pPr>
              <w:keepNext w:val="0"/>
              <w:keepLines w:val="0"/>
              <w:suppressLineNumbers w:val="0"/>
              <w:adjustRightInd w:val="0"/>
              <w:snapToGrid w:val="0"/>
              <w:spacing w:before="0" w:beforeAutospacing="0" w:after="0" w:afterAutospacing="0" w:line="240" w:lineRule="auto"/>
              <w:ind w:left="0" w:right="0" w:firstLine="0" w:firstLineChars="0"/>
              <w:jc w:val="left"/>
              <w:rPr>
                <w:rFonts w:hint="default"/>
                <w:color w:val="auto"/>
                <w:sz w:val="21"/>
                <w:highlight w:val="none"/>
              </w:rPr>
            </w:pPr>
            <w:r>
              <w:rPr>
                <w:rFonts w:hint="default"/>
                <w:bCs/>
                <w:color w:val="auto"/>
                <w:kern w:val="21"/>
                <w:highlight w:val="none"/>
              </w:rPr>
              <w:t>保护措施</w:t>
            </w:r>
          </w:p>
        </w:tc>
        <w:tc>
          <w:tcPr>
            <w:tcW w:w="4719" w:type="pct"/>
          </w:tcPr>
          <w:p w14:paraId="6567417E">
            <w:pPr>
              <w:pStyle w:val="77"/>
              <w:keepNext w:val="0"/>
              <w:keepLines w:val="0"/>
              <w:widowControl/>
              <w:suppressLineNumbers w:val="0"/>
              <w:spacing w:before="120" w:beforeAutospacing="0" w:after="0" w:afterAutospacing="0" w:line="240" w:lineRule="auto"/>
              <w:ind w:left="0" w:right="0"/>
              <w:rPr>
                <w:rFonts w:hint="default" w:eastAsia="宋体"/>
                <w:b/>
                <w:bCs/>
                <w:color w:val="auto"/>
                <w:highlight w:val="none"/>
              </w:rPr>
            </w:pPr>
            <w:r>
              <w:rPr>
                <w:rFonts w:hint="eastAsia" w:eastAsia="宋体"/>
                <w:b/>
                <w:bCs/>
                <w:color w:val="auto"/>
                <w:highlight w:val="none"/>
              </w:rPr>
              <w:t>表4-1  废气污染源源强核算结果及相关参数一览表</w:t>
            </w:r>
          </w:p>
          <w:tbl>
            <w:tblPr>
              <w:tblStyle w:val="3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9"/>
              <w:gridCol w:w="945"/>
              <w:gridCol w:w="450"/>
              <w:gridCol w:w="379"/>
              <w:gridCol w:w="1094"/>
              <w:gridCol w:w="912"/>
              <w:gridCol w:w="935"/>
              <w:gridCol w:w="1112"/>
              <w:gridCol w:w="457"/>
              <w:gridCol w:w="638"/>
              <w:gridCol w:w="1136"/>
              <w:gridCol w:w="1058"/>
              <w:gridCol w:w="916"/>
              <w:gridCol w:w="695"/>
              <w:gridCol w:w="786"/>
            </w:tblGrid>
            <w:tr w14:paraId="5C8FBE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restart"/>
                  <w:noWrap w:val="0"/>
                  <w:vAlign w:val="center"/>
                </w:tcPr>
                <w:p w14:paraId="6ED941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pacing w:val="-10"/>
                      <w:sz w:val="21"/>
                      <w:szCs w:val="21"/>
                      <w:highlight w:val="none"/>
                      <w:vertAlign w:val="baseline"/>
                      <w:lang w:val="en-US" w:eastAsia="zh-CN"/>
                    </w:rPr>
                    <w:t>产污环节</w:t>
                  </w:r>
                </w:p>
              </w:tc>
              <w:tc>
                <w:tcPr>
                  <w:tcW w:w="384" w:type="pct"/>
                  <w:vMerge w:val="restart"/>
                  <w:noWrap w:val="0"/>
                  <w:vAlign w:val="center"/>
                </w:tcPr>
                <w:p w14:paraId="027E09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eastAsia="zh-CN"/>
                    </w:rPr>
                  </w:pPr>
                  <w:r>
                    <w:rPr>
                      <w:rFonts w:hint="default" w:ascii="Times New Roman" w:hAnsi="Times New Roman" w:cs="Times New Roman"/>
                      <w:b w:val="0"/>
                      <w:bCs/>
                      <w:color w:val="auto"/>
                      <w:sz w:val="21"/>
                      <w:szCs w:val="21"/>
                      <w:highlight w:val="none"/>
                      <w:lang w:val="en-US" w:eastAsia="zh-CN"/>
                    </w:rPr>
                    <w:t>污染物</w:t>
                  </w:r>
                </w:p>
              </w:tc>
              <w:tc>
                <w:tcPr>
                  <w:tcW w:w="1533" w:type="pct"/>
                  <w:gridSpan w:val="5"/>
                  <w:noWrap w:val="0"/>
                  <w:vAlign w:val="center"/>
                </w:tcPr>
                <w:p w14:paraId="3A2E8C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rPr>
                  </w:pPr>
                  <w:r>
                    <w:rPr>
                      <w:rFonts w:hint="default" w:ascii="Times New Roman" w:hAnsi="Times New Roman" w:cs="Times New Roman"/>
                      <w:b w:val="0"/>
                      <w:bCs/>
                      <w:color w:val="auto"/>
                      <w:sz w:val="21"/>
                      <w:szCs w:val="21"/>
                      <w:highlight w:val="none"/>
                      <w:lang w:val="en-US" w:eastAsia="zh-CN"/>
                    </w:rPr>
                    <w:t>污染物产生</w:t>
                  </w:r>
                </w:p>
              </w:tc>
              <w:tc>
                <w:tcPr>
                  <w:tcW w:w="897" w:type="pct"/>
                  <w:gridSpan w:val="3"/>
                  <w:noWrap w:val="0"/>
                  <w:vAlign w:val="center"/>
                </w:tcPr>
                <w:p w14:paraId="530D5D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rPr>
                  </w:pPr>
                  <w:r>
                    <w:rPr>
                      <w:rFonts w:hint="default" w:ascii="Times New Roman" w:hAnsi="Times New Roman" w:cs="Times New Roman"/>
                      <w:b w:val="0"/>
                      <w:bCs/>
                      <w:color w:val="auto"/>
                      <w:sz w:val="21"/>
                      <w:szCs w:val="21"/>
                      <w:highlight w:val="none"/>
                      <w:lang w:val="en-US" w:eastAsia="zh-CN"/>
                    </w:rPr>
                    <w:t>治理措施</w:t>
                  </w:r>
                </w:p>
              </w:tc>
              <w:tc>
                <w:tcPr>
                  <w:tcW w:w="1265" w:type="pct"/>
                  <w:gridSpan w:val="3"/>
                  <w:noWrap w:val="0"/>
                  <w:vAlign w:val="center"/>
                </w:tcPr>
                <w:p w14:paraId="7AD9A8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rPr>
                  </w:pPr>
                  <w:r>
                    <w:rPr>
                      <w:rFonts w:hint="default" w:ascii="Times New Roman" w:hAnsi="Times New Roman" w:cs="Times New Roman"/>
                      <w:b w:val="0"/>
                      <w:bCs/>
                      <w:color w:val="auto"/>
                      <w:sz w:val="21"/>
                      <w:szCs w:val="21"/>
                      <w:highlight w:val="none"/>
                      <w:lang w:val="en-US" w:eastAsia="zh-CN"/>
                    </w:rPr>
                    <w:t>污染物排放</w:t>
                  </w:r>
                </w:p>
              </w:tc>
              <w:tc>
                <w:tcPr>
                  <w:tcW w:w="282" w:type="pct"/>
                  <w:vMerge w:val="restart"/>
                  <w:noWrap w:val="0"/>
                  <w:vAlign w:val="center"/>
                </w:tcPr>
                <w:p w14:paraId="5F6FF4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排放时间/h</w:t>
                  </w:r>
                </w:p>
              </w:tc>
              <w:tc>
                <w:tcPr>
                  <w:tcW w:w="319" w:type="pct"/>
                  <w:vMerge w:val="restart"/>
                  <w:noWrap w:val="0"/>
                  <w:vAlign w:val="center"/>
                </w:tcPr>
                <w:p w14:paraId="7AD02A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排放标准限值（mg/m</w:t>
                  </w:r>
                  <w:r>
                    <w:rPr>
                      <w:rFonts w:hint="default" w:ascii="Times New Roman" w:hAnsi="Times New Roman" w:cs="Times New Roman"/>
                      <w:b w:val="0"/>
                      <w:bCs/>
                      <w:color w:val="auto"/>
                      <w:sz w:val="21"/>
                      <w:szCs w:val="21"/>
                      <w:highlight w:val="none"/>
                      <w:vertAlign w:val="superscript"/>
                      <w:lang w:val="en-US" w:eastAsia="zh-CN"/>
                    </w:rPr>
                    <w:t>3</w:t>
                  </w:r>
                  <w:r>
                    <w:rPr>
                      <w:rFonts w:hint="default" w:ascii="Times New Roman" w:hAnsi="Times New Roman" w:cs="Times New Roman"/>
                      <w:b w:val="0"/>
                      <w:bCs/>
                      <w:color w:val="auto"/>
                      <w:sz w:val="21"/>
                      <w:szCs w:val="21"/>
                      <w:highlight w:val="none"/>
                      <w:lang w:val="en-US" w:eastAsia="zh-CN"/>
                    </w:rPr>
                    <w:t>）</w:t>
                  </w:r>
                </w:p>
              </w:tc>
            </w:tr>
            <w:tr w14:paraId="70DF84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continue"/>
                  <w:noWrap w:val="0"/>
                  <w:vAlign w:val="center"/>
                </w:tcPr>
                <w:p w14:paraId="79E88D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384" w:type="pct"/>
                  <w:vMerge w:val="continue"/>
                  <w:noWrap w:val="0"/>
                  <w:vAlign w:val="center"/>
                </w:tcPr>
                <w:p w14:paraId="5F107B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183" w:type="pct"/>
                  <w:noWrap w:val="0"/>
                  <w:vAlign w:val="center"/>
                </w:tcPr>
                <w:p w14:paraId="0D9E86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核算方法</w:t>
                  </w:r>
                </w:p>
              </w:tc>
              <w:tc>
                <w:tcPr>
                  <w:tcW w:w="154" w:type="pct"/>
                  <w:noWrap w:val="0"/>
                  <w:vAlign w:val="center"/>
                </w:tcPr>
                <w:p w14:paraId="114FC8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排放方式</w:t>
                  </w:r>
                </w:p>
              </w:tc>
              <w:tc>
                <w:tcPr>
                  <w:tcW w:w="445" w:type="pct"/>
                  <w:tcBorders>
                    <w:right w:val="single" w:color="000000" w:sz="8" w:space="0"/>
                  </w:tcBorders>
                  <w:noWrap w:val="0"/>
                  <w:vAlign w:val="center"/>
                </w:tcPr>
                <w:p w14:paraId="1AA534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产生浓度（mg/m</w:t>
                  </w:r>
                  <w:r>
                    <w:rPr>
                      <w:rFonts w:hint="default" w:ascii="Times New Roman" w:hAnsi="Times New Roman" w:cs="Times New Roman"/>
                      <w:b w:val="0"/>
                      <w:bCs/>
                      <w:color w:val="auto"/>
                      <w:sz w:val="21"/>
                      <w:szCs w:val="21"/>
                      <w:highlight w:val="none"/>
                      <w:vertAlign w:val="superscript"/>
                      <w:lang w:val="en-US" w:eastAsia="zh-CN"/>
                    </w:rPr>
                    <w:t>3</w:t>
                  </w:r>
                  <w:r>
                    <w:rPr>
                      <w:rFonts w:hint="default" w:ascii="Times New Roman" w:hAnsi="Times New Roman" w:cs="Times New Roman"/>
                      <w:b w:val="0"/>
                      <w:bCs/>
                      <w:color w:val="auto"/>
                      <w:sz w:val="21"/>
                      <w:szCs w:val="21"/>
                      <w:highlight w:val="none"/>
                      <w:lang w:val="en-US" w:eastAsia="zh-CN"/>
                    </w:rPr>
                    <w:t>）</w:t>
                  </w:r>
                </w:p>
              </w:tc>
              <w:tc>
                <w:tcPr>
                  <w:tcW w:w="370" w:type="pct"/>
                  <w:tcBorders>
                    <w:left w:val="single" w:color="000000" w:sz="8" w:space="0"/>
                  </w:tcBorders>
                  <w:noWrap w:val="0"/>
                  <w:vAlign w:val="center"/>
                </w:tcPr>
                <w:p w14:paraId="485E37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产生速率（kg/h）</w:t>
                  </w:r>
                </w:p>
              </w:tc>
              <w:tc>
                <w:tcPr>
                  <w:tcW w:w="380" w:type="pct"/>
                  <w:tcBorders>
                    <w:left w:val="single" w:color="auto" w:sz="4" w:space="0"/>
                  </w:tcBorders>
                  <w:noWrap w:val="0"/>
                  <w:vAlign w:val="center"/>
                </w:tcPr>
                <w:p w14:paraId="288379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产生量（</w:t>
                  </w:r>
                  <w:r>
                    <w:rPr>
                      <w:rFonts w:hint="eastAsia" w:cs="Times New Roman"/>
                      <w:b w:val="0"/>
                      <w:bCs/>
                      <w:color w:val="auto"/>
                      <w:sz w:val="21"/>
                      <w:szCs w:val="21"/>
                      <w:highlight w:val="none"/>
                      <w:lang w:val="en-US" w:eastAsia="zh-CN"/>
                    </w:rPr>
                    <w:t>kg</w:t>
                  </w:r>
                  <w:r>
                    <w:rPr>
                      <w:rFonts w:hint="default" w:ascii="Times New Roman" w:hAnsi="Times New Roman" w:cs="Times New Roman"/>
                      <w:b w:val="0"/>
                      <w:bCs/>
                      <w:color w:val="auto"/>
                      <w:sz w:val="21"/>
                      <w:szCs w:val="21"/>
                      <w:highlight w:val="none"/>
                      <w:lang w:val="en-US" w:eastAsia="zh-CN"/>
                    </w:rPr>
                    <w:t>/a）</w:t>
                  </w:r>
                </w:p>
              </w:tc>
              <w:tc>
                <w:tcPr>
                  <w:tcW w:w="452" w:type="pct"/>
                  <w:noWrap w:val="0"/>
                  <w:vAlign w:val="center"/>
                </w:tcPr>
                <w:p w14:paraId="442665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工艺</w:t>
                  </w:r>
                </w:p>
              </w:tc>
              <w:tc>
                <w:tcPr>
                  <w:tcW w:w="185" w:type="pct"/>
                  <w:tcBorders>
                    <w:right w:val="single" w:color="000000" w:sz="8" w:space="0"/>
                  </w:tcBorders>
                  <w:noWrap w:val="0"/>
                  <w:vAlign w:val="center"/>
                </w:tcPr>
                <w:p w14:paraId="1784EC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效率/%</w:t>
                  </w:r>
                </w:p>
              </w:tc>
              <w:tc>
                <w:tcPr>
                  <w:tcW w:w="259" w:type="pct"/>
                  <w:tcBorders>
                    <w:left w:val="single" w:color="000000" w:sz="8" w:space="0"/>
                  </w:tcBorders>
                  <w:noWrap w:val="0"/>
                  <w:vAlign w:val="center"/>
                </w:tcPr>
                <w:p w14:paraId="30FFCC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是否为可行技术</w:t>
                  </w:r>
                </w:p>
              </w:tc>
              <w:tc>
                <w:tcPr>
                  <w:tcW w:w="462" w:type="pct"/>
                  <w:noWrap w:val="0"/>
                  <w:vAlign w:val="center"/>
                </w:tcPr>
                <w:p w14:paraId="508446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排放浓度（mg/m</w:t>
                  </w:r>
                  <w:r>
                    <w:rPr>
                      <w:rFonts w:hint="default" w:ascii="Times New Roman" w:hAnsi="Times New Roman" w:cs="Times New Roman"/>
                      <w:b w:val="0"/>
                      <w:bCs/>
                      <w:color w:val="auto"/>
                      <w:sz w:val="21"/>
                      <w:szCs w:val="21"/>
                      <w:highlight w:val="none"/>
                      <w:vertAlign w:val="superscript"/>
                      <w:lang w:val="en-US" w:eastAsia="zh-CN"/>
                    </w:rPr>
                    <w:t>3</w:t>
                  </w:r>
                  <w:r>
                    <w:rPr>
                      <w:rFonts w:hint="default" w:ascii="Times New Roman" w:hAnsi="Times New Roman" w:cs="Times New Roman"/>
                      <w:b w:val="0"/>
                      <w:bCs/>
                      <w:color w:val="auto"/>
                      <w:sz w:val="21"/>
                      <w:szCs w:val="21"/>
                      <w:highlight w:val="none"/>
                      <w:lang w:val="en-US" w:eastAsia="zh-CN"/>
                    </w:rPr>
                    <w:t>）</w:t>
                  </w:r>
                </w:p>
              </w:tc>
              <w:tc>
                <w:tcPr>
                  <w:tcW w:w="430" w:type="pct"/>
                  <w:noWrap w:val="0"/>
                  <w:vAlign w:val="center"/>
                </w:tcPr>
                <w:p w14:paraId="499290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排放速率（kg/h）</w:t>
                  </w:r>
                </w:p>
              </w:tc>
              <w:tc>
                <w:tcPr>
                  <w:tcW w:w="372" w:type="pct"/>
                  <w:noWrap w:val="0"/>
                  <w:vAlign w:val="center"/>
                </w:tcPr>
                <w:p w14:paraId="0D0648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排放量（t/a）</w:t>
                  </w:r>
                </w:p>
              </w:tc>
              <w:tc>
                <w:tcPr>
                  <w:tcW w:w="282" w:type="pct"/>
                  <w:vMerge w:val="continue"/>
                  <w:noWrap w:val="0"/>
                  <w:vAlign w:val="center"/>
                </w:tcPr>
                <w:p w14:paraId="1C6426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rPr>
                  </w:pPr>
                </w:p>
              </w:tc>
              <w:tc>
                <w:tcPr>
                  <w:tcW w:w="319" w:type="pct"/>
                  <w:vMerge w:val="continue"/>
                  <w:noWrap w:val="0"/>
                  <w:vAlign w:val="center"/>
                </w:tcPr>
                <w:p w14:paraId="64F1FC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rPr>
                  </w:pPr>
                </w:p>
              </w:tc>
            </w:tr>
            <w:tr w14:paraId="06509A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restart"/>
                  <w:noWrap w:val="0"/>
                  <w:vAlign w:val="center"/>
                </w:tcPr>
                <w:p w14:paraId="202562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1#</w:t>
                  </w:r>
                  <w:r>
                    <w:rPr>
                      <w:rFonts w:hint="default" w:ascii="Times New Roman" w:hAnsi="Times New Roman" w:cs="Times New Roman"/>
                      <w:b w:val="0"/>
                      <w:bCs/>
                      <w:color w:val="auto"/>
                      <w:sz w:val="21"/>
                      <w:szCs w:val="21"/>
                      <w:highlight w:val="none"/>
                      <w:lang w:val="en-US" w:eastAsia="zh-CN"/>
                    </w:rPr>
                    <w:t>锅炉</w:t>
                  </w:r>
                  <w:r>
                    <w:rPr>
                      <w:rFonts w:hint="eastAsia" w:cs="Times New Roman"/>
                      <w:b w:val="0"/>
                      <w:bCs/>
                      <w:color w:val="auto"/>
                      <w:sz w:val="21"/>
                      <w:szCs w:val="21"/>
                      <w:highlight w:val="none"/>
                      <w:lang w:val="en-US" w:eastAsia="zh-CN"/>
                    </w:rPr>
                    <w:t>房烟气</w:t>
                  </w:r>
                </w:p>
              </w:tc>
              <w:tc>
                <w:tcPr>
                  <w:tcW w:w="384" w:type="pct"/>
                  <w:noWrap w:val="0"/>
                  <w:vAlign w:val="center"/>
                </w:tcPr>
                <w:p w14:paraId="238825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pacing w:val="-3"/>
                      <w:sz w:val="21"/>
                      <w:szCs w:val="21"/>
                      <w:highlight w:val="none"/>
                    </w:rPr>
                    <w:t>颗粒物</w:t>
                  </w:r>
                </w:p>
              </w:tc>
              <w:tc>
                <w:tcPr>
                  <w:tcW w:w="183" w:type="pct"/>
                  <w:vMerge w:val="restart"/>
                  <w:noWrap w:val="0"/>
                  <w:vAlign w:val="center"/>
                </w:tcPr>
                <w:p w14:paraId="2CBDC1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产污系数法</w:t>
                  </w:r>
                </w:p>
              </w:tc>
              <w:tc>
                <w:tcPr>
                  <w:tcW w:w="154" w:type="pct"/>
                  <w:vMerge w:val="restart"/>
                  <w:noWrap w:val="0"/>
                  <w:vAlign w:val="center"/>
                </w:tcPr>
                <w:p w14:paraId="573A1C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有组织</w:t>
                  </w:r>
                </w:p>
              </w:tc>
              <w:tc>
                <w:tcPr>
                  <w:tcW w:w="445" w:type="pct"/>
                  <w:tcBorders>
                    <w:right w:val="single" w:color="000000" w:sz="8" w:space="0"/>
                  </w:tcBorders>
                  <w:noWrap w:val="0"/>
                  <w:vAlign w:val="center"/>
                </w:tcPr>
                <w:p w14:paraId="155925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7.</w:t>
                  </w:r>
                  <w:r>
                    <w:rPr>
                      <w:rFonts w:hint="eastAsia" w:cs="Times New Roman"/>
                      <w:b w:val="0"/>
                      <w:bCs/>
                      <w:color w:val="auto"/>
                      <w:sz w:val="21"/>
                      <w:szCs w:val="21"/>
                      <w:highlight w:val="none"/>
                      <w:lang w:val="en-US" w:eastAsia="zh-CN"/>
                    </w:rPr>
                    <w:t>42</w:t>
                  </w:r>
                </w:p>
              </w:tc>
              <w:tc>
                <w:tcPr>
                  <w:tcW w:w="370" w:type="pct"/>
                  <w:tcBorders>
                    <w:left w:val="single" w:color="000000" w:sz="8" w:space="0"/>
                  </w:tcBorders>
                  <w:noWrap w:val="0"/>
                  <w:vAlign w:val="center"/>
                </w:tcPr>
                <w:p w14:paraId="7AE586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0.018</w:t>
                  </w:r>
                </w:p>
              </w:tc>
              <w:tc>
                <w:tcPr>
                  <w:tcW w:w="380" w:type="pct"/>
                  <w:tcBorders>
                    <w:left w:val="single" w:color="auto" w:sz="4" w:space="0"/>
                  </w:tcBorders>
                  <w:noWrap w:val="0"/>
                  <w:vAlign w:val="center"/>
                </w:tcPr>
                <w:p w14:paraId="10C6AE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18</w:t>
                  </w:r>
                </w:p>
              </w:tc>
              <w:tc>
                <w:tcPr>
                  <w:tcW w:w="452" w:type="pct"/>
                  <w:vMerge w:val="restart"/>
                  <w:noWrap w:val="0"/>
                  <w:vAlign w:val="center"/>
                </w:tcPr>
                <w:p w14:paraId="3101BB6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pacing w:val="-10"/>
                      <w:kern w:val="2"/>
                      <w:sz w:val="21"/>
                      <w:szCs w:val="21"/>
                      <w:highlight w:val="none"/>
                      <w:vertAlign w:val="baseline"/>
                      <w:lang w:val="en-US" w:eastAsia="zh-CN" w:bidi="ar-SA"/>
                    </w:rPr>
                  </w:pPr>
                  <w:r>
                    <w:rPr>
                      <w:rFonts w:hint="default" w:ascii="Times New Roman" w:hAnsi="Times New Roman" w:cs="Times New Roman"/>
                      <w:b w:val="0"/>
                      <w:bCs/>
                      <w:color w:val="auto"/>
                      <w:spacing w:val="-10"/>
                      <w:kern w:val="2"/>
                      <w:sz w:val="21"/>
                      <w:szCs w:val="21"/>
                      <w:highlight w:val="none"/>
                      <w:vertAlign w:val="baseline"/>
                      <w:lang w:val="en-US" w:eastAsia="zh-CN" w:bidi="ar-SA"/>
                    </w:rPr>
                    <w:t>低氮燃烧器+</w:t>
                  </w:r>
                  <w:r>
                    <w:rPr>
                      <w:rFonts w:hint="eastAsia" w:cs="Times New Roman"/>
                      <w:b w:val="0"/>
                      <w:bCs/>
                      <w:color w:val="auto"/>
                      <w:sz w:val="21"/>
                      <w:szCs w:val="21"/>
                      <w:highlight w:val="none"/>
                      <w:lang w:val="en-US" w:eastAsia="zh-CN"/>
                    </w:rPr>
                    <w:t>1根8m</w:t>
                  </w:r>
                  <w:r>
                    <w:rPr>
                      <w:rFonts w:hint="default" w:ascii="Times New Roman" w:hAnsi="Times New Roman" w:cs="Times New Roman"/>
                      <w:b w:val="0"/>
                      <w:bCs/>
                      <w:color w:val="auto"/>
                      <w:spacing w:val="-10"/>
                      <w:kern w:val="2"/>
                      <w:sz w:val="21"/>
                      <w:szCs w:val="21"/>
                      <w:highlight w:val="none"/>
                      <w:vertAlign w:val="baseline"/>
                      <w:lang w:val="en-US" w:eastAsia="zh-CN" w:bidi="ar-SA"/>
                    </w:rPr>
                    <w:t>排气筒</w:t>
                  </w:r>
                  <w:r>
                    <w:rPr>
                      <w:rFonts w:hint="eastAsia" w:cs="Times New Roman"/>
                      <w:b w:val="0"/>
                      <w:bCs/>
                      <w:color w:val="auto"/>
                      <w:spacing w:val="-10"/>
                      <w:kern w:val="2"/>
                      <w:sz w:val="21"/>
                      <w:szCs w:val="21"/>
                      <w:highlight w:val="none"/>
                      <w:vertAlign w:val="baseline"/>
                      <w:lang w:val="en-US" w:eastAsia="zh-CN" w:bidi="ar-SA"/>
                    </w:rPr>
                    <w:t>（DA001）</w:t>
                  </w:r>
                </w:p>
              </w:tc>
              <w:tc>
                <w:tcPr>
                  <w:tcW w:w="185" w:type="pct"/>
                  <w:vMerge w:val="restart"/>
                  <w:tcBorders>
                    <w:right w:val="single" w:color="000000" w:sz="8" w:space="0"/>
                  </w:tcBorders>
                  <w:noWrap w:val="0"/>
                  <w:vAlign w:val="center"/>
                </w:tcPr>
                <w:p w14:paraId="4F57CE3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rPr>
                    <w:t>/</w:t>
                  </w:r>
                </w:p>
              </w:tc>
              <w:tc>
                <w:tcPr>
                  <w:tcW w:w="259" w:type="pct"/>
                  <w:vMerge w:val="restart"/>
                  <w:tcBorders>
                    <w:left w:val="single" w:color="000000" w:sz="8" w:space="0"/>
                  </w:tcBorders>
                  <w:noWrap w:val="0"/>
                  <w:vAlign w:val="center"/>
                </w:tcPr>
                <w:p w14:paraId="2F494C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是</w:t>
                  </w:r>
                </w:p>
              </w:tc>
              <w:tc>
                <w:tcPr>
                  <w:tcW w:w="462" w:type="pct"/>
                  <w:noWrap w:val="0"/>
                  <w:vAlign w:val="center"/>
                </w:tcPr>
                <w:p w14:paraId="7A5129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7.</w:t>
                  </w:r>
                  <w:r>
                    <w:rPr>
                      <w:rFonts w:hint="eastAsia" w:cs="Times New Roman"/>
                      <w:b w:val="0"/>
                      <w:bCs/>
                      <w:color w:val="auto"/>
                      <w:sz w:val="21"/>
                      <w:szCs w:val="21"/>
                      <w:highlight w:val="none"/>
                      <w:lang w:val="en-US" w:eastAsia="zh-CN"/>
                    </w:rPr>
                    <w:t>42</w:t>
                  </w:r>
                </w:p>
              </w:tc>
              <w:tc>
                <w:tcPr>
                  <w:tcW w:w="430" w:type="pct"/>
                  <w:noWrap w:val="0"/>
                  <w:vAlign w:val="center"/>
                </w:tcPr>
                <w:p w14:paraId="48B836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0.018</w:t>
                  </w:r>
                </w:p>
              </w:tc>
              <w:tc>
                <w:tcPr>
                  <w:tcW w:w="372" w:type="pct"/>
                  <w:noWrap w:val="0"/>
                  <w:vAlign w:val="center"/>
                </w:tcPr>
                <w:p w14:paraId="45E2E9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rPr>
                  </w:pPr>
                  <w:r>
                    <w:rPr>
                      <w:rFonts w:hint="eastAsia" w:cs="Times New Roman"/>
                      <w:b w:val="0"/>
                      <w:bCs/>
                      <w:color w:val="auto"/>
                      <w:sz w:val="21"/>
                      <w:szCs w:val="21"/>
                      <w:highlight w:val="none"/>
                      <w:lang w:val="en-US" w:eastAsia="zh-CN"/>
                    </w:rPr>
                    <w:t>18</w:t>
                  </w:r>
                </w:p>
              </w:tc>
              <w:tc>
                <w:tcPr>
                  <w:tcW w:w="282" w:type="pct"/>
                  <w:vMerge w:val="restart"/>
                  <w:noWrap w:val="0"/>
                  <w:vAlign w:val="center"/>
                </w:tcPr>
                <w:p w14:paraId="21AAC4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1</w:t>
                  </w:r>
                  <w:r>
                    <w:rPr>
                      <w:rFonts w:hint="eastAsia" w:cs="Times New Roman"/>
                      <w:b w:val="0"/>
                      <w:bCs/>
                      <w:color w:val="auto"/>
                      <w:sz w:val="21"/>
                      <w:szCs w:val="21"/>
                      <w:highlight w:val="none"/>
                      <w:lang w:val="en-US" w:eastAsia="zh-CN"/>
                    </w:rPr>
                    <w:t>0</w:t>
                  </w:r>
                  <w:r>
                    <w:rPr>
                      <w:rFonts w:hint="default" w:ascii="Times New Roman" w:hAnsi="Times New Roman" w:cs="Times New Roman"/>
                      <w:b w:val="0"/>
                      <w:bCs/>
                      <w:color w:val="auto"/>
                      <w:sz w:val="21"/>
                      <w:szCs w:val="21"/>
                      <w:highlight w:val="none"/>
                      <w:lang w:val="en-US" w:eastAsia="zh-CN"/>
                    </w:rPr>
                    <w:t>00</w:t>
                  </w:r>
                </w:p>
              </w:tc>
              <w:tc>
                <w:tcPr>
                  <w:tcW w:w="319" w:type="pct"/>
                  <w:noWrap w:val="0"/>
                  <w:vAlign w:val="center"/>
                </w:tcPr>
                <w:p w14:paraId="051A53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10</w:t>
                  </w:r>
                </w:p>
              </w:tc>
            </w:tr>
            <w:tr w14:paraId="7130E0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continue"/>
                  <w:noWrap w:val="0"/>
                  <w:vAlign w:val="center"/>
                </w:tcPr>
                <w:p w14:paraId="35BFA52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384" w:type="pct"/>
                  <w:noWrap w:val="0"/>
                  <w:vAlign w:val="center"/>
                </w:tcPr>
                <w:p w14:paraId="064A20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pacing w:val="-3"/>
                      <w:sz w:val="21"/>
                      <w:szCs w:val="21"/>
                      <w:highlight w:val="none"/>
                    </w:rPr>
                    <w:t>SO</w:t>
                  </w:r>
                  <w:r>
                    <w:rPr>
                      <w:rFonts w:hint="default" w:ascii="Times New Roman" w:hAnsi="Times New Roman" w:cs="Times New Roman"/>
                      <w:b w:val="0"/>
                      <w:bCs/>
                      <w:color w:val="auto"/>
                      <w:spacing w:val="-3"/>
                      <w:sz w:val="21"/>
                      <w:szCs w:val="21"/>
                      <w:highlight w:val="none"/>
                      <w:vertAlign w:val="subscript"/>
                    </w:rPr>
                    <w:t>2</w:t>
                  </w:r>
                </w:p>
              </w:tc>
              <w:tc>
                <w:tcPr>
                  <w:tcW w:w="183" w:type="pct"/>
                  <w:vMerge w:val="continue"/>
                  <w:noWrap w:val="0"/>
                  <w:vAlign w:val="center"/>
                </w:tcPr>
                <w:p w14:paraId="05EC9A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154" w:type="pct"/>
                  <w:vMerge w:val="continue"/>
                  <w:noWrap w:val="0"/>
                  <w:vAlign w:val="center"/>
                </w:tcPr>
                <w:p w14:paraId="17562D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445" w:type="pct"/>
                  <w:tcBorders>
                    <w:right w:val="single" w:color="000000" w:sz="8" w:space="0"/>
                  </w:tcBorders>
                  <w:noWrap w:val="0"/>
                  <w:vAlign w:val="center"/>
                </w:tcPr>
                <w:p w14:paraId="0DFF3D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3.</w:t>
                  </w:r>
                  <w:r>
                    <w:rPr>
                      <w:rFonts w:hint="eastAsia" w:cs="Times New Roman"/>
                      <w:b w:val="0"/>
                      <w:bCs/>
                      <w:color w:val="auto"/>
                      <w:sz w:val="21"/>
                      <w:szCs w:val="21"/>
                      <w:highlight w:val="none"/>
                      <w:lang w:val="en-US" w:eastAsia="zh-CN"/>
                    </w:rPr>
                    <w:t>71</w:t>
                  </w:r>
                </w:p>
              </w:tc>
              <w:tc>
                <w:tcPr>
                  <w:tcW w:w="370" w:type="pct"/>
                  <w:tcBorders>
                    <w:left w:val="single" w:color="000000" w:sz="8" w:space="0"/>
                  </w:tcBorders>
                  <w:noWrap w:val="0"/>
                  <w:vAlign w:val="center"/>
                </w:tcPr>
                <w:p w14:paraId="5ABA5E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0.009</w:t>
                  </w:r>
                </w:p>
              </w:tc>
              <w:tc>
                <w:tcPr>
                  <w:tcW w:w="380" w:type="pct"/>
                  <w:tcBorders>
                    <w:left w:val="single" w:color="auto" w:sz="4" w:space="0"/>
                  </w:tcBorders>
                  <w:noWrap w:val="0"/>
                  <w:vAlign w:val="center"/>
                </w:tcPr>
                <w:p w14:paraId="34576A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9</w:t>
                  </w:r>
                </w:p>
              </w:tc>
              <w:tc>
                <w:tcPr>
                  <w:tcW w:w="452" w:type="pct"/>
                  <w:vMerge w:val="continue"/>
                  <w:noWrap w:val="0"/>
                  <w:vAlign w:val="center"/>
                </w:tcPr>
                <w:p w14:paraId="75BD85B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p>
              </w:tc>
              <w:tc>
                <w:tcPr>
                  <w:tcW w:w="185" w:type="pct"/>
                  <w:vMerge w:val="continue"/>
                  <w:tcBorders>
                    <w:right w:val="single" w:color="000000" w:sz="8" w:space="0"/>
                  </w:tcBorders>
                  <w:noWrap w:val="0"/>
                  <w:vAlign w:val="center"/>
                </w:tcPr>
                <w:p w14:paraId="7E2655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259" w:type="pct"/>
                  <w:vMerge w:val="continue"/>
                  <w:tcBorders>
                    <w:left w:val="single" w:color="000000" w:sz="8" w:space="0"/>
                  </w:tcBorders>
                  <w:noWrap w:val="0"/>
                  <w:vAlign w:val="center"/>
                </w:tcPr>
                <w:p w14:paraId="34755D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462" w:type="pct"/>
                  <w:noWrap w:val="0"/>
                  <w:vAlign w:val="center"/>
                </w:tcPr>
                <w:p w14:paraId="66CB58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3.</w:t>
                  </w:r>
                  <w:r>
                    <w:rPr>
                      <w:rFonts w:hint="eastAsia" w:cs="Times New Roman"/>
                      <w:b w:val="0"/>
                      <w:bCs/>
                      <w:color w:val="auto"/>
                      <w:sz w:val="21"/>
                      <w:szCs w:val="21"/>
                      <w:highlight w:val="none"/>
                      <w:lang w:val="en-US" w:eastAsia="zh-CN"/>
                    </w:rPr>
                    <w:t>71</w:t>
                  </w:r>
                </w:p>
              </w:tc>
              <w:tc>
                <w:tcPr>
                  <w:tcW w:w="430" w:type="pct"/>
                  <w:noWrap w:val="0"/>
                  <w:vAlign w:val="center"/>
                </w:tcPr>
                <w:p w14:paraId="0B58B8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0.009</w:t>
                  </w:r>
                </w:p>
              </w:tc>
              <w:tc>
                <w:tcPr>
                  <w:tcW w:w="372" w:type="pct"/>
                  <w:noWrap w:val="0"/>
                  <w:vAlign w:val="center"/>
                </w:tcPr>
                <w:p w14:paraId="6ED4EA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9</w:t>
                  </w:r>
                </w:p>
              </w:tc>
              <w:tc>
                <w:tcPr>
                  <w:tcW w:w="282" w:type="pct"/>
                  <w:vMerge w:val="continue"/>
                  <w:noWrap w:val="0"/>
                  <w:vAlign w:val="center"/>
                </w:tcPr>
                <w:p w14:paraId="6880C6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319" w:type="pct"/>
                  <w:noWrap w:val="0"/>
                  <w:vAlign w:val="center"/>
                </w:tcPr>
                <w:p w14:paraId="649D5C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20</w:t>
                  </w:r>
                </w:p>
              </w:tc>
            </w:tr>
            <w:tr w14:paraId="6F214D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continue"/>
                  <w:noWrap w:val="0"/>
                  <w:vAlign w:val="center"/>
                </w:tcPr>
                <w:p w14:paraId="75921D8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pacing w:val="-10"/>
                      <w:sz w:val="21"/>
                      <w:szCs w:val="21"/>
                      <w:highlight w:val="none"/>
                      <w:vertAlign w:val="baseline"/>
                      <w:lang w:val="en-US" w:eastAsia="zh-CN"/>
                    </w:rPr>
                  </w:pPr>
                </w:p>
              </w:tc>
              <w:tc>
                <w:tcPr>
                  <w:tcW w:w="384" w:type="pct"/>
                  <w:noWrap w:val="0"/>
                  <w:vAlign w:val="center"/>
                </w:tcPr>
                <w:p w14:paraId="320773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pacing w:val="-3"/>
                      <w:sz w:val="21"/>
                      <w:szCs w:val="21"/>
                      <w:highlight w:val="none"/>
                    </w:rPr>
                    <w:t>NOx</w:t>
                  </w:r>
                </w:p>
              </w:tc>
              <w:tc>
                <w:tcPr>
                  <w:tcW w:w="183" w:type="pct"/>
                  <w:vMerge w:val="continue"/>
                  <w:noWrap w:val="0"/>
                  <w:vAlign w:val="center"/>
                </w:tcPr>
                <w:p w14:paraId="401E5D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154" w:type="pct"/>
                  <w:vMerge w:val="continue"/>
                  <w:noWrap w:val="0"/>
                  <w:vAlign w:val="center"/>
                </w:tcPr>
                <w:p w14:paraId="509CE8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445" w:type="pct"/>
                  <w:tcBorders>
                    <w:right w:val="single" w:color="000000" w:sz="8" w:space="0"/>
                  </w:tcBorders>
                  <w:noWrap w:val="0"/>
                  <w:vAlign w:val="center"/>
                </w:tcPr>
                <w:p w14:paraId="106FED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3</w:t>
                  </w:r>
                  <w:r>
                    <w:rPr>
                      <w:rFonts w:hint="eastAsia" w:ascii="Times New Roman" w:hAnsi="Times New Roman" w:cs="Times New Roman"/>
                      <w:b w:val="0"/>
                      <w:bCs/>
                      <w:color w:val="auto"/>
                      <w:sz w:val="21"/>
                      <w:szCs w:val="21"/>
                      <w:highlight w:val="none"/>
                      <w:lang w:val="en-US" w:eastAsia="zh-CN"/>
                    </w:rPr>
                    <w:t>0</w:t>
                  </w:r>
                </w:p>
              </w:tc>
              <w:tc>
                <w:tcPr>
                  <w:tcW w:w="370" w:type="pct"/>
                  <w:tcBorders>
                    <w:left w:val="single" w:color="000000" w:sz="8" w:space="0"/>
                  </w:tcBorders>
                  <w:noWrap w:val="0"/>
                  <w:vAlign w:val="center"/>
                </w:tcPr>
                <w:p w14:paraId="710A62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0.073</w:t>
                  </w:r>
                </w:p>
              </w:tc>
              <w:tc>
                <w:tcPr>
                  <w:tcW w:w="380" w:type="pct"/>
                  <w:tcBorders>
                    <w:left w:val="single" w:color="auto" w:sz="4" w:space="0"/>
                  </w:tcBorders>
                  <w:noWrap w:val="0"/>
                  <w:vAlign w:val="center"/>
                </w:tcPr>
                <w:p w14:paraId="383C4B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72.73</w:t>
                  </w:r>
                </w:p>
              </w:tc>
              <w:tc>
                <w:tcPr>
                  <w:tcW w:w="452" w:type="pct"/>
                  <w:vMerge w:val="continue"/>
                  <w:noWrap w:val="0"/>
                  <w:vAlign w:val="center"/>
                </w:tcPr>
                <w:p w14:paraId="5937E8B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185" w:type="pct"/>
                  <w:vMerge w:val="continue"/>
                  <w:tcBorders>
                    <w:right w:val="single" w:color="000000" w:sz="8" w:space="0"/>
                  </w:tcBorders>
                  <w:noWrap w:val="0"/>
                  <w:vAlign w:val="center"/>
                </w:tcPr>
                <w:p w14:paraId="0B7297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259" w:type="pct"/>
                  <w:vMerge w:val="continue"/>
                  <w:tcBorders>
                    <w:left w:val="single" w:color="000000" w:sz="8" w:space="0"/>
                  </w:tcBorders>
                  <w:noWrap w:val="0"/>
                  <w:vAlign w:val="center"/>
                </w:tcPr>
                <w:p w14:paraId="5C8C41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462" w:type="pct"/>
                  <w:noWrap w:val="0"/>
                  <w:vAlign w:val="center"/>
                </w:tcPr>
                <w:p w14:paraId="167508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3</w:t>
                  </w:r>
                  <w:r>
                    <w:rPr>
                      <w:rFonts w:hint="eastAsia" w:ascii="Times New Roman" w:hAnsi="Times New Roman" w:cs="Times New Roman"/>
                      <w:b w:val="0"/>
                      <w:bCs/>
                      <w:color w:val="auto"/>
                      <w:sz w:val="21"/>
                      <w:szCs w:val="21"/>
                      <w:highlight w:val="none"/>
                      <w:lang w:val="en-US" w:eastAsia="zh-CN"/>
                    </w:rPr>
                    <w:t>0</w:t>
                  </w:r>
                </w:p>
              </w:tc>
              <w:tc>
                <w:tcPr>
                  <w:tcW w:w="430" w:type="pct"/>
                  <w:noWrap w:val="0"/>
                  <w:vAlign w:val="center"/>
                </w:tcPr>
                <w:p w14:paraId="015983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0.073</w:t>
                  </w:r>
                </w:p>
              </w:tc>
              <w:tc>
                <w:tcPr>
                  <w:tcW w:w="372" w:type="pct"/>
                  <w:noWrap w:val="0"/>
                  <w:vAlign w:val="center"/>
                </w:tcPr>
                <w:p w14:paraId="149204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72.73</w:t>
                  </w:r>
                </w:p>
              </w:tc>
              <w:tc>
                <w:tcPr>
                  <w:tcW w:w="282" w:type="pct"/>
                  <w:vMerge w:val="continue"/>
                  <w:noWrap w:val="0"/>
                  <w:vAlign w:val="center"/>
                </w:tcPr>
                <w:p w14:paraId="52976D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319" w:type="pct"/>
                  <w:noWrap w:val="0"/>
                  <w:vAlign w:val="center"/>
                </w:tcPr>
                <w:p w14:paraId="3E5735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30</w:t>
                  </w:r>
                </w:p>
              </w:tc>
            </w:tr>
            <w:tr w14:paraId="15A5DD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restart"/>
                  <w:noWrap w:val="0"/>
                  <w:vAlign w:val="center"/>
                </w:tcPr>
                <w:p w14:paraId="7078A20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pacing w:val="-10"/>
                      <w:sz w:val="21"/>
                      <w:szCs w:val="21"/>
                      <w:highlight w:val="none"/>
                      <w:vertAlign w:val="baseline"/>
                      <w:lang w:val="en-US" w:eastAsia="zh-CN"/>
                    </w:rPr>
                  </w:pPr>
                  <w:r>
                    <w:rPr>
                      <w:rFonts w:hint="eastAsia" w:cs="Times New Roman"/>
                      <w:b w:val="0"/>
                      <w:bCs/>
                      <w:color w:val="auto"/>
                      <w:sz w:val="21"/>
                      <w:szCs w:val="21"/>
                      <w:highlight w:val="none"/>
                      <w:lang w:val="en-US" w:eastAsia="zh-CN"/>
                    </w:rPr>
                    <w:t>2#</w:t>
                  </w:r>
                  <w:r>
                    <w:rPr>
                      <w:rFonts w:hint="default" w:ascii="Times New Roman" w:hAnsi="Times New Roman" w:cs="Times New Roman"/>
                      <w:b w:val="0"/>
                      <w:bCs/>
                      <w:color w:val="auto"/>
                      <w:sz w:val="21"/>
                      <w:szCs w:val="21"/>
                      <w:highlight w:val="none"/>
                      <w:lang w:val="en-US" w:eastAsia="zh-CN"/>
                    </w:rPr>
                    <w:t>锅炉</w:t>
                  </w:r>
                  <w:r>
                    <w:rPr>
                      <w:rFonts w:hint="eastAsia" w:cs="Times New Roman"/>
                      <w:b w:val="0"/>
                      <w:bCs/>
                      <w:color w:val="auto"/>
                      <w:sz w:val="21"/>
                      <w:szCs w:val="21"/>
                      <w:highlight w:val="none"/>
                      <w:lang w:val="en-US" w:eastAsia="zh-CN"/>
                    </w:rPr>
                    <w:t>房烟气</w:t>
                  </w:r>
                </w:p>
              </w:tc>
              <w:tc>
                <w:tcPr>
                  <w:tcW w:w="384" w:type="pct"/>
                  <w:noWrap w:val="0"/>
                  <w:vAlign w:val="center"/>
                </w:tcPr>
                <w:p w14:paraId="12FA36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cs="Times New Roman"/>
                      <w:b w:val="0"/>
                      <w:bCs/>
                      <w:color w:val="auto"/>
                      <w:spacing w:val="-3"/>
                      <w:sz w:val="21"/>
                      <w:szCs w:val="21"/>
                      <w:highlight w:val="none"/>
                    </w:rPr>
                    <w:t>颗粒物</w:t>
                  </w:r>
                </w:p>
              </w:tc>
              <w:tc>
                <w:tcPr>
                  <w:tcW w:w="183" w:type="pct"/>
                  <w:vMerge w:val="continue"/>
                  <w:noWrap w:val="0"/>
                  <w:vAlign w:val="center"/>
                </w:tcPr>
                <w:p w14:paraId="7455C54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154" w:type="pct"/>
                  <w:vMerge w:val="continue"/>
                  <w:noWrap w:val="0"/>
                  <w:vAlign w:val="center"/>
                </w:tcPr>
                <w:p w14:paraId="215B28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445" w:type="pct"/>
                  <w:tcBorders>
                    <w:right w:val="single" w:color="000000" w:sz="8" w:space="0"/>
                  </w:tcBorders>
                  <w:noWrap w:val="0"/>
                  <w:vAlign w:val="center"/>
                </w:tcPr>
                <w:p w14:paraId="346F0E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7.</w:t>
                  </w:r>
                  <w:r>
                    <w:rPr>
                      <w:rFonts w:hint="eastAsia" w:cs="Times New Roman"/>
                      <w:b w:val="0"/>
                      <w:bCs/>
                      <w:color w:val="auto"/>
                      <w:sz w:val="21"/>
                      <w:szCs w:val="21"/>
                      <w:highlight w:val="none"/>
                      <w:lang w:val="en-US" w:eastAsia="zh-CN"/>
                    </w:rPr>
                    <w:t>42</w:t>
                  </w:r>
                </w:p>
              </w:tc>
              <w:tc>
                <w:tcPr>
                  <w:tcW w:w="370" w:type="pct"/>
                  <w:tcBorders>
                    <w:left w:val="single" w:color="000000" w:sz="8" w:space="0"/>
                  </w:tcBorders>
                  <w:noWrap w:val="0"/>
                  <w:vAlign w:val="center"/>
                </w:tcPr>
                <w:p w14:paraId="206503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0.024</w:t>
                  </w:r>
                </w:p>
              </w:tc>
              <w:tc>
                <w:tcPr>
                  <w:tcW w:w="380" w:type="pct"/>
                  <w:tcBorders>
                    <w:left w:val="single" w:color="auto" w:sz="4" w:space="0"/>
                  </w:tcBorders>
                  <w:noWrap w:val="0"/>
                  <w:vAlign w:val="center"/>
                </w:tcPr>
                <w:p w14:paraId="1576D8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24</w:t>
                  </w:r>
                </w:p>
              </w:tc>
              <w:tc>
                <w:tcPr>
                  <w:tcW w:w="452" w:type="pct"/>
                  <w:vMerge w:val="restart"/>
                  <w:noWrap w:val="0"/>
                  <w:vAlign w:val="center"/>
                </w:tcPr>
                <w:p w14:paraId="722D91A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pacing w:val="-10"/>
                      <w:kern w:val="2"/>
                      <w:sz w:val="21"/>
                      <w:szCs w:val="21"/>
                      <w:highlight w:val="none"/>
                      <w:vertAlign w:val="baseline"/>
                      <w:lang w:val="en-US" w:eastAsia="zh-CN" w:bidi="ar-SA"/>
                    </w:rPr>
                    <w:t>低氮燃烧器+</w:t>
                  </w:r>
                  <w:r>
                    <w:rPr>
                      <w:rFonts w:hint="eastAsia" w:cs="Times New Roman"/>
                      <w:b w:val="0"/>
                      <w:bCs/>
                      <w:color w:val="auto"/>
                      <w:sz w:val="21"/>
                      <w:szCs w:val="21"/>
                      <w:highlight w:val="none"/>
                      <w:lang w:val="en-US" w:eastAsia="zh-CN"/>
                    </w:rPr>
                    <w:t>1根13m</w:t>
                  </w:r>
                  <w:r>
                    <w:rPr>
                      <w:rFonts w:hint="default" w:ascii="Times New Roman" w:hAnsi="Times New Roman" w:cs="Times New Roman"/>
                      <w:b w:val="0"/>
                      <w:bCs/>
                      <w:color w:val="auto"/>
                      <w:spacing w:val="-10"/>
                      <w:kern w:val="2"/>
                      <w:sz w:val="21"/>
                      <w:szCs w:val="21"/>
                      <w:highlight w:val="none"/>
                      <w:vertAlign w:val="baseline"/>
                      <w:lang w:val="en-US" w:eastAsia="zh-CN" w:bidi="ar-SA"/>
                    </w:rPr>
                    <w:t>排气筒</w:t>
                  </w:r>
                  <w:r>
                    <w:rPr>
                      <w:rFonts w:hint="eastAsia" w:cs="Times New Roman"/>
                      <w:b w:val="0"/>
                      <w:bCs/>
                      <w:color w:val="auto"/>
                      <w:spacing w:val="-10"/>
                      <w:kern w:val="2"/>
                      <w:sz w:val="21"/>
                      <w:szCs w:val="21"/>
                      <w:highlight w:val="none"/>
                      <w:vertAlign w:val="baseline"/>
                      <w:lang w:val="en-US" w:eastAsia="zh-CN" w:bidi="ar-SA"/>
                    </w:rPr>
                    <w:t>（DA002）</w:t>
                  </w:r>
                </w:p>
              </w:tc>
              <w:tc>
                <w:tcPr>
                  <w:tcW w:w="185" w:type="pct"/>
                  <w:vMerge w:val="continue"/>
                  <w:tcBorders>
                    <w:right w:val="single" w:color="000000" w:sz="8" w:space="0"/>
                  </w:tcBorders>
                  <w:noWrap w:val="0"/>
                  <w:vAlign w:val="center"/>
                </w:tcPr>
                <w:p w14:paraId="75849E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259" w:type="pct"/>
                  <w:vMerge w:val="continue"/>
                  <w:tcBorders>
                    <w:left w:val="single" w:color="000000" w:sz="8" w:space="0"/>
                  </w:tcBorders>
                  <w:noWrap w:val="0"/>
                  <w:vAlign w:val="center"/>
                </w:tcPr>
                <w:p w14:paraId="4ED6FD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462" w:type="pct"/>
                  <w:noWrap w:val="0"/>
                  <w:vAlign w:val="center"/>
                </w:tcPr>
                <w:p w14:paraId="4425A8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7.</w:t>
                  </w:r>
                  <w:r>
                    <w:rPr>
                      <w:rFonts w:hint="eastAsia" w:cs="Times New Roman"/>
                      <w:b w:val="0"/>
                      <w:bCs/>
                      <w:color w:val="auto"/>
                      <w:sz w:val="21"/>
                      <w:szCs w:val="21"/>
                      <w:highlight w:val="none"/>
                      <w:lang w:val="en-US" w:eastAsia="zh-CN"/>
                    </w:rPr>
                    <w:t>42</w:t>
                  </w:r>
                </w:p>
              </w:tc>
              <w:tc>
                <w:tcPr>
                  <w:tcW w:w="430" w:type="pct"/>
                  <w:noWrap w:val="0"/>
                  <w:vAlign w:val="center"/>
                </w:tcPr>
                <w:p w14:paraId="744B23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0.024</w:t>
                  </w:r>
                </w:p>
              </w:tc>
              <w:tc>
                <w:tcPr>
                  <w:tcW w:w="372" w:type="pct"/>
                  <w:noWrap w:val="0"/>
                  <w:vAlign w:val="center"/>
                </w:tcPr>
                <w:p w14:paraId="103AF5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24</w:t>
                  </w:r>
                </w:p>
              </w:tc>
              <w:tc>
                <w:tcPr>
                  <w:tcW w:w="282" w:type="pct"/>
                  <w:vMerge w:val="continue"/>
                  <w:noWrap w:val="0"/>
                  <w:vAlign w:val="center"/>
                </w:tcPr>
                <w:p w14:paraId="0A9430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319" w:type="pct"/>
                  <w:noWrap w:val="0"/>
                  <w:vAlign w:val="center"/>
                </w:tcPr>
                <w:p w14:paraId="66BF5C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10</w:t>
                  </w:r>
                </w:p>
              </w:tc>
            </w:tr>
            <w:tr w14:paraId="5D91C5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continue"/>
                  <w:noWrap w:val="0"/>
                  <w:vAlign w:val="center"/>
                </w:tcPr>
                <w:p w14:paraId="1F402B3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pacing w:val="-10"/>
                      <w:sz w:val="21"/>
                      <w:szCs w:val="21"/>
                      <w:highlight w:val="none"/>
                      <w:vertAlign w:val="baseline"/>
                      <w:lang w:val="en-US" w:eastAsia="zh-CN"/>
                    </w:rPr>
                  </w:pPr>
                </w:p>
              </w:tc>
              <w:tc>
                <w:tcPr>
                  <w:tcW w:w="384" w:type="pct"/>
                  <w:noWrap w:val="0"/>
                  <w:vAlign w:val="center"/>
                </w:tcPr>
                <w:p w14:paraId="3F6E75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cs="Times New Roman"/>
                      <w:b w:val="0"/>
                      <w:bCs/>
                      <w:color w:val="auto"/>
                      <w:spacing w:val="-3"/>
                      <w:sz w:val="21"/>
                      <w:szCs w:val="21"/>
                      <w:highlight w:val="none"/>
                    </w:rPr>
                    <w:t>SO</w:t>
                  </w:r>
                  <w:r>
                    <w:rPr>
                      <w:rFonts w:hint="default" w:ascii="Times New Roman" w:hAnsi="Times New Roman" w:cs="Times New Roman"/>
                      <w:b w:val="0"/>
                      <w:bCs/>
                      <w:color w:val="auto"/>
                      <w:spacing w:val="-3"/>
                      <w:sz w:val="21"/>
                      <w:szCs w:val="21"/>
                      <w:highlight w:val="none"/>
                      <w:vertAlign w:val="subscript"/>
                    </w:rPr>
                    <w:t>2</w:t>
                  </w:r>
                </w:p>
              </w:tc>
              <w:tc>
                <w:tcPr>
                  <w:tcW w:w="183" w:type="pct"/>
                  <w:vMerge w:val="continue"/>
                  <w:noWrap w:val="0"/>
                  <w:vAlign w:val="center"/>
                </w:tcPr>
                <w:p w14:paraId="42DEDC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154" w:type="pct"/>
                  <w:vMerge w:val="continue"/>
                  <w:noWrap w:val="0"/>
                  <w:vAlign w:val="center"/>
                </w:tcPr>
                <w:p w14:paraId="3B92F6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445" w:type="pct"/>
                  <w:tcBorders>
                    <w:right w:val="single" w:color="000000" w:sz="8" w:space="0"/>
                  </w:tcBorders>
                  <w:noWrap w:val="0"/>
                  <w:vAlign w:val="center"/>
                </w:tcPr>
                <w:p w14:paraId="72658B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3.</w:t>
                  </w:r>
                  <w:r>
                    <w:rPr>
                      <w:rFonts w:hint="eastAsia" w:cs="Times New Roman"/>
                      <w:b w:val="0"/>
                      <w:bCs/>
                      <w:color w:val="auto"/>
                      <w:sz w:val="21"/>
                      <w:szCs w:val="21"/>
                      <w:highlight w:val="none"/>
                      <w:lang w:val="en-US" w:eastAsia="zh-CN"/>
                    </w:rPr>
                    <w:t>71</w:t>
                  </w:r>
                </w:p>
              </w:tc>
              <w:tc>
                <w:tcPr>
                  <w:tcW w:w="370" w:type="pct"/>
                  <w:tcBorders>
                    <w:left w:val="single" w:color="000000" w:sz="8" w:space="0"/>
                  </w:tcBorders>
                  <w:noWrap w:val="0"/>
                  <w:vAlign w:val="center"/>
                </w:tcPr>
                <w:p w14:paraId="669054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0.012</w:t>
                  </w:r>
                </w:p>
              </w:tc>
              <w:tc>
                <w:tcPr>
                  <w:tcW w:w="380" w:type="pct"/>
                  <w:tcBorders>
                    <w:left w:val="single" w:color="auto" w:sz="4" w:space="0"/>
                  </w:tcBorders>
                  <w:noWrap w:val="0"/>
                  <w:vAlign w:val="center"/>
                </w:tcPr>
                <w:p w14:paraId="32B12D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12</w:t>
                  </w:r>
                </w:p>
              </w:tc>
              <w:tc>
                <w:tcPr>
                  <w:tcW w:w="452" w:type="pct"/>
                  <w:vMerge w:val="continue"/>
                  <w:noWrap w:val="0"/>
                  <w:vAlign w:val="center"/>
                </w:tcPr>
                <w:p w14:paraId="56BA99A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185" w:type="pct"/>
                  <w:vMerge w:val="continue"/>
                  <w:tcBorders>
                    <w:right w:val="single" w:color="000000" w:sz="8" w:space="0"/>
                  </w:tcBorders>
                  <w:noWrap w:val="0"/>
                  <w:vAlign w:val="center"/>
                </w:tcPr>
                <w:p w14:paraId="528B7B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259" w:type="pct"/>
                  <w:vMerge w:val="continue"/>
                  <w:tcBorders>
                    <w:left w:val="single" w:color="000000" w:sz="8" w:space="0"/>
                  </w:tcBorders>
                  <w:noWrap w:val="0"/>
                  <w:vAlign w:val="center"/>
                </w:tcPr>
                <w:p w14:paraId="3E4AF4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462" w:type="pct"/>
                  <w:noWrap w:val="0"/>
                  <w:vAlign w:val="center"/>
                </w:tcPr>
                <w:p w14:paraId="66D0AD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3.</w:t>
                  </w:r>
                  <w:r>
                    <w:rPr>
                      <w:rFonts w:hint="eastAsia" w:cs="Times New Roman"/>
                      <w:b w:val="0"/>
                      <w:bCs/>
                      <w:color w:val="auto"/>
                      <w:sz w:val="21"/>
                      <w:szCs w:val="21"/>
                      <w:highlight w:val="none"/>
                      <w:lang w:val="en-US" w:eastAsia="zh-CN"/>
                    </w:rPr>
                    <w:t>71</w:t>
                  </w:r>
                </w:p>
              </w:tc>
              <w:tc>
                <w:tcPr>
                  <w:tcW w:w="430" w:type="pct"/>
                  <w:noWrap w:val="0"/>
                  <w:vAlign w:val="center"/>
                </w:tcPr>
                <w:p w14:paraId="7A0BC7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0.012</w:t>
                  </w:r>
                </w:p>
              </w:tc>
              <w:tc>
                <w:tcPr>
                  <w:tcW w:w="372" w:type="pct"/>
                  <w:noWrap w:val="0"/>
                  <w:vAlign w:val="center"/>
                </w:tcPr>
                <w:p w14:paraId="601BBC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12</w:t>
                  </w:r>
                </w:p>
              </w:tc>
              <w:tc>
                <w:tcPr>
                  <w:tcW w:w="282" w:type="pct"/>
                  <w:vMerge w:val="continue"/>
                  <w:noWrap w:val="0"/>
                  <w:vAlign w:val="center"/>
                </w:tcPr>
                <w:p w14:paraId="512206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319" w:type="pct"/>
                  <w:noWrap w:val="0"/>
                  <w:vAlign w:val="center"/>
                </w:tcPr>
                <w:p w14:paraId="5701DB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20</w:t>
                  </w:r>
                </w:p>
              </w:tc>
            </w:tr>
            <w:tr w14:paraId="0AFEF9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continue"/>
                  <w:noWrap w:val="0"/>
                  <w:vAlign w:val="center"/>
                </w:tcPr>
                <w:p w14:paraId="4E64174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pacing w:val="-10"/>
                      <w:sz w:val="21"/>
                      <w:szCs w:val="21"/>
                      <w:highlight w:val="none"/>
                      <w:vertAlign w:val="baseline"/>
                      <w:lang w:val="en-US" w:eastAsia="zh-CN"/>
                    </w:rPr>
                  </w:pPr>
                </w:p>
              </w:tc>
              <w:tc>
                <w:tcPr>
                  <w:tcW w:w="384" w:type="pct"/>
                  <w:noWrap w:val="0"/>
                  <w:vAlign w:val="center"/>
                </w:tcPr>
                <w:p w14:paraId="014A9A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cs="Times New Roman"/>
                      <w:b w:val="0"/>
                      <w:bCs/>
                      <w:color w:val="auto"/>
                      <w:spacing w:val="-3"/>
                      <w:sz w:val="21"/>
                      <w:szCs w:val="21"/>
                      <w:highlight w:val="none"/>
                    </w:rPr>
                    <w:t>NOx</w:t>
                  </w:r>
                </w:p>
              </w:tc>
              <w:tc>
                <w:tcPr>
                  <w:tcW w:w="183" w:type="pct"/>
                  <w:vMerge w:val="continue"/>
                  <w:noWrap w:val="0"/>
                  <w:vAlign w:val="center"/>
                </w:tcPr>
                <w:p w14:paraId="0451C2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154" w:type="pct"/>
                  <w:vMerge w:val="continue"/>
                  <w:noWrap w:val="0"/>
                  <w:vAlign w:val="center"/>
                </w:tcPr>
                <w:p w14:paraId="383B80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445" w:type="pct"/>
                  <w:tcBorders>
                    <w:right w:val="single" w:color="000000" w:sz="8" w:space="0"/>
                  </w:tcBorders>
                  <w:noWrap w:val="0"/>
                  <w:vAlign w:val="center"/>
                </w:tcPr>
                <w:p w14:paraId="54017F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30</w:t>
                  </w:r>
                </w:p>
              </w:tc>
              <w:tc>
                <w:tcPr>
                  <w:tcW w:w="370" w:type="pct"/>
                  <w:tcBorders>
                    <w:left w:val="single" w:color="000000" w:sz="8" w:space="0"/>
                  </w:tcBorders>
                  <w:noWrap w:val="0"/>
                  <w:vAlign w:val="center"/>
                </w:tcPr>
                <w:p w14:paraId="45CB29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0.097</w:t>
                  </w:r>
                </w:p>
              </w:tc>
              <w:tc>
                <w:tcPr>
                  <w:tcW w:w="380" w:type="pct"/>
                  <w:tcBorders>
                    <w:left w:val="single" w:color="auto" w:sz="4" w:space="0"/>
                  </w:tcBorders>
                  <w:noWrap w:val="0"/>
                  <w:vAlign w:val="center"/>
                </w:tcPr>
                <w:p w14:paraId="330FF7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96.98</w:t>
                  </w:r>
                </w:p>
              </w:tc>
              <w:tc>
                <w:tcPr>
                  <w:tcW w:w="452" w:type="pct"/>
                  <w:vMerge w:val="continue"/>
                  <w:noWrap w:val="0"/>
                  <w:vAlign w:val="center"/>
                </w:tcPr>
                <w:p w14:paraId="72AFC89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185" w:type="pct"/>
                  <w:vMerge w:val="continue"/>
                  <w:tcBorders>
                    <w:right w:val="single" w:color="000000" w:sz="8" w:space="0"/>
                  </w:tcBorders>
                  <w:noWrap w:val="0"/>
                  <w:vAlign w:val="center"/>
                </w:tcPr>
                <w:p w14:paraId="3B3F2F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259" w:type="pct"/>
                  <w:vMerge w:val="continue"/>
                  <w:tcBorders>
                    <w:left w:val="single" w:color="000000" w:sz="8" w:space="0"/>
                  </w:tcBorders>
                  <w:noWrap w:val="0"/>
                  <w:vAlign w:val="center"/>
                </w:tcPr>
                <w:p w14:paraId="5AF752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462" w:type="pct"/>
                  <w:noWrap w:val="0"/>
                  <w:vAlign w:val="center"/>
                </w:tcPr>
                <w:p w14:paraId="221EE4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30</w:t>
                  </w:r>
                </w:p>
              </w:tc>
              <w:tc>
                <w:tcPr>
                  <w:tcW w:w="430" w:type="pct"/>
                  <w:noWrap w:val="0"/>
                  <w:vAlign w:val="center"/>
                </w:tcPr>
                <w:p w14:paraId="62AFDD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0.097</w:t>
                  </w:r>
                </w:p>
              </w:tc>
              <w:tc>
                <w:tcPr>
                  <w:tcW w:w="372" w:type="pct"/>
                  <w:noWrap w:val="0"/>
                  <w:vAlign w:val="center"/>
                </w:tcPr>
                <w:p w14:paraId="61CADD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96.98</w:t>
                  </w:r>
                </w:p>
              </w:tc>
              <w:tc>
                <w:tcPr>
                  <w:tcW w:w="282" w:type="pct"/>
                  <w:vMerge w:val="continue"/>
                  <w:noWrap w:val="0"/>
                  <w:vAlign w:val="center"/>
                </w:tcPr>
                <w:p w14:paraId="193595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319" w:type="pct"/>
                  <w:noWrap w:val="0"/>
                  <w:vAlign w:val="center"/>
                </w:tcPr>
                <w:p w14:paraId="5B6E8D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30</w:t>
                  </w:r>
                </w:p>
              </w:tc>
            </w:tr>
            <w:tr w14:paraId="59658A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noWrap w:val="0"/>
                  <w:vAlign w:val="center"/>
                </w:tcPr>
                <w:p w14:paraId="13F0AA9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pacing w:val="-10"/>
                      <w:sz w:val="21"/>
                      <w:szCs w:val="21"/>
                      <w:highlight w:val="none"/>
                      <w:vertAlign w:val="baseline"/>
                      <w:lang w:val="en-US" w:eastAsia="zh-CN"/>
                    </w:rPr>
                  </w:pPr>
                  <w:r>
                    <w:rPr>
                      <w:rFonts w:hint="default" w:ascii="Times New Roman" w:hAnsi="Times New Roman" w:cs="Times New Roman"/>
                      <w:b w:val="0"/>
                      <w:bCs/>
                      <w:color w:val="auto"/>
                      <w:spacing w:val="-10"/>
                      <w:sz w:val="21"/>
                      <w:szCs w:val="21"/>
                      <w:highlight w:val="none"/>
                      <w:vertAlign w:val="baseline"/>
                      <w:lang w:val="en-US" w:eastAsia="zh-CN"/>
                    </w:rPr>
                    <w:t>中央厨房</w:t>
                  </w:r>
                </w:p>
              </w:tc>
              <w:tc>
                <w:tcPr>
                  <w:tcW w:w="384" w:type="pct"/>
                  <w:noWrap w:val="0"/>
                  <w:vAlign w:val="center"/>
                </w:tcPr>
                <w:p w14:paraId="0BE0B3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油烟废气</w:t>
                  </w:r>
                </w:p>
              </w:tc>
              <w:tc>
                <w:tcPr>
                  <w:tcW w:w="183" w:type="pct"/>
                  <w:noWrap w:val="0"/>
                  <w:vAlign w:val="center"/>
                </w:tcPr>
                <w:p w14:paraId="42DFDA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产污系数法</w:t>
                  </w:r>
                </w:p>
              </w:tc>
              <w:tc>
                <w:tcPr>
                  <w:tcW w:w="154" w:type="pct"/>
                  <w:noWrap w:val="0"/>
                  <w:vAlign w:val="center"/>
                </w:tcPr>
                <w:p w14:paraId="2A2583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有</w:t>
                  </w:r>
                  <w:r>
                    <w:rPr>
                      <w:rFonts w:hint="default" w:ascii="Times New Roman" w:hAnsi="Times New Roman" w:cs="Times New Roman"/>
                      <w:b w:val="0"/>
                      <w:bCs/>
                      <w:color w:val="auto"/>
                      <w:sz w:val="21"/>
                      <w:szCs w:val="21"/>
                      <w:highlight w:val="none"/>
                      <w:lang w:val="en-US" w:eastAsia="zh-CN"/>
                    </w:rPr>
                    <w:t>组织</w:t>
                  </w:r>
                </w:p>
              </w:tc>
              <w:tc>
                <w:tcPr>
                  <w:tcW w:w="445" w:type="pct"/>
                  <w:tcBorders>
                    <w:right w:val="single" w:color="000000" w:sz="8" w:space="0"/>
                  </w:tcBorders>
                  <w:noWrap w:val="0"/>
                  <w:vAlign w:val="center"/>
                </w:tcPr>
                <w:p w14:paraId="15880D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11.79</w:t>
                  </w:r>
                </w:p>
              </w:tc>
              <w:tc>
                <w:tcPr>
                  <w:tcW w:w="370" w:type="pct"/>
                  <w:tcBorders>
                    <w:left w:val="single" w:color="000000" w:sz="8" w:space="0"/>
                  </w:tcBorders>
                  <w:noWrap w:val="0"/>
                  <w:vAlign w:val="center"/>
                </w:tcPr>
                <w:p w14:paraId="0FC74D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0.59</w:t>
                  </w:r>
                </w:p>
              </w:tc>
              <w:tc>
                <w:tcPr>
                  <w:tcW w:w="380" w:type="pct"/>
                  <w:tcBorders>
                    <w:left w:val="single" w:color="auto" w:sz="4" w:space="0"/>
                  </w:tcBorders>
                  <w:noWrap w:val="0"/>
                  <w:vAlign w:val="center"/>
                </w:tcPr>
                <w:p w14:paraId="2F838A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1.</w:t>
                  </w:r>
                  <w:r>
                    <w:rPr>
                      <w:rFonts w:hint="eastAsia" w:cs="Times New Roman"/>
                      <w:b w:val="0"/>
                      <w:bCs/>
                      <w:color w:val="auto"/>
                      <w:sz w:val="21"/>
                      <w:szCs w:val="21"/>
                      <w:highlight w:val="none"/>
                      <w:lang w:val="en-US" w:eastAsia="zh-CN"/>
                    </w:rPr>
                    <w:t>41</w:t>
                  </w:r>
                  <w:r>
                    <w:rPr>
                      <w:rFonts w:hint="default" w:ascii="Times New Roman" w:hAnsi="Times New Roman" w:cs="Times New Roman"/>
                      <w:b w:val="0"/>
                      <w:bCs/>
                      <w:color w:val="auto"/>
                      <w:sz w:val="21"/>
                      <w:szCs w:val="21"/>
                      <w:highlight w:val="none"/>
                      <w:lang w:val="en-US" w:eastAsia="zh-CN"/>
                    </w:rPr>
                    <w:t>5</w:t>
                  </w:r>
                  <w:r>
                    <w:rPr>
                      <w:rFonts w:hint="eastAsia" w:cs="Times New Roman"/>
                      <w:b w:val="0"/>
                      <w:bCs/>
                      <w:color w:val="auto"/>
                      <w:sz w:val="21"/>
                      <w:szCs w:val="21"/>
                      <w:highlight w:val="none"/>
                      <w:lang w:val="en-US" w:eastAsia="zh-CN"/>
                    </w:rPr>
                    <w:t>t/a</w:t>
                  </w:r>
                </w:p>
              </w:tc>
              <w:tc>
                <w:tcPr>
                  <w:tcW w:w="452" w:type="pct"/>
                  <w:noWrap w:val="0"/>
                  <w:vAlign w:val="center"/>
                </w:tcPr>
                <w:p w14:paraId="08DC4B3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高效型静电式油烟净化器+</w:t>
                  </w:r>
                  <w:r>
                    <w:rPr>
                      <w:rFonts w:hint="eastAsia" w:cs="Times New Roman"/>
                      <w:b w:val="0"/>
                      <w:bCs/>
                      <w:color w:val="auto"/>
                      <w:sz w:val="21"/>
                      <w:szCs w:val="21"/>
                      <w:highlight w:val="none"/>
                      <w:lang w:val="en-US" w:eastAsia="zh-CN"/>
                    </w:rPr>
                    <w:t>1根24m排气筒</w:t>
                  </w:r>
                  <w:r>
                    <w:rPr>
                      <w:rFonts w:hint="eastAsia" w:cs="Times New Roman"/>
                      <w:b w:val="0"/>
                      <w:bCs/>
                      <w:color w:val="auto"/>
                      <w:spacing w:val="-10"/>
                      <w:kern w:val="2"/>
                      <w:sz w:val="21"/>
                      <w:szCs w:val="21"/>
                      <w:highlight w:val="none"/>
                      <w:vertAlign w:val="baseline"/>
                      <w:lang w:val="en-US" w:eastAsia="zh-CN" w:bidi="ar-SA"/>
                    </w:rPr>
                    <w:t>（DA003）</w:t>
                  </w:r>
                </w:p>
              </w:tc>
              <w:tc>
                <w:tcPr>
                  <w:tcW w:w="185" w:type="pct"/>
                  <w:tcBorders>
                    <w:right w:val="single" w:color="000000" w:sz="8" w:space="0"/>
                  </w:tcBorders>
                  <w:noWrap w:val="0"/>
                  <w:vAlign w:val="center"/>
                </w:tcPr>
                <w:p w14:paraId="182FE03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cs="Times New Roman"/>
                      <w:b w:val="0"/>
                      <w:bCs/>
                      <w:color w:val="auto"/>
                      <w:sz w:val="21"/>
                      <w:szCs w:val="21"/>
                      <w:highlight w:val="none"/>
                      <w:lang w:val="en-US" w:eastAsia="zh-CN"/>
                    </w:rPr>
                    <w:t>85</w:t>
                  </w:r>
                </w:p>
              </w:tc>
              <w:tc>
                <w:tcPr>
                  <w:tcW w:w="259" w:type="pct"/>
                  <w:tcBorders>
                    <w:left w:val="single" w:color="000000" w:sz="8" w:space="0"/>
                  </w:tcBorders>
                  <w:noWrap w:val="0"/>
                  <w:vAlign w:val="center"/>
                </w:tcPr>
                <w:p w14:paraId="77C9CA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是</w:t>
                  </w:r>
                </w:p>
              </w:tc>
              <w:tc>
                <w:tcPr>
                  <w:tcW w:w="462" w:type="pct"/>
                  <w:noWrap w:val="0"/>
                  <w:vAlign w:val="center"/>
                </w:tcPr>
                <w:p w14:paraId="790BAB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1.767</w:t>
                  </w:r>
                </w:p>
              </w:tc>
              <w:tc>
                <w:tcPr>
                  <w:tcW w:w="430" w:type="pct"/>
                  <w:noWrap w:val="0"/>
                  <w:vAlign w:val="center"/>
                </w:tcPr>
                <w:p w14:paraId="02024C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0.088</w:t>
                  </w:r>
                </w:p>
              </w:tc>
              <w:tc>
                <w:tcPr>
                  <w:tcW w:w="372" w:type="pct"/>
                  <w:noWrap w:val="0"/>
                  <w:vAlign w:val="center"/>
                </w:tcPr>
                <w:p w14:paraId="3F371E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ascii="Times New Roman" w:hAnsi="Times New Roman" w:cs="Times New Roman"/>
                      <w:b w:val="0"/>
                      <w:bCs/>
                      <w:color w:val="auto"/>
                      <w:sz w:val="21"/>
                      <w:szCs w:val="21"/>
                      <w:highlight w:val="none"/>
                      <w:lang w:val="en-US" w:eastAsia="zh-CN"/>
                    </w:rPr>
                    <w:t>0.2</w:t>
                  </w:r>
                  <w:r>
                    <w:rPr>
                      <w:rFonts w:hint="eastAsia" w:cs="Times New Roman"/>
                      <w:b w:val="0"/>
                      <w:bCs/>
                      <w:color w:val="auto"/>
                      <w:sz w:val="21"/>
                      <w:szCs w:val="21"/>
                      <w:highlight w:val="none"/>
                      <w:lang w:val="en-US" w:eastAsia="zh-CN"/>
                    </w:rPr>
                    <w:t>12</w:t>
                  </w:r>
                </w:p>
              </w:tc>
              <w:tc>
                <w:tcPr>
                  <w:tcW w:w="282" w:type="pct"/>
                  <w:noWrap w:val="0"/>
                  <w:vAlign w:val="center"/>
                </w:tcPr>
                <w:p w14:paraId="28B443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24</w:t>
                  </w:r>
                  <w:r>
                    <w:rPr>
                      <w:rFonts w:hint="default" w:ascii="Times New Roman" w:hAnsi="Times New Roman" w:cs="Times New Roman"/>
                      <w:b w:val="0"/>
                      <w:bCs/>
                      <w:color w:val="auto"/>
                      <w:sz w:val="21"/>
                      <w:szCs w:val="21"/>
                      <w:highlight w:val="none"/>
                      <w:lang w:val="en-US" w:eastAsia="zh-CN"/>
                    </w:rPr>
                    <w:t>00</w:t>
                  </w:r>
                </w:p>
              </w:tc>
              <w:tc>
                <w:tcPr>
                  <w:tcW w:w="319" w:type="pct"/>
                  <w:noWrap w:val="0"/>
                  <w:vAlign w:val="center"/>
                </w:tcPr>
                <w:p w14:paraId="2B83F0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2.0</w:t>
                  </w:r>
                </w:p>
              </w:tc>
            </w:tr>
            <w:tr w14:paraId="6877E5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noWrap w:val="0"/>
                  <w:vAlign w:val="center"/>
                </w:tcPr>
                <w:p w14:paraId="1CCB7FF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pacing w:val="-10"/>
                      <w:sz w:val="21"/>
                      <w:szCs w:val="21"/>
                      <w:highlight w:val="none"/>
                      <w:vertAlign w:val="baseline"/>
                      <w:lang w:val="en-US" w:eastAsia="zh-CN"/>
                    </w:rPr>
                  </w:pPr>
                  <w:r>
                    <w:rPr>
                      <w:rFonts w:hint="eastAsia" w:cs="Times New Roman"/>
                      <w:b w:val="0"/>
                      <w:bCs/>
                      <w:color w:val="auto"/>
                      <w:spacing w:val="-10"/>
                      <w:sz w:val="21"/>
                      <w:szCs w:val="21"/>
                      <w:highlight w:val="none"/>
                      <w:vertAlign w:val="baseline"/>
                      <w:lang w:val="en-US" w:eastAsia="zh-CN"/>
                    </w:rPr>
                    <w:t>和面、调粉</w:t>
                  </w:r>
                </w:p>
              </w:tc>
              <w:tc>
                <w:tcPr>
                  <w:tcW w:w="384" w:type="pct"/>
                  <w:noWrap w:val="0"/>
                  <w:vAlign w:val="center"/>
                </w:tcPr>
                <w:p w14:paraId="4BB7793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pacing w:val="-10"/>
                      <w:sz w:val="21"/>
                      <w:szCs w:val="21"/>
                      <w:highlight w:val="none"/>
                      <w:vertAlign w:val="baseline"/>
                      <w:lang w:val="en-US" w:eastAsia="zh-CN"/>
                    </w:rPr>
                    <w:t>粉尘</w:t>
                  </w:r>
                </w:p>
              </w:tc>
              <w:tc>
                <w:tcPr>
                  <w:tcW w:w="450" w:type="dxa"/>
                  <w:noWrap w:val="0"/>
                  <w:vAlign w:val="center"/>
                </w:tcPr>
                <w:p w14:paraId="23437A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产污系数法</w:t>
                  </w:r>
                </w:p>
              </w:tc>
              <w:tc>
                <w:tcPr>
                  <w:tcW w:w="379" w:type="dxa"/>
                  <w:noWrap w:val="0"/>
                  <w:vAlign w:val="center"/>
                </w:tcPr>
                <w:p w14:paraId="346557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无组织</w:t>
                  </w:r>
                </w:p>
              </w:tc>
              <w:tc>
                <w:tcPr>
                  <w:tcW w:w="445" w:type="pct"/>
                  <w:tcBorders>
                    <w:right w:val="single" w:color="000000" w:sz="8" w:space="0"/>
                  </w:tcBorders>
                  <w:noWrap w:val="0"/>
                  <w:vAlign w:val="center"/>
                </w:tcPr>
                <w:p w14:paraId="3727F4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rPr>
                    <w:t>/</w:t>
                  </w:r>
                </w:p>
              </w:tc>
              <w:tc>
                <w:tcPr>
                  <w:tcW w:w="370" w:type="pct"/>
                  <w:tcBorders>
                    <w:left w:val="single" w:color="000000" w:sz="8" w:space="0"/>
                  </w:tcBorders>
                  <w:noWrap w:val="0"/>
                  <w:vAlign w:val="center"/>
                </w:tcPr>
                <w:p w14:paraId="10574C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rPr>
                    <w:t>/</w:t>
                  </w:r>
                </w:p>
              </w:tc>
              <w:tc>
                <w:tcPr>
                  <w:tcW w:w="380" w:type="pct"/>
                  <w:tcBorders>
                    <w:left w:val="single" w:color="auto" w:sz="4" w:space="0"/>
                  </w:tcBorders>
                  <w:noWrap w:val="0"/>
                  <w:vAlign w:val="center"/>
                </w:tcPr>
                <w:p w14:paraId="251FAF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rPr>
                    <w:t>/</w:t>
                  </w:r>
                </w:p>
              </w:tc>
              <w:tc>
                <w:tcPr>
                  <w:tcW w:w="452" w:type="pct"/>
                  <w:noWrap w:val="0"/>
                  <w:vAlign w:val="center"/>
                </w:tcPr>
                <w:p w14:paraId="0DC3DE3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车间通风换气</w:t>
                  </w:r>
                </w:p>
              </w:tc>
              <w:tc>
                <w:tcPr>
                  <w:tcW w:w="185" w:type="pct"/>
                  <w:tcBorders>
                    <w:right w:val="single" w:color="000000" w:sz="8" w:space="0"/>
                  </w:tcBorders>
                  <w:noWrap w:val="0"/>
                  <w:vAlign w:val="center"/>
                </w:tcPr>
                <w:p w14:paraId="5ED8308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rPr>
                    <w:t>/</w:t>
                  </w:r>
                </w:p>
              </w:tc>
              <w:tc>
                <w:tcPr>
                  <w:tcW w:w="259" w:type="pct"/>
                  <w:tcBorders>
                    <w:left w:val="single" w:color="000000" w:sz="8" w:space="0"/>
                  </w:tcBorders>
                  <w:noWrap w:val="0"/>
                  <w:vAlign w:val="center"/>
                </w:tcPr>
                <w:p w14:paraId="0046E0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是</w:t>
                  </w:r>
                </w:p>
              </w:tc>
              <w:tc>
                <w:tcPr>
                  <w:tcW w:w="462" w:type="pct"/>
                  <w:noWrap w:val="0"/>
                  <w:vAlign w:val="center"/>
                </w:tcPr>
                <w:p w14:paraId="6B4639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rPr>
                    <w:t>/</w:t>
                  </w:r>
                </w:p>
              </w:tc>
              <w:tc>
                <w:tcPr>
                  <w:tcW w:w="430" w:type="pct"/>
                  <w:noWrap w:val="0"/>
                  <w:vAlign w:val="center"/>
                </w:tcPr>
                <w:p w14:paraId="07314C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rPr>
                    <w:t>/</w:t>
                  </w:r>
                </w:p>
              </w:tc>
              <w:tc>
                <w:tcPr>
                  <w:tcW w:w="372" w:type="pct"/>
                  <w:noWrap w:val="0"/>
                  <w:vAlign w:val="center"/>
                </w:tcPr>
                <w:p w14:paraId="06F689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rPr>
                    <w:t>/</w:t>
                  </w:r>
                </w:p>
              </w:tc>
              <w:tc>
                <w:tcPr>
                  <w:tcW w:w="282" w:type="pct"/>
                  <w:noWrap w:val="0"/>
                  <w:vAlign w:val="center"/>
                </w:tcPr>
                <w:p w14:paraId="42D306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32</w:t>
                  </w:r>
                  <w:r>
                    <w:rPr>
                      <w:rFonts w:hint="default" w:ascii="Times New Roman" w:hAnsi="Times New Roman" w:cs="Times New Roman"/>
                      <w:b w:val="0"/>
                      <w:bCs/>
                      <w:color w:val="auto"/>
                      <w:sz w:val="21"/>
                      <w:szCs w:val="21"/>
                      <w:highlight w:val="none"/>
                      <w:lang w:val="en-US" w:eastAsia="zh-CN"/>
                    </w:rPr>
                    <w:t>00</w:t>
                  </w:r>
                </w:p>
              </w:tc>
              <w:tc>
                <w:tcPr>
                  <w:tcW w:w="319" w:type="pct"/>
                  <w:noWrap w:val="0"/>
                  <w:vAlign w:val="center"/>
                </w:tcPr>
                <w:p w14:paraId="05038E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1.0</w:t>
                  </w:r>
                </w:p>
              </w:tc>
            </w:tr>
            <w:tr w14:paraId="6F4879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noWrap w:val="0"/>
                  <w:vAlign w:val="center"/>
                </w:tcPr>
                <w:p w14:paraId="5B39BF7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pacing w:val="-10"/>
                      <w:sz w:val="21"/>
                      <w:szCs w:val="21"/>
                      <w:highlight w:val="none"/>
                      <w:vertAlign w:val="baseline"/>
                      <w:lang w:val="en-US" w:eastAsia="zh-CN"/>
                    </w:rPr>
                  </w:pPr>
                  <w:r>
                    <w:rPr>
                      <w:rFonts w:hint="eastAsia" w:cs="Times New Roman"/>
                      <w:b w:val="0"/>
                      <w:bCs/>
                      <w:color w:val="auto"/>
                      <w:spacing w:val="-10"/>
                      <w:sz w:val="21"/>
                      <w:szCs w:val="21"/>
                      <w:highlight w:val="none"/>
                      <w:vertAlign w:val="baseline"/>
                      <w:lang w:val="en-US" w:eastAsia="zh-CN"/>
                    </w:rPr>
                    <w:t>烘烤</w:t>
                  </w:r>
                </w:p>
              </w:tc>
              <w:tc>
                <w:tcPr>
                  <w:tcW w:w="384" w:type="pct"/>
                  <w:noWrap w:val="0"/>
                  <w:vAlign w:val="center"/>
                </w:tcPr>
                <w:p w14:paraId="43F47F3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pacing w:val="-10"/>
                      <w:sz w:val="21"/>
                      <w:szCs w:val="21"/>
                      <w:highlight w:val="none"/>
                      <w:vertAlign w:val="baseline"/>
                      <w:lang w:val="en-US" w:eastAsia="zh-CN"/>
                    </w:rPr>
                    <w:t>异味废气</w:t>
                  </w:r>
                </w:p>
              </w:tc>
              <w:tc>
                <w:tcPr>
                  <w:tcW w:w="450" w:type="dxa"/>
                  <w:noWrap w:val="0"/>
                  <w:vAlign w:val="center"/>
                </w:tcPr>
                <w:p w14:paraId="1E6EB6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产污系数法</w:t>
                  </w:r>
                </w:p>
              </w:tc>
              <w:tc>
                <w:tcPr>
                  <w:tcW w:w="379" w:type="dxa"/>
                  <w:noWrap w:val="0"/>
                  <w:vAlign w:val="center"/>
                </w:tcPr>
                <w:p w14:paraId="407806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无组织</w:t>
                  </w:r>
                </w:p>
              </w:tc>
              <w:tc>
                <w:tcPr>
                  <w:tcW w:w="445" w:type="pct"/>
                  <w:tcBorders>
                    <w:right w:val="single" w:color="000000" w:sz="8" w:space="0"/>
                  </w:tcBorders>
                  <w:noWrap w:val="0"/>
                  <w:vAlign w:val="center"/>
                </w:tcPr>
                <w:p w14:paraId="1D36C4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rPr>
                    <w:t>/</w:t>
                  </w:r>
                </w:p>
              </w:tc>
              <w:tc>
                <w:tcPr>
                  <w:tcW w:w="370" w:type="pct"/>
                  <w:tcBorders>
                    <w:left w:val="single" w:color="000000" w:sz="8" w:space="0"/>
                  </w:tcBorders>
                  <w:noWrap w:val="0"/>
                  <w:vAlign w:val="center"/>
                </w:tcPr>
                <w:p w14:paraId="17C073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rPr>
                    <w:t>/</w:t>
                  </w:r>
                </w:p>
              </w:tc>
              <w:tc>
                <w:tcPr>
                  <w:tcW w:w="380" w:type="pct"/>
                  <w:tcBorders>
                    <w:left w:val="single" w:color="auto" w:sz="4" w:space="0"/>
                  </w:tcBorders>
                  <w:noWrap w:val="0"/>
                  <w:vAlign w:val="center"/>
                </w:tcPr>
                <w:p w14:paraId="54245C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rPr>
                    <w:t>/</w:t>
                  </w:r>
                </w:p>
              </w:tc>
              <w:tc>
                <w:tcPr>
                  <w:tcW w:w="452" w:type="pct"/>
                  <w:noWrap w:val="0"/>
                  <w:vAlign w:val="center"/>
                </w:tcPr>
                <w:p w14:paraId="477ED3D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高效型静电式油烟净化器+</w:t>
                  </w:r>
                  <w:r>
                    <w:rPr>
                      <w:rFonts w:hint="eastAsia" w:cs="Times New Roman"/>
                      <w:b w:val="0"/>
                      <w:bCs/>
                      <w:color w:val="auto"/>
                      <w:sz w:val="21"/>
                      <w:szCs w:val="21"/>
                      <w:highlight w:val="none"/>
                      <w:lang w:val="en-US" w:eastAsia="zh-CN"/>
                    </w:rPr>
                    <w:t>1根24m排气筒</w:t>
                  </w:r>
                  <w:r>
                    <w:rPr>
                      <w:rFonts w:hint="eastAsia" w:cs="Times New Roman"/>
                      <w:b w:val="0"/>
                      <w:bCs/>
                      <w:color w:val="auto"/>
                      <w:spacing w:val="-10"/>
                      <w:kern w:val="2"/>
                      <w:sz w:val="21"/>
                      <w:szCs w:val="21"/>
                      <w:highlight w:val="none"/>
                      <w:vertAlign w:val="baseline"/>
                      <w:lang w:val="en-US" w:eastAsia="zh-CN" w:bidi="ar-SA"/>
                    </w:rPr>
                    <w:t>（DA003）</w:t>
                  </w:r>
                </w:p>
              </w:tc>
              <w:tc>
                <w:tcPr>
                  <w:tcW w:w="185" w:type="pct"/>
                  <w:tcBorders>
                    <w:right w:val="single" w:color="000000" w:sz="8" w:space="0"/>
                  </w:tcBorders>
                  <w:noWrap w:val="0"/>
                  <w:vAlign w:val="center"/>
                </w:tcPr>
                <w:p w14:paraId="53B621A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rPr>
                    <w:t>/</w:t>
                  </w:r>
                </w:p>
              </w:tc>
              <w:tc>
                <w:tcPr>
                  <w:tcW w:w="259" w:type="pct"/>
                  <w:tcBorders>
                    <w:left w:val="single" w:color="000000" w:sz="8" w:space="0"/>
                  </w:tcBorders>
                  <w:noWrap w:val="0"/>
                  <w:vAlign w:val="center"/>
                </w:tcPr>
                <w:p w14:paraId="6C49FB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是</w:t>
                  </w:r>
                </w:p>
              </w:tc>
              <w:tc>
                <w:tcPr>
                  <w:tcW w:w="462" w:type="pct"/>
                  <w:noWrap w:val="0"/>
                  <w:vAlign w:val="center"/>
                </w:tcPr>
                <w:p w14:paraId="204041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rPr>
                    <w:t>/</w:t>
                  </w:r>
                </w:p>
              </w:tc>
              <w:tc>
                <w:tcPr>
                  <w:tcW w:w="430" w:type="pct"/>
                  <w:noWrap w:val="0"/>
                  <w:vAlign w:val="center"/>
                </w:tcPr>
                <w:p w14:paraId="40A0CD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rPr>
                    <w:t>/</w:t>
                  </w:r>
                </w:p>
              </w:tc>
              <w:tc>
                <w:tcPr>
                  <w:tcW w:w="372" w:type="pct"/>
                  <w:noWrap w:val="0"/>
                  <w:vAlign w:val="center"/>
                </w:tcPr>
                <w:p w14:paraId="62DE71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rPr>
                    <w:t>/</w:t>
                  </w:r>
                </w:p>
              </w:tc>
              <w:tc>
                <w:tcPr>
                  <w:tcW w:w="282" w:type="pct"/>
                  <w:noWrap w:val="0"/>
                  <w:vAlign w:val="center"/>
                </w:tcPr>
                <w:p w14:paraId="0DFECA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32</w:t>
                  </w:r>
                  <w:r>
                    <w:rPr>
                      <w:rFonts w:hint="default" w:ascii="Times New Roman" w:hAnsi="Times New Roman" w:cs="Times New Roman"/>
                      <w:b w:val="0"/>
                      <w:bCs/>
                      <w:color w:val="auto"/>
                      <w:sz w:val="21"/>
                      <w:szCs w:val="21"/>
                      <w:highlight w:val="none"/>
                      <w:lang w:val="en-US" w:eastAsia="zh-CN"/>
                    </w:rPr>
                    <w:t>00</w:t>
                  </w:r>
                </w:p>
              </w:tc>
              <w:tc>
                <w:tcPr>
                  <w:tcW w:w="319" w:type="pct"/>
                  <w:noWrap w:val="0"/>
                  <w:vAlign w:val="center"/>
                </w:tcPr>
                <w:p w14:paraId="69F413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20</w:t>
                  </w:r>
                </w:p>
              </w:tc>
            </w:tr>
            <w:tr w14:paraId="2D1288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restart"/>
                  <w:noWrap w:val="0"/>
                  <w:vAlign w:val="center"/>
                </w:tcPr>
                <w:p w14:paraId="4ED342C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default" w:ascii="Times New Roman" w:hAnsi="Times New Roman" w:cs="Times New Roman"/>
                      <w:b w:val="0"/>
                      <w:bCs/>
                      <w:color w:val="auto"/>
                      <w:spacing w:val="-10"/>
                      <w:sz w:val="21"/>
                      <w:szCs w:val="21"/>
                      <w:highlight w:val="none"/>
                      <w:vertAlign w:val="baseline"/>
                      <w:lang w:val="en-US" w:eastAsia="zh-CN"/>
                    </w:rPr>
                  </w:pPr>
                  <w:r>
                    <w:rPr>
                      <w:rFonts w:hint="eastAsia" w:ascii="Times New Roman" w:hAnsi="Times New Roman" w:cs="Times New Roman"/>
                      <w:b w:val="0"/>
                      <w:bCs/>
                      <w:color w:val="auto"/>
                      <w:spacing w:val="-10"/>
                      <w:sz w:val="21"/>
                      <w:szCs w:val="21"/>
                      <w:highlight w:val="none"/>
                      <w:vertAlign w:val="baseline"/>
                      <w:lang w:val="en-US" w:eastAsia="zh-CN"/>
                    </w:rPr>
                    <w:t>地埋式污水处理设备</w:t>
                  </w:r>
                </w:p>
              </w:tc>
              <w:tc>
                <w:tcPr>
                  <w:tcW w:w="384" w:type="pct"/>
                  <w:noWrap w:val="0"/>
                  <w:vAlign w:val="center"/>
                </w:tcPr>
                <w:p w14:paraId="05FA74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eastAsia="Times New Roman" w:cs="Times New Roman"/>
                      <w:color w:val="auto"/>
                      <w:sz w:val="21"/>
                      <w:szCs w:val="21"/>
                      <w:highlight w:val="none"/>
                    </w:rPr>
                    <w:t>NH</w:t>
                  </w:r>
                  <w:r>
                    <w:rPr>
                      <w:rFonts w:hint="default" w:ascii="Times New Roman" w:hAnsi="Times New Roman" w:eastAsia="宋体" w:cs="Times New Roman"/>
                      <w:color w:val="auto"/>
                      <w:sz w:val="21"/>
                      <w:szCs w:val="21"/>
                      <w:highlight w:val="none"/>
                      <w:vertAlign w:val="subscript"/>
                      <w:lang w:val="en-US" w:eastAsia="zh-CN"/>
                    </w:rPr>
                    <w:t>3</w:t>
                  </w:r>
                </w:p>
              </w:tc>
              <w:tc>
                <w:tcPr>
                  <w:tcW w:w="183" w:type="pct"/>
                  <w:noWrap w:val="0"/>
                  <w:vAlign w:val="center"/>
                </w:tcPr>
                <w:p w14:paraId="1ACBB9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产污系数法</w:t>
                  </w:r>
                </w:p>
              </w:tc>
              <w:tc>
                <w:tcPr>
                  <w:tcW w:w="154" w:type="pct"/>
                  <w:noWrap w:val="0"/>
                  <w:vAlign w:val="center"/>
                </w:tcPr>
                <w:p w14:paraId="037F42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无组织</w:t>
                  </w:r>
                </w:p>
              </w:tc>
              <w:tc>
                <w:tcPr>
                  <w:tcW w:w="445" w:type="pct"/>
                  <w:tcBorders>
                    <w:right w:val="single" w:color="000000" w:sz="8" w:space="0"/>
                  </w:tcBorders>
                  <w:noWrap w:val="0"/>
                  <w:vAlign w:val="center"/>
                </w:tcPr>
                <w:p w14:paraId="1A7CE7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w:t>
                  </w:r>
                </w:p>
              </w:tc>
              <w:tc>
                <w:tcPr>
                  <w:tcW w:w="370" w:type="pct"/>
                  <w:tcBorders>
                    <w:left w:val="single" w:color="000000" w:sz="8" w:space="0"/>
                  </w:tcBorders>
                  <w:noWrap w:val="0"/>
                  <w:vAlign w:val="center"/>
                </w:tcPr>
                <w:p w14:paraId="6A7707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w:t>
                  </w:r>
                </w:p>
              </w:tc>
              <w:tc>
                <w:tcPr>
                  <w:tcW w:w="380" w:type="pct"/>
                  <w:tcBorders>
                    <w:left w:val="single" w:color="auto" w:sz="4" w:space="0"/>
                  </w:tcBorders>
                  <w:noWrap w:val="0"/>
                  <w:vAlign w:val="center"/>
                </w:tcPr>
                <w:p w14:paraId="051CF3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0.006t/a</w:t>
                  </w:r>
                </w:p>
              </w:tc>
              <w:tc>
                <w:tcPr>
                  <w:tcW w:w="452" w:type="pct"/>
                  <w:vMerge w:val="restart"/>
                  <w:noWrap w:val="0"/>
                  <w:vAlign w:val="center"/>
                </w:tcPr>
                <w:p w14:paraId="3E30E0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加盖密封、设置地下</w:t>
                  </w:r>
                </w:p>
              </w:tc>
              <w:tc>
                <w:tcPr>
                  <w:tcW w:w="185" w:type="pct"/>
                  <w:vMerge w:val="restart"/>
                  <w:tcBorders>
                    <w:right w:val="single" w:color="000000" w:sz="8" w:space="0"/>
                  </w:tcBorders>
                  <w:noWrap w:val="0"/>
                  <w:vAlign w:val="center"/>
                </w:tcPr>
                <w:p w14:paraId="1C08C3E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50</w:t>
                  </w:r>
                </w:p>
              </w:tc>
              <w:tc>
                <w:tcPr>
                  <w:tcW w:w="259" w:type="pct"/>
                  <w:tcBorders>
                    <w:left w:val="single" w:color="000000" w:sz="8" w:space="0"/>
                  </w:tcBorders>
                  <w:noWrap w:val="0"/>
                  <w:vAlign w:val="center"/>
                </w:tcPr>
                <w:p w14:paraId="6765E2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是</w:t>
                  </w:r>
                </w:p>
              </w:tc>
              <w:tc>
                <w:tcPr>
                  <w:tcW w:w="462" w:type="pct"/>
                  <w:noWrap w:val="0"/>
                  <w:vAlign w:val="center"/>
                </w:tcPr>
                <w:p w14:paraId="7CDAC5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w:t>
                  </w:r>
                </w:p>
              </w:tc>
              <w:tc>
                <w:tcPr>
                  <w:tcW w:w="430" w:type="pct"/>
                  <w:noWrap w:val="0"/>
                  <w:vAlign w:val="center"/>
                </w:tcPr>
                <w:p w14:paraId="64CE5F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w:t>
                  </w:r>
                </w:p>
              </w:tc>
              <w:tc>
                <w:tcPr>
                  <w:tcW w:w="372" w:type="pct"/>
                  <w:noWrap w:val="0"/>
                  <w:vAlign w:val="center"/>
                </w:tcPr>
                <w:p w14:paraId="5DEB33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0.003</w:t>
                  </w:r>
                </w:p>
              </w:tc>
              <w:tc>
                <w:tcPr>
                  <w:tcW w:w="282" w:type="pct"/>
                  <w:noWrap w:val="0"/>
                  <w:vAlign w:val="center"/>
                </w:tcPr>
                <w:p w14:paraId="732FDB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32</w:t>
                  </w:r>
                  <w:r>
                    <w:rPr>
                      <w:rFonts w:hint="default" w:ascii="Times New Roman" w:hAnsi="Times New Roman" w:cs="Times New Roman"/>
                      <w:b w:val="0"/>
                      <w:bCs/>
                      <w:color w:val="auto"/>
                      <w:sz w:val="21"/>
                      <w:szCs w:val="21"/>
                      <w:highlight w:val="none"/>
                      <w:lang w:val="en-US" w:eastAsia="zh-CN"/>
                    </w:rPr>
                    <w:t>00</w:t>
                  </w:r>
                </w:p>
              </w:tc>
              <w:tc>
                <w:tcPr>
                  <w:tcW w:w="319" w:type="pct"/>
                  <w:noWrap w:val="0"/>
                  <w:vAlign w:val="center"/>
                </w:tcPr>
                <w:p w14:paraId="0F8989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1.5</w:t>
                  </w:r>
                </w:p>
              </w:tc>
            </w:tr>
            <w:tr w14:paraId="41D4F5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continue"/>
                  <w:noWrap w:val="0"/>
                  <w:vAlign w:val="center"/>
                </w:tcPr>
                <w:p w14:paraId="1A9F2A8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pacing w:val="-10"/>
                      <w:sz w:val="21"/>
                      <w:szCs w:val="21"/>
                      <w:highlight w:val="none"/>
                      <w:vertAlign w:val="baseline"/>
                      <w:lang w:val="en-US" w:eastAsia="zh-CN"/>
                    </w:rPr>
                  </w:pPr>
                </w:p>
              </w:tc>
              <w:tc>
                <w:tcPr>
                  <w:tcW w:w="384" w:type="pct"/>
                  <w:noWrap w:val="0"/>
                  <w:vAlign w:val="center"/>
                </w:tcPr>
                <w:p w14:paraId="60B1E4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eastAsia="宋体" w:cs="Times New Roman"/>
                      <w:color w:val="auto"/>
                      <w:sz w:val="21"/>
                      <w:szCs w:val="21"/>
                      <w:highlight w:val="none"/>
                      <w:vertAlign w:val="baseline"/>
                      <w:lang w:val="en-US" w:eastAsia="zh-CN"/>
                    </w:rPr>
                    <w:t>H</w:t>
                  </w:r>
                  <w:r>
                    <w:rPr>
                      <w:rFonts w:hint="default" w:ascii="Times New Roman" w:hAnsi="Times New Roman" w:eastAsia="宋体" w:cs="Times New Roman"/>
                      <w:color w:val="auto"/>
                      <w:sz w:val="21"/>
                      <w:szCs w:val="21"/>
                      <w:highlight w:val="none"/>
                      <w:vertAlign w:val="subscript"/>
                      <w:lang w:val="en-US" w:eastAsia="zh-CN"/>
                    </w:rPr>
                    <w:t>2</w:t>
                  </w:r>
                  <w:r>
                    <w:rPr>
                      <w:rFonts w:hint="default" w:ascii="Times New Roman" w:hAnsi="Times New Roman" w:eastAsia="宋体" w:cs="Times New Roman"/>
                      <w:color w:val="auto"/>
                      <w:sz w:val="21"/>
                      <w:szCs w:val="21"/>
                      <w:highlight w:val="none"/>
                      <w:vertAlign w:val="baseline"/>
                      <w:lang w:val="en-US" w:eastAsia="zh-CN"/>
                    </w:rPr>
                    <w:t>S</w:t>
                  </w:r>
                </w:p>
              </w:tc>
              <w:tc>
                <w:tcPr>
                  <w:tcW w:w="183" w:type="pct"/>
                  <w:noWrap w:val="0"/>
                  <w:vAlign w:val="center"/>
                </w:tcPr>
                <w:p w14:paraId="34AF60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产污系数法</w:t>
                  </w:r>
                </w:p>
              </w:tc>
              <w:tc>
                <w:tcPr>
                  <w:tcW w:w="154" w:type="pct"/>
                  <w:noWrap w:val="0"/>
                  <w:vAlign w:val="center"/>
                </w:tcPr>
                <w:p w14:paraId="587CBA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无组织</w:t>
                  </w:r>
                </w:p>
              </w:tc>
              <w:tc>
                <w:tcPr>
                  <w:tcW w:w="445" w:type="pct"/>
                  <w:tcBorders>
                    <w:right w:val="single" w:color="000000" w:sz="8" w:space="0"/>
                  </w:tcBorders>
                  <w:noWrap w:val="0"/>
                  <w:vAlign w:val="center"/>
                </w:tcPr>
                <w:p w14:paraId="6CADED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w:t>
                  </w:r>
                </w:p>
              </w:tc>
              <w:tc>
                <w:tcPr>
                  <w:tcW w:w="370" w:type="pct"/>
                  <w:tcBorders>
                    <w:left w:val="single" w:color="000000" w:sz="8" w:space="0"/>
                  </w:tcBorders>
                  <w:noWrap w:val="0"/>
                  <w:vAlign w:val="center"/>
                </w:tcPr>
                <w:p w14:paraId="51201A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w:t>
                  </w:r>
                </w:p>
              </w:tc>
              <w:tc>
                <w:tcPr>
                  <w:tcW w:w="380" w:type="pct"/>
                  <w:tcBorders>
                    <w:left w:val="single" w:color="auto" w:sz="4" w:space="0"/>
                  </w:tcBorders>
                  <w:noWrap w:val="0"/>
                  <w:vAlign w:val="center"/>
                </w:tcPr>
                <w:p w14:paraId="633F08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0.0002t/a</w:t>
                  </w:r>
                </w:p>
              </w:tc>
              <w:tc>
                <w:tcPr>
                  <w:tcW w:w="452" w:type="pct"/>
                  <w:vMerge w:val="continue"/>
                  <w:noWrap w:val="0"/>
                  <w:vAlign w:val="center"/>
                </w:tcPr>
                <w:p w14:paraId="5C56A0B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185" w:type="pct"/>
                  <w:vMerge w:val="continue"/>
                  <w:tcBorders>
                    <w:right w:val="single" w:color="000000" w:sz="8" w:space="0"/>
                  </w:tcBorders>
                  <w:noWrap w:val="0"/>
                  <w:vAlign w:val="center"/>
                </w:tcPr>
                <w:p w14:paraId="2F4FE9C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p>
              </w:tc>
              <w:tc>
                <w:tcPr>
                  <w:tcW w:w="259" w:type="pct"/>
                  <w:tcBorders>
                    <w:left w:val="single" w:color="000000" w:sz="8" w:space="0"/>
                  </w:tcBorders>
                  <w:noWrap w:val="0"/>
                  <w:vAlign w:val="center"/>
                </w:tcPr>
                <w:p w14:paraId="09FBCD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是</w:t>
                  </w:r>
                </w:p>
              </w:tc>
              <w:tc>
                <w:tcPr>
                  <w:tcW w:w="462" w:type="pct"/>
                  <w:noWrap w:val="0"/>
                  <w:vAlign w:val="center"/>
                </w:tcPr>
                <w:p w14:paraId="454D0D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w:t>
                  </w:r>
                </w:p>
              </w:tc>
              <w:tc>
                <w:tcPr>
                  <w:tcW w:w="430" w:type="pct"/>
                  <w:noWrap w:val="0"/>
                  <w:vAlign w:val="center"/>
                </w:tcPr>
                <w:p w14:paraId="5FC922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w:t>
                  </w:r>
                </w:p>
              </w:tc>
              <w:tc>
                <w:tcPr>
                  <w:tcW w:w="372" w:type="pct"/>
                  <w:noWrap w:val="0"/>
                  <w:vAlign w:val="center"/>
                </w:tcPr>
                <w:p w14:paraId="017DB4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0.0001</w:t>
                  </w:r>
                </w:p>
              </w:tc>
              <w:tc>
                <w:tcPr>
                  <w:tcW w:w="282" w:type="pct"/>
                  <w:noWrap w:val="0"/>
                  <w:vAlign w:val="center"/>
                </w:tcPr>
                <w:p w14:paraId="48695F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32</w:t>
                  </w:r>
                  <w:r>
                    <w:rPr>
                      <w:rFonts w:hint="default" w:ascii="Times New Roman" w:hAnsi="Times New Roman" w:cs="Times New Roman"/>
                      <w:b w:val="0"/>
                      <w:bCs/>
                      <w:color w:val="auto"/>
                      <w:sz w:val="21"/>
                      <w:szCs w:val="21"/>
                      <w:highlight w:val="none"/>
                      <w:lang w:val="en-US" w:eastAsia="zh-CN"/>
                    </w:rPr>
                    <w:t>00</w:t>
                  </w:r>
                </w:p>
              </w:tc>
              <w:tc>
                <w:tcPr>
                  <w:tcW w:w="319" w:type="pct"/>
                  <w:noWrap w:val="0"/>
                  <w:vAlign w:val="center"/>
                </w:tcPr>
                <w:p w14:paraId="412239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0.06</w:t>
                  </w:r>
                </w:p>
              </w:tc>
            </w:tr>
          </w:tbl>
          <w:p w14:paraId="3DABE91B">
            <w:pPr>
              <w:keepNext w:val="0"/>
              <w:keepLines w:val="0"/>
              <w:suppressLineNumbers w:val="0"/>
              <w:snapToGrid w:val="0"/>
              <w:spacing w:before="0" w:beforeAutospacing="0" w:after="0" w:afterAutospacing="0"/>
              <w:ind w:left="0" w:right="0" w:firstLine="360"/>
              <w:jc w:val="left"/>
              <w:rPr>
                <w:rFonts w:hint="default" w:eastAsia="宋体"/>
                <w:color w:val="auto"/>
                <w:kern w:val="0"/>
                <w:sz w:val="18"/>
                <w:szCs w:val="20"/>
                <w:highlight w:val="none"/>
                <w:lang w:val="en-US" w:eastAsia="zh-CN"/>
              </w:rPr>
            </w:pPr>
          </w:p>
        </w:tc>
      </w:tr>
    </w:tbl>
    <w:p w14:paraId="5CA507E4">
      <w:pPr>
        <w:pStyle w:val="80"/>
        <w:rPr>
          <w:color w:val="auto"/>
          <w:highlight w:val="none"/>
        </w:rPr>
        <w:sectPr>
          <w:pgSz w:w="16840" w:h="11907" w:orient="landscape"/>
          <w:pgMar w:top="1531" w:right="1701" w:bottom="1531" w:left="2127" w:header="851" w:footer="851" w:gutter="0"/>
          <w:pgBorders>
            <w:top w:val="none" w:sz="0" w:space="0"/>
            <w:left w:val="none" w:sz="0" w:space="0"/>
            <w:bottom w:val="none" w:sz="0" w:space="0"/>
            <w:right w:val="none" w:sz="0" w:space="0"/>
          </w:pgBorders>
          <w:pgNumType w:fmt="numberInDash"/>
          <w:cols w:space="720" w:num="1"/>
          <w:docGrid w:linePitch="312" w:charSpace="0"/>
        </w:sectPr>
      </w:pPr>
    </w:p>
    <w:tbl>
      <w:tblPr>
        <w:tblStyle w:val="37"/>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94"/>
        <w:gridCol w:w="8487"/>
      </w:tblGrid>
      <w:tr w14:paraId="4F94DF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85" w:hRule="atLeast"/>
          <w:jc w:val="center"/>
        </w:trPr>
        <w:tc>
          <w:tcPr>
            <w:tcW w:w="494" w:type="dxa"/>
            <w:tcMar>
              <w:left w:w="28" w:type="dxa"/>
              <w:right w:w="28" w:type="dxa"/>
            </w:tcMar>
            <w:vAlign w:val="center"/>
          </w:tcPr>
          <w:p w14:paraId="6E34AAB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运营</w:t>
            </w:r>
          </w:p>
          <w:p w14:paraId="170F2522">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期环</w:t>
            </w:r>
          </w:p>
          <w:p w14:paraId="4910E7B0">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境影</w:t>
            </w:r>
          </w:p>
          <w:p w14:paraId="7F839D90">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响和</w:t>
            </w:r>
          </w:p>
          <w:p w14:paraId="6EEF7206">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保护</w:t>
            </w:r>
          </w:p>
          <w:p w14:paraId="4FFC90B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措施</w:t>
            </w:r>
          </w:p>
        </w:tc>
        <w:tc>
          <w:tcPr>
            <w:tcW w:w="8487" w:type="dxa"/>
          </w:tcPr>
          <w:p w14:paraId="054C0CD2">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rPr>
              <w:t>2、源强核算</w:t>
            </w:r>
          </w:p>
          <w:p w14:paraId="23246D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Cs/>
                <w:color w:val="auto"/>
                <w:sz w:val="24"/>
                <w:lang w:val="en-US" w:eastAsia="zh-CN"/>
              </w:rPr>
            </w:pPr>
            <w:r>
              <w:rPr>
                <w:rFonts w:hint="default" w:ascii="Times New Roman" w:hAnsi="Times New Roman" w:cs="Times New Roman"/>
                <w:bCs/>
                <w:color w:val="auto"/>
                <w:sz w:val="24"/>
              </w:rPr>
              <w:t>（1）</w:t>
            </w:r>
            <w:r>
              <w:rPr>
                <w:rFonts w:hint="default" w:ascii="Times New Roman" w:hAnsi="Times New Roman" w:cs="Times New Roman"/>
                <w:bCs/>
                <w:color w:val="auto"/>
                <w:sz w:val="24"/>
                <w:lang w:val="en-US" w:eastAsia="zh-CN"/>
              </w:rPr>
              <w:t>锅炉废气</w:t>
            </w:r>
          </w:p>
          <w:p w14:paraId="48F7F7B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highlight w:val="none"/>
              </w:rPr>
            </w:pPr>
            <w:r>
              <w:rPr>
                <w:rFonts w:hint="default" w:ascii="Times New Roman" w:hAnsi="Times New Roman" w:eastAsia="宋体" w:cs="Times New Roman"/>
                <w:color w:val="auto"/>
                <w:sz w:val="24"/>
                <w:szCs w:val="24"/>
                <w:highlight w:val="none"/>
                <w:lang w:val="en-US" w:eastAsia="zh-CN" w:bidi="en-US"/>
              </w:rPr>
              <w:t>本项目共安装</w:t>
            </w:r>
            <w:r>
              <w:rPr>
                <w:rFonts w:hint="eastAsia" w:ascii="Times New Roman" w:hAnsi="Times New Roman" w:eastAsia="宋体" w:cs="Times New Roman"/>
                <w:color w:val="auto"/>
                <w:sz w:val="24"/>
                <w:szCs w:val="24"/>
                <w:highlight w:val="none"/>
                <w:lang w:val="en-US" w:eastAsia="zh-CN" w:bidi="en-US"/>
              </w:rPr>
              <w:t>7</w:t>
            </w:r>
            <w:r>
              <w:rPr>
                <w:rFonts w:hint="default" w:ascii="Times New Roman" w:hAnsi="Times New Roman" w:eastAsia="宋体" w:cs="Times New Roman"/>
                <w:color w:val="auto"/>
                <w:sz w:val="24"/>
                <w:szCs w:val="24"/>
                <w:highlight w:val="none"/>
                <w:lang w:val="en-US" w:eastAsia="zh-CN" w:bidi="en-US"/>
              </w:rPr>
              <w:t>台</w:t>
            </w:r>
            <w:r>
              <w:rPr>
                <w:rFonts w:hint="eastAsia" w:ascii="Times New Roman" w:hAnsi="Times New Roman" w:cs="Times New Roman"/>
                <w:color w:val="auto"/>
                <w:sz w:val="24"/>
                <w:szCs w:val="24"/>
                <w:highlight w:val="none"/>
                <w:lang w:val="en-US" w:eastAsia="zh-CN" w:bidi="en-US"/>
              </w:rPr>
              <w:t>燃气</w:t>
            </w:r>
            <w:r>
              <w:rPr>
                <w:rFonts w:hint="default" w:ascii="Times New Roman" w:hAnsi="Times New Roman" w:eastAsia="宋体" w:cs="Times New Roman"/>
                <w:color w:val="auto"/>
                <w:sz w:val="24"/>
                <w:szCs w:val="24"/>
                <w:highlight w:val="none"/>
                <w:lang w:val="en-US" w:eastAsia="zh-CN" w:bidi="en-US"/>
              </w:rPr>
              <w:t>锅炉（单台1t/h），</w:t>
            </w:r>
            <w:r>
              <w:rPr>
                <w:rFonts w:hint="eastAsia" w:cs="Times New Roman"/>
                <w:color w:val="auto"/>
                <w:sz w:val="24"/>
                <w:szCs w:val="24"/>
                <w:highlight w:val="none"/>
                <w:lang w:val="en-US" w:eastAsia="zh-CN" w:bidi="en-US"/>
              </w:rPr>
              <w:t>其中1#锅炉房内设3台1吨燃气锅炉，2#锅炉房内设4台1吨燃气锅炉。</w:t>
            </w:r>
            <w:r>
              <w:rPr>
                <w:rFonts w:hint="default" w:ascii="Times New Roman" w:hAnsi="Times New Roman" w:eastAsia="宋体" w:cs="Times New Roman"/>
                <w:color w:val="auto"/>
                <w:sz w:val="24"/>
                <w:szCs w:val="24"/>
                <w:highlight w:val="none"/>
                <w:lang w:val="en-US" w:eastAsia="zh-CN" w:bidi="en-US"/>
              </w:rPr>
              <w:t>根据核算，单台锅炉的用气量约为7</w:t>
            </w:r>
            <w:r>
              <w:rPr>
                <w:rFonts w:hint="eastAsia" w:ascii="Times New Roman" w:hAnsi="Times New Roman" w:eastAsia="宋体" w:cs="Times New Roman"/>
                <w:color w:val="auto"/>
                <w:sz w:val="24"/>
                <w:szCs w:val="24"/>
                <w:highlight w:val="none"/>
                <w:lang w:val="en-US" w:eastAsia="zh-CN" w:bidi="en-US"/>
              </w:rPr>
              <w:t>5</w:t>
            </w:r>
            <w:r>
              <w:rPr>
                <w:rFonts w:hint="default" w:ascii="Times New Roman" w:hAnsi="Times New Roman" w:eastAsia="宋体" w:cs="Times New Roman"/>
                <w:color w:val="auto"/>
                <w:sz w:val="24"/>
                <w:szCs w:val="24"/>
                <w:highlight w:val="none"/>
                <w:lang w:val="en-US" w:eastAsia="zh-CN" w:bidi="en-US"/>
              </w:rPr>
              <w:t>Nm</w:t>
            </w:r>
            <w:r>
              <w:rPr>
                <w:rFonts w:hint="default" w:ascii="Times New Roman" w:hAnsi="Times New Roman" w:eastAsia="宋体" w:cs="Times New Roman"/>
                <w:color w:val="auto"/>
                <w:sz w:val="24"/>
                <w:szCs w:val="24"/>
                <w:highlight w:val="none"/>
                <w:vertAlign w:val="superscript"/>
                <w:lang w:val="en-US" w:eastAsia="zh-CN" w:bidi="en-US"/>
              </w:rPr>
              <w:t>3</w:t>
            </w:r>
            <w:r>
              <w:rPr>
                <w:rFonts w:hint="default" w:ascii="Times New Roman" w:hAnsi="Times New Roman" w:eastAsia="宋体" w:cs="Times New Roman"/>
                <w:color w:val="auto"/>
                <w:sz w:val="24"/>
                <w:szCs w:val="24"/>
                <w:highlight w:val="none"/>
                <w:lang w:val="en-US" w:eastAsia="zh-CN" w:bidi="en-US"/>
              </w:rPr>
              <w:t>/h，</w:t>
            </w:r>
            <w:r>
              <w:rPr>
                <w:rFonts w:hint="default" w:ascii="Times New Roman" w:hAnsi="Times New Roman" w:cs="Times New Roman"/>
                <w:color w:val="auto"/>
                <w:sz w:val="24"/>
                <w:highlight w:val="none"/>
              </w:rPr>
              <w:t>本项目锅炉每年运行</w:t>
            </w:r>
            <w:r>
              <w:rPr>
                <w:rFonts w:hint="default" w:ascii="Times New Roman" w:hAnsi="Times New Roman" w:cs="Times New Roman"/>
                <w:color w:val="auto"/>
                <w:sz w:val="24"/>
                <w:highlight w:val="none"/>
                <w:lang w:val="en-US" w:eastAsia="zh-CN"/>
              </w:rPr>
              <w:t>200</w:t>
            </w:r>
            <w:r>
              <w:rPr>
                <w:rFonts w:hint="default" w:ascii="Times New Roman" w:hAnsi="Times New Roman" w:cs="Times New Roman"/>
                <w:color w:val="auto"/>
                <w:sz w:val="24"/>
                <w:highlight w:val="none"/>
              </w:rPr>
              <w:t>天，</w:t>
            </w:r>
            <w:r>
              <w:rPr>
                <w:rFonts w:hint="eastAsia" w:cs="Times New Roman"/>
                <w:color w:val="auto"/>
                <w:sz w:val="24"/>
                <w:highlight w:val="none"/>
                <w:lang w:val="en-US" w:eastAsia="zh-CN"/>
              </w:rPr>
              <w:t>每天5h，即</w:t>
            </w:r>
            <w:r>
              <w:rPr>
                <w:rFonts w:hint="eastAsia" w:ascii="Times New Roman" w:hAnsi="Times New Roman" w:cs="Times New Roman"/>
                <w:color w:val="auto"/>
                <w:sz w:val="24"/>
                <w:highlight w:val="none"/>
                <w:lang w:val="en-US" w:eastAsia="zh-CN"/>
              </w:rPr>
              <w:t>1000</w:t>
            </w:r>
            <w:r>
              <w:rPr>
                <w:rFonts w:hint="default" w:ascii="Times New Roman" w:hAnsi="Times New Roman" w:cs="Times New Roman"/>
                <w:color w:val="auto"/>
                <w:sz w:val="24"/>
                <w:highlight w:val="none"/>
              </w:rPr>
              <w:t>h</w:t>
            </w:r>
            <w:r>
              <w:rPr>
                <w:rFonts w:hint="eastAsia"/>
                <w:color w:val="auto"/>
                <w:lang w:val="en-US" w:eastAsia="zh-CN"/>
              </w:rPr>
              <w:t>/a</w:t>
            </w:r>
            <w:r>
              <w:rPr>
                <w:rFonts w:hint="default" w:ascii="Times New Roman" w:hAnsi="Times New Roman" w:cs="Times New Roman"/>
                <w:color w:val="auto"/>
                <w:sz w:val="24"/>
                <w:highlight w:val="none"/>
              </w:rPr>
              <w:t>；则</w:t>
            </w:r>
            <w:r>
              <w:rPr>
                <w:rFonts w:hint="eastAsia" w:cs="Times New Roman"/>
                <w:color w:val="auto"/>
                <w:sz w:val="24"/>
                <w:szCs w:val="24"/>
                <w:highlight w:val="none"/>
                <w:lang w:val="en-US" w:eastAsia="zh-CN" w:bidi="en-US"/>
              </w:rPr>
              <w:t>1#锅炉房</w:t>
            </w:r>
            <w:r>
              <w:rPr>
                <w:rFonts w:hint="default" w:ascii="Times New Roman" w:hAnsi="Times New Roman" w:cs="Times New Roman"/>
                <w:color w:val="auto"/>
                <w:sz w:val="24"/>
                <w:highlight w:val="none"/>
              </w:rPr>
              <w:t>耗气量为</w:t>
            </w:r>
            <w:r>
              <w:rPr>
                <w:rFonts w:hint="eastAsia" w:ascii="Times New Roman" w:hAnsi="Times New Roman" w:cs="Times New Roman"/>
                <w:color w:val="auto"/>
                <w:sz w:val="24"/>
                <w:highlight w:val="none"/>
                <w:lang w:val="en-US" w:eastAsia="zh-CN"/>
              </w:rPr>
              <w:t>22.5</w:t>
            </w:r>
            <w:r>
              <w:rPr>
                <w:rFonts w:hint="default" w:ascii="Times New Roman" w:hAnsi="Times New Roman" w:cs="Times New Roman"/>
                <w:color w:val="auto"/>
                <w:sz w:val="24"/>
                <w:highlight w:val="none"/>
              </w:rPr>
              <w:t>万Nm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w:t>
            </w:r>
            <w:r>
              <w:rPr>
                <w:rFonts w:hint="eastAsia" w:ascii="Times New Roman" w:hAnsi="Times New Roman" w:cs="Times New Roman"/>
                <w:color w:val="auto"/>
                <w:sz w:val="24"/>
                <w:highlight w:val="none"/>
                <w:lang w:eastAsia="zh-CN"/>
              </w:rPr>
              <w:t>，</w:t>
            </w:r>
            <w:r>
              <w:rPr>
                <w:rFonts w:hint="eastAsia" w:cs="Times New Roman"/>
                <w:color w:val="auto"/>
                <w:sz w:val="24"/>
                <w:szCs w:val="24"/>
                <w:highlight w:val="none"/>
                <w:lang w:val="en-US" w:eastAsia="zh-CN" w:bidi="en-US"/>
              </w:rPr>
              <w:t>2#锅炉房</w:t>
            </w:r>
            <w:r>
              <w:rPr>
                <w:rFonts w:hint="default" w:ascii="Times New Roman" w:hAnsi="Times New Roman" w:cs="Times New Roman"/>
                <w:color w:val="auto"/>
                <w:sz w:val="24"/>
                <w:highlight w:val="none"/>
              </w:rPr>
              <w:t>耗气量为</w:t>
            </w:r>
            <w:r>
              <w:rPr>
                <w:rFonts w:hint="eastAsia" w:ascii="Times New Roman" w:hAnsi="Times New Roman" w:cs="Times New Roman"/>
                <w:color w:val="auto"/>
                <w:sz w:val="24"/>
                <w:highlight w:val="none"/>
                <w:lang w:val="en-US" w:eastAsia="zh-CN"/>
              </w:rPr>
              <w:t>30</w:t>
            </w:r>
            <w:r>
              <w:rPr>
                <w:rFonts w:hint="default" w:ascii="Times New Roman" w:hAnsi="Times New Roman" w:cs="Times New Roman"/>
                <w:color w:val="auto"/>
                <w:sz w:val="24"/>
                <w:highlight w:val="none"/>
              </w:rPr>
              <w:t>万Nm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w:t>
            </w:r>
            <w:r>
              <w:rPr>
                <w:rFonts w:hint="eastAsia"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项目总耗气量为</w:t>
            </w:r>
            <w:r>
              <w:rPr>
                <w:rFonts w:hint="eastAsia" w:ascii="Times New Roman" w:hAnsi="Times New Roman" w:cs="Times New Roman"/>
                <w:color w:val="auto"/>
                <w:sz w:val="24"/>
                <w:highlight w:val="none"/>
                <w:lang w:val="en-US" w:eastAsia="zh-CN"/>
              </w:rPr>
              <w:t>52.5</w:t>
            </w:r>
            <w:r>
              <w:rPr>
                <w:rFonts w:hint="default" w:ascii="Times New Roman" w:hAnsi="Times New Roman" w:cs="Times New Roman"/>
                <w:color w:val="auto"/>
                <w:sz w:val="24"/>
                <w:highlight w:val="none"/>
              </w:rPr>
              <w:t>万Nm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w:t>
            </w:r>
            <w:r>
              <w:rPr>
                <w:rFonts w:hint="eastAsia" w:cs="Times New Roman"/>
                <w:color w:val="auto"/>
                <w:sz w:val="24"/>
                <w:highlight w:val="none"/>
                <w:lang w:eastAsia="zh-CN"/>
              </w:rPr>
              <w:t>。</w:t>
            </w:r>
            <w:r>
              <w:rPr>
                <w:rFonts w:hint="default" w:ascii="Times New Roman" w:hAnsi="Times New Roman" w:cs="Times New Roman"/>
                <w:color w:val="auto"/>
                <w:sz w:val="24"/>
                <w:highlight w:val="none"/>
              </w:rPr>
              <w:t>锅炉</w:t>
            </w:r>
            <w:r>
              <w:rPr>
                <w:rFonts w:hint="eastAsia" w:cs="Times New Roman"/>
                <w:color w:val="auto"/>
                <w:sz w:val="24"/>
                <w:highlight w:val="none"/>
                <w:lang w:val="en-US" w:eastAsia="zh-CN"/>
              </w:rPr>
              <w:t>均</w:t>
            </w:r>
            <w:r>
              <w:rPr>
                <w:rFonts w:hint="default" w:ascii="Times New Roman" w:hAnsi="Times New Roman" w:cs="Times New Roman"/>
                <w:color w:val="auto"/>
                <w:sz w:val="24"/>
                <w:highlight w:val="none"/>
              </w:rPr>
              <w:t>采用低氮燃烧技术，</w:t>
            </w:r>
            <w:r>
              <w:rPr>
                <w:rFonts w:hint="eastAsia" w:cs="Times New Roman"/>
                <w:color w:val="auto"/>
                <w:sz w:val="24"/>
                <w:szCs w:val="24"/>
                <w:highlight w:val="none"/>
                <w:lang w:val="en-US" w:eastAsia="zh-CN" w:bidi="en-US"/>
              </w:rPr>
              <w:t>1#锅炉房产生锅炉废气</w:t>
            </w:r>
            <w:r>
              <w:rPr>
                <w:rFonts w:hint="default" w:ascii="Times New Roman" w:hAnsi="Times New Roman" w:cs="Times New Roman"/>
                <w:color w:val="auto"/>
                <w:sz w:val="24"/>
                <w:highlight w:val="none"/>
              </w:rPr>
              <w:t>经1根</w:t>
            </w:r>
            <w:r>
              <w:rPr>
                <w:rFonts w:hint="eastAsia" w:cs="Times New Roman"/>
                <w:color w:val="auto"/>
                <w:sz w:val="24"/>
                <w:highlight w:val="none"/>
                <w:lang w:val="en-US" w:eastAsia="zh-CN"/>
              </w:rPr>
              <w:t>8</w:t>
            </w:r>
            <w:r>
              <w:rPr>
                <w:rFonts w:hint="default" w:ascii="Times New Roman" w:hAnsi="Times New Roman" w:cs="Times New Roman"/>
                <w:color w:val="auto"/>
                <w:sz w:val="24"/>
                <w:highlight w:val="none"/>
              </w:rPr>
              <w:t>m高的排气筒排放</w:t>
            </w:r>
            <w:r>
              <w:rPr>
                <w:rFonts w:hint="eastAsia" w:cs="Times New Roman"/>
                <w:color w:val="auto"/>
                <w:sz w:val="24"/>
                <w:highlight w:val="none"/>
                <w:lang w:eastAsia="zh-CN"/>
              </w:rPr>
              <w:t>；</w:t>
            </w:r>
            <w:r>
              <w:rPr>
                <w:rFonts w:hint="eastAsia" w:cs="Times New Roman"/>
                <w:color w:val="auto"/>
                <w:sz w:val="24"/>
                <w:szCs w:val="24"/>
                <w:highlight w:val="none"/>
                <w:lang w:val="en-US" w:eastAsia="zh-CN" w:bidi="en-US"/>
              </w:rPr>
              <w:t>2#锅炉房产生锅炉废气</w:t>
            </w:r>
            <w:r>
              <w:rPr>
                <w:rFonts w:hint="default" w:ascii="Times New Roman" w:hAnsi="Times New Roman" w:cs="Times New Roman"/>
                <w:color w:val="auto"/>
                <w:sz w:val="24"/>
                <w:highlight w:val="none"/>
              </w:rPr>
              <w:t>经1根</w:t>
            </w:r>
            <w:r>
              <w:rPr>
                <w:rFonts w:hint="eastAsia" w:cs="Times New Roman"/>
                <w:color w:val="auto"/>
                <w:sz w:val="24"/>
                <w:highlight w:val="none"/>
                <w:lang w:val="en-US" w:eastAsia="zh-CN"/>
              </w:rPr>
              <w:t>13</w:t>
            </w:r>
            <w:r>
              <w:rPr>
                <w:rFonts w:hint="default" w:ascii="Times New Roman" w:hAnsi="Times New Roman" w:cs="Times New Roman"/>
                <w:color w:val="auto"/>
                <w:sz w:val="24"/>
                <w:highlight w:val="none"/>
              </w:rPr>
              <w:t>m高的排气筒排放。</w:t>
            </w:r>
          </w:p>
          <w:p w14:paraId="35CBCD3E">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lang w:val="en-US" w:eastAsia="zh-CN" w:bidi="en-US"/>
              </w:rPr>
            </w:pPr>
            <w:r>
              <w:rPr>
                <w:rFonts w:hint="default" w:ascii="Times New Roman" w:hAnsi="Times New Roman" w:eastAsia="宋体" w:cs="Times New Roman"/>
                <w:color w:val="auto"/>
                <w:sz w:val="24"/>
                <w:szCs w:val="24"/>
                <w:highlight w:val="none"/>
                <w:lang w:val="en-US" w:eastAsia="zh-CN" w:bidi="en-US"/>
              </w:rPr>
              <w:fldChar w:fldCharType="begin"/>
            </w:r>
            <w:r>
              <w:rPr>
                <w:rFonts w:hint="default" w:ascii="Times New Roman" w:hAnsi="Times New Roman" w:eastAsia="宋体" w:cs="Times New Roman"/>
                <w:color w:val="auto"/>
                <w:sz w:val="24"/>
                <w:szCs w:val="24"/>
                <w:highlight w:val="none"/>
                <w:lang w:val="en-US" w:eastAsia="zh-CN" w:bidi="en-US"/>
              </w:rPr>
              <w:instrText xml:space="preserve"> = 1 \* GB3 \* MERGEFORMAT </w:instrText>
            </w:r>
            <w:r>
              <w:rPr>
                <w:rFonts w:hint="default" w:ascii="Times New Roman" w:hAnsi="Times New Roman" w:eastAsia="宋体" w:cs="Times New Roman"/>
                <w:color w:val="auto"/>
                <w:sz w:val="24"/>
                <w:szCs w:val="24"/>
                <w:highlight w:val="none"/>
                <w:lang w:val="en-US" w:eastAsia="zh-CN" w:bidi="en-US"/>
              </w:rPr>
              <w:fldChar w:fldCharType="separate"/>
            </w:r>
            <w:r>
              <w:rPr>
                <w:rFonts w:hint="default" w:ascii="Times New Roman" w:hAnsi="Times New Roman" w:eastAsia="宋体" w:cs="Times New Roman"/>
                <w:color w:val="auto"/>
                <w:sz w:val="24"/>
                <w:szCs w:val="24"/>
                <w:highlight w:val="none"/>
                <w:lang w:val="en-US" w:eastAsia="zh-CN" w:bidi="en-US"/>
              </w:rPr>
              <w:t>①</w:t>
            </w:r>
            <w:r>
              <w:rPr>
                <w:rFonts w:hint="default" w:ascii="Times New Roman" w:hAnsi="Times New Roman" w:eastAsia="宋体" w:cs="Times New Roman"/>
                <w:color w:val="auto"/>
                <w:sz w:val="24"/>
                <w:szCs w:val="24"/>
                <w:highlight w:val="none"/>
                <w:lang w:val="en-US" w:eastAsia="zh-CN" w:bidi="en-US"/>
              </w:rPr>
              <w:fldChar w:fldCharType="end"/>
            </w:r>
            <w:r>
              <w:rPr>
                <w:rFonts w:hint="default" w:ascii="Times New Roman" w:hAnsi="Times New Roman" w:eastAsia="宋体" w:cs="Times New Roman"/>
                <w:color w:val="auto"/>
                <w:sz w:val="24"/>
                <w:szCs w:val="24"/>
                <w:highlight w:val="none"/>
                <w:lang w:val="en-US" w:eastAsia="zh-CN" w:bidi="en-US"/>
              </w:rPr>
              <w:t>烟气量</w:t>
            </w:r>
          </w:p>
          <w:p w14:paraId="6A38C5D6">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lang w:val="en-US" w:eastAsia="zh-CN" w:bidi="en-US"/>
              </w:rPr>
            </w:pPr>
            <w:r>
              <w:rPr>
                <w:rFonts w:hint="default" w:ascii="Times New Roman" w:hAnsi="Times New Roman" w:eastAsia="宋体" w:cs="Times New Roman"/>
                <w:color w:val="auto"/>
                <w:sz w:val="24"/>
                <w:szCs w:val="24"/>
                <w:highlight w:val="none"/>
                <w:lang w:val="en-US" w:eastAsia="zh-CN" w:bidi="en-US"/>
              </w:rPr>
              <w:t>根据《污染源源强核算技术指南 锅炉》（HJ991-2018），可参照全国污染源普查工业污染源普查数据使用产物系数法计算污染物源强。根据《排放源统计调查产排污核算方法和系数手册》4430工业锅炉（热力供应）行业系数手册计算，工业废气量为107753Nm</w:t>
            </w:r>
            <w:r>
              <w:rPr>
                <w:rFonts w:hint="default" w:ascii="Times New Roman" w:hAnsi="Times New Roman" w:eastAsia="宋体" w:cs="Times New Roman"/>
                <w:color w:val="auto"/>
                <w:sz w:val="24"/>
                <w:szCs w:val="24"/>
                <w:highlight w:val="none"/>
                <w:vertAlign w:val="superscript"/>
                <w:lang w:val="en-US" w:eastAsia="zh-CN" w:bidi="en-US"/>
              </w:rPr>
              <w:t>3</w:t>
            </w:r>
            <w:r>
              <w:rPr>
                <w:rFonts w:hint="default" w:ascii="Times New Roman" w:hAnsi="Times New Roman" w:eastAsia="宋体" w:cs="Times New Roman"/>
                <w:color w:val="auto"/>
                <w:sz w:val="24"/>
                <w:szCs w:val="24"/>
                <w:highlight w:val="none"/>
                <w:lang w:val="en-US" w:eastAsia="zh-CN" w:bidi="en-US"/>
              </w:rPr>
              <w:t>/万原料。</w:t>
            </w:r>
          </w:p>
          <w:p w14:paraId="1B239C1B">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lang w:val="en-US" w:eastAsia="zh-CN" w:bidi="en-US"/>
              </w:rPr>
            </w:pPr>
            <w:r>
              <w:rPr>
                <w:rFonts w:hint="default" w:ascii="Times New Roman" w:hAnsi="Times New Roman" w:eastAsia="宋体" w:cs="Times New Roman"/>
                <w:color w:val="auto"/>
                <w:sz w:val="24"/>
                <w:szCs w:val="24"/>
                <w:highlight w:val="none"/>
                <w:lang w:val="en-US" w:eastAsia="zh-CN" w:bidi="en-US"/>
              </w:rPr>
              <w:t>因此，项目</w:t>
            </w:r>
            <w:r>
              <w:rPr>
                <w:rFonts w:hint="eastAsia" w:cs="Times New Roman"/>
                <w:color w:val="auto"/>
                <w:sz w:val="24"/>
                <w:szCs w:val="24"/>
                <w:highlight w:val="none"/>
                <w:lang w:val="en-US" w:eastAsia="zh-CN" w:bidi="en-US"/>
              </w:rPr>
              <w:t>1#锅炉房</w:t>
            </w:r>
            <w:r>
              <w:rPr>
                <w:rFonts w:hint="default" w:ascii="Times New Roman" w:hAnsi="Times New Roman" w:eastAsia="宋体" w:cs="Times New Roman"/>
                <w:color w:val="auto"/>
                <w:sz w:val="24"/>
                <w:szCs w:val="24"/>
                <w:highlight w:val="none"/>
                <w:lang w:val="en-US" w:eastAsia="zh-CN" w:bidi="en-US"/>
              </w:rPr>
              <w:t>烟气量为</w:t>
            </w:r>
            <w:r>
              <w:rPr>
                <w:rFonts w:hint="eastAsia" w:ascii="Times New Roman" w:hAnsi="Times New Roman" w:eastAsia="宋体" w:cs="Times New Roman"/>
                <w:color w:val="auto"/>
                <w:sz w:val="24"/>
                <w:szCs w:val="24"/>
                <w:highlight w:val="none"/>
                <w:lang w:val="en-US" w:eastAsia="zh-CN" w:bidi="en-US"/>
              </w:rPr>
              <w:t>2424442.5</w:t>
            </w:r>
            <w:r>
              <w:rPr>
                <w:rFonts w:hint="default" w:ascii="Times New Roman" w:hAnsi="Times New Roman" w:eastAsia="宋体" w:cs="Times New Roman"/>
                <w:color w:val="auto"/>
                <w:sz w:val="24"/>
                <w:szCs w:val="24"/>
                <w:highlight w:val="none"/>
                <w:lang w:val="en-US" w:eastAsia="zh-CN" w:bidi="en-US"/>
              </w:rPr>
              <w:t>Nm</w:t>
            </w:r>
            <w:r>
              <w:rPr>
                <w:rFonts w:hint="default" w:ascii="Times New Roman" w:hAnsi="Times New Roman" w:eastAsia="宋体" w:cs="Times New Roman"/>
                <w:color w:val="auto"/>
                <w:sz w:val="24"/>
                <w:szCs w:val="24"/>
                <w:highlight w:val="none"/>
                <w:vertAlign w:val="superscript"/>
                <w:lang w:val="en-US" w:eastAsia="zh-CN" w:bidi="en-US"/>
              </w:rPr>
              <w:t>3</w:t>
            </w:r>
            <w:r>
              <w:rPr>
                <w:rFonts w:hint="default" w:ascii="Times New Roman" w:hAnsi="Times New Roman" w:eastAsia="宋体" w:cs="Times New Roman"/>
                <w:color w:val="auto"/>
                <w:sz w:val="24"/>
                <w:szCs w:val="24"/>
                <w:highlight w:val="none"/>
                <w:lang w:val="en-US" w:eastAsia="zh-CN" w:bidi="en-US"/>
              </w:rPr>
              <w:t>/a，</w:t>
            </w:r>
            <w:r>
              <w:rPr>
                <w:rFonts w:hint="eastAsia" w:ascii="Times New Roman" w:hAnsi="Times New Roman" w:eastAsia="宋体" w:cs="Times New Roman"/>
                <w:color w:val="auto"/>
                <w:sz w:val="24"/>
                <w:szCs w:val="24"/>
                <w:highlight w:val="none"/>
                <w:lang w:val="en-US" w:eastAsia="zh-CN" w:bidi="en-US"/>
              </w:rPr>
              <w:t>2424.4</w:t>
            </w:r>
            <w:r>
              <w:rPr>
                <w:rFonts w:hint="default" w:ascii="Times New Roman" w:hAnsi="Times New Roman" w:eastAsia="宋体" w:cs="Times New Roman"/>
                <w:color w:val="auto"/>
                <w:sz w:val="24"/>
                <w:szCs w:val="24"/>
                <w:highlight w:val="none"/>
                <w:lang w:val="en-US" w:eastAsia="zh-CN" w:bidi="en-US"/>
              </w:rPr>
              <w:t>Nm</w:t>
            </w:r>
            <w:r>
              <w:rPr>
                <w:rFonts w:hint="default" w:ascii="Times New Roman" w:hAnsi="Times New Roman" w:eastAsia="宋体" w:cs="Times New Roman"/>
                <w:color w:val="auto"/>
                <w:sz w:val="24"/>
                <w:szCs w:val="24"/>
                <w:highlight w:val="none"/>
                <w:vertAlign w:val="superscript"/>
                <w:lang w:val="en-US" w:eastAsia="zh-CN" w:bidi="en-US"/>
              </w:rPr>
              <w:t>3</w:t>
            </w:r>
            <w:r>
              <w:rPr>
                <w:rFonts w:hint="default" w:ascii="Times New Roman" w:hAnsi="Times New Roman" w:eastAsia="宋体" w:cs="Times New Roman"/>
                <w:color w:val="auto"/>
                <w:sz w:val="24"/>
                <w:szCs w:val="24"/>
                <w:highlight w:val="none"/>
                <w:lang w:val="en-US" w:eastAsia="zh-CN" w:bidi="en-US"/>
              </w:rPr>
              <w:t>/h</w:t>
            </w:r>
            <w:r>
              <w:rPr>
                <w:rFonts w:hint="eastAsia" w:ascii="Times New Roman" w:hAnsi="Times New Roman" w:eastAsia="宋体" w:cs="Times New Roman"/>
                <w:color w:val="auto"/>
                <w:sz w:val="24"/>
                <w:szCs w:val="24"/>
                <w:highlight w:val="none"/>
                <w:lang w:val="en-US" w:eastAsia="zh-CN" w:bidi="en-US"/>
              </w:rPr>
              <w:t>；</w:t>
            </w:r>
            <w:r>
              <w:rPr>
                <w:rFonts w:hint="eastAsia" w:cs="Times New Roman"/>
                <w:color w:val="auto"/>
                <w:sz w:val="24"/>
                <w:szCs w:val="24"/>
                <w:highlight w:val="none"/>
                <w:lang w:val="en-US" w:eastAsia="zh-CN" w:bidi="en-US"/>
              </w:rPr>
              <w:t>2#锅炉房</w:t>
            </w:r>
            <w:r>
              <w:rPr>
                <w:rFonts w:hint="default" w:ascii="Times New Roman" w:hAnsi="Times New Roman" w:eastAsia="宋体" w:cs="Times New Roman"/>
                <w:color w:val="auto"/>
                <w:sz w:val="24"/>
                <w:szCs w:val="24"/>
                <w:highlight w:val="none"/>
                <w:lang w:val="en-US" w:eastAsia="zh-CN" w:bidi="en-US"/>
              </w:rPr>
              <w:t>烟气量为</w:t>
            </w:r>
            <w:r>
              <w:rPr>
                <w:rFonts w:hint="eastAsia" w:ascii="Times New Roman" w:hAnsi="Times New Roman" w:eastAsia="宋体" w:cs="Times New Roman"/>
                <w:color w:val="auto"/>
                <w:sz w:val="24"/>
                <w:szCs w:val="24"/>
                <w:highlight w:val="none"/>
                <w:lang w:val="en-US" w:eastAsia="zh-CN" w:bidi="en-US"/>
              </w:rPr>
              <w:t>3232590</w:t>
            </w:r>
            <w:r>
              <w:rPr>
                <w:rFonts w:hint="default" w:ascii="Times New Roman" w:hAnsi="Times New Roman" w:eastAsia="宋体" w:cs="Times New Roman"/>
                <w:color w:val="auto"/>
                <w:sz w:val="24"/>
                <w:szCs w:val="24"/>
                <w:highlight w:val="none"/>
                <w:lang w:val="en-US" w:eastAsia="zh-CN" w:bidi="en-US"/>
              </w:rPr>
              <w:t>Nm</w:t>
            </w:r>
            <w:r>
              <w:rPr>
                <w:rFonts w:hint="default" w:ascii="Times New Roman" w:hAnsi="Times New Roman" w:eastAsia="宋体" w:cs="Times New Roman"/>
                <w:color w:val="auto"/>
                <w:sz w:val="24"/>
                <w:szCs w:val="24"/>
                <w:highlight w:val="none"/>
                <w:vertAlign w:val="superscript"/>
                <w:lang w:val="en-US" w:eastAsia="zh-CN" w:bidi="en-US"/>
              </w:rPr>
              <w:t>3</w:t>
            </w:r>
            <w:r>
              <w:rPr>
                <w:rFonts w:hint="default" w:ascii="Times New Roman" w:hAnsi="Times New Roman" w:eastAsia="宋体" w:cs="Times New Roman"/>
                <w:color w:val="auto"/>
                <w:sz w:val="24"/>
                <w:szCs w:val="24"/>
                <w:highlight w:val="none"/>
                <w:lang w:val="en-US" w:eastAsia="zh-CN" w:bidi="en-US"/>
              </w:rPr>
              <w:t>/a</w:t>
            </w:r>
            <w:r>
              <w:rPr>
                <w:rFonts w:hint="eastAsia" w:ascii="Times New Roman" w:hAnsi="Times New Roman" w:eastAsia="宋体" w:cs="Times New Roman"/>
                <w:color w:val="auto"/>
                <w:sz w:val="24"/>
                <w:szCs w:val="24"/>
                <w:highlight w:val="none"/>
                <w:lang w:val="en-US" w:eastAsia="zh-CN" w:bidi="en-US"/>
              </w:rPr>
              <w:t>，3232.6</w:t>
            </w:r>
            <w:r>
              <w:rPr>
                <w:rFonts w:hint="default" w:ascii="Times New Roman" w:hAnsi="Times New Roman" w:eastAsia="宋体" w:cs="Times New Roman"/>
                <w:color w:val="auto"/>
                <w:sz w:val="24"/>
                <w:szCs w:val="24"/>
                <w:highlight w:val="none"/>
                <w:lang w:val="en-US" w:eastAsia="zh-CN" w:bidi="en-US"/>
              </w:rPr>
              <w:t>Nm</w:t>
            </w:r>
            <w:r>
              <w:rPr>
                <w:rFonts w:hint="default" w:ascii="Times New Roman" w:hAnsi="Times New Roman" w:eastAsia="宋体" w:cs="Times New Roman"/>
                <w:color w:val="auto"/>
                <w:sz w:val="24"/>
                <w:szCs w:val="24"/>
                <w:highlight w:val="none"/>
                <w:vertAlign w:val="superscript"/>
                <w:lang w:val="en-US" w:eastAsia="zh-CN" w:bidi="en-US"/>
              </w:rPr>
              <w:t>3</w:t>
            </w:r>
            <w:r>
              <w:rPr>
                <w:rFonts w:hint="default" w:ascii="Times New Roman" w:hAnsi="Times New Roman" w:eastAsia="宋体" w:cs="Times New Roman"/>
                <w:color w:val="auto"/>
                <w:sz w:val="24"/>
                <w:szCs w:val="24"/>
                <w:highlight w:val="none"/>
                <w:lang w:val="en-US" w:eastAsia="zh-CN" w:bidi="en-US"/>
              </w:rPr>
              <w:t>/h</w:t>
            </w:r>
            <w:r>
              <w:rPr>
                <w:rFonts w:hint="eastAsia" w:ascii="Times New Roman" w:hAnsi="Times New Roman" w:eastAsia="宋体" w:cs="Times New Roman"/>
                <w:color w:val="auto"/>
                <w:sz w:val="24"/>
                <w:szCs w:val="24"/>
                <w:highlight w:val="none"/>
                <w:lang w:val="en-US" w:eastAsia="zh-CN" w:bidi="en-US"/>
              </w:rPr>
              <w:t>；</w:t>
            </w:r>
            <w:r>
              <w:rPr>
                <w:rFonts w:hint="default" w:ascii="Times New Roman" w:hAnsi="Times New Roman" w:eastAsia="宋体" w:cs="Times New Roman"/>
                <w:color w:val="auto"/>
                <w:sz w:val="24"/>
                <w:szCs w:val="24"/>
                <w:highlight w:val="none"/>
                <w:lang w:val="en-US" w:eastAsia="zh-CN" w:bidi="en-US"/>
              </w:rPr>
              <w:t>烟气</w:t>
            </w:r>
            <w:r>
              <w:rPr>
                <w:rFonts w:hint="eastAsia" w:ascii="Times New Roman" w:hAnsi="Times New Roman" w:eastAsia="宋体" w:cs="Times New Roman"/>
                <w:color w:val="auto"/>
                <w:sz w:val="24"/>
                <w:szCs w:val="24"/>
                <w:highlight w:val="none"/>
                <w:lang w:val="en-US" w:eastAsia="zh-CN" w:bidi="en-US"/>
              </w:rPr>
              <w:t>总</w:t>
            </w:r>
            <w:r>
              <w:rPr>
                <w:rFonts w:hint="default" w:ascii="Times New Roman" w:hAnsi="Times New Roman" w:eastAsia="宋体" w:cs="Times New Roman"/>
                <w:color w:val="auto"/>
                <w:sz w:val="24"/>
                <w:szCs w:val="24"/>
                <w:highlight w:val="none"/>
                <w:lang w:val="en-US" w:eastAsia="zh-CN" w:bidi="en-US"/>
              </w:rPr>
              <w:t>量</w:t>
            </w:r>
            <w:r>
              <w:rPr>
                <w:rFonts w:hint="eastAsia" w:ascii="Times New Roman" w:hAnsi="Times New Roman" w:eastAsia="宋体" w:cs="Times New Roman"/>
                <w:color w:val="auto"/>
                <w:sz w:val="24"/>
                <w:szCs w:val="24"/>
                <w:highlight w:val="none"/>
                <w:lang w:val="en-US" w:eastAsia="zh-CN" w:bidi="en-US"/>
              </w:rPr>
              <w:t>5657032.5</w:t>
            </w:r>
            <w:r>
              <w:rPr>
                <w:rFonts w:hint="default" w:ascii="Times New Roman" w:hAnsi="Times New Roman" w:eastAsia="宋体" w:cs="Times New Roman"/>
                <w:color w:val="auto"/>
                <w:sz w:val="24"/>
                <w:szCs w:val="24"/>
                <w:highlight w:val="none"/>
                <w:lang w:val="en-US" w:eastAsia="zh-CN" w:bidi="en-US"/>
              </w:rPr>
              <w:t>Nm</w:t>
            </w:r>
            <w:r>
              <w:rPr>
                <w:rFonts w:hint="default" w:ascii="Times New Roman" w:hAnsi="Times New Roman" w:eastAsia="宋体" w:cs="Times New Roman"/>
                <w:color w:val="auto"/>
                <w:sz w:val="24"/>
                <w:szCs w:val="24"/>
                <w:highlight w:val="none"/>
                <w:vertAlign w:val="superscript"/>
                <w:lang w:val="en-US" w:eastAsia="zh-CN" w:bidi="en-US"/>
              </w:rPr>
              <w:t>3</w:t>
            </w:r>
            <w:r>
              <w:rPr>
                <w:rFonts w:hint="default" w:ascii="Times New Roman" w:hAnsi="Times New Roman" w:eastAsia="宋体" w:cs="Times New Roman"/>
                <w:color w:val="auto"/>
                <w:sz w:val="24"/>
                <w:szCs w:val="24"/>
                <w:highlight w:val="none"/>
                <w:lang w:val="en-US" w:eastAsia="zh-CN" w:bidi="en-US"/>
              </w:rPr>
              <w:t>/a，</w:t>
            </w:r>
            <w:r>
              <w:rPr>
                <w:rFonts w:hint="eastAsia" w:ascii="Times New Roman" w:hAnsi="Times New Roman" w:eastAsia="宋体" w:cs="Times New Roman"/>
                <w:color w:val="auto"/>
                <w:sz w:val="24"/>
                <w:szCs w:val="24"/>
                <w:highlight w:val="none"/>
                <w:lang w:val="en-US" w:eastAsia="zh-CN" w:bidi="en-US"/>
              </w:rPr>
              <w:t>5657.03</w:t>
            </w:r>
            <w:r>
              <w:rPr>
                <w:rFonts w:hint="default" w:ascii="Times New Roman" w:hAnsi="Times New Roman" w:eastAsia="宋体" w:cs="Times New Roman"/>
                <w:color w:val="auto"/>
                <w:sz w:val="24"/>
                <w:szCs w:val="24"/>
                <w:highlight w:val="none"/>
                <w:lang w:val="en-US" w:eastAsia="zh-CN" w:bidi="en-US"/>
              </w:rPr>
              <w:t>Nm</w:t>
            </w:r>
            <w:r>
              <w:rPr>
                <w:rFonts w:hint="default" w:ascii="Times New Roman" w:hAnsi="Times New Roman" w:eastAsia="宋体" w:cs="Times New Roman"/>
                <w:color w:val="auto"/>
                <w:sz w:val="24"/>
                <w:szCs w:val="24"/>
                <w:highlight w:val="none"/>
                <w:vertAlign w:val="superscript"/>
                <w:lang w:val="en-US" w:eastAsia="zh-CN" w:bidi="en-US"/>
              </w:rPr>
              <w:t>3</w:t>
            </w:r>
            <w:r>
              <w:rPr>
                <w:rFonts w:hint="default" w:ascii="Times New Roman" w:hAnsi="Times New Roman" w:eastAsia="宋体" w:cs="Times New Roman"/>
                <w:color w:val="auto"/>
                <w:sz w:val="24"/>
                <w:szCs w:val="24"/>
                <w:highlight w:val="none"/>
                <w:lang w:val="en-US" w:eastAsia="zh-CN" w:bidi="en-US"/>
              </w:rPr>
              <w:t>/h。</w:t>
            </w:r>
          </w:p>
          <w:p w14:paraId="403C4E2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lang w:val="en-US" w:eastAsia="zh-CN" w:bidi="en-US"/>
              </w:rPr>
            </w:pPr>
            <w:r>
              <w:rPr>
                <w:rFonts w:hint="default" w:ascii="Times New Roman" w:hAnsi="Times New Roman" w:eastAsia="宋体" w:cs="Times New Roman"/>
                <w:color w:val="auto"/>
                <w:sz w:val="24"/>
                <w:szCs w:val="24"/>
                <w:highlight w:val="none"/>
                <w:lang w:val="en-US" w:eastAsia="zh-CN" w:bidi="en-US"/>
              </w:rPr>
              <w:fldChar w:fldCharType="begin"/>
            </w:r>
            <w:r>
              <w:rPr>
                <w:rFonts w:hint="default" w:ascii="Times New Roman" w:hAnsi="Times New Roman" w:eastAsia="宋体" w:cs="Times New Roman"/>
                <w:color w:val="auto"/>
                <w:sz w:val="24"/>
                <w:szCs w:val="24"/>
                <w:highlight w:val="none"/>
                <w:lang w:val="en-US" w:eastAsia="zh-CN" w:bidi="en-US"/>
              </w:rPr>
              <w:instrText xml:space="preserve"> = 2 \* GB3 \* MERGEFORMAT </w:instrText>
            </w:r>
            <w:r>
              <w:rPr>
                <w:rFonts w:hint="default" w:ascii="Times New Roman" w:hAnsi="Times New Roman" w:eastAsia="宋体" w:cs="Times New Roman"/>
                <w:color w:val="auto"/>
                <w:sz w:val="24"/>
                <w:szCs w:val="24"/>
                <w:highlight w:val="none"/>
                <w:lang w:val="en-US" w:eastAsia="zh-CN" w:bidi="en-US"/>
              </w:rPr>
              <w:fldChar w:fldCharType="separate"/>
            </w:r>
            <w:r>
              <w:rPr>
                <w:rFonts w:hint="default" w:ascii="Times New Roman" w:hAnsi="Times New Roman" w:eastAsia="宋体" w:cs="Times New Roman"/>
                <w:color w:val="auto"/>
                <w:sz w:val="24"/>
                <w:szCs w:val="24"/>
                <w:highlight w:val="none"/>
                <w:lang w:val="en-US" w:eastAsia="zh-CN" w:bidi="en-US"/>
              </w:rPr>
              <w:t>②</w:t>
            </w:r>
            <w:r>
              <w:rPr>
                <w:rFonts w:hint="default" w:ascii="Times New Roman" w:hAnsi="Times New Roman" w:eastAsia="宋体" w:cs="Times New Roman"/>
                <w:color w:val="auto"/>
                <w:sz w:val="24"/>
                <w:szCs w:val="24"/>
                <w:highlight w:val="none"/>
                <w:lang w:val="en-US" w:eastAsia="zh-CN" w:bidi="en-US"/>
              </w:rPr>
              <w:fldChar w:fldCharType="end"/>
            </w:r>
            <w:r>
              <w:rPr>
                <w:rFonts w:hint="default" w:ascii="Times New Roman" w:hAnsi="Times New Roman" w:eastAsia="宋体" w:cs="Times New Roman"/>
                <w:color w:val="auto"/>
                <w:sz w:val="24"/>
                <w:szCs w:val="24"/>
                <w:highlight w:val="none"/>
                <w:lang w:val="en-US" w:eastAsia="zh-CN" w:bidi="en-US"/>
              </w:rPr>
              <w:t>颗粒物</w:t>
            </w:r>
          </w:p>
          <w:p w14:paraId="2AED041E">
            <w:pPr>
              <w:keepNext w:val="0"/>
              <w:keepLines/>
              <w:widowControl/>
              <w:suppressLineNumbers w:val="0"/>
              <w:spacing w:before="0" w:beforeAutospacing="0" w:after="0" w:afterAutospacing="0" w:line="360" w:lineRule="auto"/>
              <w:ind w:left="0" w:right="0" w:firstLine="480" w:firstLineChars="200"/>
              <w:rPr>
                <w:rFonts w:hint="default"/>
                <w:color w:val="auto"/>
                <w:sz w:val="24"/>
              </w:rPr>
            </w:pPr>
            <w:r>
              <w:rPr>
                <w:rFonts w:hint="default"/>
                <w:color w:val="auto"/>
                <w:sz w:val="24"/>
              </w:rPr>
              <w:t>根据《污染源源强核算技术指南</w:t>
            </w:r>
            <w:r>
              <w:rPr>
                <w:rFonts w:hint="eastAsia"/>
                <w:color w:val="auto"/>
                <w:sz w:val="24"/>
              </w:rPr>
              <w:t xml:space="preserve"> </w:t>
            </w:r>
            <w:r>
              <w:rPr>
                <w:rFonts w:hint="default"/>
                <w:color w:val="auto"/>
                <w:sz w:val="24"/>
              </w:rPr>
              <w:t>锅炉》（HJ</w:t>
            </w:r>
            <w:r>
              <w:rPr>
                <w:rFonts w:hint="eastAsia"/>
                <w:color w:val="auto"/>
                <w:sz w:val="24"/>
              </w:rPr>
              <w:t xml:space="preserve"> </w:t>
            </w:r>
            <w:r>
              <w:rPr>
                <w:rFonts w:hint="default"/>
                <w:color w:val="auto"/>
                <w:sz w:val="24"/>
              </w:rPr>
              <w:t>991-2018），颗粒物源强可采用产污系数法核算，计算公式如下：</w:t>
            </w:r>
          </w:p>
          <w:p w14:paraId="5B12E1B2">
            <w:pPr>
              <w:keepNext w:val="0"/>
              <w:keepLines/>
              <w:widowControl/>
              <w:suppressLineNumbers w:val="0"/>
              <w:spacing w:before="0" w:beforeAutospacing="0" w:after="0" w:afterAutospacing="0" w:line="360" w:lineRule="auto"/>
              <w:ind w:left="0" w:right="0" w:firstLine="480" w:firstLineChars="200"/>
              <w:jc w:val="left"/>
              <w:rPr>
                <w:rFonts w:hint="default"/>
                <w:color w:val="auto"/>
                <w:sz w:val="24"/>
              </w:rPr>
            </w:pPr>
            <w:r>
              <w:rPr>
                <w:rFonts w:hint="default"/>
                <w:color w:val="auto"/>
                <w:kern w:val="0"/>
                <w:sz w:val="24"/>
                <w:lang w:bidi="ar"/>
              </w:rPr>
              <w:t>E</w:t>
            </w:r>
            <w:r>
              <w:rPr>
                <w:rFonts w:hint="eastAsia"/>
                <w:color w:val="auto"/>
                <w:kern w:val="0"/>
                <w:sz w:val="24"/>
                <w:vertAlign w:val="subscript"/>
                <w:lang w:bidi="ar"/>
              </w:rPr>
              <w:t>j</w:t>
            </w:r>
            <w:r>
              <w:rPr>
                <w:rFonts w:hint="default"/>
                <w:color w:val="auto"/>
                <w:kern w:val="0"/>
                <w:sz w:val="24"/>
                <w:lang w:bidi="ar"/>
              </w:rPr>
              <w:t>=R×β</w:t>
            </w:r>
            <w:r>
              <w:rPr>
                <w:rFonts w:hint="eastAsia"/>
                <w:color w:val="auto"/>
                <w:kern w:val="0"/>
                <w:sz w:val="24"/>
                <w:vertAlign w:val="subscript"/>
                <w:lang w:bidi="ar"/>
              </w:rPr>
              <w:t>j</w:t>
            </w:r>
            <w:r>
              <w:rPr>
                <w:rFonts w:hint="default"/>
                <w:color w:val="auto"/>
                <w:kern w:val="0"/>
                <w:sz w:val="24"/>
                <w:lang w:bidi="ar"/>
              </w:rPr>
              <w:t>×（1-η/100）×10</w:t>
            </w:r>
            <w:r>
              <w:rPr>
                <w:rFonts w:hint="default"/>
                <w:color w:val="auto"/>
                <w:kern w:val="0"/>
                <w:sz w:val="24"/>
                <w:vertAlign w:val="superscript"/>
                <w:lang w:bidi="ar"/>
              </w:rPr>
              <w:t>-3</w:t>
            </w:r>
          </w:p>
          <w:p w14:paraId="4E75667E">
            <w:pPr>
              <w:keepNext w:val="0"/>
              <w:keepLines/>
              <w:widowControl/>
              <w:suppressLineNumbers w:val="0"/>
              <w:spacing w:before="0" w:beforeAutospacing="0" w:after="0" w:afterAutospacing="0" w:line="360" w:lineRule="auto"/>
              <w:ind w:left="0" w:right="0" w:firstLine="480" w:firstLineChars="200"/>
              <w:jc w:val="left"/>
              <w:rPr>
                <w:rFonts w:hint="default"/>
                <w:color w:val="auto"/>
                <w:sz w:val="24"/>
              </w:rPr>
            </w:pPr>
            <w:r>
              <w:rPr>
                <w:rFonts w:hint="default"/>
                <w:color w:val="auto"/>
                <w:kern w:val="0"/>
                <w:sz w:val="24"/>
                <w:lang w:bidi="ar"/>
              </w:rPr>
              <w:t>式中：E</w:t>
            </w:r>
            <w:r>
              <w:rPr>
                <w:rFonts w:hint="eastAsia"/>
                <w:color w:val="auto"/>
                <w:kern w:val="0"/>
                <w:sz w:val="24"/>
                <w:vertAlign w:val="subscript"/>
                <w:lang w:bidi="ar"/>
              </w:rPr>
              <w:t>j</w:t>
            </w:r>
            <w:r>
              <w:rPr>
                <w:rFonts w:hint="default"/>
                <w:color w:val="auto"/>
                <w:kern w:val="0"/>
                <w:sz w:val="24"/>
                <w:lang w:bidi="ar"/>
              </w:rPr>
              <w:t>—核算时段内</w:t>
            </w:r>
            <w:r>
              <w:rPr>
                <w:rFonts w:hint="eastAsia"/>
                <w:color w:val="auto"/>
                <w:kern w:val="0"/>
                <w:sz w:val="24"/>
                <w:lang w:bidi="ar"/>
              </w:rPr>
              <w:t>第j种污染物</w:t>
            </w:r>
            <w:r>
              <w:rPr>
                <w:rFonts w:hint="default"/>
                <w:color w:val="auto"/>
                <w:kern w:val="0"/>
                <w:sz w:val="24"/>
                <w:lang w:bidi="ar"/>
              </w:rPr>
              <w:t>排放量，t；</w:t>
            </w:r>
          </w:p>
          <w:p w14:paraId="3C021F62">
            <w:pPr>
              <w:keepNext w:val="0"/>
              <w:keepLines/>
              <w:widowControl/>
              <w:suppressLineNumbers w:val="0"/>
              <w:spacing w:before="0" w:beforeAutospacing="0" w:after="0" w:afterAutospacing="0" w:line="360" w:lineRule="auto"/>
              <w:ind w:left="0" w:right="0"/>
              <w:jc w:val="left"/>
              <w:rPr>
                <w:rFonts w:hint="default"/>
                <w:color w:val="auto"/>
                <w:sz w:val="24"/>
              </w:rPr>
            </w:pPr>
            <w:r>
              <w:rPr>
                <w:rFonts w:hint="default"/>
                <w:color w:val="auto"/>
                <w:kern w:val="0"/>
                <w:sz w:val="24"/>
                <w:lang w:bidi="ar"/>
              </w:rPr>
              <w:t xml:space="preserve">      R—核算时段内燃料耗量，万m</w:t>
            </w:r>
            <w:r>
              <w:rPr>
                <w:rFonts w:hint="default"/>
                <w:color w:val="auto"/>
                <w:kern w:val="0"/>
                <w:sz w:val="24"/>
                <w:vertAlign w:val="superscript"/>
                <w:lang w:bidi="ar"/>
              </w:rPr>
              <w:t>3</w:t>
            </w:r>
            <w:r>
              <w:rPr>
                <w:rFonts w:hint="default"/>
                <w:color w:val="auto"/>
                <w:kern w:val="0"/>
                <w:sz w:val="24"/>
                <w:lang w:bidi="ar"/>
              </w:rPr>
              <w:t>；</w:t>
            </w:r>
          </w:p>
          <w:p w14:paraId="653B74DE">
            <w:pPr>
              <w:keepNext w:val="0"/>
              <w:keepLines/>
              <w:widowControl/>
              <w:suppressLineNumbers w:val="0"/>
              <w:spacing w:before="0" w:beforeAutospacing="0" w:after="0" w:afterAutospacing="0" w:line="360" w:lineRule="auto"/>
              <w:ind w:left="2160" w:right="0" w:hanging="2160" w:hangingChars="900"/>
              <w:jc w:val="left"/>
              <w:rPr>
                <w:rFonts w:hint="default"/>
                <w:color w:val="auto"/>
                <w:sz w:val="24"/>
              </w:rPr>
            </w:pPr>
            <w:r>
              <w:rPr>
                <w:rFonts w:hint="default"/>
                <w:color w:val="auto"/>
                <w:kern w:val="0"/>
                <w:sz w:val="24"/>
                <w:lang w:bidi="ar"/>
              </w:rPr>
              <w:t xml:space="preserve">          β</w:t>
            </w:r>
            <w:r>
              <w:rPr>
                <w:rFonts w:hint="eastAsia"/>
                <w:color w:val="auto"/>
                <w:kern w:val="0"/>
                <w:sz w:val="24"/>
                <w:vertAlign w:val="subscript"/>
                <w:lang w:bidi="ar"/>
              </w:rPr>
              <w:t>j</w:t>
            </w:r>
            <w:r>
              <w:rPr>
                <w:rFonts w:hint="default"/>
                <w:color w:val="auto"/>
                <w:kern w:val="0"/>
                <w:sz w:val="24"/>
                <w:lang w:bidi="ar"/>
              </w:rPr>
              <w:t>—产污系数，</w:t>
            </w:r>
            <w:r>
              <w:rPr>
                <w:rFonts w:hint="eastAsia" w:ascii="宋体" w:hAnsi="宋体" w:cs="宋体"/>
                <w:color w:val="auto"/>
                <w:kern w:val="0"/>
                <w:sz w:val="24"/>
                <w:lang w:bidi="ar"/>
              </w:rPr>
              <w:t>根据《环境保护实用数据手册》，取</w:t>
            </w:r>
            <w:r>
              <w:rPr>
                <w:rFonts w:hint="default"/>
                <w:color w:val="auto"/>
                <w:kern w:val="0"/>
                <w:sz w:val="24"/>
                <w:lang w:bidi="ar"/>
              </w:rPr>
              <w:t>0.8kg/</w:t>
            </w:r>
            <w:r>
              <w:rPr>
                <w:rFonts w:hint="eastAsia" w:ascii="宋体" w:hAnsi="宋体" w:cs="宋体"/>
                <w:color w:val="auto"/>
                <w:kern w:val="0"/>
                <w:sz w:val="24"/>
                <w:lang w:bidi="ar"/>
              </w:rPr>
              <w:t>万</w:t>
            </w:r>
            <w:r>
              <w:rPr>
                <w:rFonts w:hint="default"/>
                <w:color w:val="auto"/>
                <w:kern w:val="0"/>
                <w:sz w:val="24"/>
                <w:lang w:bidi="ar"/>
              </w:rPr>
              <w:t>m</w:t>
            </w:r>
            <w:r>
              <w:rPr>
                <w:rFonts w:hint="eastAsia"/>
                <w:color w:val="auto"/>
                <w:kern w:val="0"/>
                <w:sz w:val="24"/>
                <w:vertAlign w:val="superscript"/>
                <w:lang w:bidi="ar"/>
              </w:rPr>
              <w:t>3</w:t>
            </w:r>
            <w:r>
              <w:rPr>
                <w:rFonts w:hint="eastAsia"/>
                <w:color w:val="auto"/>
                <w:kern w:val="0"/>
                <w:sz w:val="24"/>
                <w:vertAlign w:val="baseline"/>
                <w:lang w:val="en-US" w:eastAsia="zh-CN" w:bidi="ar"/>
              </w:rPr>
              <w:t>原料</w:t>
            </w:r>
            <w:r>
              <w:rPr>
                <w:rFonts w:hint="eastAsia"/>
                <w:color w:val="auto"/>
                <w:kern w:val="0"/>
                <w:sz w:val="24"/>
                <w:lang w:bidi="ar"/>
              </w:rPr>
              <w:t>；</w:t>
            </w:r>
          </w:p>
          <w:p w14:paraId="7ED1BE7B">
            <w:pPr>
              <w:keepNext w:val="0"/>
              <w:keepLines/>
              <w:widowControl/>
              <w:suppressLineNumbers w:val="0"/>
              <w:spacing w:before="0" w:beforeAutospacing="0" w:after="0" w:afterAutospacing="0" w:line="360" w:lineRule="auto"/>
              <w:ind w:left="0" w:right="0"/>
              <w:jc w:val="left"/>
              <w:rPr>
                <w:rFonts w:hint="default"/>
                <w:color w:val="auto"/>
                <w:sz w:val="24"/>
              </w:rPr>
            </w:pPr>
            <w:r>
              <w:rPr>
                <w:rFonts w:hint="default"/>
                <w:color w:val="auto"/>
                <w:kern w:val="0"/>
                <w:sz w:val="24"/>
                <w:lang w:bidi="ar"/>
              </w:rPr>
              <w:t xml:space="preserve">      η—污染物的脱除效率，%</w:t>
            </w:r>
            <w:r>
              <w:rPr>
                <w:rFonts w:hint="eastAsia"/>
                <w:color w:val="auto"/>
                <w:kern w:val="0"/>
                <w:sz w:val="24"/>
                <w:lang w:bidi="ar"/>
              </w:rPr>
              <w:t>，</w:t>
            </w:r>
            <w:r>
              <w:rPr>
                <w:rFonts w:hint="default"/>
                <w:color w:val="auto"/>
                <w:kern w:val="0"/>
                <w:sz w:val="24"/>
                <w:lang w:bidi="ar"/>
              </w:rPr>
              <w:t>本项目取0</w:t>
            </w:r>
            <w:r>
              <w:rPr>
                <w:rFonts w:hint="eastAsia"/>
                <w:color w:val="auto"/>
                <w:kern w:val="0"/>
                <w:sz w:val="24"/>
                <w:lang w:bidi="ar"/>
              </w:rPr>
              <w:t>；</w:t>
            </w:r>
          </w:p>
          <w:p w14:paraId="201473EA">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eastAsia" w:cs="Times New Roman"/>
                <w:color w:val="auto"/>
                <w:sz w:val="24"/>
                <w:szCs w:val="24"/>
                <w:highlight w:val="none"/>
                <w:lang w:val="en-US" w:eastAsia="zh-CN" w:bidi="en-US"/>
              </w:rPr>
            </w:pPr>
            <w:r>
              <w:rPr>
                <w:rFonts w:hint="default" w:ascii="Times New Roman" w:hAnsi="Times New Roman" w:eastAsia="宋体" w:cs="Times New Roman"/>
                <w:color w:val="auto"/>
                <w:sz w:val="24"/>
                <w:szCs w:val="24"/>
                <w:highlight w:val="none"/>
                <w:lang w:val="en-US" w:eastAsia="zh-CN" w:bidi="en-US"/>
              </w:rPr>
              <w:t>则项目</w:t>
            </w:r>
            <w:r>
              <w:rPr>
                <w:rFonts w:hint="eastAsia" w:cs="Times New Roman"/>
                <w:color w:val="auto"/>
                <w:sz w:val="24"/>
                <w:szCs w:val="24"/>
                <w:highlight w:val="none"/>
                <w:lang w:val="en-US" w:eastAsia="zh-CN" w:bidi="en-US"/>
              </w:rPr>
              <w:t>1#锅炉房</w:t>
            </w:r>
            <w:r>
              <w:rPr>
                <w:rFonts w:hint="default" w:ascii="Times New Roman" w:hAnsi="Times New Roman" w:eastAsia="宋体" w:cs="Times New Roman"/>
                <w:color w:val="auto"/>
                <w:sz w:val="24"/>
                <w:szCs w:val="24"/>
                <w:highlight w:val="none"/>
                <w:lang w:val="en-US" w:eastAsia="zh-CN" w:bidi="en-US"/>
              </w:rPr>
              <w:t>颗粒物产生量为</w:t>
            </w:r>
            <w:r>
              <w:rPr>
                <w:rFonts w:hint="eastAsia" w:ascii="Times New Roman" w:hAnsi="Times New Roman" w:eastAsia="宋体" w:cs="Times New Roman"/>
                <w:color w:val="auto"/>
                <w:sz w:val="24"/>
                <w:szCs w:val="24"/>
                <w:highlight w:val="none"/>
                <w:lang w:val="en-US" w:eastAsia="zh-CN" w:bidi="en-US"/>
              </w:rPr>
              <w:t>18</w:t>
            </w:r>
            <w:r>
              <w:rPr>
                <w:rFonts w:hint="default" w:ascii="Times New Roman" w:hAnsi="Times New Roman" w:eastAsia="宋体" w:cs="Times New Roman"/>
                <w:color w:val="auto"/>
                <w:sz w:val="24"/>
                <w:szCs w:val="24"/>
                <w:highlight w:val="none"/>
                <w:lang w:val="en-US" w:eastAsia="zh-CN" w:bidi="en-US"/>
              </w:rPr>
              <w:t>kg/a，产生速率为0.0</w:t>
            </w:r>
            <w:r>
              <w:rPr>
                <w:rFonts w:hint="eastAsia" w:ascii="Times New Roman" w:hAnsi="Times New Roman" w:eastAsia="宋体" w:cs="Times New Roman"/>
                <w:color w:val="auto"/>
                <w:sz w:val="24"/>
                <w:szCs w:val="24"/>
                <w:highlight w:val="none"/>
                <w:lang w:val="en-US" w:eastAsia="zh-CN" w:bidi="en-US"/>
              </w:rPr>
              <w:t>18</w:t>
            </w:r>
            <w:r>
              <w:rPr>
                <w:rFonts w:hint="default" w:ascii="Times New Roman" w:hAnsi="Times New Roman" w:eastAsia="宋体" w:cs="Times New Roman"/>
                <w:color w:val="auto"/>
                <w:sz w:val="24"/>
                <w:szCs w:val="24"/>
                <w:highlight w:val="none"/>
                <w:lang w:val="en-US" w:eastAsia="zh-CN" w:bidi="en-US"/>
              </w:rPr>
              <w:t>kg/h，产生浓度为7.</w:t>
            </w:r>
            <w:r>
              <w:rPr>
                <w:rFonts w:hint="eastAsia" w:ascii="Times New Roman" w:hAnsi="Times New Roman" w:eastAsia="宋体" w:cs="Times New Roman"/>
                <w:color w:val="auto"/>
                <w:sz w:val="24"/>
                <w:szCs w:val="24"/>
                <w:highlight w:val="none"/>
                <w:lang w:val="en-US" w:eastAsia="zh-CN" w:bidi="en-US"/>
              </w:rPr>
              <w:t>42</w:t>
            </w:r>
            <w:r>
              <w:rPr>
                <w:rFonts w:hint="default" w:ascii="Times New Roman" w:hAnsi="Times New Roman" w:eastAsia="宋体" w:cs="Times New Roman"/>
                <w:color w:val="auto"/>
                <w:sz w:val="24"/>
                <w:szCs w:val="24"/>
                <w:highlight w:val="none"/>
                <w:lang w:val="en-US" w:eastAsia="zh-CN" w:bidi="en-US"/>
              </w:rPr>
              <w:t>mg/m</w:t>
            </w:r>
            <w:r>
              <w:rPr>
                <w:rFonts w:hint="default" w:ascii="Times New Roman" w:hAnsi="Times New Roman" w:eastAsia="宋体" w:cs="Times New Roman"/>
                <w:color w:val="auto"/>
                <w:sz w:val="24"/>
                <w:szCs w:val="24"/>
                <w:highlight w:val="none"/>
                <w:vertAlign w:val="superscript"/>
                <w:lang w:val="en-US" w:eastAsia="zh-CN" w:bidi="en-US"/>
              </w:rPr>
              <w:t>3</w:t>
            </w:r>
            <w:r>
              <w:rPr>
                <w:rFonts w:hint="eastAsia" w:ascii="Times New Roman" w:hAnsi="Times New Roman" w:eastAsia="宋体" w:cs="Times New Roman"/>
                <w:color w:val="auto"/>
                <w:sz w:val="24"/>
                <w:szCs w:val="24"/>
                <w:highlight w:val="none"/>
                <w:lang w:val="en-US" w:eastAsia="zh-CN" w:bidi="en-US"/>
              </w:rPr>
              <w:t>；</w:t>
            </w:r>
            <w:r>
              <w:rPr>
                <w:rFonts w:hint="eastAsia" w:cs="Times New Roman"/>
                <w:color w:val="auto"/>
                <w:sz w:val="24"/>
                <w:szCs w:val="24"/>
                <w:highlight w:val="none"/>
                <w:lang w:val="en-US" w:eastAsia="zh-CN" w:bidi="en-US"/>
              </w:rPr>
              <w:t>2#锅炉房</w:t>
            </w:r>
            <w:r>
              <w:rPr>
                <w:rFonts w:hint="default" w:ascii="Times New Roman" w:hAnsi="Times New Roman" w:eastAsia="宋体" w:cs="Times New Roman"/>
                <w:color w:val="auto"/>
                <w:sz w:val="24"/>
                <w:szCs w:val="24"/>
                <w:highlight w:val="none"/>
                <w:lang w:val="en-US" w:eastAsia="zh-CN" w:bidi="en-US"/>
              </w:rPr>
              <w:t>颗粒物产生量为</w:t>
            </w:r>
            <w:r>
              <w:rPr>
                <w:rFonts w:hint="eastAsia" w:ascii="Times New Roman" w:hAnsi="Times New Roman" w:eastAsia="宋体" w:cs="Times New Roman"/>
                <w:color w:val="auto"/>
                <w:sz w:val="24"/>
                <w:szCs w:val="24"/>
                <w:highlight w:val="none"/>
                <w:lang w:val="en-US" w:eastAsia="zh-CN" w:bidi="en-US"/>
              </w:rPr>
              <w:t>24</w:t>
            </w:r>
            <w:r>
              <w:rPr>
                <w:rFonts w:hint="default" w:ascii="Times New Roman" w:hAnsi="Times New Roman" w:eastAsia="宋体" w:cs="Times New Roman"/>
                <w:color w:val="auto"/>
                <w:sz w:val="24"/>
                <w:szCs w:val="24"/>
                <w:highlight w:val="none"/>
                <w:lang w:val="en-US" w:eastAsia="zh-CN" w:bidi="en-US"/>
              </w:rPr>
              <w:t>kg/a，产生速率为0.0</w:t>
            </w:r>
            <w:r>
              <w:rPr>
                <w:rFonts w:hint="eastAsia" w:ascii="Times New Roman" w:hAnsi="Times New Roman" w:eastAsia="宋体" w:cs="Times New Roman"/>
                <w:color w:val="auto"/>
                <w:sz w:val="24"/>
                <w:szCs w:val="24"/>
                <w:highlight w:val="none"/>
                <w:lang w:val="en-US" w:eastAsia="zh-CN" w:bidi="en-US"/>
              </w:rPr>
              <w:t>24</w:t>
            </w:r>
            <w:r>
              <w:rPr>
                <w:rFonts w:hint="default" w:ascii="Times New Roman" w:hAnsi="Times New Roman" w:eastAsia="宋体" w:cs="Times New Roman"/>
                <w:color w:val="auto"/>
                <w:sz w:val="24"/>
                <w:szCs w:val="24"/>
                <w:highlight w:val="none"/>
                <w:lang w:val="en-US" w:eastAsia="zh-CN" w:bidi="en-US"/>
              </w:rPr>
              <w:t>kg/h，产生浓度为7.</w:t>
            </w:r>
            <w:r>
              <w:rPr>
                <w:rFonts w:hint="eastAsia" w:ascii="Times New Roman" w:hAnsi="Times New Roman" w:eastAsia="宋体" w:cs="Times New Roman"/>
                <w:color w:val="auto"/>
                <w:sz w:val="24"/>
                <w:szCs w:val="24"/>
                <w:highlight w:val="none"/>
                <w:lang w:val="en-US" w:eastAsia="zh-CN" w:bidi="en-US"/>
              </w:rPr>
              <w:t>42</w:t>
            </w:r>
            <w:r>
              <w:rPr>
                <w:rFonts w:hint="default" w:ascii="Times New Roman" w:hAnsi="Times New Roman" w:eastAsia="宋体" w:cs="Times New Roman"/>
                <w:color w:val="auto"/>
                <w:sz w:val="24"/>
                <w:szCs w:val="24"/>
                <w:highlight w:val="none"/>
                <w:lang w:val="en-US" w:eastAsia="zh-CN" w:bidi="en-US"/>
              </w:rPr>
              <w:t>mg/m</w:t>
            </w:r>
            <w:r>
              <w:rPr>
                <w:rFonts w:hint="default" w:ascii="Times New Roman" w:hAnsi="Times New Roman" w:eastAsia="宋体" w:cs="Times New Roman"/>
                <w:color w:val="auto"/>
                <w:sz w:val="24"/>
                <w:szCs w:val="24"/>
                <w:highlight w:val="none"/>
                <w:vertAlign w:val="superscript"/>
                <w:lang w:val="en-US" w:eastAsia="zh-CN" w:bidi="en-US"/>
              </w:rPr>
              <w:t>3</w:t>
            </w:r>
            <w:r>
              <w:rPr>
                <w:rFonts w:hint="default" w:ascii="Times New Roman" w:hAnsi="Times New Roman" w:eastAsia="宋体" w:cs="Times New Roman"/>
                <w:color w:val="auto"/>
                <w:sz w:val="24"/>
                <w:szCs w:val="24"/>
                <w:highlight w:val="none"/>
                <w:lang w:val="en-US" w:eastAsia="zh-CN" w:bidi="en-US"/>
              </w:rPr>
              <w:t>。</w:t>
            </w:r>
          </w:p>
          <w:p w14:paraId="02B1C138">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lang w:val="en-US" w:eastAsia="zh-CN" w:bidi="en-US"/>
              </w:rPr>
            </w:pPr>
            <w:r>
              <w:rPr>
                <w:rFonts w:hint="default" w:ascii="Times New Roman" w:hAnsi="Times New Roman" w:eastAsia="宋体" w:cs="Times New Roman"/>
                <w:color w:val="auto"/>
                <w:sz w:val="24"/>
                <w:szCs w:val="24"/>
                <w:highlight w:val="none"/>
                <w:lang w:val="en-US" w:eastAsia="zh-CN" w:bidi="en-US"/>
              </w:rPr>
              <w:fldChar w:fldCharType="begin"/>
            </w:r>
            <w:r>
              <w:rPr>
                <w:rFonts w:hint="default" w:ascii="Times New Roman" w:hAnsi="Times New Roman" w:eastAsia="宋体" w:cs="Times New Roman"/>
                <w:color w:val="auto"/>
                <w:sz w:val="24"/>
                <w:szCs w:val="24"/>
                <w:highlight w:val="none"/>
                <w:lang w:val="en-US" w:eastAsia="zh-CN" w:bidi="en-US"/>
              </w:rPr>
              <w:instrText xml:space="preserve"> = 3 \* GB3 \* MERGEFORMAT </w:instrText>
            </w:r>
            <w:r>
              <w:rPr>
                <w:rFonts w:hint="default" w:ascii="Times New Roman" w:hAnsi="Times New Roman" w:eastAsia="宋体" w:cs="Times New Roman"/>
                <w:color w:val="auto"/>
                <w:sz w:val="24"/>
                <w:szCs w:val="24"/>
                <w:highlight w:val="none"/>
                <w:lang w:val="en-US" w:eastAsia="zh-CN" w:bidi="en-US"/>
              </w:rPr>
              <w:fldChar w:fldCharType="separate"/>
            </w:r>
            <w:r>
              <w:rPr>
                <w:rFonts w:hint="default" w:ascii="Times New Roman" w:hAnsi="Times New Roman" w:eastAsia="宋体" w:cs="Times New Roman"/>
                <w:color w:val="auto"/>
                <w:sz w:val="24"/>
                <w:szCs w:val="24"/>
                <w:highlight w:val="none"/>
                <w:lang w:val="en-US" w:eastAsia="zh-CN" w:bidi="en-US"/>
              </w:rPr>
              <w:t>③</w:t>
            </w:r>
            <w:r>
              <w:rPr>
                <w:rFonts w:hint="default" w:ascii="Times New Roman" w:hAnsi="Times New Roman" w:eastAsia="宋体" w:cs="Times New Roman"/>
                <w:color w:val="auto"/>
                <w:sz w:val="24"/>
                <w:szCs w:val="24"/>
                <w:highlight w:val="none"/>
                <w:lang w:val="en-US" w:eastAsia="zh-CN" w:bidi="en-US"/>
              </w:rPr>
              <w:fldChar w:fldCharType="end"/>
            </w:r>
            <w:r>
              <w:rPr>
                <w:rFonts w:hint="default" w:ascii="Times New Roman" w:hAnsi="Times New Roman" w:eastAsia="宋体" w:cs="Times New Roman"/>
                <w:color w:val="auto"/>
                <w:sz w:val="24"/>
                <w:szCs w:val="24"/>
                <w:highlight w:val="none"/>
                <w:lang w:val="en-US" w:eastAsia="zh-CN" w:bidi="en-US"/>
              </w:rPr>
              <w:t>二氧化硫</w:t>
            </w:r>
          </w:p>
          <w:p w14:paraId="3634BD17">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highlight w:val="none"/>
                <w:lang w:val="en-US" w:eastAsia="zh-CN" w:bidi="en-US"/>
              </w:rPr>
            </w:pPr>
            <w:r>
              <w:rPr>
                <w:rFonts w:hint="default" w:ascii="Times New Roman" w:hAnsi="Times New Roman" w:eastAsia="宋体" w:cs="Times New Roman"/>
                <w:color w:val="auto"/>
                <w:sz w:val="24"/>
                <w:szCs w:val="24"/>
                <w:highlight w:val="none"/>
                <w:lang w:val="en-US" w:eastAsia="zh-CN" w:bidi="en-US"/>
              </w:rPr>
              <w:t>根据《污染源源强核算技术指南 锅炉》（HJ991-2018）第5.1.2条，燃气锅炉SO</w:t>
            </w:r>
            <w:r>
              <w:rPr>
                <w:rFonts w:hint="default" w:ascii="Times New Roman" w:hAnsi="Times New Roman" w:eastAsia="宋体" w:cs="Times New Roman"/>
                <w:color w:val="auto"/>
                <w:sz w:val="24"/>
                <w:szCs w:val="24"/>
                <w:highlight w:val="none"/>
                <w:vertAlign w:val="subscript"/>
                <w:lang w:val="en-US" w:eastAsia="zh-CN" w:bidi="en-US"/>
              </w:rPr>
              <w:t>2</w:t>
            </w:r>
            <w:r>
              <w:rPr>
                <w:rFonts w:hint="default" w:ascii="Times New Roman" w:hAnsi="Times New Roman" w:eastAsia="宋体" w:cs="Times New Roman"/>
                <w:color w:val="auto"/>
                <w:sz w:val="24"/>
                <w:szCs w:val="24"/>
                <w:highlight w:val="none"/>
                <w:lang w:val="en-US" w:eastAsia="zh-CN" w:bidi="en-US"/>
              </w:rPr>
              <w:t>排放量按照下式计算。</w:t>
            </w:r>
          </w:p>
          <w:p w14:paraId="78C94355">
            <w:pPr>
              <w:keepNext w:val="0"/>
              <w:keepLines w:val="0"/>
              <w:suppressLineNumbers w:val="0"/>
              <w:spacing w:before="0" w:beforeAutospacing="0" w:after="0" w:afterAutospacing="0"/>
              <w:ind w:left="0" w:right="0"/>
              <w:jc w:val="both"/>
              <w:rPr>
                <w:rFonts w:hint="default" w:ascii="Times New Roman" w:hAnsi="Times New Roman" w:cs="Times New Roman"/>
                <w:color w:val="auto"/>
                <w:sz w:val="24"/>
                <w:highlight w:val="none"/>
              </w:rPr>
            </w:pPr>
            <w:r>
              <w:rPr>
                <w:rFonts w:hint="default"/>
                <w:color w:val="auto"/>
              </w:rPr>
              <w:drawing>
                <wp:inline distT="0" distB="0" distL="114300" distR="114300">
                  <wp:extent cx="2045335" cy="388620"/>
                  <wp:effectExtent l="0" t="0" r="12065" b="11430"/>
                  <wp:docPr id="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1"/>
                          <pic:cNvPicPr>
                            <a:picLocks noChangeAspect="1"/>
                          </pic:cNvPicPr>
                        </pic:nvPicPr>
                        <pic:blipFill>
                          <a:blip r:embed="rId30"/>
                          <a:stretch>
                            <a:fillRect/>
                          </a:stretch>
                        </pic:blipFill>
                        <pic:spPr>
                          <a:xfrm>
                            <a:off x="0" y="0"/>
                            <a:ext cx="2045335" cy="388620"/>
                          </a:xfrm>
                          <a:prstGeom prst="rect">
                            <a:avLst/>
                          </a:prstGeom>
                          <a:noFill/>
                          <a:ln>
                            <a:noFill/>
                          </a:ln>
                        </pic:spPr>
                      </pic:pic>
                    </a:graphicData>
                  </a:graphic>
                </wp:inline>
              </w:drawing>
            </w:r>
          </w:p>
          <w:p w14:paraId="00B70C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式中：Eso</w:t>
            </w:r>
            <w:r>
              <w:rPr>
                <w:rFonts w:hint="default" w:ascii="Times New Roman" w:hAnsi="Times New Roman" w:cs="Times New Roman"/>
                <w:color w:val="auto"/>
                <w:sz w:val="24"/>
                <w:highlight w:val="none"/>
                <w:vertAlign w:val="subscript"/>
              </w:rPr>
              <w:t>2</w:t>
            </w:r>
            <w:r>
              <w:rPr>
                <w:rFonts w:hint="default" w:ascii="Times New Roman" w:hAnsi="Times New Roman" w:cs="Times New Roman"/>
                <w:color w:val="auto"/>
                <w:sz w:val="24"/>
                <w:highlight w:val="none"/>
              </w:rPr>
              <w:t>—核算时段内二氧化硫排放量，t；</w:t>
            </w:r>
          </w:p>
          <w:p w14:paraId="6B7AD7B6">
            <w:pPr>
              <w:keepNext w:val="0"/>
              <w:keepLines w:val="0"/>
              <w:suppressLineNumbers w:val="0"/>
              <w:spacing w:before="0" w:beforeAutospacing="0" w:after="0" w:afterAutospacing="0" w:line="480" w:lineRule="exact"/>
              <w:ind w:left="0" w:right="0" w:firstLine="720" w:firstLineChars="3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R—核算时段内锅炉燃料消耗量，万m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w:t>
            </w:r>
          </w:p>
          <w:p w14:paraId="396DDFAC">
            <w:pPr>
              <w:keepNext w:val="0"/>
              <w:keepLines w:val="0"/>
              <w:suppressLineNumbers w:val="0"/>
              <w:spacing w:before="0" w:beforeAutospacing="0" w:after="0" w:afterAutospacing="0" w:line="480" w:lineRule="exact"/>
              <w:ind w:left="0" w:right="0" w:firstLine="720" w:firstLineChars="3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S</w:t>
            </w:r>
            <w:r>
              <w:rPr>
                <w:rFonts w:hint="default" w:ascii="Times New Roman" w:hAnsi="Times New Roman" w:cs="Times New Roman"/>
                <w:color w:val="auto"/>
                <w:sz w:val="24"/>
                <w:highlight w:val="none"/>
                <w:vertAlign w:val="subscript"/>
              </w:rPr>
              <w:t>t</w:t>
            </w:r>
            <w:r>
              <w:rPr>
                <w:rFonts w:hint="default" w:ascii="Times New Roman" w:hAnsi="Times New Roman" w:cs="Times New Roman"/>
                <w:color w:val="auto"/>
                <w:sz w:val="24"/>
                <w:highlight w:val="none"/>
              </w:rPr>
              <w:t>—燃料总硫的质量浓度，mg/m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w:t>
            </w:r>
          </w:p>
          <w:p w14:paraId="2D8ACA88">
            <w:pPr>
              <w:keepNext w:val="0"/>
              <w:keepLines w:val="0"/>
              <w:suppressLineNumbers w:val="0"/>
              <w:spacing w:before="0" w:beforeAutospacing="0" w:after="0" w:afterAutospacing="0" w:line="480" w:lineRule="exact"/>
              <w:ind w:left="0" w:right="0" w:firstLine="720" w:firstLineChars="30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rPr>
              <w:t>参照国家标准《天然气》（GB17820-2018），一类天然气总硫（以硫计）&lt;20mg</w:t>
            </w:r>
            <w:r>
              <w:rPr>
                <w:rFonts w:hint="default"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lang w:val="en-US" w:eastAsia="zh-CN"/>
              </w:rPr>
              <w:t>3</w:t>
            </w:r>
            <w:r>
              <w:rPr>
                <w:rFonts w:hint="default" w:ascii="Times New Roman" w:hAnsi="Times New Roman" w:cs="Times New Roman"/>
                <w:color w:val="auto"/>
                <w:sz w:val="24"/>
                <w:highlight w:val="none"/>
                <w:lang w:eastAsia="zh-CN"/>
              </w:rPr>
              <w:t>；</w:t>
            </w:r>
          </w:p>
          <w:p w14:paraId="7DEA2994">
            <w:pPr>
              <w:keepNext w:val="0"/>
              <w:keepLines w:val="0"/>
              <w:suppressLineNumbers w:val="0"/>
              <w:spacing w:before="0" w:beforeAutospacing="0" w:after="0" w:afterAutospacing="0" w:line="480" w:lineRule="exact"/>
              <w:ind w:left="0" w:right="0" w:firstLine="720" w:firstLineChars="3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η</w:t>
            </w:r>
            <w:r>
              <w:rPr>
                <w:rFonts w:hint="default" w:ascii="Times New Roman" w:hAnsi="Times New Roman" w:cs="Times New Roman"/>
                <w:color w:val="auto"/>
                <w:sz w:val="24"/>
                <w:highlight w:val="none"/>
                <w:vertAlign w:val="subscript"/>
              </w:rPr>
              <w:t>s</w:t>
            </w:r>
            <w:r>
              <w:rPr>
                <w:rFonts w:hint="default" w:ascii="Times New Roman" w:hAnsi="Times New Roman" w:cs="Times New Roman"/>
                <w:color w:val="auto"/>
                <w:sz w:val="24"/>
                <w:highlight w:val="none"/>
              </w:rPr>
              <w:t>—脱硫效率，%；本次取0。</w:t>
            </w:r>
          </w:p>
          <w:p w14:paraId="2B0AC5A1">
            <w:pPr>
              <w:keepNext w:val="0"/>
              <w:keepLines w:val="0"/>
              <w:suppressLineNumbers w:val="0"/>
              <w:spacing w:before="0" w:beforeAutospacing="0" w:after="0" w:afterAutospacing="0" w:line="480" w:lineRule="exact"/>
              <w:ind w:left="0" w:right="0" w:firstLine="720" w:firstLineChars="3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K—燃料中的硫燃烧后氧化成二氧化硫的份额。根据表B.3，取1.00。</w:t>
            </w:r>
          </w:p>
          <w:p w14:paraId="66FB26DD">
            <w:pPr>
              <w:keepNext w:val="0"/>
              <w:keepLines w:val="0"/>
              <w:suppressLineNumbers w:val="0"/>
              <w:spacing w:before="0" w:beforeAutospacing="0" w:after="0" w:afterAutospacing="0" w:line="480" w:lineRule="exact"/>
              <w:ind w:left="0" w:right="0" w:firstLine="480" w:firstLineChars="200"/>
              <w:rPr>
                <w:rFonts w:hint="eastAsia" w:ascii="Times New Roman" w:hAnsi="Times New Roman" w:eastAsia="宋体" w:cs="Times New Roman"/>
                <w:color w:val="auto"/>
                <w:sz w:val="24"/>
                <w:highlight w:val="none"/>
                <w:lang w:eastAsia="zh-CN"/>
              </w:rPr>
            </w:pPr>
            <w:r>
              <w:rPr>
                <w:rFonts w:hint="default" w:ascii="Times New Roman" w:hAnsi="Times New Roman" w:cs="Times New Roman"/>
                <w:color w:val="auto"/>
                <w:sz w:val="24"/>
                <w:highlight w:val="none"/>
              </w:rPr>
              <w:t>则项目</w:t>
            </w:r>
            <w:r>
              <w:rPr>
                <w:rFonts w:hint="eastAsia" w:cs="Times New Roman"/>
                <w:color w:val="auto"/>
                <w:sz w:val="24"/>
                <w:highlight w:val="none"/>
                <w:lang w:val="en-US" w:eastAsia="zh-CN"/>
              </w:rPr>
              <w:t>1#锅炉房</w:t>
            </w:r>
            <w:r>
              <w:rPr>
                <w:rFonts w:hint="default" w:ascii="Times New Roman" w:hAnsi="Times New Roman" w:cs="Times New Roman"/>
                <w:color w:val="auto"/>
                <w:sz w:val="24"/>
                <w:highlight w:val="none"/>
              </w:rPr>
              <w:t>燃气锅炉SO</w:t>
            </w:r>
            <w:r>
              <w:rPr>
                <w:rFonts w:hint="default" w:ascii="Times New Roman" w:hAnsi="Times New Roman" w:cs="Times New Roman"/>
                <w:color w:val="auto"/>
                <w:sz w:val="24"/>
                <w:highlight w:val="none"/>
                <w:vertAlign w:val="subscript"/>
              </w:rPr>
              <w:t>2</w:t>
            </w:r>
            <w:r>
              <w:rPr>
                <w:rFonts w:hint="default" w:ascii="Times New Roman" w:hAnsi="Times New Roman" w:cs="Times New Roman"/>
                <w:color w:val="auto"/>
                <w:sz w:val="24"/>
                <w:highlight w:val="none"/>
              </w:rPr>
              <w:t>产生量为</w:t>
            </w:r>
            <w:r>
              <w:rPr>
                <w:rFonts w:hint="eastAsia" w:cs="Times New Roman"/>
                <w:color w:val="auto"/>
                <w:sz w:val="24"/>
                <w:highlight w:val="none"/>
                <w:lang w:val="en-US" w:eastAsia="zh-CN"/>
              </w:rPr>
              <w:t>9</w:t>
            </w:r>
            <w:r>
              <w:rPr>
                <w:rFonts w:hint="default" w:ascii="Times New Roman" w:hAnsi="Times New Roman" w:cs="Times New Roman"/>
                <w:color w:val="auto"/>
                <w:sz w:val="24"/>
                <w:highlight w:val="none"/>
              </w:rPr>
              <w:t>kg/a，产生速率为</w:t>
            </w:r>
            <w:r>
              <w:rPr>
                <w:rFonts w:hint="default" w:ascii="Times New Roman" w:hAnsi="Times New Roman" w:cs="Times New Roman"/>
                <w:color w:val="auto"/>
                <w:sz w:val="24"/>
                <w:highlight w:val="none"/>
                <w:lang w:val="en-US" w:eastAsia="zh-CN"/>
              </w:rPr>
              <w:t>0.0</w:t>
            </w:r>
            <w:r>
              <w:rPr>
                <w:rFonts w:hint="eastAsia" w:cs="Times New Roman"/>
                <w:color w:val="auto"/>
                <w:sz w:val="24"/>
                <w:highlight w:val="none"/>
                <w:lang w:val="en-US" w:eastAsia="zh-CN"/>
              </w:rPr>
              <w:t>09</w:t>
            </w:r>
            <w:r>
              <w:rPr>
                <w:rFonts w:hint="default" w:ascii="Times New Roman" w:hAnsi="Times New Roman" w:cs="Times New Roman"/>
                <w:color w:val="auto"/>
                <w:sz w:val="24"/>
                <w:highlight w:val="none"/>
              </w:rPr>
              <w:t>kg/h，产生浓度为</w:t>
            </w:r>
            <w:r>
              <w:rPr>
                <w:rFonts w:hint="default" w:ascii="Times New Roman" w:hAnsi="Times New Roman" w:cs="Times New Roman"/>
                <w:color w:val="auto"/>
                <w:sz w:val="24"/>
                <w:highlight w:val="none"/>
                <w:lang w:val="en-US" w:eastAsia="zh-CN"/>
              </w:rPr>
              <w:t>3.</w:t>
            </w:r>
            <w:r>
              <w:rPr>
                <w:rFonts w:hint="eastAsia" w:ascii="Times New Roman" w:hAnsi="Times New Roman" w:cs="Times New Roman"/>
                <w:color w:val="auto"/>
                <w:sz w:val="24"/>
                <w:highlight w:val="none"/>
                <w:lang w:val="en-US" w:eastAsia="zh-CN"/>
              </w:rPr>
              <w:t>71</w:t>
            </w:r>
            <w:r>
              <w:rPr>
                <w:rFonts w:hint="default" w:ascii="Times New Roman" w:hAnsi="Times New Roman" w:cs="Times New Roman"/>
                <w:color w:val="auto"/>
                <w:sz w:val="24"/>
                <w:highlight w:val="none"/>
              </w:rPr>
              <w:t>mg/m</w:t>
            </w:r>
            <w:r>
              <w:rPr>
                <w:rFonts w:hint="default" w:ascii="Times New Roman" w:hAnsi="Times New Roman" w:cs="Times New Roman"/>
                <w:color w:val="auto"/>
                <w:sz w:val="24"/>
                <w:highlight w:val="none"/>
                <w:vertAlign w:val="superscript"/>
              </w:rPr>
              <w:t>3</w:t>
            </w:r>
            <w:r>
              <w:rPr>
                <w:rFonts w:hint="eastAsia" w:cs="Times New Roman"/>
                <w:color w:val="auto"/>
                <w:sz w:val="24"/>
                <w:highlight w:val="none"/>
                <w:lang w:eastAsia="zh-CN"/>
              </w:rPr>
              <w:t>；</w:t>
            </w:r>
            <w:r>
              <w:rPr>
                <w:rFonts w:hint="eastAsia" w:cs="Times New Roman"/>
                <w:color w:val="auto"/>
                <w:sz w:val="24"/>
                <w:highlight w:val="none"/>
                <w:lang w:val="en-US" w:eastAsia="zh-CN"/>
              </w:rPr>
              <w:t>2#锅炉房</w:t>
            </w:r>
            <w:r>
              <w:rPr>
                <w:rFonts w:hint="default" w:ascii="Times New Roman" w:hAnsi="Times New Roman" w:cs="Times New Roman"/>
                <w:color w:val="auto"/>
                <w:sz w:val="24"/>
                <w:highlight w:val="none"/>
              </w:rPr>
              <w:t>燃气锅炉SO</w:t>
            </w:r>
            <w:r>
              <w:rPr>
                <w:rFonts w:hint="default" w:ascii="Times New Roman" w:hAnsi="Times New Roman" w:cs="Times New Roman"/>
                <w:color w:val="auto"/>
                <w:sz w:val="24"/>
                <w:highlight w:val="none"/>
                <w:vertAlign w:val="subscript"/>
              </w:rPr>
              <w:t>2</w:t>
            </w:r>
            <w:r>
              <w:rPr>
                <w:rFonts w:hint="default" w:ascii="Times New Roman" w:hAnsi="Times New Roman" w:cs="Times New Roman"/>
                <w:color w:val="auto"/>
                <w:sz w:val="24"/>
                <w:highlight w:val="none"/>
              </w:rPr>
              <w:t>产生量为</w:t>
            </w:r>
            <w:r>
              <w:rPr>
                <w:rFonts w:hint="eastAsia" w:ascii="Times New Roman" w:hAnsi="Times New Roman" w:cs="Times New Roman"/>
                <w:color w:val="auto"/>
                <w:sz w:val="24"/>
                <w:highlight w:val="none"/>
                <w:lang w:val="en-US" w:eastAsia="zh-CN"/>
              </w:rPr>
              <w:t>12</w:t>
            </w:r>
            <w:r>
              <w:rPr>
                <w:rFonts w:hint="default" w:ascii="Times New Roman" w:hAnsi="Times New Roman" w:cs="Times New Roman"/>
                <w:color w:val="auto"/>
                <w:sz w:val="24"/>
                <w:highlight w:val="none"/>
              </w:rPr>
              <w:t>kg/a，产生速率为</w:t>
            </w:r>
            <w:r>
              <w:rPr>
                <w:rFonts w:hint="default" w:ascii="Times New Roman" w:hAnsi="Times New Roman" w:cs="Times New Roman"/>
                <w:color w:val="auto"/>
                <w:sz w:val="24"/>
                <w:highlight w:val="none"/>
                <w:lang w:val="en-US" w:eastAsia="zh-CN"/>
              </w:rPr>
              <w:t>0.0</w:t>
            </w:r>
            <w:r>
              <w:rPr>
                <w:rFonts w:hint="eastAsia" w:ascii="Times New Roman" w:hAnsi="Times New Roman" w:cs="Times New Roman"/>
                <w:color w:val="auto"/>
                <w:sz w:val="24"/>
                <w:highlight w:val="none"/>
                <w:lang w:val="en-US" w:eastAsia="zh-CN"/>
              </w:rPr>
              <w:t>12</w:t>
            </w:r>
            <w:r>
              <w:rPr>
                <w:rFonts w:hint="default" w:ascii="Times New Roman" w:hAnsi="Times New Roman" w:cs="Times New Roman"/>
                <w:color w:val="auto"/>
                <w:sz w:val="24"/>
                <w:highlight w:val="none"/>
              </w:rPr>
              <w:t>kg/h，产生浓度为</w:t>
            </w:r>
            <w:r>
              <w:rPr>
                <w:rFonts w:hint="default" w:ascii="Times New Roman" w:hAnsi="Times New Roman" w:cs="Times New Roman"/>
                <w:color w:val="auto"/>
                <w:sz w:val="24"/>
                <w:highlight w:val="none"/>
                <w:lang w:val="en-US" w:eastAsia="zh-CN"/>
              </w:rPr>
              <w:t>3.</w:t>
            </w:r>
            <w:r>
              <w:rPr>
                <w:rFonts w:hint="eastAsia" w:ascii="Times New Roman" w:hAnsi="Times New Roman" w:cs="Times New Roman"/>
                <w:color w:val="auto"/>
                <w:sz w:val="24"/>
                <w:highlight w:val="none"/>
                <w:lang w:val="en-US" w:eastAsia="zh-CN"/>
              </w:rPr>
              <w:t>71</w:t>
            </w:r>
            <w:r>
              <w:rPr>
                <w:rFonts w:hint="default" w:ascii="Times New Roman" w:hAnsi="Times New Roman" w:cs="Times New Roman"/>
                <w:color w:val="auto"/>
                <w:sz w:val="24"/>
                <w:highlight w:val="none"/>
              </w:rPr>
              <w:t>mg/m</w:t>
            </w:r>
            <w:r>
              <w:rPr>
                <w:rFonts w:hint="default" w:ascii="Times New Roman" w:hAnsi="Times New Roman" w:cs="Times New Roman"/>
                <w:color w:val="auto"/>
                <w:sz w:val="24"/>
                <w:highlight w:val="none"/>
                <w:vertAlign w:val="superscript"/>
              </w:rPr>
              <w:t>3</w:t>
            </w:r>
            <w:r>
              <w:rPr>
                <w:rFonts w:hint="eastAsia" w:cs="Times New Roman"/>
                <w:color w:val="auto"/>
                <w:sz w:val="24"/>
                <w:highlight w:val="none"/>
                <w:lang w:eastAsia="zh-CN"/>
              </w:rPr>
              <w:t>。</w:t>
            </w:r>
          </w:p>
          <w:p w14:paraId="18820E89">
            <w:pPr>
              <w:keepNext w:val="0"/>
              <w:keepLines w:val="0"/>
              <w:suppressLineNumbers w:val="0"/>
              <w:spacing w:before="0" w:beforeAutospacing="0" w:after="0" w:afterAutospacing="0" w:line="480" w:lineRule="exact"/>
              <w:ind w:left="0" w:right="0"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 4 \* GB3 \* MERGEFORMAT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④</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t>氮氧化物</w:t>
            </w:r>
          </w:p>
          <w:p w14:paraId="2484B756">
            <w:pPr>
              <w:keepNext w:val="0"/>
              <w:keepLines w:val="0"/>
              <w:suppressLineNumbers w:val="0"/>
              <w:spacing w:before="0" w:beforeAutospacing="0" w:after="0" w:afterAutospacing="0" w:line="480" w:lineRule="exact"/>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szCs w:val="24"/>
                <w:lang w:val="en-US" w:eastAsia="zh-CN"/>
              </w:rPr>
              <w:t>根</w:t>
            </w:r>
            <w:r>
              <w:rPr>
                <w:rFonts w:hint="default" w:ascii="Times New Roman" w:hAnsi="Times New Roman" w:cs="Times New Roman"/>
                <w:color w:val="auto"/>
                <w:sz w:val="24"/>
                <w:szCs w:val="24"/>
              </w:rPr>
              <w:t>据《污染源源强</w:t>
            </w:r>
            <w:r>
              <w:rPr>
                <w:rFonts w:hint="default" w:ascii="Times New Roman" w:hAnsi="Times New Roman" w:cs="Times New Roman"/>
                <w:color w:val="auto"/>
                <w:sz w:val="24"/>
              </w:rPr>
              <w:t>核算技术指南 锅炉》（HJ991-2018）第5.1.2条“燃油、燃气锅炉氮氧化物排放量参照式（5）计算”，即参照下式。</w:t>
            </w:r>
          </w:p>
          <w:p w14:paraId="189B6C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1"/>
                <w:lang w:val="en-US" w:eastAsia="zh-CN"/>
              </w:rPr>
              <w:t xml:space="preserve">  </w:t>
            </w:r>
            <w:r>
              <w:rPr>
                <w:rFonts w:hint="default" w:ascii="Times New Roman" w:hAnsi="Times New Roman" w:cs="Times New Roman"/>
                <w:color w:val="auto"/>
                <w:sz w:val="21"/>
              </w:rPr>
              <w:drawing>
                <wp:inline distT="0" distB="0" distL="114300" distR="114300">
                  <wp:extent cx="2172970" cy="510540"/>
                  <wp:effectExtent l="0" t="0" r="17780" b="3810"/>
                  <wp:docPr id="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
                          <pic:cNvPicPr>
                            <a:picLocks noChangeAspect="1"/>
                          </pic:cNvPicPr>
                        </pic:nvPicPr>
                        <pic:blipFill>
                          <a:blip r:embed="rId31"/>
                          <a:stretch>
                            <a:fillRect/>
                          </a:stretch>
                        </pic:blipFill>
                        <pic:spPr>
                          <a:xfrm>
                            <a:off x="0" y="0"/>
                            <a:ext cx="2172970" cy="510540"/>
                          </a:xfrm>
                          <a:prstGeom prst="rect">
                            <a:avLst/>
                          </a:prstGeom>
                          <a:noFill/>
                          <a:ln>
                            <a:noFill/>
                          </a:ln>
                        </pic:spPr>
                      </pic:pic>
                    </a:graphicData>
                  </a:graphic>
                </wp:inline>
              </w:drawing>
            </w:r>
          </w:p>
          <w:p w14:paraId="37082388">
            <w:pPr>
              <w:keepNext w:val="0"/>
              <w:keepLines w:val="0"/>
              <w:suppressLineNumbers w:val="0"/>
              <w:spacing w:before="0" w:beforeAutospacing="0" w:after="0" w:afterAutospacing="0" w:line="360" w:lineRule="auto"/>
              <w:ind w:left="0" w:right="0"/>
              <w:rPr>
                <w:rFonts w:hint="default" w:ascii="Times New Roman" w:hAnsi="Times New Roman" w:cs="Times New Roman"/>
                <w:color w:val="auto"/>
                <w:sz w:val="24"/>
                <w:highlight w:val="none"/>
              </w:rPr>
            </w:pPr>
            <w:r>
              <w:rPr>
                <w:rFonts w:hint="default" w:ascii="Times New Roman" w:hAnsi="Times New Roman" w:cs="Times New Roman"/>
                <w:color w:val="auto"/>
                <w:sz w:val="24"/>
              </w:rPr>
              <w:t>式中</w:t>
            </w:r>
            <w:r>
              <w:rPr>
                <w:rFonts w:hint="default" w:ascii="Times New Roman" w:hAnsi="Times New Roman" w:cs="Times New Roman"/>
                <w:color w:val="auto"/>
                <w:sz w:val="24"/>
                <w:highlight w:val="none"/>
              </w:rPr>
              <w:t>：E</w:t>
            </w:r>
            <w:r>
              <w:rPr>
                <w:rFonts w:hint="default" w:ascii="Times New Roman" w:hAnsi="Times New Roman" w:cs="Times New Roman"/>
                <w:color w:val="auto"/>
                <w:sz w:val="24"/>
                <w:highlight w:val="none"/>
                <w:vertAlign w:val="subscript"/>
              </w:rPr>
              <w:t>NOx</w:t>
            </w:r>
            <w:r>
              <w:rPr>
                <w:rFonts w:hint="default" w:ascii="Times New Roman" w:hAnsi="Times New Roman" w:cs="Times New Roman"/>
                <w:color w:val="auto"/>
                <w:sz w:val="24"/>
                <w:highlight w:val="none"/>
              </w:rPr>
              <w:t>—核算时段内氮氧化物排放量，t；</w:t>
            </w:r>
          </w:p>
          <w:p w14:paraId="64488620">
            <w:pPr>
              <w:keepNext w:val="0"/>
              <w:keepLines w:val="0"/>
              <w:suppressLineNumbers w:val="0"/>
              <w:spacing w:before="0" w:beforeAutospacing="0" w:after="0" w:afterAutospacing="0" w:line="360" w:lineRule="auto"/>
              <w:ind w:left="0" w:right="0" w:firstLine="720" w:firstLineChars="3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ρ</w:t>
            </w:r>
            <w:r>
              <w:rPr>
                <w:rFonts w:hint="default" w:ascii="Times New Roman" w:hAnsi="Times New Roman" w:cs="Times New Roman"/>
                <w:color w:val="auto"/>
                <w:sz w:val="24"/>
                <w:highlight w:val="none"/>
                <w:vertAlign w:val="subscript"/>
              </w:rPr>
              <w:t>NOx</w:t>
            </w:r>
            <w:r>
              <w:rPr>
                <w:rFonts w:hint="default" w:ascii="Times New Roman" w:hAnsi="Times New Roman" w:cs="Times New Roman"/>
                <w:color w:val="auto"/>
                <w:sz w:val="24"/>
                <w:highlight w:val="none"/>
              </w:rPr>
              <w:t>—锅炉炉膛口氮氧化物质量浓度，mg/m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；本次</w:t>
            </w:r>
            <w:r>
              <w:rPr>
                <w:rFonts w:hint="eastAsia" w:ascii="Times New Roman" w:hAnsi="Times New Roman" w:cs="Times New Roman"/>
                <w:color w:val="auto"/>
                <w:sz w:val="24"/>
                <w:highlight w:val="none"/>
                <w:lang w:val="en-US" w:eastAsia="zh-CN"/>
              </w:rPr>
              <w:t>依据</w:t>
            </w:r>
            <w:r>
              <w:rPr>
                <w:rFonts w:hint="eastAsia"/>
                <w:color w:val="auto"/>
                <w:sz w:val="24"/>
                <w:lang w:val="en-US" w:eastAsia="zh-CN"/>
              </w:rPr>
              <w:t>《陕西</w:t>
            </w:r>
            <w:r>
              <w:rPr>
                <w:rFonts w:hint="eastAsia" w:ascii="Times New Roman" w:hAnsi="Times New Roman" w:eastAsia="宋体" w:cs="Times New Roman"/>
                <w:color w:val="auto"/>
                <w:sz w:val="24"/>
                <w:lang w:val="en-US" w:eastAsia="zh-CN"/>
              </w:rPr>
              <w:t>省大气污染治理专项行动方案（2023-2027年）》陕政发〔2023〕4号文中建议：即推动燃气锅炉实施低氮燃烧深度改造，鼓励企业将氮氧化物浓度控制在</w:t>
            </w:r>
            <w:r>
              <w:rPr>
                <w:rFonts w:hint="eastAsia"/>
                <w:color w:val="auto"/>
                <w:sz w:val="24"/>
                <w:lang w:val="en-US" w:eastAsia="zh-CN"/>
              </w:rPr>
              <w:t>3</w:t>
            </w:r>
            <w:r>
              <w:rPr>
                <w:rFonts w:hint="default"/>
                <w:color w:val="auto"/>
                <w:sz w:val="24"/>
              </w:rPr>
              <w:t>0mg/m</w:t>
            </w:r>
            <w:r>
              <w:rPr>
                <w:rFonts w:hint="default"/>
                <w:color w:val="auto"/>
                <w:sz w:val="24"/>
                <w:vertAlign w:val="superscript"/>
              </w:rPr>
              <w:t>3</w:t>
            </w:r>
            <w:r>
              <w:rPr>
                <w:rFonts w:hint="eastAsia"/>
                <w:color w:val="auto"/>
                <w:sz w:val="24"/>
              </w:rPr>
              <w:t>。</w:t>
            </w:r>
            <w:r>
              <w:rPr>
                <w:rFonts w:hint="eastAsia"/>
                <w:color w:val="auto"/>
                <w:sz w:val="24"/>
                <w:lang w:val="en-US" w:eastAsia="zh-CN"/>
              </w:rPr>
              <w:t>本次评价保守取值按3</w:t>
            </w:r>
            <w:r>
              <w:rPr>
                <w:rFonts w:hint="default"/>
                <w:color w:val="auto"/>
                <w:sz w:val="24"/>
              </w:rPr>
              <w:t>0mg/m</w:t>
            </w:r>
            <w:r>
              <w:rPr>
                <w:rFonts w:hint="default"/>
                <w:color w:val="auto"/>
                <w:sz w:val="24"/>
                <w:vertAlign w:val="superscript"/>
              </w:rPr>
              <w:t>3</w:t>
            </w:r>
            <w:r>
              <w:rPr>
                <w:rFonts w:hint="eastAsia"/>
                <w:color w:val="auto"/>
                <w:sz w:val="24"/>
                <w:lang w:val="en-US" w:eastAsia="zh-CN"/>
              </w:rPr>
              <w:t>计算</w:t>
            </w:r>
            <w:r>
              <w:rPr>
                <w:rFonts w:hint="default" w:ascii="Times New Roman" w:hAnsi="Times New Roman" w:cs="Times New Roman"/>
                <w:color w:val="auto"/>
                <w:sz w:val="24"/>
                <w:highlight w:val="none"/>
              </w:rPr>
              <w:t>。</w:t>
            </w:r>
          </w:p>
          <w:p w14:paraId="3EDB24A4">
            <w:pPr>
              <w:keepNext w:val="0"/>
              <w:keepLines w:val="0"/>
              <w:suppressLineNumbers w:val="0"/>
              <w:spacing w:before="0" w:beforeAutospacing="0" w:after="0" w:afterAutospacing="0" w:line="360" w:lineRule="auto"/>
              <w:ind w:left="0" w:right="0" w:firstLine="720" w:firstLineChars="3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Q—核算时段内标干烟气排放量，m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w:t>
            </w:r>
          </w:p>
          <w:p w14:paraId="5E2B0C78">
            <w:pPr>
              <w:keepNext w:val="0"/>
              <w:keepLines w:val="0"/>
              <w:suppressLineNumbers w:val="0"/>
              <w:spacing w:before="0" w:beforeAutospacing="0" w:after="0" w:afterAutospacing="0" w:line="360" w:lineRule="auto"/>
              <w:ind w:left="0" w:right="0" w:firstLine="720" w:firstLineChars="3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η</w:t>
            </w:r>
            <w:r>
              <w:rPr>
                <w:rFonts w:hint="default" w:ascii="Times New Roman" w:hAnsi="Times New Roman" w:cs="Times New Roman"/>
                <w:color w:val="auto"/>
                <w:sz w:val="24"/>
                <w:highlight w:val="none"/>
                <w:vertAlign w:val="subscript"/>
              </w:rPr>
              <w:t>NOx</w:t>
            </w:r>
            <w:r>
              <w:rPr>
                <w:rFonts w:hint="default" w:ascii="Times New Roman" w:hAnsi="Times New Roman" w:cs="Times New Roman"/>
                <w:color w:val="auto"/>
                <w:sz w:val="24"/>
                <w:highlight w:val="none"/>
              </w:rPr>
              <w:t>—脱硝效率，%</w:t>
            </w:r>
            <w:r>
              <w:rPr>
                <w:rFonts w:hint="default" w:ascii="Times New Roman" w:hAnsi="Times New Roman" w:cs="Times New Roman"/>
                <w:color w:val="auto"/>
                <w:sz w:val="24"/>
                <w:highlight w:val="none"/>
                <w:lang w:val="en-US" w:eastAsia="zh-CN"/>
              </w:rPr>
              <w:t>；</w:t>
            </w:r>
          </w:p>
          <w:p w14:paraId="53D5AF4F">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cs="Times New Roman"/>
                <w:color w:val="auto"/>
                <w:sz w:val="24"/>
                <w:highlight w:val="none"/>
              </w:rPr>
              <w:t>则项目</w:t>
            </w:r>
            <w:r>
              <w:rPr>
                <w:rFonts w:hint="eastAsia" w:cs="Times New Roman"/>
                <w:color w:val="auto"/>
                <w:sz w:val="24"/>
                <w:highlight w:val="none"/>
                <w:lang w:val="en-US" w:eastAsia="zh-CN"/>
              </w:rPr>
              <w:t>1#锅炉房</w:t>
            </w:r>
            <w:r>
              <w:rPr>
                <w:rFonts w:hint="default" w:ascii="Times New Roman" w:hAnsi="Times New Roman" w:cs="Times New Roman"/>
                <w:color w:val="auto"/>
                <w:sz w:val="24"/>
                <w:highlight w:val="none"/>
              </w:rPr>
              <w:t>燃气</w:t>
            </w:r>
            <w:r>
              <w:rPr>
                <w:rFonts w:hint="default" w:ascii="Times New Roman" w:hAnsi="Times New Roman" w:cs="Times New Roman"/>
                <w:color w:val="auto"/>
                <w:sz w:val="24"/>
                <w:highlight w:val="none"/>
                <w:lang w:val="en-US" w:eastAsia="zh-CN"/>
              </w:rPr>
              <w:t>蒸汽</w:t>
            </w:r>
            <w:r>
              <w:rPr>
                <w:rFonts w:hint="default" w:ascii="Times New Roman" w:hAnsi="Times New Roman" w:cs="Times New Roman"/>
                <w:color w:val="auto"/>
                <w:sz w:val="24"/>
                <w:highlight w:val="none"/>
              </w:rPr>
              <w:t>锅炉的NO</w:t>
            </w:r>
            <w:r>
              <w:rPr>
                <w:rFonts w:hint="default" w:ascii="Times New Roman" w:hAnsi="Times New Roman" w:cs="Times New Roman"/>
                <w:color w:val="auto"/>
                <w:sz w:val="24"/>
                <w:highlight w:val="none"/>
                <w:lang w:val="en-US" w:eastAsia="zh-CN"/>
              </w:rPr>
              <w:t>x排放</w:t>
            </w:r>
            <w:r>
              <w:rPr>
                <w:rFonts w:hint="default" w:ascii="Times New Roman" w:hAnsi="Times New Roman" w:cs="Times New Roman"/>
                <w:color w:val="auto"/>
                <w:sz w:val="24"/>
                <w:highlight w:val="none"/>
              </w:rPr>
              <w:t>量为</w:t>
            </w:r>
            <w:r>
              <w:rPr>
                <w:rFonts w:hint="eastAsia" w:cs="Times New Roman"/>
                <w:color w:val="auto"/>
                <w:sz w:val="24"/>
                <w:highlight w:val="none"/>
                <w:lang w:val="en-US" w:eastAsia="zh-CN"/>
              </w:rPr>
              <w:t>72.73</w:t>
            </w:r>
            <w:r>
              <w:rPr>
                <w:rFonts w:hint="default" w:ascii="Times New Roman" w:hAnsi="Times New Roman" w:cs="Times New Roman"/>
                <w:color w:val="auto"/>
                <w:sz w:val="24"/>
                <w:highlight w:val="none"/>
              </w:rPr>
              <w:t>kg/a，</w:t>
            </w:r>
            <w:r>
              <w:rPr>
                <w:rFonts w:hint="default" w:ascii="Times New Roman" w:hAnsi="Times New Roman" w:cs="Times New Roman"/>
                <w:color w:val="auto"/>
                <w:sz w:val="24"/>
                <w:highlight w:val="none"/>
                <w:lang w:val="en-US" w:eastAsia="zh-CN"/>
              </w:rPr>
              <w:t>排放</w:t>
            </w:r>
            <w:r>
              <w:rPr>
                <w:rFonts w:hint="default" w:ascii="Times New Roman" w:hAnsi="Times New Roman" w:cs="Times New Roman"/>
                <w:color w:val="auto"/>
                <w:sz w:val="24"/>
                <w:highlight w:val="none"/>
              </w:rPr>
              <w:t>速率为</w:t>
            </w:r>
            <w:r>
              <w:rPr>
                <w:rFonts w:hint="default" w:ascii="Times New Roman" w:hAnsi="Times New Roman" w:cs="Times New Roman"/>
                <w:color w:val="auto"/>
                <w:sz w:val="24"/>
                <w:highlight w:val="none"/>
                <w:lang w:val="en-US" w:eastAsia="zh-CN"/>
              </w:rPr>
              <w:t>0.</w:t>
            </w:r>
            <w:r>
              <w:rPr>
                <w:rFonts w:hint="eastAsia" w:cs="Times New Roman"/>
                <w:color w:val="auto"/>
                <w:sz w:val="24"/>
                <w:highlight w:val="none"/>
                <w:lang w:val="en-US" w:eastAsia="zh-CN"/>
              </w:rPr>
              <w:t>073</w:t>
            </w:r>
            <w:r>
              <w:rPr>
                <w:rFonts w:hint="default" w:ascii="Times New Roman" w:hAnsi="Times New Roman" w:cs="Times New Roman"/>
                <w:color w:val="auto"/>
                <w:sz w:val="24"/>
                <w:highlight w:val="none"/>
              </w:rPr>
              <w:t>kg/h，</w:t>
            </w:r>
            <w:r>
              <w:rPr>
                <w:rFonts w:hint="default" w:ascii="Times New Roman" w:hAnsi="Times New Roman" w:cs="Times New Roman"/>
                <w:color w:val="auto"/>
                <w:sz w:val="24"/>
                <w:highlight w:val="none"/>
                <w:lang w:val="en-US" w:eastAsia="zh-CN"/>
              </w:rPr>
              <w:t>排放</w:t>
            </w:r>
            <w:r>
              <w:rPr>
                <w:rFonts w:hint="default" w:ascii="Times New Roman" w:hAnsi="Times New Roman" w:cs="Times New Roman"/>
                <w:color w:val="auto"/>
                <w:sz w:val="24"/>
                <w:highlight w:val="none"/>
              </w:rPr>
              <w:t>浓度为</w:t>
            </w:r>
            <w:r>
              <w:rPr>
                <w:rFonts w:hint="eastAsia" w:ascii="Times New Roman" w:hAnsi="Times New Roman" w:cs="Times New Roman"/>
                <w:color w:val="auto"/>
                <w:sz w:val="24"/>
                <w:highlight w:val="none"/>
                <w:lang w:val="en-US" w:eastAsia="zh-CN"/>
              </w:rPr>
              <w:t>30</w:t>
            </w:r>
            <w:r>
              <w:rPr>
                <w:rFonts w:hint="default" w:ascii="Times New Roman" w:hAnsi="Times New Roman" w:cs="Times New Roman"/>
                <w:color w:val="auto"/>
                <w:sz w:val="24"/>
                <w:highlight w:val="none"/>
              </w:rPr>
              <w:t>mg/m</w:t>
            </w:r>
            <w:r>
              <w:rPr>
                <w:rFonts w:hint="default" w:ascii="Times New Roman" w:hAnsi="Times New Roman" w:cs="Times New Roman"/>
                <w:color w:val="auto"/>
                <w:sz w:val="24"/>
                <w:highlight w:val="none"/>
                <w:vertAlign w:val="superscript"/>
              </w:rPr>
              <w:t>3</w:t>
            </w:r>
            <w:r>
              <w:rPr>
                <w:rFonts w:hint="eastAsia" w:cs="Times New Roman"/>
                <w:color w:val="auto"/>
                <w:sz w:val="24"/>
                <w:highlight w:val="none"/>
                <w:lang w:eastAsia="zh-CN"/>
              </w:rPr>
              <w:t>；</w:t>
            </w:r>
            <w:r>
              <w:rPr>
                <w:rFonts w:hint="eastAsia" w:cs="Times New Roman"/>
                <w:color w:val="auto"/>
                <w:sz w:val="24"/>
                <w:highlight w:val="none"/>
                <w:lang w:val="en-US" w:eastAsia="zh-CN"/>
              </w:rPr>
              <w:t>2#锅炉房</w:t>
            </w:r>
            <w:r>
              <w:rPr>
                <w:rFonts w:hint="default" w:ascii="Times New Roman" w:hAnsi="Times New Roman" w:cs="Times New Roman"/>
                <w:color w:val="auto"/>
                <w:sz w:val="24"/>
                <w:highlight w:val="none"/>
              </w:rPr>
              <w:t>燃气</w:t>
            </w:r>
            <w:r>
              <w:rPr>
                <w:rFonts w:hint="default" w:ascii="Times New Roman" w:hAnsi="Times New Roman" w:cs="Times New Roman"/>
                <w:color w:val="auto"/>
                <w:sz w:val="24"/>
                <w:highlight w:val="none"/>
                <w:lang w:val="en-US" w:eastAsia="zh-CN"/>
              </w:rPr>
              <w:t>蒸汽</w:t>
            </w:r>
            <w:r>
              <w:rPr>
                <w:rFonts w:hint="default" w:ascii="Times New Roman" w:hAnsi="Times New Roman" w:cs="Times New Roman"/>
                <w:color w:val="auto"/>
                <w:sz w:val="24"/>
                <w:highlight w:val="none"/>
              </w:rPr>
              <w:t>锅炉的NO</w:t>
            </w:r>
            <w:r>
              <w:rPr>
                <w:rFonts w:hint="default" w:ascii="Times New Roman" w:hAnsi="Times New Roman" w:cs="Times New Roman"/>
                <w:color w:val="auto"/>
                <w:sz w:val="24"/>
                <w:highlight w:val="none"/>
                <w:lang w:val="en-US" w:eastAsia="zh-CN"/>
              </w:rPr>
              <w:t>x排放</w:t>
            </w:r>
            <w:r>
              <w:rPr>
                <w:rFonts w:hint="default" w:ascii="Times New Roman" w:hAnsi="Times New Roman" w:cs="Times New Roman"/>
                <w:color w:val="auto"/>
                <w:sz w:val="24"/>
                <w:highlight w:val="none"/>
              </w:rPr>
              <w:t>量为</w:t>
            </w:r>
            <w:r>
              <w:rPr>
                <w:rFonts w:hint="eastAsia" w:ascii="Times New Roman" w:hAnsi="Times New Roman" w:cs="Times New Roman"/>
                <w:color w:val="auto"/>
                <w:sz w:val="24"/>
                <w:highlight w:val="none"/>
                <w:lang w:val="en-US" w:eastAsia="zh-CN"/>
              </w:rPr>
              <w:t>96.98</w:t>
            </w:r>
            <w:r>
              <w:rPr>
                <w:rFonts w:hint="default" w:ascii="Times New Roman" w:hAnsi="Times New Roman" w:cs="Times New Roman"/>
                <w:color w:val="auto"/>
                <w:sz w:val="24"/>
                <w:highlight w:val="none"/>
              </w:rPr>
              <w:t>kg/a，</w:t>
            </w:r>
            <w:r>
              <w:rPr>
                <w:rFonts w:hint="default" w:ascii="Times New Roman" w:hAnsi="Times New Roman" w:cs="Times New Roman"/>
                <w:color w:val="auto"/>
                <w:sz w:val="24"/>
                <w:highlight w:val="none"/>
                <w:lang w:val="en-US" w:eastAsia="zh-CN"/>
              </w:rPr>
              <w:t>排放</w:t>
            </w:r>
            <w:r>
              <w:rPr>
                <w:rFonts w:hint="default" w:ascii="Times New Roman" w:hAnsi="Times New Roman" w:cs="Times New Roman"/>
                <w:color w:val="auto"/>
                <w:sz w:val="24"/>
                <w:highlight w:val="none"/>
              </w:rPr>
              <w:t>速率为</w:t>
            </w:r>
            <w:r>
              <w:rPr>
                <w:rFonts w:hint="default" w:ascii="Times New Roman" w:hAnsi="Times New Roman" w:cs="Times New Roman"/>
                <w:color w:val="auto"/>
                <w:sz w:val="24"/>
                <w:highlight w:val="none"/>
                <w:lang w:val="en-US" w:eastAsia="zh-CN"/>
              </w:rPr>
              <w:t>0.</w:t>
            </w:r>
            <w:r>
              <w:rPr>
                <w:rFonts w:hint="eastAsia" w:ascii="Times New Roman" w:hAnsi="Times New Roman" w:cs="Times New Roman"/>
                <w:color w:val="auto"/>
                <w:sz w:val="24"/>
                <w:highlight w:val="none"/>
                <w:lang w:val="en-US" w:eastAsia="zh-CN"/>
              </w:rPr>
              <w:t>097</w:t>
            </w:r>
            <w:r>
              <w:rPr>
                <w:rFonts w:hint="default" w:ascii="Times New Roman" w:hAnsi="Times New Roman" w:cs="Times New Roman"/>
                <w:color w:val="auto"/>
                <w:sz w:val="24"/>
                <w:highlight w:val="none"/>
              </w:rPr>
              <w:t>kg/h，</w:t>
            </w:r>
            <w:r>
              <w:rPr>
                <w:rFonts w:hint="default" w:ascii="Times New Roman" w:hAnsi="Times New Roman" w:cs="Times New Roman"/>
                <w:color w:val="auto"/>
                <w:sz w:val="24"/>
                <w:highlight w:val="none"/>
                <w:lang w:val="en-US" w:eastAsia="zh-CN"/>
              </w:rPr>
              <w:t>排放</w:t>
            </w:r>
            <w:r>
              <w:rPr>
                <w:rFonts w:hint="default" w:ascii="Times New Roman" w:hAnsi="Times New Roman" w:cs="Times New Roman"/>
                <w:color w:val="auto"/>
                <w:sz w:val="24"/>
                <w:highlight w:val="none"/>
              </w:rPr>
              <w:t>浓度为</w:t>
            </w:r>
            <w:r>
              <w:rPr>
                <w:rFonts w:hint="eastAsia" w:ascii="Times New Roman" w:hAnsi="Times New Roman" w:cs="Times New Roman"/>
                <w:color w:val="auto"/>
                <w:sz w:val="24"/>
                <w:highlight w:val="none"/>
                <w:lang w:val="en-US" w:eastAsia="zh-CN"/>
              </w:rPr>
              <w:t>30</w:t>
            </w:r>
            <w:r>
              <w:rPr>
                <w:rFonts w:hint="default" w:ascii="Times New Roman" w:hAnsi="Times New Roman" w:cs="Times New Roman"/>
                <w:color w:val="auto"/>
                <w:sz w:val="24"/>
                <w:highlight w:val="none"/>
              </w:rPr>
              <w:t>mg/m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lang w:eastAsia="zh-CN"/>
              </w:rPr>
              <w:t>。</w:t>
            </w:r>
          </w:p>
          <w:p w14:paraId="6415159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Cs/>
                <w:color w:val="auto"/>
                <w:sz w:val="24"/>
                <w:lang w:val="en-US" w:eastAsia="zh-CN"/>
              </w:rPr>
            </w:pPr>
            <w:r>
              <w:rPr>
                <w:rFonts w:hint="default" w:ascii="Times New Roman" w:hAnsi="Times New Roman" w:cs="Times New Roman"/>
                <w:bCs/>
                <w:color w:val="auto"/>
                <w:sz w:val="24"/>
                <w:lang w:val="en-US" w:eastAsia="zh-CN"/>
              </w:rPr>
              <w:t>（2）油烟废气</w:t>
            </w:r>
          </w:p>
          <w:p w14:paraId="7C49FAC2">
            <w:pPr>
              <w:pStyle w:val="196"/>
              <w:keepNext w:val="0"/>
              <w:keepLines w:val="0"/>
              <w:suppressLineNumbers w:val="0"/>
              <w:spacing w:before="0" w:beforeAutospacing="0" w:afterAutospacing="0"/>
              <w:ind w:left="0" w:right="0" w:firstLine="480"/>
              <w:rPr>
                <w:rFonts w:hint="eastAsia" w:ascii="Times New Roman" w:hAnsi="Times New Roman" w:cs="Times New Roman"/>
                <w:color w:val="auto"/>
                <w:sz w:val="24"/>
                <w:szCs w:val="24"/>
                <w:highlight w:val="none"/>
                <w:lang w:val="en-US" w:eastAsia="zh-CN"/>
              </w:rPr>
            </w:pPr>
            <w:r>
              <w:rPr>
                <w:rFonts w:hint="default" w:ascii="Times New Roman" w:hAnsi="Times New Roman" w:cs="Times New Roman"/>
                <w:color w:val="auto"/>
                <w:lang w:eastAsia="zh-CN"/>
              </w:rPr>
              <w:t>油烟废气是食用油及食品在高温下产生的挥发物及其冷凝气溶胶、水汽和室内含尘气体的混合物。其成分较为复杂，含有饱和脂肪酸、不饱和脂肪酸和氧化列解后生成的醛、酮、醇等有刺激性味道的物质和灰尘水汽等。根据类比调查，不同的炒、炸、煎等烹饪工况，油烟中的烟气浓度及油的挥发量均有所不同，</w:t>
            </w:r>
            <w:r>
              <w:rPr>
                <w:rFonts w:hint="default"/>
                <w:color w:val="auto"/>
                <w:highlight w:val="none"/>
              </w:rPr>
              <w:t>食用油挥发量一般为用油量的1%~3%，本</w:t>
            </w:r>
            <w:r>
              <w:rPr>
                <w:rFonts w:hint="eastAsia"/>
                <w:color w:val="auto"/>
                <w:highlight w:val="none"/>
                <w:lang w:val="en-US" w:eastAsia="zh-CN"/>
              </w:rPr>
              <w:t>次</w:t>
            </w:r>
            <w:r>
              <w:rPr>
                <w:rFonts w:hint="default"/>
                <w:color w:val="auto"/>
                <w:highlight w:val="none"/>
              </w:rPr>
              <w:t>以2.83%计</w:t>
            </w:r>
            <w:r>
              <w:rPr>
                <w:rFonts w:hint="default" w:ascii="Times New Roman" w:hAnsi="Times New Roman" w:cs="Times New Roman"/>
                <w:color w:val="auto"/>
                <w:lang w:eastAsia="zh-CN"/>
              </w:rPr>
              <w:t>。本项目年耗油量为</w:t>
            </w:r>
            <w:r>
              <w:rPr>
                <w:rFonts w:hint="eastAsia" w:ascii="Times New Roman" w:hAnsi="Times New Roman" w:cs="Times New Roman"/>
                <w:color w:val="auto"/>
                <w:lang w:val="en-US" w:eastAsia="zh-CN"/>
              </w:rPr>
              <w:t>50</w:t>
            </w:r>
            <w:r>
              <w:rPr>
                <w:rFonts w:hint="default" w:ascii="Times New Roman" w:hAnsi="Times New Roman" w:cs="Times New Roman"/>
                <w:color w:val="auto"/>
                <w:lang w:eastAsia="zh-CN"/>
              </w:rPr>
              <w:t>t，则本项目油烟产生量约为1</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415</w:t>
            </w:r>
            <w:r>
              <w:rPr>
                <w:rFonts w:hint="default" w:ascii="Times New Roman" w:hAnsi="Times New Roman" w:cs="Times New Roman"/>
                <w:color w:val="auto"/>
                <w:lang w:eastAsia="zh-CN"/>
              </w:rPr>
              <w:t>t/a，年工作</w:t>
            </w:r>
            <w:r>
              <w:rPr>
                <w:rFonts w:hint="default" w:ascii="Times New Roman" w:hAnsi="Times New Roman" w:cs="Times New Roman"/>
                <w:color w:val="auto"/>
                <w:lang w:val="en-US" w:eastAsia="zh-CN"/>
              </w:rPr>
              <w:t>200</w:t>
            </w:r>
            <w:r>
              <w:rPr>
                <w:rFonts w:hint="default" w:ascii="Times New Roman" w:hAnsi="Times New Roman" w:cs="Times New Roman"/>
                <w:color w:val="auto"/>
                <w:lang w:eastAsia="zh-CN"/>
              </w:rPr>
              <w:t>天，</w:t>
            </w:r>
            <w:r>
              <w:rPr>
                <w:rFonts w:hint="default" w:ascii="Times New Roman" w:hAnsi="Times New Roman" w:cs="Times New Roman"/>
                <w:color w:val="auto"/>
                <w:highlight w:val="none"/>
                <w:lang w:eastAsia="zh-CN"/>
              </w:rPr>
              <w:t>每日</w:t>
            </w:r>
            <w:r>
              <w:rPr>
                <w:rFonts w:hint="eastAsia" w:ascii="Times New Roman" w:hAnsi="Times New Roman" w:cs="Times New Roman"/>
                <w:color w:val="auto"/>
                <w:highlight w:val="none"/>
                <w:lang w:val="en-US" w:eastAsia="zh-CN"/>
              </w:rPr>
              <w:t>炒制</w:t>
            </w:r>
            <w:r>
              <w:rPr>
                <w:rFonts w:hint="eastAsia" w:cs="Times New Roman"/>
                <w:color w:val="auto"/>
                <w:highlight w:val="none"/>
                <w:lang w:val="en-US" w:eastAsia="zh-CN"/>
              </w:rPr>
              <w:t>8</w:t>
            </w:r>
            <w:r>
              <w:rPr>
                <w:rFonts w:hint="default" w:ascii="Times New Roman" w:hAnsi="Times New Roman" w:cs="Times New Roman"/>
                <w:color w:val="auto"/>
                <w:highlight w:val="none"/>
                <w:lang w:eastAsia="zh-CN"/>
              </w:rPr>
              <w:t>小时</w:t>
            </w:r>
            <w:r>
              <w:rPr>
                <w:rFonts w:hint="eastAsia" w:cs="Times New Roman"/>
                <w:color w:val="auto"/>
                <w:highlight w:val="none"/>
                <w:lang w:eastAsia="zh-CN"/>
              </w:rPr>
              <w:t>、</w:t>
            </w:r>
            <w:r>
              <w:rPr>
                <w:rFonts w:hint="eastAsia" w:cs="Times New Roman"/>
                <w:color w:val="auto"/>
                <w:highlight w:val="none"/>
                <w:lang w:val="en-US" w:eastAsia="zh-CN"/>
              </w:rPr>
              <w:t>烘焙4h，共12h</w:t>
            </w:r>
            <w:r>
              <w:rPr>
                <w:rFonts w:hint="default" w:ascii="Times New Roman" w:hAnsi="Times New Roman" w:cs="Times New Roman"/>
                <w:color w:val="auto"/>
                <w:highlight w:val="none"/>
                <w:lang w:eastAsia="zh-CN"/>
              </w:rPr>
              <w:t>计，则项目油烟产生速率为</w:t>
            </w:r>
            <w:r>
              <w:rPr>
                <w:rFonts w:hint="eastAsia" w:cs="Times New Roman"/>
                <w:color w:val="auto"/>
                <w:highlight w:val="none"/>
                <w:lang w:val="en-US" w:eastAsia="zh-CN"/>
              </w:rPr>
              <w:t>0.59</w:t>
            </w:r>
            <w:r>
              <w:rPr>
                <w:rFonts w:hint="default" w:ascii="Times New Roman" w:hAnsi="Times New Roman" w:cs="Times New Roman"/>
                <w:color w:val="auto"/>
                <w:highlight w:val="none"/>
                <w:lang w:eastAsia="zh-CN"/>
              </w:rPr>
              <w:t>kg/h</w:t>
            </w:r>
            <w:r>
              <w:rPr>
                <w:rFonts w:hint="eastAsia" w:cs="Times New Roman"/>
                <w:color w:val="auto"/>
                <w:highlight w:val="none"/>
                <w:lang w:eastAsia="zh-CN"/>
              </w:rPr>
              <w:t>，</w:t>
            </w:r>
            <w:r>
              <w:rPr>
                <w:rFonts w:hint="eastAsia" w:cs="Times New Roman"/>
                <w:color w:val="auto"/>
                <w:highlight w:val="none"/>
                <w:lang w:val="en-US" w:eastAsia="zh-CN"/>
              </w:rPr>
              <w:t>产生</w:t>
            </w:r>
            <w:r>
              <w:rPr>
                <w:rFonts w:hint="default" w:ascii="Times New Roman" w:hAnsi="Times New Roman" w:cs="Times New Roman"/>
                <w:color w:val="auto"/>
                <w:highlight w:val="none"/>
                <w:lang w:eastAsia="zh-CN"/>
              </w:rPr>
              <w:t>浓度为</w:t>
            </w:r>
            <w:r>
              <w:rPr>
                <w:rFonts w:hint="eastAsia" w:cs="Times New Roman"/>
                <w:color w:val="auto"/>
                <w:highlight w:val="none"/>
                <w:lang w:val="en-US" w:eastAsia="zh-CN"/>
              </w:rPr>
              <w:t>11.79</w:t>
            </w:r>
            <w:r>
              <w:rPr>
                <w:rFonts w:hint="default" w:ascii="Times New Roman" w:hAnsi="Times New Roman" w:cs="Times New Roman"/>
                <w:color w:val="auto"/>
                <w:highlight w:val="none"/>
                <w:lang w:eastAsia="zh-CN"/>
              </w:rPr>
              <w:t>mg/m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项目设置</w:t>
            </w:r>
            <w:r>
              <w:rPr>
                <w:rFonts w:hint="eastAsia" w:cs="Times New Roman"/>
                <w:color w:val="auto"/>
                <w:highlight w:val="none"/>
                <w:lang w:val="en-US" w:eastAsia="zh-CN"/>
              </w:rPr>
              <w:t>6</w:t>
            </w:r>
            <w:r>
              <w:rPr>
                <w:rFonts w:hint="default" w:ascii="Times New Roman" w:hAnsi="Times New Roman" w:cs="Times New Roman"/>
                <w:color w:val="auto"/>
                <w:highlight w:val="none"/>
                <w:lang w:val="en-US" w:eastAsia="zh-CN"/>
              </w:rPr>
              <w:t>个灶头</w:t>
            </w:r>
            <w:r>
              <w:rPr>
                <w:rFonts w:hint="eastAsia" w:cs="Times New Roman"/>
                <w:color w:val="auto"/>
                <w:highlight w:val="none"/>
                <w:lang w:val="en-US" w:eastAsia="zh-CN"/>
              </w:rPr>
              <w:t>，为大型规模</w:t>
            </w:r>
            <w:r>
              <w:rPr>
                <w:rFonts w:hint="default" w:ascii="Times New Roman" w:hAnsi="Times New Roman" w:cs="Times New Roman"/>
                <w:color w:val="auto"/>
                <w:highlight w:val="none"/>
                <w:lang w:val="en-US" w:eastAsia="zh-CN"/>
              </w:rPr>
              <w:t>，</w:t>
            </w:r>
            <w:r>
              <w:rPr>
                <w:rFonts w:hint="default" w:ascii="Times New Roman" w:hAnsi="Times New Roman" w:cs="Times New Roman"/>
                <w:color w:val="auto"/>
                <w:highlight w:val="none"/>
                <w:lang w:eastAsia="zh-CN"/>
              </w:rPr>
              <w:t>环评要求安装处理效率不低于</w:t>
            </w:r>
            <w:r>
              <w:rPr>
                <w:rFonts w:hint="eastAsia" w:ascii="Times New Roman" w:hAnsi="Times New Roman" w:cs="Times New Roman"/>
                <w:color w:val="auto"/>
                <w:highlight w:val="none"/>
                <w:lang w:val="en-US" w:eastAsia="zh-CN"/>
              </w:rPr>
              <w:t>8</w:t>
            </w:r>
            <w:r>
              <w:rPr>
                <w:rFonts w:hint="default" w:ascii="Times New Roman" w:hAnsi="Times New Roman" w:cs="Times New Roman"/>
                <w:color w:val="auto"/>
                <w:highlight w:val="none"/>
                <w:lang w:val="en-US" w:eastAsia="zh-CN"/>
              </w:rPr>
              <w:t>5</w:t>
            </w:r>
            <w:r>
              <w:rPr>
                <w:rFonts w:hint="default" w:ascii="Times New Roman" w:hAnsi="Times New Roman" w:cs="Times New Roman"/>
                <w:color w:val="auto"/>
                <w:highlight w:val="none"/>
                <w:lang w:eastAsia="zh-CN"/>
              </w:rPr>
              <w:t>%的</w:t>
            </w:r>
            <w:r>
              <w:rPr>
                <w:rFonts w:hint="eastAsia" w:ascii="Times New Roman" w:hAnsi="Times New Roman" w:cs="Times New Roman"/>
                <w:color w:val="auto"/>
                <w:highlight w:val="none"/>
                <w:lang w:val="en-US" w:eastAsia="zh-CN"/>
              </w:rPr>
              <w:t>高效型静电式</w:t>
            </w:r>
            <w:r>
              <w:rPr>
                <w:rFonts w:hint="default" w:ascii="Times New Roman" w:hAnsi="Times New Roman" w:cs="Times New Roman"/>
                <w:color w:val="auto"/>
                <w:highlight w:val="none"/>
                <w:lang w:eastAsia="zh-CN"/>
              </w:rPr>
              <w:t>油烟净化器</w:t>
            </w:r>
            <w:r>
              <w:rPr>
                <w:rFonts w:hint="eastAsia" w:cs="Times New Roman"/>
                <w:color w:val="auto"/>
                <w:highlight w:val="none"/>
                <w:lang w:val="en-US" w:eastAsia="zh-CN"/>
              </w:rPr>
              <w:t>1套</w:t>
            </w:r>
            <w:r>
              <w:rPr>
                <w:rFonts w:hint="default" w:ascii="Times New Roman" w:hAnsi="Times New Roman" w:cs="Times New Roman"/>
                <w:color w:val="auto"/>
                <w:highlight w:val="none"/>
                <w:lang w:eastAsia="zh-CN"/>
              </w:rPr>
              <w:t>，设计排风系统总风量</w:t>
            </w:r>
            <w:r>
              <w:rPr>
                <w:rFonts w:hint="eastAsia" w:cs="Times New Roman"/>
                <w:color w:val="auto"/>
                <w:highlight w:val="none"/>
                <w:lang w:val="en-US" w:eastAsia="zh-CN"/>
              </w:rPr>
              <w:t>50000</w:t>
            </w:r>
            <w:r>
              <w:rPr>
                <w:rFonts w:hint="default" w:ascii="Times New Roman" w:hAnsi="Times New Roman" w:cs="Times New Roman"/>
                <w:color w:val="auto"/>
                <w:highlight w:val="none"/>
                <w:lang w:eastAsia="zh-CN"/>
              </w:rPr>
              <w:t>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lang w:eastAsia="zh-CN"/>
              </w:rPr>
              <w:t>/h，其油烟排放</w:t>
            </w:r>
            <w:r>
              <w:rPr>
                <w:rFonts w:hint="eastAsia" w:ascii="Times New Roman" w:hAnsi="Times New Roman" w:cs="Times New Roman"/>
                <w:color w:val="auto"/>
                <w:highlight w:val="none"/>
                <w:lang w:val="en-US" w:eastAsia="zh-CN"/>
              </w:rPr>
              <w:t>量为0.212</w:t>
            </w:r>
            <w:r>
              <w:rPr>
                <w:rFonts w:hint="default" w:ascii="Times New Roman" w:hAnsi="Times New Roman" w:cs="Times New Roman"/>
                <w:color w:val="auto"/>
                <w:highlight w:val="none"/>
                <w:lang w:eastAsia="zh-CN"/>
              </w:rPr>
              <w:t>t/a</w:t>
            </w:r>
            <w:r>
              <w:rPr>
                <w:rFonts w:hint="eastAsia" w:ascii="Times New Roman" w:hAnsi="Times New Roman" w:cs="Times New Roman"/>
                <w:color w:val="auto"/>
                <w:highlight w:val="none"/>
                <w:lang w:val="en-US" w:eastAsia="zh-CN"/>
              </w:rPr>
              <w:t>，</w:t>
            </w:r>
            <w:r>
              <w:rPr>
                <w:rFonts w:hint="eastAsia" w:cs="Times New Roman"/>
                <w:color w:val="auto"/>
                <w:highlight w:val="none"/>
                <w:lang w:val="en-US" w:eastAsia="zh-CN"/>
              </w:rPr>
              <w:t>排放</w:t>
            </w:r>
            <w:r>
              <w:rPr>
                <w:rFonts w:hint="default" w:ascii="Times New Roman" w:hAnsi="Times New Roman" w:cs="Times New Roman"/>
                <w:color w:val="auto"/>
                <w:highlight w:val="none"/>
                <w:lang w:eastAsia="zh-CN"/>
              </w:rPr>
              <w:t>速率为</w:t>
            </w:r>
            <w:r>
              <w:rPr>
                <w:rFonts w:hint="eastAsia" w:ascii="Times New Roman" w:hAnsi="Times New Roman" w:cs="Times New Roman"/>
                <w:color w:val="auto"/>
                <w:highlight w:val="none"/>
                <w:lang w:val="en-US" w:eastAsia="zh-CN"/>
              </w:rPr>
              <w:t>0.</w:t>
            </w:r>
            <w:r>
              <w:rPr>
                <w:rFonts w:hint="eastAsia" w:cs="Times New Roman"/>
                <w:color w:val="auto"/>
                <w:highlight w:val="none"/>
                <w:lang w:val="en-US" w:eastAsia="zh-CN"/>
              </w:rPr>
              <w:t>088</w:t>
            </w:r>
            <w:r>
              <w:rPr>
                <w:rFonts w:hint="default" w:ascii="Times New Roman" w:hAnsi="Times New Roman" w:cs="Times New Roman"/>
                <w:color w:val="auto"/>
                <w:highlight w:val="none"/>
                <w:lang w:eastAsia="zh-CN"/>
              </w:rPr>
              <w:t>kg/h</w:t>
            </w:r>
            <w:r>
              <w:rPr>
                <w:rFonts w:hint="eastAsia" w:cs="Times New Roman"/>
                <w:color w:val="auto"/>
                <w:highlight w:val="none"/>
                <w:lang w:eastAsia="zh-CN"/>
              </w:rPr>
              <w:t>，</w:t>
            </w:r>
            <w:r>
              <w:rPr>
                <w:rFonts w:hint="default" w:ascii="Times New Roman" w:hAnsi="Times New Roman" w:cs="Times New Roman"/>
                <w:color w:val="auto"/>
                <w:highlight w:val="none"/>
                <w:lang w:eastAsia="zh-CN"/>
              </w:rPr>
              <w:t>排放浓度为</w:t>
            </w:r>
            <w:r>
              <w:rPr>
                <w:rFonts w:hint="default" w:ascii="Times New Roman" w:hAnsi="Times New Roman" w:cs="Times New Roman"/>
                <w:color w:val="auto"/>
                <w:highlight w:val="none"/>
                <w:lang w:val="en-US" w:eastAsia="zh-CN"/>
              </w:rPr>
              <w:t>1.</w:t>
            </w:r>
            <w:r>
              <w:rPr>
                <w:rFonts w:hint="eastAsia" w:cs="Times New Roman"/>
                <w:color w:val="auto"/>
                <w:highlight w:val="none"/>
                <w:lang w:val="en-US" w:eastAsia="zh-CN"/>
              </w:rPr>
              <w:t>767</w:t>
            </w:r>
            <w:r>
              <w:rPr>
                <w:rFonts w:hint="default" w:ascii="Times New Roman" w:hAnsi="Times New Roman" w:cs="Times New Roman"/>
                <w:color w:val="auto"/>
                <w:highlight w:val="none"/>
                <w:lang w:eastAsia="zh-CN"/>
              </w:rPr>
              <w:t>mg/m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lang w:eastAsia="zh-CN"/>
              </w:rPr>
              <w:t>，</w:t>
            </w:r>
            <w:r>
              <w:rPr>
                <w:rFonts w:hint="default" w:ascii="Times New Roman" w:hAnsi="Times New Roman" w:cs="Times New Roman"/>
                <w:color w:val="auto"/>
                <w:lang w:eastAsia="zh-CN"/>
              </w:rPr>
              <w:t>可满足《饮食业油烟排放标准》（GB18483-2001）相关要求，</w:t>
            </w:r>
            <w:r>
              <w:rPr>
                <w:rFonts w:hint="default" w:ascii="Times New Roman" w:hAnsi="Times New Roman" w:cs="Times New Roman"/>
                <w:color w:val="auto"/>
                <w:lang w:val="en-US" w:eastAsia="zh-CN"/>
              </w:rPr>
              <w:t>生产车间产生的油烟经管道收集后经高效型静电式油烟净化器处理后经</w:t>
            </w:r>
            <w:r>
              <w:rPr>
                <w:rFonts w:hint="eastAsia" w:ascii="Times New Roman" w:hAnsi="Times New Roman" w:cs="Times New Roman"/>
                <w:color w:val="auto"/>
                <w:lang w:val="en-US" w:eastAsia="zh-CN"/>
              </w:rPr>
              <w:t>中央厨房</w:t>
            </w:r>
            <w:r>
              <w:rPr>
                <w:rFonts w:hint="default" w:ascii="Times New Roman" w:hAnsi="Times New Roman" w:cs="Times New Roman"/>
                <w:color w:val="auto"/>
                <w:lang w:val="en-US" w:eastAsia="zh-CN"/>
              </w:rPr>
              <w:t>屋</w:t>
            </w:r>
            <w:r>
              <w:rPr>
                <w:rFonts w:hint="eastAsia" w:cs="Times New Roman"/>
                <w:color w:val="auto"/>
                <w:lang w:val="en-US" w:eastAsia="zh-CN"/>
              </w:rPr>
              <w:t>面1根24m高</w:t>
            </w:r>
            <w:r>
              <w:rPr>
                <w:rFonts w:hint="default" w:ascii="Times New Roman" w:hAnsi="Times New Roman" w:cs="Times New Roman"/>
                <w:color w:val="auto"/>
                <w:lang w:val="en-US" w:eastAsia="zh-CN"/>
              </w:rPr>
              <w:t>排气筒排放</w:t>
            </w:r>
            <w:r>
              <w:rPr>
                <w:rFonts w:hint="default" w:ascii="Times New Roman" w:hAnsi="Times New Roman" w:cs="Times New Roman"/>
                <w:color w:val="auto"/>
                <w:lang w:eastAsia="zh-CN"/>
              </w:rPr>
              <w:t>。</w:t>
            </w:r>
          </w:p>
          <w:p w14:paraId="764809A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eastAsia="宋体" w:cs="Times New Roman"/>
                <w:b w:val="0"/>
                <w:bCs/>
                <w:color w:val="auto"/>
                <w:kern w:val="2"/>
                <w:sz w:val="24"/>
                <w:szCs w:val="24"/>
                <w:lang w:val="en-US" w:eastAsia="zh-CN" w:bidi="ar-SA"/>
              </w:rPr>
              <w:t>（</w:t>
            </w:r>
            <w:r>
              <w:rPr>
                <w:rFonts w:hint="eastAsia" w:ascii="Times New Roman" w:hAnsi="Times New Roman" w:cs="Times New Roman"/>
                <w:b w:val="0"/>
                <w:bCs/>
                <w:color w:val="auto"/>
                <w:kern w:val="2"/>
                <w:sz w:val="24"/>
                <w:szCs w:val="24"/>
                <w:lang w:val="en-US" w:eastAsia="zh-CN" w:bidi="ar-SA"/>
              </w:rPr>
              <w:t>3</w:t>
            </w:r>
            <w:r>
              <w:rPr>
                <w:rFonts w:hint="default" w:ascii="Times New Roman" w:hAnsi="Times New Roman" w:eastAsia="宋体" w:cs="Times New Roman"/>
                <w:b w:val="0"/>
                <w:bCs/>
                <w:color w:val="auto"/>
                <w:kern w:val="2"/>
                <w:sz w:val="24"/>
                <w:szCs w:val="24"/>
                <w:lang w:val="en-US" w:eastAsia="zh-CN" w:bidi="ar-SA"/>
              </w:rPr>
              <w:t>）</w:t>
            </w:r>
            <w:r>
              <w:rPr>
                <w:rFonts w:hint="eastAsia" w:cs="Times New Roman"/>
                <w:b w:val="0"/>
                <w:bCs/>
                <w:color w:val="auto"/>
                <w:kern w:val="2"/>
                <w:sz w:val="24"/>
                <w:szCs w:val="24"/>
                <w:lang w:val="en-US" w:eastAsia="zh-CN" w:bidi="ar-SA"/>
              </w:rPr>
              <w:t>粉尘</w:t>
            </w:r>
          </w:p>
          <w:p w14:paraId="1702026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eastAsia="宋体" w:cs="Times New Roman"/>
                <w:b w:val="0"/>
                <w:bCs/>
                <w:color w:val="auto"/>
                <w:kern w:val="2"/>
                <w:sz w:val="24"/>
                <w:szCs w:val="24"/>
                <w:lang w:val="en-US" w:eastAsia="zh-CN" w:bidi="ar-SA"/>
              </w:rPr>
              <w:t>项目面条制作、面点制作中的和面、调粉工序会产生少量粉尘，</w:t>
            </w:r>
            <w:r>
              <w:rPr>
                <w:rFonts w:hint="eastAsia" w:ascii="Times New Roman" w:hAnsi="Times New Roman" w:eastAsia="宋体" w:cs="Times New Roman"/>
                <w:color w:val="auto"/>
                <w:sz w:val="24"/>
                <w:lang w:eastAsia="zh-CN"/>
              </w:rPr>
              <w:t>粉尘经车间风机引至室外</w:t>
            </w:r>
            <w:r>
              <w:rPr>
                <w:rFonts w:hint="eastAsia" w:ascii="Times New Roman" w:hAnsi="Times New Roman" w:eastAsia="宋体" w:cs="Times New Roman"/>
                <w:color w:val="auto"/>
                <w:sz w:val="24"/>
              </w:rPr>
              <w:t>无组织排放</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环评建议建设单位</w:t>
            </w:r>
            <w:r>
              <w:rPr>
                <w:rFonts w:hint="eastAsia" w:ascii="Times New Roman" w:hAnsi="Times New Roman" w:eastAsia="宋体" w:cs="Times New Roman"/>
                <w:color w:val="auto"/>
                <w:sz w:val="24"/>
                <w:lang w:eastAsia="zh-CN"/>
              </w:rPr>
              <w:t>加强车间</w:t>
            </w:r>
            <w:r>
              <w:rPr>
                <w:rFonts w:hint="eastAsia" w:eastAsia="宋体" w:cs="Times New Roman"/>
                <w:color w:val="auto"/>
                <w:sz w:val="24"/>
                <w:lang w:val="en-US" w:eastAsia="zh-CN"/>
              </w:rPr>
              <w:t>通风</w:t>
            </w:r>
            <w:r>
              <w:rPr>
                <w:rFonts w:hint="eastAsia" w:ascii="Times New Roman" w:hAnsi="Times New Roman" w:eastAsia="宋体" w:cs="Times New Roman"/>
                <w:color w:val="auto"/>
                <w:sz w:val="24"/>
                <w:lang w:eastAsia="zh-CN"/>
              </w:rPr>
              <w:t>换气</w:t>
            </w:r>
            <w:r>
              <w:rPr>
                <w:rFonts w:hint="eastAsia" w:ascii="Times New Roman" w:hAnsi="Times New Roman" w:eastAsia="宋体" w:cs="Times New Roman"/>
                <w:color w:val="auto"/>
                <w:sz w:val="24"/>
              </w:rPr>
              <w:t>。</w:t>
            </w:r>
          </w:p>
          <w:p w14:paraId="13A8547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outlineLvl w:val="9"/>
              <w:rPr>
                <w:rFonts w:hint="default" w:cs="Times New Roman"/>
                <w:color w:val="auto"/>
                <w:sz w:val="24"/>
                <w:szCs w:val="24"/>
                <w:highlight w:val="none"/>
                <w:lang w:val="en-US" w:eastAsia="zh-CN"/>
              </w:rPr>
            </w:pPr>
            <w:r>
              <w:rPr>
                <w:rFonts w:hint="eastAsia" w:cs="Times New Roman"/>
                <w:color w:val="auto"/>
                <w:sz w:val="24"/>
                <w:szCs w:val="24"/>
                <w:highlight w:val="none"/>
                <w:lang w:val="en-US" w:eastAsia="zh-CN"/>
              </w:rPr>
              <w:t>（4）异味</w:t>
            </w:r>
          </w:p>
          <w:p w14:paraId="1810299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outlineLvl w:val="9"/>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①</w:t>
            </w:r>
            <w:r>
              <w:rPr>
                <w:rFonts w:hint="eastAsia" w:ascii="Times New Roman" w:hAnsi="Times New Roman" w:eastAsia="宋体" w:cs="Times New Roman"/>
                <w:color w:val="auto"/>
                <w:sz w:val="24"/>
                <w:szCs w:val="24"/>
                <w:highlight w:val="none"/>
                <w:lang w:val="en-US" w:eastAsia="zh-CN"/>
              </w:rPr>
              <w:t>烘烤异味</w:t>
            </w:r>
          </w:p>
          <w:p w14:paraId="1439528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项目在蛋糕、面包、酥饼制作时会产生异味，</w:t>
            </w:r>
            <w:r>
              <w:rPr>
                <w:rFonts w:hint="eastAsia" w:ascii="Times New Roman" w:hAnsi="Times New Roman" w:eastAsia="宋体" w:cs="Times New Roman"/>
                <w:color w:val="auto"/>
                <w:sz w:val="24"/>
              </w:rPr>
              <w:t>产生的异味大部分</w:t>
            </w:r>
            <w:r>
              <w:rPr>
                <w:rFonts w:hint="eastAsia" w:ascii="Times New Roman" w:hAnsi="Times New Roman" w:eastAsia="宋体" w:cs="Times New Roman"/>
                <w:color w:val="auto"/>
                <w:sz w:val="24"/>
                <w:lang w:eastAsia="zh-CN"/>
              </w:rPr>
              <w:t>随油烟经集气罩收集后引至楼顶排放</w:t>
            </w:r>
            <w:r>
              <w:rPr>
                <w:rFonts w:hint="eastAsia" w:ascii="Times New Roman" w:hAnsi="Times New Roman" w:eastAsia="宋体" w:cs="Times New Roman"/>
                <w:color w:val="auto"/>
                <w:sz w:val="24"/>
              </w:rPr>
              <w:t>，少部分无组织排放</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环评建议建设单位</w:t>
            </w:r>
            <w:r>
              <w:rPr>
                <w:rFonts w:hint="eastAsia" w:ascii="Times New Roman" w:hAnsi="Times New Roman" w:eastAsia="宋体" w:cs="Times New Roman"/>
                <w:color w:val="auto"/>
                <w:sz w:val="24"/>
                <w:lang w:eastAsia="zh-CN"/>
              </w:rPr>
              <w:t>加强车间换气</w:t>
            </w:r>
            <w:r>
              <w:rPr>
                <w:rFonts w:hint="eastAsia" w:ascii="Times New Roman" w:hAnsi="Times New Roman" w:eastAsia="宋体" w:cs="Times New Roman"/>
                <w:color w:val="auto"/>
                <w:sz w:val="24"/>
              </w:rPr>
              <w:t>。</w:t>
            </w:r>
          </w:p>
          <w:p w14:paraId="12A993D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outlineLvl w:val="9"/>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②</w:t>
            </w:r>
            <w:r>
              <w:rPr>
                <w:rFonts w:hint="eastAsia" w:ascii="Times New Roman" w:hAnsi="Times New Roman" w:eastAsia="宋体" w:cs="Times New Roman"/>
                <w:color w:val="auto"/>
                <w:sz w:val="24"/>
                <w:szCs w:val="24"/>
                <w:highlight w:val="none"/>
                <w:lang w:val="en-US" w:eastAsia="zh-CN"/>
              </w:rPr>
              <w:t>污水处理异味</w:t>
            </w:r>
          </w:p>
          <w:p w14:paraId="3CCFE90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outlineLvl w:val="9"/>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地埋</w:t>
            </w:r>
            <w:r>
              <w:rPr>
                <w:rFonts w:hint="default" w:ascii="Times New Roman" w:hAnsi="Times New Roman" w:eastAsia="宋体" w:cs="Times New Roman"/>
                <w:color w:val="auto"/>
                <w:sz w:val="24"/>
                <w:szCs w:val="24"/>
                <w:highlight w:val="none"/>
                <w:lang w:val="en-US" w:eastAsia="zh-CN"/>
              </w:rPr>
              <w:t>污水处</w:t>
            </w:r>
            <w:r>
              <w:rPr>
                <w:rFonts w:hint="default" w:ascii="Times New Roman" w:hAnsi="Times New Roman" w:eastAsia="宋体" w:cs="Times New Roman"/>
                <w:color w:val="auto"/>
                <w:sz w:val="24"/>
                <w:szCs w:val="24"/>
                <w:highlight w:val="none"/>
              </w:rPr>
              <w:t>理</w:t>
            </w:r>
            <w:r>
              <w:rPr>
                <w:rFonts w:hint="eastAsia" w:ascii="Times New Roman" w:hAnsi="Times New Roman" w:cs="Times New Roman"/>
                <w:color w:val="auto"/>
                <w:sz w:val="24"/>
                <w:szCs w:val="24"/>
                <w:highlight w:val="none"/>
                <w:lang w:val="en-US" w:eastAsia="zh-CN"/>
              </w:rPr>
              <w:t>设备</w:t>
            </w:r>
            <w:r>
              <w:rPr>
                <w:rFonts w:hint="default" w:ascii="Times New Roman" w:hAnsi="Times New Roman" w:eastAsia="宋体" w:cs="Times New Roman"/>
                <w:color w:val="auto"/>
                <w:sz w:val="24"/>
                <w:szCs w:val="24"/>
                <w:highlight w:val="none"/>
              </w:rPr>
              <w:t>的</w:t>
            </w:r>
            <w:r>
              <w:rPr>
                <w:rFonts w:hint="eastAsia" w:cs="Times New Roman"/>
                <w:b w:val="0"/>
                <w:bCs/>
                <w:color w:val="auto"/>
                <w:kern w:val="2"/>
                <w:sz w:val="24"/>
                <w:szCs w:val="24"/>
                <w:lang w:val="en-US" w:eastAsia="zh-CN" w:bidi="ar-SA"/>
              </w:rPr>
              <w:t>异味</w:t>
            </w:r>
            <w:r>
              <w:rPr>
                <w:rFonts w:hint="default" w:ascii="Times New Roman" w:hAnsi="Times New Roman" w:eastAsia="宋体" w:cs="Times New Roman"/>
                <w:b w:val="0"/>
                <w:bCs/>
                <w:color w:val="auto"/>
                <w:kern w:val="2"/>
                <w:sz w:val="24"/>
                <w:szCs w:val="24"/>
                <w:lang w:val="en-US" w:eastAsia="zh-CN" w:bidi="ar-SA"/>
              </w:rPr>
              <w:t>废气</w:t>
            </w:r>
            <w:r>
              <w:rPr>
                <w:rFonts w:hint="default" w:ascii="Times New Roman" w:hAnsi="Times New Roman" w:eastAsia="宋体" w:cs="Times New Roman"/>
                <w:color w:val="auto"/>
                <w:sz w:val="24"/>
                <w:szCs w:val="24"/>
                <w:highlight w:val="none"/>
              </w:rPr>
              <w:t>来源</w:t>
            </w:r>
            <w:r>
              <w:rPr>
                <w:rFonts w:hint="default" w:ascii="Times New Roman" w:hAnsi="Times New Roman" w:eastAsia="宋体" w:cs="Times New Roman"/>
                <w:color w:val="auto"/>
                <w:sz w:val="24"/>
                <w:szCs w:val="24"/>
                <w:highlight w:val="none"/>
                <w:lang w:val="en-US" w:eastAsia="zh-CN"/>
              </w:rPr>
              <w:t>于</w:t>
            </w:r>
            <w:r>
              <w:rPr>
                <w:rFonts w:hint="default" w:ascii="Times New Roman" w:hAnsi="Times New Roman" w:eastAsia="宋体" w:cs="Times New Roman"/>
                <w:color w:val="auto"/>
                <w:sz w:val="24"/>
                <w:szCs w:val="24"/>
                <w:highlight w:val="none"/>
              </w:rPr>
              <w:t>污水中有机物的分解、发酵过程中散发的化学物质，其主要成分有H</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S和NH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本项目污水处理设施处理规模为</w:t>
            </w:r>
            <w:r>
              <w:rPr>
                <w:rFonts w:hint="default" w:ascii="Times New Roman" w:hAnsi="Times New Roman" w:cs="Times New Roman"/>
                <w:color w:val="auto"/>
                <w:sz w:val="24"/>
                <w:szCs w:val="24"/>
                <w:highlight w:val="none"/>
                <w:lang w:val="en-US" w:eastAsia="zh-CN"/>
              </w:rPr>
              <w:t>50</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/d</w:t>
            </w:r>
            <w:r>
              <w:rPr>
                <w:rFonts w:hint="default"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采用</w:t>
            </w:r>
            <w:r>
              <w:rPr>
                <w:rFonts w:hint="eastAsia"/>
                <w:color w:val="auto"/>
                <w:sz w:val="24"/>
              </w:rPr>
              <w:t>A/O法</w:t>
            </w:r>
            <w:r>
              <w:rPr>
                <w:rFonts w:hint="eastAsia"/>
                <w:color w:val="auto"/>
                <w:sz w:val="24"/>
                <w:lang w:val="en-US" w:eastAsia="zh-CN"/>
              </w:rPr>
              <w:t>处理工艺，</w:t>
            </w:r>
            <w:r>
              <w:rPr>
                <w:rFonts w:hint="eastAsia"/>
                <w:color w:val="auto"/>
                <w:sz w:val="24"/>
              </w:rPr>
              <w:t>主要用于去除水中的有机物，</w:t>
            </w:r>
            <w:r>
              <w:rPr>
                <w:rFonts w:hint="default" w:ascii="Times New Roman" w:hAnsi="Times New Roman" w:eastAsia="宋体" w:cs="Times New Roman"/>
                <w:color w:val="auto"/>
                <w:sz w:val="24"/>
                <w:szCs w:val="24"/>
                <w:highlight w:val="none"/>
                <w:lang w:val="en-US" w:eastAsia="zh-CN"/>
              </w:rPr>
              <w:t>以无组织形式排放。</w:t>
            </w:r>
            <w:r>
              <w:rPr>
                <w:rFonts w:hint="eastAsia" w:cs="Times New Roman"/>
                <w:b w:val="0"/>
                <w:bCs/>
                <w:color w:val="auto"/>
                <w:kern w:val="2"/>
                <w:sz w:val="24"/>
                <w:szCs w:val="24"/>
                <w:lang w:val="en-US" w:eastAsia="zh-CN" w:bidi="ar-SA"/>
              </w:rPr>
              <w:t>异味</w:t>
            </w:r>
            <w:r>
              <w:rPr>
                <w:rFonts w:hint="default" w:ascii="Times New Roman" w:hAnsi="Times New Roman" w:eastAsia="宋体" w:cs="Times New Roman"/>
                <w:b w:val="0"/>
                <w:bCs/>
                <w:color w:val="auto"/>
                <w:kern w:val="2"/>
                <w:sz w:val="24"/>
                <w:szCs w:val="24"/>
                <w:lang w:val="en-US" w:eastAsia="zh-CN" w:bidi="ar-SA"/>
              </w:rPr>
              <w:t>废气</w:t>
            </w:r>
            <w:r>
              <w:rPr>
                <w:rFonts w:hint="default" w:ascii="Times New Roman" w:hAnsi="Times New Roman" w:eastAsia="宋体" w:cs="Times New Roman"/>
                <w:color w:val="auto"/>
                <w:sz w:val="24"/>
                <w:szCs w:val="24"/>
                <w:highlight w:val="none"/>
              </w:rPr>
              <w:t>由设施表面散逸到大气中，属无组织排放源，</w:t>
            </w:r>
            <w:r>
              <w:rPr>
                <w:rFonts w:hint="eastAsia" w:cs="Times New Roman"/>
                <w:color w:val="auto"/>
                <w:sz w:val="24"/>
                <w:szCs w:val="24"/>
                <w:highlight w:val="none"/>
                <w:lang w:val="en-US" w:eastAsia="zh-CN"/>
              </w:rPr>
              <w:t>异味</w:t>
            </w:r>
            <w:r>
              <w:rPr>
                <w:rFonts w:hint="default" w:ascii="Times New Roman" w:hAnsi="Times New Roman" w:eastAsia="宋体" w:cs="Times New Roman"/>
                <w:color w:val="auto"/>
                <w:sz w:val="24"/>
                <w:szCs w:val="24"/>
                <w:highlight w:val="none"/>
              </w:rPr>
              <w:t>气体逸出量和污染程度受废水水质水量、构筑物面积、污水中溶解氧含量等影响。由于</w:t>
            </w:r>
            <w:r>
              <w:rPr>
                <w:rFonts w:hint="eastAsia" w:cs="Times New Roman"/>
                <w:color w:val="auto"/>
                <w:sz w:val="24"/>
                <w:szCs w:val="24"/>
                <w:highlight w:val="none"/>
                <w:lang w:val="en-US" w:eastAsia="zh-CN"/>
              </w:rPr>
              <w:t>异味</w:t>
            </w:r>
            <w:r>
              <w:rPr>
                <w:rFonts w:hint="default" w:ascii="Times New Roman" w:hAnsi="Times New Roman" w:eastAsia="宋体" w:cs="Times New Roman"/>
                <w:color w:val="auto"/>
                <w:sz w:val="24"/>
                <w:szCs w:val="24"/>
                <w:highlight w:val="none"/>
              </w:rPr>
              <w:t>物质的</w:t>
            </w:r>
            <w:r>
              <w:rPr>
                <w:rFonts w:hint="default" w:ascii="Times New Roman" w:hAnsi="Times New Roman" w:eastAsia="宋体" w:cs="Times New Roman"/>
                <w:color w:val="auto"/>
                <w:sz w:val="24"/>
                <w:szCs w:val="24"/>
                <w:highlight w:val="none"/>
                <w:lang w:val="en-US" w:eastAsia="zh-CN"/>
              </w:rPr>
              <w:t>溢出</w:t>
            </w:r>
            <w:r>
              <w:rPr>
                <w:rFonts w:hint="default" w:ascii="Times New Roman" w:hAnsi="Times New Roman" w:eastAsia="宋体" w:cs="Times New Roman"/>
                <w:color w:val="auto"/>
                <w:sz w:val="24"/>
                <w:szCs w:val="24"/>
                <w:highlight w:val="none"/>
              </w:rPr>
              <w:t>和扩散机理比较复杂，废气源强难于计算。本项目臭气污染源源强计算采用美国EPA（Environmental Protection Agency 环境保护局）对污水处理厂恶臭污染物产生情况的研究成果，每处理1g的BOD</w:t>
            </w:r>
            <w:r>
              <w:rPr>
                <w:rFonts w:hint="default" w:ascii="Times New Roman" w:hAnsi="Times New Roman" w:eastAsia="宋体" w:cs="Times New Roman"/>
                <w:color w:val="auto"/>
                <w:sz w:val="24"/>
                <w:szCs w:val="24"/>
                <w:highlight w:val="none"/>
                <w:vertAlign w:val="subscript"/>
              </w:rPr>
              <w:t>5</w:t>
            </w:r>
            <w:r>
              <w:rPr>
                <w:rFonts w:hint="default" w:ascii="Times New Roman" w:hAnsi="Times New Roman" w:eastAsia="宋体" w:cs="Times New Roman"/>
                <w:color w:val="auto"/>
                <w:sz w:val="24"/>
                <w:szCs w:val="24"/>
                <w:highlight w:val="none"/>
              </w:rPr>
              <w:t>，可产生0.0031g的NH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和0.00012g的H</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S。本项目BOD</w:t>
            </w:r>
            <w:r>
              <w:rPr>
                <w:rFonts w:hint="default" w:ascii="Times New Roman" w:hAnsi="Times New Roman" w:eastAsia="宋体" w:cs="Times New Roman"/>
                <w:color w:val="auto"/>
                <w:sz w:val="24"/>
                <w:szCs w:val="24"/>
                <w:highlight w:val="none"/>
                <w:vertAlign w:val="subscript"/>
              </w:rPr>
              <w:t>5</w:t>
            </w:r>
            <w:r>
              <w:rPr>
                <w:rFonts w:hint="default" w:ascii="Times New Roman" w:hAnsi="Times New Roman" w:eastAsia="宋体" w:cs="Times New Roman"/>
                <w:color w:val="auto"/>
                <w:sz w:val="24"/>
                <w:szCs w:val="24"/>
                <w:highlight w:val="none"/>
              </w:rPr>
              <w:t>处理量</w:t>
            </w:r>
            <w:r>
              <w:rPr>
                <w:rFonts w:hint="default" w:ascii="Times New Roman" w:hAnsi="Times New Roman" w:eastAsia="宋体" w:cs="Times New Roman"/>
                <w:color w:val="auto"/>
                <w:sz w:val="24"/>
                <w:szCs w:val="24"/>
                <w:highlight w:val="none"/>
                <w:lang w:val="en-US" w:eastAsia="zh-CN"/>
              </w:rPr>
              <w:t>为</w:t>
            </w:r>
            <w:r>
              <w:rPr>
                <w:rFonts w:hint="eastAsia" w:cs="Times New Roman"/>
                <w:color w:val="auto"/>
                <w:sz w:val="24"/>
                <w:szCs w:val="24"/>
                <w:highlight w:val="none"/>
                <w:lang w:val="en-US" w:eastAsia="zh-CN"/>
              </w:rPr>
              <w:t>1.931</w:t>
            </w:r>
            <w:r>
              <w:rPr>
                <w:rFonts w:hint="default" w:ascii="Times New Roman" w:hAnsi="Times New Roman" w:eastAsia="宋体" w:cs="Times New Roman"/>
                <w:color w:val="auto"/>
                <w:sz w:val="24"/>
                <w:szCs w:val="24"/>
                <w:highlight w:val="none"/>
              </w:rPr>
              <w:t>t/a，</w:t>
            </w:r>
            <w:r>
              <w:rPr>
                <w:rFonts w:hint="default" w:ascii="Times New Roman" w:hAnsi="Times New Roman" w:eastAsia="宋体" w:cs="Times New Roman"/>
                <w:color w:val="auto"/>
                <w:sz w:val="24"/>
                <w:szCs w:val="24"/>
                <w:highlight w:val="none"/>
                <w:lang w:val="en-US" w:eastAsia="zh-CN"/>
              </w:rPr>
              <w:t>则</w:t>
            </w:r>
            <w:r>
              <w:rPr>
                <w:rFonts w:hint="default" w:ascii="Times New Roman" w:hAnsi="Times New Roman" w:eastAsia="宋体" w:cs="Times New Roman"/>
                <w:color w:val="auto"/>
                <w:sz w:val="24"/>
                <w:szCs w:val="24"/>
                <w:highlight w:val="none"/>
              </w:rPr>
              <w:t>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产生量</w:t>
            </w:r>
            <w:r>
              <w:rPr>
                <w:rFonts w:hint="default" w:ascii="Times New Roman" w:hAnsi="Times New Roman" w:cs="Times New Roman"/>
                <w:color w:val="auto"/>
                <w:sz w:val="24"/>
                <w:szCs w:val="24"/>
                <w:highlight w:val="none"/>
                <w:lang w:val="en-US" w:eastAsia="zh-CN"/>
              </w:rPr>
              <w:t>0.0</w:t>
            </w:r>
            <w:r>
              <w:rPr>
                <w:rFonts w:hint="eastAsia" w:cs="Times New Roman"/>
                <w:color w:val="auto"/>
                <w:sz w:val="24"/>
                <w:szCs w:val="24"/>
                <w:highlight w:val="none"/>
                <w:lang w:val="en-US" w:eastAsia="zh-CN"/>
              </w:rPr>
              <w:t>06</w:t>
            </w:r>
            <w:r>
              <w:rPr>
                <w:rFonts w:hint="default" w:ascii="Times New Roman" w:hAnsi="Times New Roman" w:eastAsia="宋体" w:cs="Times New Roman"/>
                <w:color w:val="auto"/>
                <w:sz w:val="24"/>
                <w:szCs w:val="24"/>
                <w:highlight w:val="none"/>
              </w:rPr>
              <w:t>t/a，H</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S产生量为</w:t>
            </w:r>
            <w:r>
              <w:rPr>
                <w:rFonts w:hint="default" w:ascii="Times New Roman" w:hAnsi="Times New Roman" w:cs="Times New Roman"/>
                <w:color w:val="auto"/>
                <w:sz w:val="24"/>
                <w:szCs w:val="24"/>
                <w:highlight w:val="none"/>
                <w:lang w:val="en-US" w:eastAsia="zh-CN"/>
              </w:rPr>
              <w:t>0.000</w:t>
            </w:r>
            <w:r>
              <w:rPr>
                <w:rFonts w:hint="eastAsia"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t/a。</w:t>
            </w:r>
          </w:p>
          <w:p w14:paraId="2FF9197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eastAsia"/>
                <w:color w:val="auto"/>
                <w:highlight w:val="none"/>
              </w:rPr>
            </w:pPr>
            <w:r>
              <w:rPr>
                <w:rFonts w:hint="default" w:ascii="Times New Roman" w:hAnsi="Times New Roman" w:eastAsia="宋体" w:cs="Times New Roman"/>
                <w:color w:val="auto"/>
                <w:sz w:val="24"/>
                <w:szCs w:val="24"/>
                <w:highlight w:val="none"/>
              </w:rPr>
              <w:t>为降低</w:t>
            </w:r>
            <w:r>
              <w:rPr>
                <w:rFonts w:hint="eastAsia" w:cs="Times New Roman"/>
                <w:b w:val="0"/>
                <w:bCs/>
                <w:color w:val="auto"/>
                <w:kern w:val="2"/>
                <w:sz w:val="24"/>
                <w:szCs w:val="24"/>
                <w:lang w:val="en-US" w:eastAsia="zh-CN" w:bidi="ar-SA"/>
              </w:rPr>
              <w:t>异味</w:t>
            </w:r>
            <w:r>
              <w:rPr>
                <w:rFonts w:hint="default" w:ascii="Times New Roman" w:hAnsi="Times New Roman" w:eastAsia="宋体" w:cs="Times New Roman"/>
                <w:color w:val="auto"/>
                <w:sz w:val="24"/>
                <w:szCs w:val="24"/>
                <w:highlight w:val="none"/>
              </w:rPr>
              <w:t>气体的影响，保证污染物达标排放，本项目</w:t>
            </w:r>
            <w:r>
              <w:rPr>
                <w:rFonts w:hint="default" w:ascii="Times New Roman" w:hAnsi="Times New Roman" w:eastAsia="宋体" w:cs="Times New Roman"/>
                <w:color w:val="auto"/>
                <w:sz w:val="24"/>
                <w:szCs w:val="24"/>
                <w:highlight w:val="none"/>
                <w:lang w:val="en-US" w:eastAsia="zh-CN"/>
              </w:rPr>
              <w:t>污水处理设施</w:t>
            </w:r>
            <w:r>
              <w:rPr>
                <w:rFonts w:hint="eastAsia" w:ascii="Times New Roman" w:hAnsi="Times New Roman" w:eastAsia="宋体" w:cs="Times New Roman"/>
                <w:color w:val="auto"/>
                <w:sz w:val="24"/>
                <w:szCs w:val="24"/>
                <w:highlight w:val="none"/>
                <w:lang w:val="en-US" w:eastAsia="zh-CN"/>
              </w:rPr>
              <w:t>为地埋式并</w:t>
            </w:r>
            <w:r>
              <w:rPr>
                <w:rFonts w:hint="default" w:ascii="Times New Roman" w:hAnsi="Times New Roman" w:eastAsia="宋体" w:cs="Times New Roman"/>
                <w:color w:val="auto"/>
                <w:sz w:val="24"/>
                <w:szCs w:val="24"/>
                <w:highlight w:val="none"/>
                <w:lang w:val="en-US" w:eastAsia="zh-CN"/>
              </w:rPr>
              <w:t>加盖密封，</w:t>
            </w:r>
            <w:r>
              <w:rPr>
                <w:rFonts w:hint="eastAsia" w:cs="Times New Roman"/>
                <w:b w:val="0"/>
                <w:bCs/>
                <w:color w:val="auto"/>
                <w:kern w:val="2"/>
                <w:sz w:val="24"/>
                <w:szCs w:val="24"/>
                <w:lang w:val="en-US" w:eastAsia="zh-CN" w:bidi="ar-SA"/>
              </w:rPr>
              <w:t>异味</w:t>
            </w:r>
            <w:r>
              <w:rPr>
                <w:rFonts w:hint="default" w:ascii="Times New Roman" w:hAnsi="Times New Roman" w:eastAsia="宋体" w:cs="Times New Roman"/>
                <w:b w:val="0"/>
                <w:bCs/>
                <w:color w:val="auto"/>
                <w:kern w:val="2"/>
                <w:sz w:val="24"/>
                <w:szCs w:val="24"/>
                <w:lang w:val="en-US" w:eastAsia="zh-CN" w:bidi="ar-SA"/>
              </w:rPr>
              <w:t>废气</w:t>
            </w:r>
            <w:r>
              <w:rPr>
                <w:rFonts w:hint="default" w:ascii="Times New Roman" w:hAnsi="Times New Roman" w:eastAsia="宋体" w:cs="Times New Roman"/>
                <w:color w:val="auto"/>
                <w:sz w:val="24"/>
                <w:szCs w:val="24"/>
                <w:highlight w:val="none"/>
                <w:lang w:val="en-US" w:eastAsia="zh-CN"/>
              </w:rPr>
              <w:t>的去除效率为50%，则</w:t>
            </w:r>
            <w:r>
              <w:rPr>
                <w:rFonts w:hint="default" w:ascii="Times New Roman" w:hAnsi="Times New Roman" w:eastAsia="宋体" w:cs="Times New Roman"/>
                <w:color w:val="auto"/>
                <w:sz w:val="24"/>
                <w:szCs w:val="24"/>
                <w:highlight w:val="none"/>
              </w:rPr>
              <w:t>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vertAlign w:val="baseline"/>
                <w:lang w:val="en-US" w:eastAsia="zh-CN"/>
              </w:rPr>
              <w:t>排放</w:t>
            </w:r>
            <w:r>
              <w:rPr>
                <w:rFonts w:hint="default" w:ascii="Times New Roman" w:hAnsi="Times New Roman" w:eastAsia="宋体" w:cs="Times New Roman"/>
                <w:color w:val="auto"/>
                <w:sz w:val="24"/>
                <w:szCs w:val="24"/>
                <w:highlight w:val="none"/>
              </w:rPr>
              <w:t>量为</w:t>
            </w:r>
            <w:r>
              <w:rPr>
                <w:rFonts w:hint="default" w:ascii="Times New Roman" w:hAnsi="Times New Roman" w:eastAsia="宋体" w:cs="Times New Roman"/>
                <w:color w:val="auto"/>
                <w:sz w:val="24"/>
                <w:szCs w:val="24"/>
                <w:highlight w:val="none"/>
                <w:lang w:val="en-US" w:eastAsia="zh-CN"/>
              </w:rPr>
              <w:t>0.</w:t>
            </w:r>
            <w:r>
              <w:rPr>
                <w:rFonts w:hint="default" w:ascii="Times New Roman" w:hAnsi="Times New Roman" w:cs="Times New Roman"/>
                <w:color w:val="auto"/>
                <w:sz w:val="24"/>
                <w:szCs w:val="24"/>
                <w:highlight w:val="none"/>
                <w:lang w:val="en-US" w:eastAsia="zh-CN"/>
              </w:rPr>
              <w:t>00</w:t>
            </w: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t/a，H</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S</w:t>
            </w:r>
            <w:r>
              <w:rPr>
                <w:rFonts w:hint="default" w:ascii="Times New Roman" w:hAnsi="Times New Roman" w:eastAsia="宋体" w:cs="Times New Roman"/>
                <w:color w:val="auto"/>
                <w:sz w:val="24"/>
                <w:szCs w:val="24"/>
                <w:highlight w:val="none"/>
                <w:lang w:val="en-US" w:eastAsia="zh-CN"/>
              </w:rPr>
              <w:t>排放</w:t>
            </w:r>
            <w:r>
              <w:rPr>
                <w:rFonts w:hint="default" w:ascii="Times New Roman" w:hAnsi="Times New Roman" w:eastAsia="宋体" w:cs="Times New Roman"/>
                <w:color w:val="auto"/>
                <w:sz w:val="24"/>
                <w:szCs w:val="24"/>
                <w:highlight w:val="none"/>
              </w:rPr>
              <w:t>量为</w:t>
            </w:r>
            <w:r>
              <w:rPr>
                <w:rFonts w:hint="default" w:ascii="Times New Roman" w:hAnsi="Times New Roman" w:cs="Times New Roman"/>
                <w:color w:val="auto"/>
                <w:sz w:val="24"/>
                <w:szCs w:val="24"/>
                <w:highlight w:val="none"/>
                <w:lang w:val="en-US" w:eastAsia="zh-CN"/>
              </w:rPr>
              <w:t>0.000</w:t>
            </w:r>
            <w:r>
              <w:rPr>
                <w:rFonts w:hint="eastAsia"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t/a。</w:t>
            </w:r>
            <w:r>
              <w:rPr>
                <w:rFonts w:hint="default"/>
                <w:color w:val="auto"/>
                <w:sz w:val="24"/>
              </w:rPr>
              <w:t>环评建议建设单位在</w:t>
            </w:r>
            <w:r>
              <w:rPr>
                <w:rFonts w:hint="eastAsia"/>
                <w:color w:val="auto"/>
                <w:sz w:val="24"/>
              </w:rPr>
              <w:t>污水处理</w:t>
            </w:r>
            <w:r>
              <w:rPr>
                <w:rFonts w:hint="eastAsia"/>
                <w:color w:val="auto"/>
                <w:sz w:val="24"/>
                <w:lang w:val="en-US" w:eastAsia="zh-CN"/>
              </w:rPr>
              <w:t>设施区域</w:t>
            </w:r>
            <w:r>
              <w:rPr>
                <w:rFonts w:hint="default"/>
                <w:color w:val="auto"/>
                <w:sz w:val="24"/>
              </w:rPr>
              <w:t>加强恶臭污染管理</w:t>
            </w:r>
            <w:r>
              <w:rPr>
                <w:rFonts w:hint="eastAsia"/>
                <w:color w:val="auto"/>
                <w:sz w:val="24"/>
              </w:rPr>
              <w:t>、</w:t>
            </w:r>
            <w:r>
              <w:rPr>
                <w:rFonts w:hint="eastAsia"/>
                <w:color w:val="auto"/>
                <w:sz w:val="24"/>
                <w:lang w:val="en-US" w:eastAsia="zh-CN"/>
              </w:rPr>
              <w:t>定期</w:t>
            </w:r>
            <w:r>
              <w:rPr>
                <w:rFonts w:hint="default"/>
                <w:color w:val="auto"/>
                <w:sz w:val="24"/>
              </w:rPr>
              <w:t>喷洒</w:t>
            </w:r>
            <w:r>
              <w:rPr>
                <w:rFonts w:hint="eastAsia"/>
                <w:color w:val="auto"/>
                <w:sz w:val="24"/>
                <w:lang w:val="en-US" w:eastAsia="zh-CN"/>
              </w:rPr>
              <w:t>生物</w:t>
            </w:r>
            <w:r>
              <w:rPr>
                <w:rFonts w:hint="default"/>
                <w:color w:val="auto"/>
                <w:sz w:val="24"/>
              </w:rPr>
              <w:t>除臭剂</w:t>
            </w:r>
            <w:r>
              <w:rPr>
                <w:rFonts w:hint="eastAsia"/>
                <w:color w:val="auto"/>
                <w:sz w:val="24"/>
              </w:rPr>
              <w:t>（遮掩）</w:t>
            </w:r>
            <w:r>
              <w:rPr>
                <w:rFonts w:hint="default"/>
                <w:color w:val="auto"/>
                <w:sz w:val="24"/>
              </w:rPr>
              <w:t>等措施减少</w:t>
            </w:r>
            <w:r>
              <w:rPr>
                <w:rFonts w:hint="eastAsia"/>
                <w:color w:val="auto"/>
                <w:sz w:val="24"/>
                <w:lang w:val="en-US" w:eastAsia="zh-CN"/>
              </w:rPr>
              <w:t>异味</w:t>
            </w:r>
            <w:r>
              <w:rPr>
                <w:rFonts w:hint="default"/>
                <w:color w:val="auto"/>
                <w:sz w:val="24"/>
              </w:rPr>
              <w:t>排放。</w:t>
            </w:r>
          </w:p>
          <w:p w14:paraId="6335BC1C">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rPr>
              <w:t>3、排放口基本情况</w:t>
            </w:r>
          </w:p>
          <w:p w14:paraId="659BA409">
            <w:pPr>
              <w:pStyle w:val="170"/>
              <w:keepNext w:val="0"/>
              <w:keepLines w:val="0"/>
              <w:suppressLineNumbers w:val="0"/>
              <w:spacing w:before="0" w:beforeAutospacing="0" w:after="0" w:afterAutospacing="0" w:line="360" w:lineRule="auto"/>
              <w:ind w:left="0" w:right="0"/>
              <w:rPr>
                <w:rFonts w:hint="default" w:hAnsi="Times New Roman" w:cs="Times New Roman"/>
                <w:color w:val="auto"/>
                <w:highlight w:val="none"/>
              </w:rPr>
            </w:pPr>
            <w:r>
              <w:rPr>
                <w:rFonts w:hint="default" w:hAnsi="Times New Roman" w:cs="Times New Roman"/>
                <w:color w:val="auto"/>
                <w:highlight w:val="none"/>
              </w:rPr>
              <w:t>本项目废气排放口基本情况见下表：</w:t>
            </w:r>
          </w:p>
          <w:p w14:paraId="47636884">
            <w:pPr>
              <w:pStyle w:val="77"/>
              <w:keepNext w:val="0"/>
              <w:keepLines w:val="0"/>
              <w:widowControl/>
              <w:suppressLineNumbers w:val="0"/>
              <w:spacing w:before="0" w:beforeLines="0" w:beforeAutospacing="0" w:after="0" w:afterAutospacing="0" w:line="240" w:lineRule="auto"/>
              <w:ind w:left="0" w:right="0"/>
              <w:rPr>
                <w:rFonts w:hint="default" w:eastAsia="宋体"/>
                <w:b/>
                <w:bCs/>
                <w:color w:val="auto"/>
                <w:highlight w:val="none"/>
              </w:rPr>
            </w:pPr>
            <w:r>
              <w:rPr>
                <w:rFonts w:hint="eastAsia" w:eastAsia="宋体"/>
                <w:b/>
                <w:bCs/>
                <w:color w:val="auto"/>
                <w:highlight w:val="none"/>
              </w:rPr>
              <w:t>表4-</w:t>
            </w:r>
            <w:r>
              <w:rPr>
                <w:rFonts w:hint="eastAsia" w:eastAsia="宋体"/>
                <w:b/>
                <w:bCs/>
                <w:color w:val="auto"/>
                <w:highlight w:val="none"/>
                <w:lang w:val="en-US" w:eastAsia="zh-CN"/>
              </w:rPr>
              <w:t>2</w:t>
            </w:r>
            <w:r>
              <w:rPr>
                <w:rFonts w:hint="eastAsia" w:eastAsia="宋体"/>
                <w:b/>
                <w:bCs/>
                <w:color w:val="auto"/>
                <w:highlight w:val="none"/>
              </w:rPr>
              <w:t xml:space="preserve">    废气排放口基本情况一览表</w:t>
            </w:r>
          </w:p>
          <w:tbl>
            <w:tblPr>
              <w:tblStyle w:val="37"/>
              <w:tblW w:w="5000" w:type="pct"/>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1362"/>
              <w:gridCol w:w="2274"/>
              <w:gridCol w:w="1185"/>
              <w:gridCol w:w="1200"/>
              <w:gridCol w:w="1023"/>
              <w:gridCol w:w="1227"/>
            </w:tblGrid>
            <w:tr w14:paraId="353FFF1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624" w:hRule="atLeast"/>
                <w:jc w:val="center"/>
              </w:trPr>
              <w:tc>
                <w:tcPr>
                  <w:tcW w:w="823" w:type="pct"/>
                  <w:vAlign w:val="center"/>
                </w:tcPr>
                <w:p w14:paraId="60DA015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排放口名称</w:t>
                  </w:r>
                </w:p>
              </w:tc>
              <w:tc>
                <w:tcPr>
                  <w:tcW w:w="1374" w:type="pct"/>
                  <w:vAlign w:val="center"/>
                </w:tcPr>
                <w:p w14:paraId="2EB74508">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污染物</w:t>
                  </w:r>
                </w:p>
              </w:tc>
              <w:tc>
                <w:tcPr>
                  <w:tcW w:w="716" w:type="pct"/>
                  <w:vAlign w:val="center"/>
                </w:tcPr>
                <w:p w14:paraId="7BC7C5B9">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排气筒高度</w:t>
                  </w:r>
                </w:p>
              </w:tc>
              <w:tc>
                <w:tcPr>
                  <w:tcW w:w="725" w:type="pct"/>
                  <w:vAlign w:val="center"/>
                </w:tcPr>
                <w:p w14:paraId="3308B8AE">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排气筒内径</w:t>
                  </w:r>
                </w:p>
              </w:tc>
              <w:tc>
                <w:tcPr>
                  <w:tcW w:w="618" w:type="pct"/>
                  <w:tcBorders>
                    <w:right w:val="single" w:color="auto" w:sz="4" w:space="0"/>
                  </w:tcBorders>
                  <w:vAlign w:val="center"/>
                </w:tcPr>
                <w:p w14:paraId="6AF772C8">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烟气温度</w:t>
                  </w:r>
                </w:p>
              </w:tc>
              <w:tc>
                <w:tcPr>
                  <w:tcW w:w="741" w:type="pct"/>
                  <w:tcBorders>
                    <w:left w:val="single" w:color="auto" w:sz="4" w:space="0"/>
                  </w:tcBorders>
                  <w:vAlign w:val="center"/>
                </w:tcPr>
                <w:p w14:paraId="1CBDCFE6">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排放口类型</w:t>
                  </w:r>
                </w:p>
              </w:tc>
            </w:tr>
            <w:tr w14:paraId="6A35F64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624" w:hRule="atLeast"/>
                <w:jc w:val="center"/>
              </w:trPr>
              <w:tc>
                <w:tcPr>
                  <w:tcW w:w="823" w:type="pct"/>
                  <w:vAlign w:val="center"/>
                </w:tcPr>
                <w:p w14:paraId="5CC9AD01">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color w:val="auto"/>
                      <w:szCs w:val="20"/>
                      <w:highlight w:val="none"/>
                      <w:lang w:eastAsia="zh-CN"/>
                    </w:rPr>
                  </w:pPr>
                  <w:r>
                    <w:rPr>
                      <w:rFonts w:hint="default" w:ascii="Times New Roman" w:hAnsi="Times New Roman" w:eastAsia="宋体" w:cs="Times New Roman"/>
                      <w:color w:val="auto"/>
                      <w:szCs w:val="20"/>
                      <w:highlight w:val="none"/>
                    </w:rPr>
                    <w:t>锅炉排气筒</w:t>
                  </w:r>
                  <w:r>
                    <w:rPr>
                      <w:rFonts w:hint="default" w:ascii="Times New Roman" w:hAnsi="Times New Roman" w:eastAsia="宋体" w:cs="Times New Roman"/>
                      <w:color w:val="auto"/>
                      <w:szCs w:val="20"/>
                      <w:highlight w:val="none"/>
                      <w:lang w:eastAsia="zh-CN"/>
                    </w:rPr>
                    <w:t>（</w:t>
                  </w:r>
                  <w:r>
                    <w:rPr>
                      <w:rFonts w:hint="default" w:ascii="Times New Roman" w:hAnsi="Times New Roman" w:eastAsia="宋体" w:cs="Times New Roman"/>
                      <w:color w:val="auto"/>
                      <w:szCs w:val="20"/>
                      <w:highlight w:val="none"/>
                      <w:lang w:val="en-US" w:eastAsia="zh-CN"/>
                    </w:rPr>
                    <w:t>DA001</w:t>
                  </w:r>
                  <w:r>
                    <w:rPr>
                      <w:rFonts w:hint="default" w:ascii="Times New Roman" w:hAnsi="Times New Roman" w:eastAsia="宋体" w:cs="Times New Roman"/>
                      <w:color w:val="auto"/>
                      <w:szCs w:val="20"/>
                      <w:highlight w:val="none"/>
                      <w:lang w:eastAsia="zh-CN"/>
                    </w:rPr>
                    <w:t>）</w:t>
                  </w:r>
                </w:p>
              </w:tc>
              <w:tc>
                <w:tcPr>
                  <w:tcW w:w="1374" w:type="pct"/>
                  <w:vAlign w:val="center"/>
                </w:tcPr>
                <w:p w14:paraId="17E15BD4">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颗粒物、SO</w:t>
                  </w:r>
                  <w:r>
                    <w:rPr>
                      <w:rFonts w:hint="eastAsia"/>
                      <w:color w:val="auto"/>
                      <w:szCs w:val="20"/>
                      <w:highlight w:val="none"/>
                      <w:vertAlign w:val="subscript"/>
                      <w:lang w:val="en-US" w:eastAsia="zh-CN"/>
                    </w:rPr>
                    <w:t>2</w:t>
                  </w:r>
                  <w:r>
                    <w:rPr>
                      <w:rFonts w:hint="eastAsia"/>
                      <w:color w:val="auto"/>
                      <w:szCs w:val="20"/>
                      <w:highlight w:val="none"/>
                      <w:lang w:val="en-US" w:eastAsia="zh-CN"/>
                    </w:rPr>
                    <w:t>、NO</w:t>
                  </w:r>
                  <w:r>
                    <w:rPr>
                      <w:rFonts w:hint="eastAsia"/>
                      <w:color w:val="auto"/>
                      <w:szCs w:val="20"/>
                      <w:highlight w:val="none"/>
                      <w:vertAlign w:val="subscript"/>
                      <w:lang w:val="en-US" w:eastAsia="zh-CN"/>
                    </w:rPr>
                    <w:t>X</w:t>
                  </w:r>
                </w:p>
              </w:tc>
              <w:tc>
                <w:tcPr>
                  <w:tcW w:w="716" w:type="pct"/>
                  <w:vAlign w:val="center"/>
                </w:tcPr>
                <w:p w14:paraId="09B57FC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lang w:val="en-US" w:eastAsia="zh-CN"/>
                    </w:rPr>
                    <w:t>8</w:t>
                  </w:r>
                  <w:r>
                    <w:rPr>
                      <w:rFonts w:hint="eastAsia"/>
                      <w:color w:val="auto"/>
                      <w:szCs w:val="20"/>
                      <w:highlight w:val="none"/>
                    </w:rPr>
                    <w:t>m</w:t>
                  </w:r>
                </w:p>
              </w:tc>
              <w:tc>
                <w:tcPr>
                  <w:tcW w:w="725" w:type="pct"/>
                  <w:vAlign w:val="center"/>
                </w:tcPr>
                <w:p w14:paraId="30FEB0D0">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lang w:val="en-US" w:eastAsia="zh-CN"/>
                    </w:rPr>
                    <w:t>0.25</w:t>
                  </w:r>
                  <w:r>
                    <w:rPr>
                      <w:rFonts w:hint="eastAsia"/>
                      <w:color w:val="auto"/>
                      <w:szCs w:val="20"/>
                      <w:highlight w:val="none"/>
                    </w:rPr>
                    <w:t>m</w:t>
                  </w:r>
                </w:p>
              </w:tc>
              <w:tc>
                <w:tcPr>
                  <w:tcW w:w="618" w:type="pct"/>
                  <w:tcBorders>
                    <w:right w:val="single" w:color="auto" w:sz="4" w:space="0"/>
                  </w:tcBorders>
                  <w:vAlign w:val="center"/>
                </w:tcPr>
                <w:p w14:paraId="76CD9AD1">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lang w:val="en-US" w:eastAsia="zh-CN"/>
                    </w:rPr>
                    <w:t>80</w:t>
                  </w:r>
                  <w:r>
                    <w:rPr>
                      <w:rFonts w:hint="eastAsia"/>
                      <w:color w:val="auto"/>
                      <w:szCs w:val="20"/>
                      <w:highlight w:val="none"/>
                    </w:rPr>
                    <w:t>℃</w:t>
                  </w:r>
                </w:p>
              </w:tc>
              <w:tc>
                <w:tcPr>
                  <w:tcW w:w="741" w:type="pct"/>
                  <w:tcBorders>
                    <w:left w:val="single" w:color="auto" w:sz="4" w:space="0"/>
                  </w:tcBorders>
                  <w:vAlign w:val="center"/>
                </w:tcPr>
                <w:p w14:paraId="6BC91CC1">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一般排放口</w:t>
                  </w:r>
                </w:p>
              </w:tc>
            </w:tr>
            <w:tr w14:paraId="2D8A14A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624" w:hRule="atLeast"/>
                <w:jc w:val="center"/>
              </w:trPr>
              <w:tc>
                <w:tcPr>
                  <w:tcW w:w="823" w:type="pct"/>
                  <w:vAlign w:val="center"/>
                </w:tcPr>
                <w:p w14:paraId="390A0BB6">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default" w:ascii="Times New Roman" w:hAnsi="Times New Roman" w:eastAsia="宋体" w:cs="Times New Roman"/>
                      <w:color w:val="auto"/>
                      <w:szCs w:val="20"/>
                      <w:highlight w:val="none"/>
                    </w:rPr>
                    <w:t>锅炉排气筒</w:t>
                  </w:r>
                  <w:r>
                    <w:rPr>
                      <w:rFonts w:hint="default" w:ascii="Times New Roman" w:hAnsi="Times New Roman" w:eastAsia="宋体" w:cs="Times New Roman"/>
                      <w:color w:val="auto"/>
                      <w:szCs w:val="20"/>
                      <w:highlight w:val="none"/>
                      <w:lang w:eastAsia="zh-CN"/>
                    </w:rPr>
                    <w:t>（</w:t>
                  </w:r>
                  <w:r>
                    <w:rPr>
                      <w:rFonts w:hint="default" w:ascii="Times New Roman" w:hAnsi="Times New Roman" w:eastAsia="宋体" w:cs="Times New Roman"/>
                      <w:color w:val="auto"/>
                      <w:szCs w:val="20"/>
                      <w:highlight w:val="none"/>
                      <w:lang w:val="en-US" w:eastAsia="zh-CN"/>
                    </w:rPr>
                    <w:t>DA00</w:t>
                  </w:r>
                  <w:r>
                    <w:rPr>
                      <w:rFonts w:hint="eastAsia" w:ascii="Times New Roman" w:hAnsi="Times New Roman" w:eastAsia="宋体" w:cs="Times New Roman"/>
                      <w:color w:val="auto"/>
                      <w:szCs w:val="20"/>
                      <w:highlight w:val="none"/>
                      <w:lang w:val="en-US" w:eastAsia="zh-CN"/>
                    </w:rPr>
                    <w:t>2</w:t>
                  </w:r>
                  <w:r>
                    <w:rPr>
                      <w:rFonts w:hint="default" w:ascii="Times New Roman" w:hAnsi="Times New Roman" w:eastAsia="宋体" w:cs="Times New Roman"/>
                      <w:color w:val="auto"/>
                      <w:szCs w:val="20"/>
                      <w:highlight w:val="none"/>
                      <w:lang w:eastAsia="zh-CN"/>
                    </w:rPr>
                    <w:t>）</w:t>
                  </w:r>
                </w:p>
              </w:tc>
              <w:tc>
                <w:tcPr>
                  <w:tcW w:w="1374" w:type="pct"/>
                  <w:vAlign w:val="center"/>
                </w:tcPr>
                <w:p w14:paraId="7C5ED67D">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颗粒物、SO</w:t>
                  </w:r>
                  <w:r>
                    <w:rPr>
                      <w:rFonts w:hint="eastAsia"/>
                      <w:color w:val="auto"/>
                      <w:szCs w:val="20"/>
                      <w:highlight w:val="none"/>
                      <w:vertAlign w:val="subscript"/>
                      <w:lang w:val="en-US" w:eastAsia="zh-CN"/>
                    </w:rPr>
                    <w:t>2</w:t>
                  </w:r>
                  <w:r>
                    <w:rPr>
                      <w:rFonts w:hint="eastAsia"/>
                      <w:color w:val="auto"/>
                      <w:szCs w:val="20"/>
                      <w:highlight w:val="none"/>
                      <w:lang w:val="en-US" w:eastAsia="zh-CN"/>
                    </w:rPr>
                    <w:t>、NO</w:t>
                  </w:r>
                  <w:r>
                    <w:rPr>
                      <w:rFonts w:hint="eastAsia"/>
                      <w:color w:val="auto"/>
                      <w:szCs w:val="20"/>
                      <w:highlight w:val="none"/>
                      <w:vertAlign w:val="subscript"/>
                      <w:lang w:val="en-US" w:eastAsia="zh-CN"/>
                    </w:rPr>
                    <w:t>X</w:t>
                  </w:r>
                </w:p>
              </w:tc>
              <w:tc>
                <w:tcPr>
                  <w:tcW w:w="716" w:type="pct"/>
                  <w:vAlign w:val="center"/>
                </w:tcPr>
                <w:p w14:paraId="10D17880">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13</w:t>
                  </w:r>
                  <w:r>
                    <w:rPr>
                      <w:rFonts w:hint="eastAsia"/>
                      <w:color w:val="auto"/>
                      <w:szCs w:val="20"/>
                      <w:highlight w:val="none"/>
                    </w:rPr>
                    <w:t>m</w:t>
                  </w:r>
                </w:p>
              </w:tc>
              <w:tc>
                <w:tcPr>
                  <w:tcW w:w="725" w:type="pct"/>
                  <w:vAlign w:val="center"/>
                </w:tcPr>
                <w:p w14:paraId="2A46D368">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0.3</w:t>
                  </w:r>
                  <w:r>
                    <w:rPr>
                      <w:rFonts w:hint="eastAsia"/>
                      <w:color w:val="auto"/>
                      <w:szCs w:val="20"/>
                      <w:highlight w:val="none"/>
                    </w:rPr>
                    <w:t>m</w:t>
                  </w:r>
                </w:p>
              </w:tc>
              <w:tc>
                <w:tcPr>
                  <w:tcW w:w="618" w:type="pct"/>
                  <w:tcBorders>
                    <w:right w:val="single" w:color="auto" w:sz="4" w:space="0"/>
                  </w:tcBorders>
                  <w:vAlign w:val="center"/>
                </w:tcPr>
                <w:p w14:paraId="4EE4EC87">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80</w:t>
                  </w:r>
                  <w:r>
                    <w:rPr>
                      <w:rFonts w:hint="eastAsia"/>
                      <w:color w:val="auto"/>
                      <w:szCs w:val="20"/>
                      <w:highlight w:val="none"/>
                    </w:rPr>
                    <w:t>℃</w:t>
                  </w:r>
                </w:p>
              </w:tc>
              <w:tc>
                <w:tcPr>
                  <w:tcW w:w="741" w:type="pct"/>
                  <w:tcBorders>
                    <w:left w:val="single" w:color="auto" w:sz="4" w:space="0"/>
                  </w:tcBorders>
                  <w:vAlign w:val="center"/>
                </w:tcPr>
                <w:p w14:paraId="27676DF8">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rPr>
                    <w:t>一般排放口</w:t>
                  </w:r>
                </w:p>
              </w:tc>
            </w:tr>
            <w:tr w14:paraId="4AC3087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624" w:hRule="atLeast"/>
                <w:jc w:val="center"/>
              </w:trPr>
              <w:tc>
                <w:tcPr>
                  <w:tcW w:w="823" w:type="pct"/>
                  <w:vAlign w:val="center"/>
                </w:tcPr>
                <w:p w14:paraId="07428C8E">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color w:val="auto"/>
                      <w:szCs w:val="20"/>
                      <w:highlight w:val="none"/>
                    </w:rPr>
                  </w:pPr>
                  <w:r>
                    <w:rPr>
                      <w:rFonts w:hint="default" w:ascii="Times New Roman" w:hAnsi="Times New Roman" w:eastAsia="宋体" w:cs="Times New Roman"/>
                      <w:color w:val="auto"/>
                      <w:szCs w:val="20"/>
                      <w:highlight w:val="none"/>
                      <w:lang w:val="en-US" w:eastAsia="zh-CN"/>
                    </w:rPr>
                    <w:t>油烟排气筒（DA00</w:t>
                  </w:r>
                  <w:r>
                    <w:rPr>
                      <w:rFonts w:hint="eastAsia" w:cs="Times New Roman"/>
                      <w:color w:val="auto"/>
                      <w:szCs w:val="20"/>
                      <w:highlight w:val="none"/>
                      <w:lang w:val="en-US" w:eastAsia="zh-CN"/>
                    </w:rPr>
                    <w:t>3</w:t>
                  </w:r>
                  <w:r>
                    <w:rPr>
                      <w:rFonts w:hint="default" w:ascii="Times New Roman" w:hAnsi="Times New Roman" w:eastAsia="宋体" w:cs="Times New Roman"/>
                      <w:color w:val="auto"/>
                      <w:szCs w:val="20"/>
                      <w:highlight w:val="none"/>
                      <w:lang w:val="en-US" w:eastAsia="zh-CN"/>
                    </w:rPr>
                    <w:t>）</w:t>
                  </w:r>
                </w:p>
              </w:tc>
              <w:tc>
                <w:tcPr>
                  <w:tcW w:w="1374" w:type="pct"/>
                  <w:vAlign w:val="center"/>
                </w:tcPr>
                <w:p w14:paraId="20BA263D">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油烟</w:t>
                  </w:r>
                </w:p>
              </w:tc>
              <w:tc>
                <w:tcPr>
                  <w:tcW w:w="716" w:type="pct"/>
                  <w:vAlign w:val="center"/>
                </w:tcPr>
                <w:p w14:paraId="1C4AF6A9">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24m</w:t>
                  </w:r>
                </w:p>
              </w:tc>
              <w:tc>
                <w:tcPr>
                  <w:tcW w:w="725" w:type="pct"/>
                  <w:vAlign w:val="center"/>
                </w:tcPr>
                <w:p w14:paraId="7515CB44">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0.8m</w:t>
                  </w:r>
                </w:p>
              </w:tc>
              <w:tc>
                <w:tcPr>
                  <w:tcW w:w="618" w:type="pct"/>
                  <w:tcBorders>
                    <w:right w:val="single" w:color="auto" w:sz="4" w:space="0"/>
                  </w:tcBorders>
                  <w:vAlign w:val="center"/>
                </w:tcPr>
                <w:p w14:paraId="7EA942FE">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lang w:val="en-US" w:eastAsia="zh-CN"/>
                    </w:rPr>
                  </w:pPr>
                  <w:r>
                    <w:rPr>
                      <w:rFonts w:hint="eastAsia"/>
                      <w:color w:val="auto"/>
                      <w:szCs w:val="20"/>
                      <w:highlight w:val="none"/>
                      <w:lang w:val="en-US" w:eastAsia="zh-CN"/>
                    </w:rPr>
                    <w:t>80</w:t>
                  </w:r>
                  <w:r>
                    <w:rPr>
                      <w:rFonts w:hint="eastAsia"/>
                      <w:color w:val="auto"/>
                      <w:szCs w:val="20"/>
                      <w:highlight w:val="none"/>
                    </w:rPr>
                    <w:t>℃</w:t>
                  </w:r>
                </w:p>
              </w:tc>
              <w:tc>
                <w:tcPr>
                  <w:tcW w:w="741" w:type="pct"/>
                  <w:tcBorders>
                    <w:left w:val="single" w:color="auto" w:sz="4" w:space="0"/>
                  </w:tcBorders>
                  <w:vAlign w:val="center"/>
                </w:tcPr>
                <w:p w14:paraId="6E35633D">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rPr>
                  </w:pPr>
                  <w:r>
                    <w:rPr>
                      <w:rFonts w:hint="eastAsia"/>
                      <w:color w:val="auto"/>
                      <w:szCs w:val="20"/>
                      <w:highlight w:val="none"/>
                    </w:rPr>
                    <w:t>一般排放口</w:t>
                  </w:r>
                </w:p>
              </w:tc>
            </w:tr>
          </w:tbl>
          <w:p w14:paraId="12A64B14">
            <w:pPr>
              <w:keepNext w:val="0"/>
              <w:keepLines w:val="0"/>
              <w:suppressLineNumbers w:val="0"/>
              <w:spacing w:before="0" w:beforeAutospacing="0" w:after="0" w:afterAutospacing="0"/>
              <w:ind w:left="0" w:right="0" w:firstLine="482"/>
              <w:rPr>
                <w:rFonts w:hint="default"/>
                <w:b/>
                <w:bCs/>
                <w:color w:val="auto"/>
                <w:highlight w:val="none"/>
              </w:rPr>
            </w:pPr>
            <w:r>
              <w:rPr>
                <w:rFonts w:hint="eastAsia"/>
                <w:b/>
                <w:bCs/>
                <w:color w:val="auto"/>
                <w:highlight w:val="none"/>
              </w:rPr>
              <w:t>排气筒高度符合性分析：</w:t>
            </w:r>
          </w:p>
          <w:p w14:paraId="3A113ED4">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32"/>
                <w:highlight w:val="none"/>
              </w:rPr>
            </w:pPr>
            <w:r>
              <w:rPr>
                <w:rFonts w:hint="default" w:ascii="Times New Roman" w:hAnsi="Times New Roman" w:eastAsia="宋体" w:cs="Times New Roman"/>
                <w:color w:val="auto"/>
                <w:kern w:val="0"/>
                <w:sz w:val="24"/>
                <w:szCs w:val="32"/>
                <w:highlight w:val="none"/>
              </w:rPr>
              <w:t>根据</w:t>
            </w:r>
            <w:r>
              <w:rPr>
                <w:rFonts w:hint="default" w:ascii="Times New Roman" w:hAnsi="Times New Roman" w:cs="Times New Roman"/>
                <w:color w:val="auto"/>
                <w:sz w:val="24"/>
                <w:lang w:eastAsia="zh-CN"/>
              </w:rPr>
              <w:t>《锅炉大气污染物排放标准》（DB61/1226-2018）</w:t>
            </w:r>
            <w:r>
              <w:rPr>
                <w:rFonts w:hint="default" w:ascii="Times New Roman" w:hAnsi="Times New Roman" w:eastAsia="宋体" w:cs="Times New Roman"/>
                <w:color w:val="auto"/>
                <w:kern w:val="0"/>
                <w:sz w:val="24"/>
                <w:szCs w:val="32"/>
                <w:highlight w:val="none"/>
              </w:rPr>
              <w:t>中规定，</w:t>
            </w:r>
            <w:r>
              <w:rPr>
                <w:rFonts w:hint="eastAsia" w:ascii="Times New Roman" w:hAnsi="Times New Roman" w:eastAsia="宋体" w:cs="Times New Roman"/>
                <w:color w:val="auto"/>
                <w:kern w:val="0"/>
                <w:sz w:val="24"/>
                <w:szCs w:val="32"/>
                <w:highlight w:val="none"/>
                <w:lang w:eastAsia="zh-CN"/>
              </w:rPr>
              <w:t>“</w:t>
            </w:r>
            <w:r>
              <w:rPr>
                <w:rFonts w:hint="default" w:ascii="Times New Roman" w:hAnsi="Times New Roman" w:eastAsia="宋体" w:cs="Times New Roman"/>
                <w:color w:val="auto"/>
                <w:kern w:val="0"/>
                <w:sz w:val="24"/>
                <w:szCs w:val="32"/>
                <w:highlight w:val="none"/>
              </w:rPr>
              <w:t>燃油、燃气锅炉烟囱不低于8米</w:t>
            </w:r>
            <w:r>
              <w:rPr>
                <w:rFonts w:hint="eastAsia" w:ascii="Times New Roman" w:hAnsi="Times New Roman" w:eastAsia="宋体" w:cs="Times New Roman"/>
                <w:color w:val="auto"/>
                <w:kern w:val="0"/>
                <w:sz w:val="24"/>
                <w:szCs w:val="32"/>
                <w:highlight w:val="none"/>
                <w:lang w:eastAsia="zh-CN"/>
              </w:rPr>
              <w:t>”</w:t>
            </w:r>
            <w:r>
              <w:rPr>
                <w:rFonts w:hint="default" w:ascii="Times New Roman" w:hAnsi="Times New Roman" w:eastAsia="宋体" w:cs="Times New Roman"/>
                <w:color w:val="auto"/>
                <w:kern w:val="0"/>
                <w:sz w:val="24"/>
                <w:szCs w:val="32"/>
                <w:highlight w:val="none"/>
              </w:rPr>
              <w:t>及</w:t>
            </w:r>
            <w:r>
              <w:rPr>
                <w:rFonts w:hint="eastAsia" w:ascii="Times New Roman" w:hAnsi="Times New Roman" w:eastAsia="宋体" w:cs="Times New Roman"/>
                <w:color w:val="auto"/>
                <w:kern w:val="0"/>
                <w:sz w:val="24"/>
                <w:szCs w:val="32"/>
                <w:highlight w:val="none"/>
                <w:lang w:eastAsia="zh-CN"/>
              </w:rPr>
              <w:t>“</w:t>
            </w:r>
            <w:r>
              <w:rPr>
                <w:rFonts w:hint="default" w:ascii="Times New Roman" w:hAnsi="Times New Roman" w:eastAsia="宋体" w:cs="Times New Roman"/>
                <w:color w:val="auto"/>
                <w:kern w:val="0"/>
                <w:sz w:val="24"/>
                <w:szCs w:val="32"/>
                <w:highlight w:val="none"/>
              </w:rPr>
              <w:t>新建锅炉房的烟囱周围半径200m距离内有建筑物时，其烟囱应高出最高建筑物3m以上</w:t>
            </w:r>
            <w:r>
              <w:rPr>
                <w:rFonts w:hint="eastAsia" w:ascii="Times New Roman" w:hAnsi="Times New Roman" w:eastAsia="宋体" w:cs="Times New Roman"/>
                <w:color w:val="auto"/>
                <w:kern w:val="0"/>
                <w:sz w:val="24"/>
                <w:szCs w:val="32"/>
                <w:highlight w:val="none"/>
                <w:lang w:eastAsia="zh-CN"/>
              </w:rPr>
              <w:t>”</w:t>
            </w:r>
            <w:r>
              <w:rPr>
                <w:rFonts w:hint="default" w:ascii="Times New Roman" w:hAnsi="Times New Roman" w:eastAsia="宋体" w:cs="Times New Roman"/>
                <w:color w:val="auto"/>
                <w:kern w:val="0"/>
                <w:sz w:val="24"/>
                <w:szCs w:val="32"/>
                <w:highlight w:val="none"/>
              </w:rPr>
              <w:t>。</w:t>
            </w:r>
            <w:r>
              <w:rPr>
                <w:rFonts w:hint="default" w:ascii="Times New Roman" w:hAnsi="Times New Roman" w:eastAsia="宋体" w:cs="Times New Roman"/>
                <w:color w:val="auto"/>
                <w:kern w:val="0"/>
                <w:sz w:val="24"/>
                <w:szCs w:val="32"/>
                <w:highlight w:val="none"/>
                <w:lang w:val="en-US" w:eastAsia="zh-CN"/>
              </w:rPr>
              <w:t>根据现场踏勘，</w:t>
            </w:r>
            <w:r>
              <w:rPr>
                <w:rFonts w:hint="default" w:ascii="Times New Roman" w:hAnsi="Times New Roman" w:eastAsia="宋体" w:cs="Times New Roman"/>
                <w:color w:val="auto"/>
                <w:kern w:val="0"/>
                <w:sz w:val="24"/>
                <w:szCs w:val="32"/>
                <w:highlight w:val="none"/>
              </w:rPr>
              <w:t>本项目周边200m范围内最高建筑物为</w:t>
            </w:r>
            <w:r>
              <w:rPr>
                <w:rFonts w:hint="default" w:ascii="Times New Roman" w:hAnsi="Times New Roman" w:cs="Times New Roman"/>
                <w:color w:val="auto"/>
                <w:kern w:val="0"/>
                <w:sz w:val="24"/>
                <w:szCs w:val="32"/>
                <w:highlight w:val="none"/>
                <w:lang w:val="en-US" w:eastAsia="zh-CN"/>
              </w:rPr>
              <w:t>本厂区内的中央厨房高24m</w:t>
            </w:r>
            <w:r>
              <w:rPr>
                <w:rFonts w:hint="eastAsia" w:ascii="Times New Roman" w:hAnsi="Times New Roman" w:cs="Times New Roman"/>
                <w:color w:val="auto"/>
                <w:kern w:val="0"/>
                <w:sz w:val="24"/>
                <w:szCs w:val="32"/>
                <w:highlight w:val="none"/>
                <w:lang w:val="en-US" w:eastAsia="zh-CN"/>
              </w:rPr>
              <w:t>。</w:t>
            </w:r>
            <w:r>
              <w:rPr>
                <w:rFonts w:hint="default" w:ascii="Times New Roman" w:hAnsi="Times New Roman" w:eastAsia="宋体" w:cs="Times New Roman"/>
                <w:color w:val="auto"/>
                <w:kern w:val="0"/>
                <w:sz w:val="24"/>
                <w:szCs w:val="32"/>
                <w:highlight w:val="none"/>
              </w:rPr>
              <w:t>因</w:t>
            </w:r>
            <w:r>
              <w:rPr>
                <w:rFonts w:hint="default" w:ascii="Times New Roman" w:hAnsi="Times New Roman" w:cs="Times New Roman"/>
                <w:color w:val="auto"/>
                <w:kern w:val="0"/>
                <w:sz w:val="24"/>
                <w:szCs w:val="32"/>
                <w:highlight w:val="none"/>
                <w:lang w:val="en-US" w:eastAsia="zh-CN"/>
              </w:rPr>
              <w:t>本</w:t>
            </w:r>
            <w:r>
              <w:rPr>
                <w:rFonts w:hint="eastAsia" w:ascii="Times New Roman" w:hAnsi="Times New Roman" w:cs="Times New Roman"/>
                <w:color w:val="auto"/>
                <w:kern w:val="0"/>
                <w:sz w:val="24"/>
                <w:szCs w:val="32"/>
                <w:highlight w:val="none"/>
                <w:lang w:val="en-US" w:eastAsia="zh-CN"/>
              </w:rPr>
              <w:t>项目1#</w:t>
            </w:r>
            <w:r>
              <w:rPr>
                <w:rFonts w:hint="default" w:ascii="Times New Roman" w:hAnsi="Times New Roman" w:cs="Times New Roman"/>
                <w:color w:val="auto"/>
                <w:kern w:val="0"/>
                <w:sz w:val="24"/>
                <w:szCs w:val="32"/>
                <w:highlight w:val="none"/>
                <w:lang w:val="en-US" w:eastAsia="zh-CN"/>
              </w:rPr>
              <w:t>锅炉房高度为</w:t>
            </w:r>
            <w:r>
              <w:rPr>
                <w:rFonts w:hint="eastAsia" w:ascii="Times New Roman" w:hAnsi="Times New Roman" w:cs="Times New Roman"/>
                <w:color w:val="auto"/>
                <w:kern w:val="0"/>
                <w:sz w:val="24"/>
                <w:szCs w:val="32"/>
                <w:highlight w:val="none"/>
                <w:lang w:val="en-US" w:eastAsia="zh-CN"/>
              </w:rPr>
              <w:t>3</w:t>
            </w:r>
            <w:r>
              <w:rPr>
                <w:rFonts w:hint="default" w:ascii="Times New Roman" w:hAnsi="Times New Roman" w:cs="Times New Roman"/>
                <w:color w:val="auto"/>
                <w:kern w:val="0"/>
                <w:sz w:val="24"/>
                <w:szCs w:val="32"/>
                <w:highlight w:val="none"/>
                <w:lang w:val="en-US" w:eastAsia="zh-CN"/>
              </w:rPr>
              <w:t>m</w:t>
            </w:r>
            <w:r>
              <w:rPr>
                <w:rFonts w:hint="eastAsia" w:ascii="Times New Roman" w:hAnsi="Times New Roman" w:cs="Times New Roman"/>
                <w:color w:val="auto"/>
                <w:kern w:val="0"/>
                <w:sz w:val="24"/>
                <w:szCs w:val="32"/>
                <w:highlight w:val="none"/>
                <w:lang w:val="en-US" w:eastAsia="zh-CN"/>
              </w:rPr>
              <w:t>，2#锅炉房高度为10m，</w:t>
            </w:r>
            <w:r>
              <w:rPr>
                <w:rFonts w:hint="default" w:ascii="Times New Roman" w:hAnsi="Times New Roman" w:eastAsia="宋体" w:cs="Times New Roman"/>
                <w:color w:val="auto"/>
                <w:sz w:val="24"/>
                <w:szCs w:val="24"/>
                <w:highlight w:val="none"/>
              </w:rPr>
              <w:t>排气筒</w:t>
            </w:r>
            <w:r>
              <w:rPr>
                <w:rFonts w:hint="default" w:ascii="Times New Roman" w:hAnsi="Times New Roman" w:eastAsia="宋体" w:cs="Times New Roman"/>
                <w:color w:val="auto"/>
                <w:sz w:val="24"/>
                <w:szCs w:val="24"/>
                <w:highlight w:val="none"/>
                <w:lang w:val="en-US" w:eastAsia="zh-CN"/>
              </w:rPr>
              <w:t>DA00</w:t>
            </w:r>
            <w:r>
              <w:rPr>
                <w:rFonts w:hint="eastAsia" w:cs="Times New Roman"/>
                <w:color w:val="auto"/>
                <w:sz w:val="24"/>
                <w:szCs w:val="24"/>
                <w:highlight w:val="none"/>
                <w:lang w:val="en-US" w:eastAsia="zh-CN"/>
              </w:rPr>
              <w:t>1、</w:t>
            </w:r>
            <w:r>
              <w:rPr>
                <w:rFonts w:hint="eastAsia" w:eastAsia="宋体" w:cs="Times New Roman"/>
                <w:color w:val="auto"/>
                <w:sz w:val="24"/>
                <w:szCs w:val="24"/>
                <w:highlight w:val="none"/>
                <w:lang w:val="en-US" w:eastAsia="zh-CN"/>
              </w:rPr>
              <w:t>DA002按标准</w:t>
            </w:r>
            <w:r>
              <w:rPr>
                <w:rFonts w:hint="eastAsia" w:cs="Times New Roman"/>
                <w:color w:val="auto"/>
                <w:sz w:val="24"/>
                <w:szCs w:val="24"/>
                <w:highlight w:val="none"/>
                <w:lang w:val="en-US" w:eastAsia="zh-CN"/>
              </w:rPr>
              <w:t>要求，</w:t>
            </w:r>
            <w:r>
              <w:rPr>
                <w:rFonts w:hint="eastAsia" w:eastAsia="宋体" w:cs="Times New Roman"/>
                <w:color w:val="auto"/>
                <w:sz w:val="24"/>
                <w:szCs w:val="24"/>
                <w:highlight w:val="none"/>
                <w:lang w:val="en-US" w:eastAsia="zh-CN"/>
              </w:rPr>
              <w:t>高度均</w:t>
            </w:r>
            <w:r>
              <w:rPr>
                <w:rFonts w:hint="eastAsia" w:cs="Times New Roman"/>
                <w:color w:val="auto"/>
                <w:sz w:val="24"/>
                <w:szCs w:val="24"/>
                <w:highlight w:val="none"/>
                <w:lang w:val="en-US" w:eastAsia="zh-CN"/>
              </w:rPr>
              <w:t>需达到27m，因本项目锅炉房为独立的建筑物，</w:t>
            </w:r>
            <w:r>
              <w:rPr>
                <w:rFonts w:hint="eastAsia"/>
                <w:color w:val="auto"/>
                <w:kern w:val="0"/>
                <w:sz w:val="24"/>
                <w:szCs w:val="32"/>
              </w:rPr>
              <w:t>设立情况主要依附于锅炉房底部构架，且排气筒高度高于锅炉房，越向上直径越小。</w:t>
            </w:r>
            <w:r>
              <w:rPr>
                <w:rFonts w:hint="eastAsia" w:cs="Times New Roman"/>
                <w:color w:val="auto"/>
                <w:sz w:val="24"/>
                <w:szCs w:val="24"/>
                <w:highlight w:val="none"/>
                <w:lang w:val="en-US" w:eastAsia="zh-CN"/>
              </w:rPr>
              <w:t>现场</w:t>
            </w:r>
            <w:r>
              <w:rPr>
                <w:rFonts w:hint="default" w:ascii="Times New Roman" w:hAnsi="Times New Roman" w:eastAsia="宋体" w:cs="Times New Roman"/>
                <w:color w:val="auto"/>
                <w:sz w:val="24"/>
                <w:szCs w:val="24"/>
                <w:highlight w:val="none"/>
              </w:rPr>
              <w:t>安装</w:t>
            </w:r>
            <w:r>
              <w:rPr>
                <w:rFonts w:hint="eastAsia" w:eastAsia="宋体" w:cs="Times New Roman"/>
                <w:color w:val="auto"/>
                <w:sz w:val="24"/>
                <w:szCs w:val="24"/>
                <w:highlight w:val="none"/>
                <w:lang w:val="en-US" w:eastAsia="zh-CN"/>
              </w:rPr>
              <w:t>时</w:t>
            </w:r>
            <w:r>
              <w:rPr>
                <w:rFonts w:hint="default" w:ascii="Times New Roman" w:hAnsi="Times New Roman" w:eastAsia="宋体" w:cs="Times New Roman"/>
                <w:color w:val="auto"/>
                <w:sz w:val="24"/>
                <w:szCs w:val="24"/>
                <w:highlight w:val="none"/>
              </w:rPr>
              <w:t>固定条件差，过高的排气筒安装稳定较差，不利于排气筒安装和稳定排放</w:t>
            </w:r>
            <w:r>
              <w:rPr>
                <w:rFonts w:hint="eastAsia" w:cs="Times New Roman"/>
                <w:color w:val="auto"/>
                <w:sz w:val="24"/>
                <w:szCs w:val="24"/>
                <w:highlight w:val="none"/>
                <w:lang w:eastAsia="zh-CN"/>
              </w:rPr>
              <w:t>。</w:t>
            </w:r>
            <w:r>
              <w:rPr>
                <w:rFonts w:hint="eastAsia"/>
                <w:color w:val="auto"/>
                <w:kern w:val="0"/>
                <w:sz w:val="24"/>
                <w:szCs w:val="32"/>
              </w:rPr>
              <w:t>因此，从烟囱实际建设可行性角度和安全角度考虑，本项目锅炉房排气筒设置按照“不低于8m”的规定执行。</w:t>
            </w:r>
            <w:r>
              <w:rPr>
                <w:rFonts w:hint="default" w:ascii="Times New Roman" w:hAnsi="Times New Roman" w:eastAsia="宋体" w:cs="Times New Roman"/>
                <w:color w:val="auto"/>
                <w:sz w:val="24"/>
                <w:szCs w:val="24"/>
                <w:highlight w:val="none"/>
                <w:lang w:eastAsia="zh-CN"/>
              </w:rPr>
              <w:t>故</w:t>
            </w:r>
            <w:r>
              <w:rPr>
                <w:rFonts w:hint="default" w:ascii="Times New Roman" w:hAnsi="Times New Roman" w:eastAsia="宋体" w:cs="Times New Roman"/>
                <w:color w:val="auto"/>
                <w:sz w:val="24"/>
                <w:szCs w:val="24"/>
                <w:highlight w:val="none"/>
              </w:rPr>
              <w:t>本评价确定排气筒</w:t>
            </w:r>
            <w:r>
              <w:rPr>
                <w:rFonts w:hint="default" w:ascii="Times New Roman" w:hAnsi="Times New Roman" w:eastAsia="宋体" w:cs="Times New Roman"/>
                <w:color w:val="auto"/>
                <w:sz w:val="24"/>
                <w:szCs w:val="24"/>
                <w:highlight w:val="none"/>
                <w:lang w:val="en-US" w:eastAsia="zh-CN"/>
              </w:rPr>
              <w:t>DA001、DA002</w:t>
            </w:r>
            <w:r>
              <w:rPr>
                <w:rFonts w:hint="default" w:ascii="Times New Roman" w:hAnsi="Times New Roman" w:eastAsia="宋体" w:cs="Times New Roman"/>
                <w:color w:val="auto"/>
                <w:sz w:val="24"/>
                <w:szCs w:val="24"/>
                <w:highlight w:val="none"/>
              </w:rPr>
              <w:t>高度</w:t>
            </w:r>
            <w:r>
              <w:rPr>
                <w:rFonts w:hint="eastAsia" w:cs="Times New Roman"/>
                <w:color w:val="auto"/>
                <w:sz w:val="24"/>
                <w:szCs w:val="24"/>
                <w:highlight w:val="none"/>
                <w:lang w:val="en-US" w:eastAsia="zh-CN"/>
              </w:rPr>
              <w:t>分别</w:t>
            </w:r>
            <w:r>
              <w:rPr>
                <w:rFonts w:hint="default" w:ascii="Times New Roman" w:hAnsi="Times New Roman" w:eastAsia="宋体" w:cs="Times New Roman"/>
                <w:color w:val="auto"/>
                <w:sz w:val="24"/>
                <w:szCs w:val="24"/>
                <w:highlight w:val="none"/>
              </w:rPr>
              <w:t>为</w:t>
            </w:r>
            <w:r>
              <w:rPr>
                <w:rFonts w:hint="eastAsia" w:cs="Times New Roman"/>
                <w:color w:val="auto"/>
                <w:sz w:val="24"/>
                <w:szCs w:val="24"/>
                <w:highlight w:val="none"/>
                <w:lang w:val="en-US" w:eastAsia="zh-CN"/>
              </w:rPr>
              <w:t>8m、</w:t>
            </w:r>
            <w:r>
              <w:rPr>
                <w:rFonts w:hint="default" w:ascii="Times New Roman" w:hAnsi="Times New Roman" w:eastAsia="宋体" w:cs="Times New Roman"/>
                <w:color w:val="auto"/>
                <w:sz w:val="24"/>
                <w:szCs w:val="24"/>
                <w:highlight w:val="none"/>
              </w:rPr>
              <w:t>1</w:t>
            </w: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m</w:t>
            </w:r>
            <w:r>
              <w:rPr>
                <w:rFonts w:hint="eastAsia" w:cs="Times New Roman"/>
                <w:color w:val="auto"/>
                <w:sz w:val="24"/>
                <w:szCs w:val="24"/>
                <w:highlight w:val="none"/>
                <w:lang w:eastAsia="zh-CN"/>
              </w:rPr>
              <w:t>，</w:t>
            </w:r>
            <w:r>
              <w:rPr>
                <w:rFonts w:hint="default" w:ascii="Times New Roman" w:hAnsi="Times New Roman" w:cs="Times New Roman"/>
                <w:color w:val="auto"/>
                <w:kern w:val="0"/>
                <w:sz w:val="24"/>
                <w:szCs w:val="32"/>
                <w:highlight w:val="none"/>
                <w:lang w:val="en-US" w:eastAsia="zh-CN"/>
              </w:rPr>
              <w:t>符合</w:t>
            </w:r>
            <w:r>
              <w:rPr>
                <w:rFonts w:hint="eastAsia" w:ascii="Times New Roman" w:hAnsi="Times New Roman" w:cs="Times New Roman"/>
                <w:color w:val="auto"/>
                <w:kern w:val="0"/>
                <w:sz w:val="24"/>
                <w:szCs w:val="32"/>
                <w:highlight w:val="none"/>
                <w:lang w:val="en-US" w:eastAsia="zh-CN"/>
              </w:rPr>
              <w:t>要求</w:t>
            </w:r>
            <w:r>
              <w:rPr>
                <w:rFonts w:hint="default" w:ascii="Times New Roman" w:hAnsi="Times New Roman" w:eastAsia="宋体" w:cs="Times New Roman"/>
                <w:color w:val="auto"/>
                <w:kern w:val="0"/>
                <w:sz w:val="24"/>
                <w:szCs w:val="32"/>
                <w:highlight w:val="none"/>
              </w:rPr>
              <w:t>。</w:t>
            </w:r>
          </w:p>
          <w:p w14:paraId="5414CD15">
            <w:pPr>
              <w:keepNext w:val="0"/>
              <w:keepLines w:val="0"/>
              <w:suppressLineNumbers w:val="0"/>
              <w:spacing w:before="0" w:beforeAutospacing="0" w:after="0" w:afterAutospacing="0"/>
              <w:ind w:left="0" w:right="0" w:firstLine="480"/>
              <w:rPr>
                <w:rFonts w:hint="default" w:ascii="Times New Roman" w:hAnsi="Times New Roman" w:cs="Times New Roman"/>
                <w:color w:val="auto"/>
                <w:highlight w:val="none"/>
              </w:rPr>
            </w:pPr>
            <w:r>
              <w:rPr>
                <w:rFonts w:hint="default" w:ascii="Times New Roman" w:hAnsi="Times New Roman" w:cs="Times New Roman"/>
                <w:color w:val="auto"/>
                <w:kern w:val="0"/>
                <w:sz w:val="24"/>
                <w:szCs w:val="32"/>
                <w:highlight w:val="none"/>
                <w:lang w:val="en-US" w:eastAsia="zh-CN"/>
              </w:rPr>
              <w:t>根据《饮食业环境保护技术规范》（HJ554-2010）6.2油烟排放中的规定“饮食业单位所在建筑物小于等于15m时，油烟排放口应高出屋顶；建筑物高度大于15m时，油烟排放口高度应大于15m”。本项目建筑物的最大高度为</w:t>
            </w:r>
            <w:r>
              <w:rPr>
                <w:rFonts w:hint="eastAsia" w:ascii="Times New Roman" w:hAnsi="Times New Roman" w:cs="Times New Roman"/>
                <w:color w:val="auto"/>
                <w:kern w:val="0"/>
                <w:sz w:val="24"/>
                <w:szCs w:val="32"/>
                <w:highlight w:val="none"/>
                <w:lang w:val="en-US" w:eastAsia="zh-CN"/>
              </w:rPr>
              <w:t>24</w:t>
            </w:r>
            <w:r>
              <w:rPr>
                <w:rFonts w:hint="default" w:ascii="Times New Roman" w:hAnsi="Times New Roman" w:cs="Times New Roman"/>
                <w:color w:val="auto"/>
                <w:kern w:val="0"/>
                <w:sz w:val="24"/>
                <w:szCs w:val="32"/>
                <w:highlight w:val="none"/>
                <w:lang w:val="en-US" w:eastAsia="zh-CN"/>
              </w:rPr>
              <w:t>m＞15m，本项目</w:t>
            </w:r>
            <w:r>
              <w:rPr>
                <w:rFonts w:hint="eastAsia" w:ascii="Times New Roman" w:hAnsi="Times New Roman" w:cs="Times New Roman"/>
                <w:color w:val="auto"/>
                <w:kern w:val="0"/>
                <w:sz w:val="24"/>
                <w:szCs w:val="32"/>
                <w:highlight w:val="none"/>
                <w:lang w:val="en-US" w:eastAsia="zh-CN"/>
              </w:rPr>
              <w:t>1根</w:t>
            </w:r>
            <w:r>
              <w:rPr>
                <w:rFonts w:hint="default" w:ascii="Times New Roman" w:hAnsi="Times New Roman" w:cs="Times New Roman"/>
                <w:color w:val="auto"/>
                <w:kern w:val="0"/>
                <w:sz w:val="24"/>
                <w:szCs w:val="32"/>
                <w:highlight w:val="none"/>
                <w:lang w:val="en-US" w:eastAsia="zh-CN"/>
              </w:rPr>
              <w:t>油烟排气筒</w:t>
            </w:r>
            <w:r>
              <w:rPr>
                <w:rFonts w:hint="eastAsia" w:ascii="Times New Roman" w:hAnsi="Times New Roman" w:cs="Times New Roman"/>
                <w:color w:val="auto"/>
                <w:kern w:val="0"/>
                <w:sz w:val="24"/>
                <w:szCs w:val="32"/>
                <w:highlight w:val="none"/>
                <w:lang w:val="en-US" w:eastAsia="zh-CN"/>
              </w:rPr>
              <w:t>（DA003）</w:t>
            </w:r>
            <w:r>
              <w:rPr>
                <w:rFonts w:hint="default" w:ascii="Times New Roman" w:hAnsi="Times New Roman" w:cs="Times New Roman"/>
                <w:color w:val="auto"/>
                <w:kern w:val="0"/>
                <w:sz w:val="24"/>
                <w:szCs w:val="32"/>
                <w:highlight w:val="none"/>
                <w:lang w:val="en-US" w:eastAsia="zh-CN"/>
              </w:rPr>
              <w:t>高度为</w:t>
            </w:r>
            <w:r>
              <w:rPr>
                <w:rFonts w:hint="eastAsia" w:ascii="Times New Roman" w:hAnsi="Times New Roman" w:cs="Times New Roman"/>
                <w:color w:val="auto"/>
                <w:kern w:val="0"/>
                <w:sz w:val="24"/>
                <w:szCs w:val="32"/>
                <w:highlight w:val="none"/>
                <w:lang w:val="en-US" w:eastAsia="zh-CN"/>
              </w:rPr>
              <w:t>24</w:t>
            </w:r>
            <w:r>
              <w:rPr>
                <w:rFonts w:hint="default" w:ascii="Times New Roman" w:hAnsi="Times New Roman" w:cs="Times New Roman"/>
                <w:color w:val="auto"/>
                <w:kern w:val="0"/>
                <w:sz w:val="24"/>
                <w:szCs w:val="32"/>
                <w:highlight w:val="none"/>
                <w:lang w:val="en-US" w:eastAsia="zh-CN"/>
              </w:rPr>
              <w:t>m，高出屋顶，符合《饮食业环境保护技术规范》（HJ554-2010）中油烟排放口高度的要求</w:t>
            </w:r>
            <w:r>
              <w:rPr>
                <w:rFonts w:hint="default" w:ascii="Times New Roman" w:hAnsi="Times New Roman" w:cs="Times New Roman"/>
                <w:color w:val="auto"/>
                <w:highlight w:val="none"/>
              </w:rPr>
              <w:t>。</w:t>
            </w:r>
          </w:p>
          <w:p w14:paraId="4A34CEBA">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rPr>
              <w:t>4、废气监测计划</w:t>
            </w:r>
          </w:p>
          <w:p w14:paraId="43542A03">
            <w:pPr>
              <w:pStyle w:val="170"/>
              <w:keepNext w:val="0"/>
              <w:keepLines w:val="0"/>
              <w:suppressLineNumbers w:val="0"/>
              <w:spacing w:before="0" w:beforeAutospacing="0" w:after="0" w:afterAutospacing="0" w:line="360" w:lineRule="auto"/>
              <w:ind w:left="0" w:right="0"/>
              <w:rPr>
                <w:rFonts w:hint="default"/>
                <w:color w:val="auto"/>
                <w:szCs w:val="24"/>
                <w:highlight w:val="none"/>
              </w:rPr>
            </w:pPr>
            <w:r>
              <w:rPr>
                <w:rFonts w:hint="eastAsia" w:hAnsi="Times New Roman" w:cs="Times New Roman"/>
                <w:color w:val="auto"/>
                <w:szCs w:val="24"/>
                <w:highlight w:val="none"/>
              </w:rPr>
              <w:t>根据</w:t>
            </w:r>
            <w:r>
              <w:rPr>
                <w:rFonts w:hint="default" w:ascii="Times New Roman" w:hAnsi="Times New Roman" w:cs="Times New Roman"/>
                <w:color w:val="auto"/>
                <w:sz w:val="24"/>
                <w:lang w:val="en-US" w:eastAsia="zh-CN"/>
              </w:rPr>
              <w:t>《排污单位自行监测技术指南 总则》（HJ19-2017）、</w:t>
            </w:r>
            <w:r>
              <w:rPr>
                <w:rFonts w:hint="default" w:ascii="Times New Roman" w:hAnsi="Times New Roman" w:cs="Times New Roman"/>
                <w:color w:val="auto"/>
                <w:sz w:val="24"/>
              </w:rPr>
              <w:t>《排污</w:t>
            </w:r>
            <w:r>
              <w:rPr>
                <w:rFonts w:hint="default" w:ascii="Times New Roman" w:hAnsi="Times New Roman" w:cs="Times New Roman"/>
                <w:color w:val="auto"/>
                <w:sz w:val="24"/>
                <w:lang w:val="en-US" w:eastAsia="zh-CN"/>
              </w:rPr>
              <w:t>单位自行监测技术指南</w:t>
            </w:r>
            <w:r>
              <w:rPr>
                <w:rFonts w:hint="default" w:ascii="Times New Roman" w:hAnsi="Times New Roman" w:cs="Times New Roman"/>
                <w:color w:val="auto"/>
                <w:sz w:val="24"/>
              </w:rPr>
              <w:t xml:space="preserve">  </w:t>
            </w:r>
            <w:r>
              <w:rPr>
                <w:rFonts w:hint="default" w:ascii="Times New Roman" w:hAnsi="Times New Roman" w:cs="Times New Roman"/>
                <w:color w:val="auto"/>
                <w:sz w:val="24"/>
                <w:lang w:val="en-US" w:eastAsia="zh-CN"/>
              </w:rPr>
              <w:t>火力发电及锅炉</w:t>
            </w:r>
            <w:r>
              <w:rPr>
                <w:rFonts w:hint="default" w:ascii="Times New Roman" w:hAnsi="Times New Roman" w:cs="Times New Roman"/>
                <w:color w:val="auto"/>
                <w:sz w:val="24"/>
              </w:rPr>
              <w:t>》（HJ</w:t>
            </w:r>
            <w:r>
              <w:rPr>
                <w:rFonts w:hint="default" w:ascii="Times New Roman" w:hAnsi="Times New Roman" w:cs="Times New Roman"/>
                <w:color w:val="auto"/>
                <w:sz w:val="24"/>
                <w:lang w:val="en-US" w:eastAsia="zh-CN"/>
              </w:rPr>
              <w:t>820-2017</w:t>
            </w:r>
            <w:r>
              <w:rPr>
                <w:rFonts w:hint="default" w:ascii="Times New Roman" w:hAnsi="Times New Roman" w:cs="Times New Roman"/>
                <w:color w:val="auto"/>
                <w:sz w:val="24"/>
              </w:rPr>
              <w:t>）</w:t>
            </w:r>
            <w:r>
              <w:rPr>
                <w:rFonts w:hint="default" w:ascii="Times New Roman" w:hAnsi="Times New Roman" w:cs="Times New Roman"/>
                <w:color w:val="auto"/>
                <w:sz w:val="24"/>
                <w:lang w:eastAsia="zh-CN"/>
              </w:rPr>
              <w:t>、《排污单位自行监测技术指南 食品制造》（HJ1084-2020）</w:t>
            </w:r>
            <w:r>
              <w:rPr>
                <w:rFonts w:hint="default" w:ascii="Times New Roman" w:hAnsi="Times New Roman" w:cs="Times New Roman"/>
                <w:color w:val="auto"/>
                <w:sz w:val="24"/>
              </w:rPr>
              <w:t>相关要求</w:t>
            </w:r>
            <w:r>
              <w:rPr>
                <w:rFonts w:hint="eastAsia"/>
                <w:color w:val="auto"/>
                <w:szCs w:val="24"/>
                <w:highlight w:val="none"/>
              </w:rPr>
              <w:t>，废气监测计划如下。</w:t>
            </w:r>
          </w:p>
          <w:p w14:paraId="37F0574D">
            <w:pPr>
              <w:pStyle w:val="77"/>
              <w:keepNext w:val="0"/>
              <w:keepLines w:val="0"/>
              <w:widowControl/>
              <w:suppressLineNumbers w:val="0"/>
              <w:spacing w:before="0" w:beforeLines="0" w:beforeAutospacing="0" w:after="0" w:afterAutospacing="0" w:line="240" w:lineRule="auto"/>
              <w:ind w:left="0" w:right="0"/>
              <w:rPr>
                <w:rFonts w:hint="default" w:eastAsia="宋体"/>
                <w:b/>
                <w:bCs/>
                <w:color w:val="auto"/>
                <w:highlight w:val="none"/>
              </w:rPr>
            </w:pPr>
            <w:r>
              <w:rPr>
                <w:rFonts w:hint="eastAsia" w:eastAsia="宋体"/>
                <w:b/>
                <w:bCs/>
                <w:color w:val="auto"/>
                <w:highlight w:val="none"/>
              </w:rPr>
              <w:t>表4-3    运营期废气监测计划明细表</w:t>
            </w:r>
          </w:p>
          <w:tbl>
            <w:tblPr>
              <w:tblStyle w:val="3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69"/>
              <w:gridCol w:w="1669"/>
              <w:gridCol w:w="1510"/>
              <w:gridCol w:w="1089"/>
              <w:gridCol w:w="2331"/>
            </w:tblGrid>
            <w:tr w14:paraId="178F9B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9" w:type="pct"/>
                  <w:noWrap w:val="0"/>
                  <w:vAlign w:val="center"/>
                </w:tcPr>
                <w:p w14:paraId="2347FB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排放口名称</w:t>
                  </w:r>
                </w:p>
              </w:tc>
              <w:tc>
                <w:tcPr>
                  <w:tcW w:w="1009" w:type="pct"/>
                  <w:noWrap w:val="0"/>
                  <w:vAlign w:val="center"/>
                </w:tcPr>
                <w:p w14:paraId="5DBE50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bCs/>
                      <w:color w:val="auto"/>
                      <w:spacing w:val="0"/>
                      <w:kern w:val="21"/>
                      <w:sz w:val="21"/>
                      <w:szCs w:val="21"/>
                      <w:highlight w:val="none"/>
                      <w:lang w:val="en-US" w:eastAsia="zh-CN"/>
                    </w:rPr>
                    <w:t>监测指标</w:t>
                  </w:r>
                </w:p>
              </w:tc>
              <w:tc>
                <w:tcPr>
                  <w:tcW w:w="913" w:type="pct"/>
                  <w:noWrap w:val="0"/>
                  <w:vAlign w:val="center"/>
                </w:tcPr>
                <w:p w14:paraId="3E71BC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监测点位置</w:t>
                  </w:r>
                </w:p>
              </w:tc>
              <w:tc>
                <w:tcPr>
                  <w:tcW w:w="658" w:type="pct"/>
                  <w:noWrap w:val="0"/>
                  <w:vAlign w:val="center"/>
                </w:tcPr>
                <w:p w14:paraId="1EDC2C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bCs/>
                      <w:color w:val="auto"/>
                      <w:spacing w:val="0"/>
                      <w:kern w:val="21"/>
                      <w:sz w:val="21"/>
                      <w:szCs w:val="21"/>
                      <w:highlight w:val="none"/>
                    </w:rPr>
                    <w:t>监测</w:t>
                  </w:r>
                  <w:r>
                    <w:rPr>
                      <w:rFonts w:hint="default" w:ascii="Times New Roman" w:hAnsi="Times New Roman" w:cs="Times New Roman"/>
                      <w:bCs/>
                      <w:color w:val="auto"/>
                      <w:spacing w:val="0"/>
                      <w:kern w:val="21"/>
                      <w:sz w:val="21"/>
                      <w:szCs w:val="21"/>
                      <w:highlight w:val="none"/>
                      <w:lang w:val="en-US" w:eastAsia="zh-CN"/>
                    </w:rPr>
                    <w:t>频次</w:t>
                  </w:r>
                </w:p>
              </w:tc>
              <w:tc>
                <w:tcPr>
                  <w:tcW w:w="1409" w:type="pct"/>
                  <w:noWrap w:val="0"/>
                  <w:vAlign w:val="center"/>
                </w:tcPr>
                <w:p w14:paraId="7B596D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pacing w:val="0"/>
                      <w:kern w:val="21"/>
                      <w:sz w:val="21"/>
                      <w:szCs w:val="21"/>
                      <w:highlight w:val="none"/>
                      <w:lang w:val="en-US" w:eastAsia="zh-CN"/>
                    </w:rPr>
                  </w:pPr>
                  <w:r>
                    <w:rPr>
                      <w:rFonts w:hint="default" w:ascii="Times New Roman" w:hAnsi="Times New Roman" w:cs="Times New Roman"/>
                      <w:bCs/>
                      <w:color w:val="auto"/>
                      <w:spacing w:val="0"/>
                      <w:kern w:val="21"/>
                      <w:sz w:val="21"/>
                      <w:szCs w:val="21"/>
                      <w:highlight w:val="none"/>
                      <w:lang w:val="en-US" w:eastAsia="zh-CN"/>
                    </w:rPr>
                    <w:t>排放标准</w:t>
                  </w:r>
                </w:p>
              </w:tc>
            </w:tr>
            <w:tr w14:paraId="4A176D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9" w:type="pct"/>
                  <w:vMerge w:val="restart"/>
                  <w:noWrap w:val="0"/>
                  <w:vAlign w:val="center"/>
                </w:tcPr>
                <w:p w14:paraId="75094D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sz w:val="21"/>
                      <w:szCs w:val="21"/>
                      <w:highlight w:val="none"/>
                      <w:lang w:val="en-US" w:eastAsia="zh-CN"/>
                    </w:rPr>
                    <w:t>1#</w:t>
                  </w:r>
                  <w:r>
                    <w:rPr>
                      <w:rFonts w:hint="default" w:ascii="Times New Roman" w:hAnsi="Times New Roman" w:cs="Times New Roman"/>
                      <w:color w:val="auto"/>
                      <w:sz w:val="21"/>
                      <w:szCs w:val="21"/>
                      <w:highlight w:val="none"/>
                    </w:rPr>
                    <w:t>锅炉</w:t>
                  </w:r>
                  <w:r>
                    <w:rPr>
                      <w:rFonts w:hint="eastAsia" w:cs="Times New Roman"/>
                      <w:color w:val="auto"/>
                      <w:sz w:val="21"/>
                      <w:szCs w:val="21"/>
                      <w:highlight w:val="none"/>
                      <w:lang w:val="en-US" w:eastAsia="zh-CN"/>
                    </w:rPr>
                    <w:t>房废气</w:t>
                  </w:r>
                  <w:r>
                    <w:rPr>
                      <w:rFonts w:hint="default" w:ascii="Times New Roman" w:hAnsi="Times New Roman" w:cs="Times New Roman"/>
                      <w:color w:val="auto"/>
                      <w:sz w:val="21"/>
                      <w:szCs w:val="21"/>
                      <w:highlight w:val="none"/>
                    </w:rPr>
                    <w:t>排气筒</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DA001</w:t>
                  </w:r>
                  <w:r>
                    <w:rPr>
                      <w:rFonts w:hint="default" w:ascii="Times New Roman" w:hAnsi="Times New Roman" w:cs="Times New Roman"/>
                      <w:color w:val="auto"/>
                      <w:sz w:val="21"/>
                      <w:szCs w:val="21"/>
                      <w:highlight w:val="none"/>
                      <w:lang w:eastAsia="zh-CN"/>
                    </w:rPr>
                    <w:t>）</w:t>
                  </w:r>
                </w:p>
              </w:tc>
              <w:tc>
                <w:tcPr>
                  <w:tcW w:w="1009" w:type="pct"/>
                  <w:noWrap w:val="0"/>
                  <w:vAlign w:val="center"/>
                </w:tcPr>
                <w:p w14:paraId="45B761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lang w:val="en-US" w:eastAsia="zh-CN" w:bidi="ar"/>
                    </w:rPr>
                  </w:pPr>
                  <w:r>
                    <w:rPr>
                      <w:rFonts w:hint="default" w:ascii="Times New Roman" w:hAnsi="Times New Roman" w:cs="Times New Roman"/>
                      <w:color w:val="auto"/>
                      <w:sz w:val="21"/>
                      <w:szCs w:val="21"/>
                      <w:lang w:bidi="ar"/>
                    </w:rPr>
                    <w:t>颗粒物、SO</w:t>
                  </w:r>
                  <w:r>
                    <w:rPr>
                      <w:rFonts w:hint="default" w:ascii="Times New Roman" w:hAnsi="Times New Roman" w:cs="Times New Roman"/>
                      <w:color w:val="auto"/>
                      <w:sz w:val="21"/>
                      <w:szCs w:val="21"/>
                      <w:vertAlign w:val="subscript"/>
                      <w:lang w:bidi="ar"/>
                    </w:rPr>
                    <w:t>2</w:t>
                  </w:r>
                </w:p>
              </w:tc>
              <w:tc>
                <w:tcPr>
                  <w:tcW w:w="913" w:type="pct"/>
                  <w:vMerge w:val="restart"/>
                  <w:noWrap w:val="0"/>
                  <w:vAlign w:val="center"/>
                </w:tcPr>
                <w:p w14:paraId="01CC8A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lang w:val="en-US" w:eastAsia="zh-CN"/>
                    </w:rPr>
                    <w:t>排气筒出口</w:t>
                  </w:r>
                </w:p>
              </w:tc>
              <w:tc>
                <w:tcPr>
                  <w:tcW w:w="1089" w:type="dxa"/>
                  <w:noWrap w:val="0"/>
                  <w:vAlign w:val="center"/>
                </w:tcPr>
                <w:p w14:paraId="0C7625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1次/年</w:t>
                  </w:r>
                </w:p>
              </w:tc>
              <w:tc>
                <w:tcPr>
                  <w:tcW w:w="1409" w:type="pct"/>
                  <w:vMerge w:val="restart"/>
                  <w:noWrap w:val="0"/>
                  <w:vAlign w:val="center"/>
                </w:tcPr>
                <w:p w14:paraId="4F4B46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rPr>
                    <w:t>《锅炉大气污染物排放标准》（DB 61/1226-2018）表3</w:t>
                  </w:r>
                </w:p>
              </w:tc>
            </w:tr>
            <w:tr w14:paraId="40A31C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9" w:type="pct"/>
                  <w:vMerge w:val="continue"/>
                  <w:noWrap w:val="0"/>
                  <w:vAlign w:val="center"/>
                </w:tcPr>
                <w:p w14:paraId="1F3964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21"/>
                      <w:szCs w:val="21"/>
                      <w:highlight w:val="none"/>
                      <w:lang w:val="en-US" w:eastAsia="zh-CN"/>
                    </w:rPr>
                  </w:pPr>
                </w:p>
              </w:tc>
              <w:tc>
                <w:tcPr>
                  <w:tcW w:w="1009" w:type="pct"/>
                  <w:noWrap w:val="0"/>
                  <w:vAlign w:val="center"/>
                </w:tcPr>
                <w:p w14:paraId="5DFED5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NO</w:t>
                  </w:r>
                  <w:r>
                    <w:rPr>
                      <w:rFonts w:hint="default" w:ascii="Times New Roman" w:hAnsi="Times New Roman" w:cs="Times New Roman"/>
                      <w:color w:val="auto"/>
                      <w:sz w:val="21"/>
                      <w:szCs w:val="21"/>
                      <w:vertAlign w:val="subscript"/>
                      <w:lang w:bidi="ar"/>
                    </w:rPr>
                    <w:t>X</w:t>
                  </w:r>
                </w:p>
              </w:tc>
              <w:tc>
                <w:tcPr>
                  <w:tcW w:w="913" w:type="pct"/>
                  <w:vMerge w:val="continue"/>
                  <w:noWrap w:val="0"/>
                  <w:vAlign w:val="center"/>
                </w:tcPr>
                <w:p w14:paraId="30DF2D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p>
              </w:tc>
              <w:tc>
                <w:tcPr>
                  <w:tcW w:w="1089" w:type="dxa"/>
                  <w:noWrap w:val="0"/>
                  <w:vAlign w:val="center"/>
                </w:tcPr>
                <w:p w14:paraId="32000B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1次/</w:t>
                  </w:r>
                  <w:r>
                    <w:rPr>
                      <w:rFonts w:hint="eastAsia" w:cs="Times New Roman"/>
                      <w:color w:val="auto"/>
                      <w:sz w:val="21"/>
                      <w:szCs w:val="21"/>
                      <w:highlight w:val="none"/>
                      <w:lang w:val="en-US" w:eastAsia="zh-CN"/>
                    </w:rPr>
                    <w:t>月</w:t>
                  </w:r>
                </w:p>
              </w:tc>
              <w:tc>
                <w:tcPr>
                  <w:tcW w:w="1409" w:type="pct"/>
                  <w:vMerge w:val="continue"/>
                  <w:noWrap w:val="0"/>
                  <w:vAlign w:val="center"/>
                </w:tcPr>
                <w:p w14:paraId="1E70F2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r>
            <w:tr w14:paraId="599516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9" w:type="pct"/>
                  <w:vMerge w:val="restart"/>
                  <w:noWrap w:val="0"/>
                  <w:vAlign w:val="center"/>
                </w:tcPr>
                <w:p w14:paraId="1789F6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highlight w:val="none"/>
                      <w:lang w:val="en-US" w:eastAsia="zh-CN"/>
                    </w:rPr>
                    <w:t>2#</w:t>
                  </w:r>
                  <w:r>
                    <w:rPr>
                      <w:rFonts w:hint="default" w:ascii="Times New Roman" w:hAnsi="Times New Roman" w:cs="Times New Roman"/>
                      <w:color w:val="auto"/>
                      <w:sz w:val="21"/>
                      <w:szCs w:val="21"/>
                      <w:highlight w:val="none"/>
                    </w:rPr>
                    <w:t>锅炉</w:t>
                  </w:r>
                  <w:r>
                    <w:rPr>
                      <w:rFonts w:hint="eastAsia" w:cs="Times New Roman"/>
                      <w:color w:val="auto"/>
                      <w:sz w:val="21"/>
                      <w:szCs w:val="21"/>
                      <w:highlight w:val="none"/>
                      <w:lang w:val="en-US" w:eastAsia="zh-CN"/>
                    </w:rPr>
                    <w:t>房废气</w:t>
                  </w:r>
                  <w:r>
                    <w:rPr>
                      <w:rFonts w:hint="default" w:ascii="Times New Roman" w:hAnsi="Times New Roman" w:cs="Times New Roman"/>
                      <w:color w:val="auto"/>
                      <w:sz w:val="21"/>
                      <w:szCs w:val="21"/>
                      <w:highlight w:val="none"/>
                    </w:rPr>
                    <w:t>排气筒</w:t>
                  </w:r>
                  <w:r>
                    <w:rPr>
                      <w:rFonts w:hint="default" w:ascii="Times New Roman" w:hAnsi="Times New Roman" w:cs="Times New Roman"/>
                      <w:color w:val="auto"/>
                      <w:sz w:val="21"/>
                      <w:szCs w:val="21"/>
                      <w:lang w:val="en-US" w:eastAsia="zh-CN"/>
                    </w:rPr>
                    <w:t>（DA002）</w:t>
                  </w:r>
                </w:p>
              </w:tc>
              <w:tc>
                <w:tcPr>
                  <w:tcW w:w="1009" w:type="pct"/>
                  <w:noWrap w:val="0"/>
                  <w:vAlign w:val="center"/>
                </w:tcPr>
                <w:p w14:paraId="684182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颗粒物、SO</w:t>
                  </w:r>
                  <w:r>
                    <w:rPr>
                      <w:rFonts w:hint="default" w:ascii="Times New Roman" w:hAnsi="Times New Roman" w:cs="Times New Roman"/>
                      <w:color w:val="auto"/>
                      <w:sz w:val="21"/>
                      <w:szCs w:val="21"/>
                      <w:vertAlign w:val="subscript"/>
                      <w:lang w:bidi="ar"/>
                    </w:rPr>
                    <w:t>2</w:t>
                  </w:r>
                </w:p>
              </w:tc>
              <w:tc>
                <w:tcPr>
                  <w:tcW w:w="913" w:type="pct"/>
                  <w:vMerge w:val="restart"/>
                  <w:noWrap w:val="0"/>
                  <w:vAlign w:val="center"/>
                </w:tcPr>
                <w:p w14:paraId="446282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排气筒出口</w:t>
                  </w:r>
                </w:p>
              </w:tc>
              <w:tc>
                <w:tcPr>
                  <w:tcW w:w="658" w:type="pct"/>
                  <w:noWrap w:val="0"/>
                  <w:vAlign w:val="center"/>
                </w:tcPr>
                <w:p w14:paraId="192769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1次/年</w:t>
                  </w:r>
                </w:p>
              </w:tc>
              <w:tc>
                <w:tcPr>
                  <w:tcW w:w="1409" w:type="pct"/>
                  <w:vMerge w:val="continue"/>
                  <w:noWrap w:val="0"/>
                  <w:vAlign w:val="center"/>
                </w:tcPr>
                <w:p w14:paraId="451B6AF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r>
            <w:tr w14:paraId="27393C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9" w:type="pct"/>
                  <w:vMerge w:val="continue"/>
                  <w:noWrap w:val="0"/>
                  <w:vAlign w:val="center"/>
                </w:tcPr>
                <w:p w14:paraId="6C1109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21"/>
                      <w:szCs w:val="21"/>
                      <w:highlight w:val="none"/>
                      <w:lang w:val="en-US" w:eastAsia="zh-CN"/>
                    </w:rPr>
                  </w:pPr>
                </w:p>
              </w:tc>
              <w:tc>
                <w:tcPr>
                  <w:tcW w:w="1009" w:type="pct"/>
                  <w:noWrap w:val="0"/>
                  <w:vAlign w:val="center"/>
                </w:tcPr>
                <w:p w14:paraId="5720691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lang w:bidi="ar"/>
                    </w:rPr>
                  </w:pPr>
                  <w:r>
                    <w:rPr>
                      <w:rFonts w:hint="default" w:ascii="Times New Roman" w:hAnsi="Times New Roman" w:cs="Times New Roman"/>
                      <w:color w:val="auto"/>
                      <w:sz w:val="21"/>
                      <w:szCs w:val="21"/>
                      <w:lang w:bidi="ar"/>
                    </w:rPr>
                    <w:t>NO</w:t>
                  </w:r>
                  <w:r>
                    <w:rPr>
                      <w:rFonts w:hint="default" w:ascii="Times New Roman" w:hAnsi="Times New Roman" w:cs="Times New Roman"/>
                      <w:color w:val="auto"/>
                      <w:sz w:val="21"/>
                      <w:szCs w:val="21"/>
                      <w:vertAlign w:val="subscript"/>
                      <w:lang w:bidi="ar"/>
                    </w:rPr>
                    <w:t>X</w:t>
                  </w:r>
                </w:p>
              </w:tc>
              <w:tc>
                <w:tcPr>
                  <w:tcW w:w="913" w:type="pct"/>
                  <w:vMerge w:val="continue"/>
                  <w:noWrap w:val="0"/>
                  <w:vAlign w:val="center"/>
                </w:tcPr>
                <w:p w14:paraId="277B5C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p>
              </w:tc>
              <w:tc>
                <w:tcPr>
                  <w:tcW w:w="658" w:type="pct"/>
                  <w:noWrap w:val="0"/>
                  <w:vAlign w:val="center"/>
                </w:tcPr>
                <w:p w14:paraId="02B480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1次/</w:t>
                  </w:r>
                  <w:r>
                    <w:rPr>
                      <w:rFonts w:hint="eastAsia" w:cs="Times New Roman"/>
                      <w:color w:val="auto"/>
                      <w:sz w:val="21"/>
                      <w:szCs w:val="21"/>
                      <w:highlight w:val="none"/>
                      <w:lang w:val="en-US" w:eastAsia="zh-CN"/>
                    </w:rPr>
                    <w:t>月</w:t>
                  </w:r>
                </w:p>
              </w:tc>
              <w:tc>
                <w:tcPr>
                  <w:tcW w:w="1409" w:type="pct"/>
                  <w:vMerge w:val="continue"/>
                  <w:noWrap w:val="0"/>
                  <w:vAlign w:val="center"/>
                </w:tcPr>
                <w:p w14:paraId="559768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r>
            <w:tr w14:paraId="106C36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9" w:type="pct"/>
                  <w:noWrap w:val="0"/>
                  <w:vAlign w:val="center"/>
                </w:tcPr>
                <w:p w14:paraId="680200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油烟排气筒（DA00</w:t>
                  </w: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lang w:val="en-US" w:eastAsia="zh-CN"/>
                    </w:rPr>
                    <w:t>）</w:t>
                  </w:r>
                </w:p>
              </w:tc>
              <w:tc>
                <w:tcPr>
                  <w:tcW w:w="1009" w:type="pct"/>
                  <w:noWrap w:val="0"/>
                  <w:vAlign w:val="center"/>
                </w:tcPr>
                <w:p w14:paraId="3A88A9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油烟</w:t>
                  </w:r>
                </w:p>
              </w:tc>
              <w:tc>
                <w:tcPr>
                  <w:tcW w:w="913" w:type="pct"/>
                  <w:noWrap w:val="0"/>
                  <w:vAlign w:val="center"/>
                </w:tcPr>
                <w:p w14:paraId="61A193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排气筒出口</w:t>
                  </w:r>
                </w:p>
              </w:tc>
              <w:tc>
                <w:tcPr>
                  <w:tcW w:w="658" w:type="pct"/>
                  <w:noWrap w:val="0"/>
                  <w:vAlign w:val="center"/>
                </w:tcPr>
                <w:p w14:paraId="744B3E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1次/</w:t>
                  </w:r>
                  <w:r>
                    <w:rPr>
                      <w:rFonts w:hint="eastAsia" w:cs="Times New Roman"/>
                      <w:color w:val="auto"/>
                      <w:sz w:val="21"/>
                      <w:szCs w:val="21"/>
                      <w:highlight w:val="none"/>
                      <w:lang w:val="en-US" w:eastAsia="zh-CN"/>
                    </w:rPr>
                    <w:t>半</w:t>
                  </w:r>
                  <w:r>
                    <w:rPr>
                      <w:rFonts w:hint="default" w:ascii="Times New Roman" w:hAnsi="Times New Roman" w:cs="Times New Roman"/>
                      <w:color w:val="auto"/>
                      <w:sz w:val="21"/>
                      <w:szCs w:val="21"/>
                      <w:highlight w:val="none"/>
                      <w:lang w:val="en-US" w:eastAsia="zh-CN"/>
                    </w:rPr>
                    <w:t>年</w:t>
                  </w:r>
                </w:p>
              </w:tc>
              <w:tc>
                <w:tcPr>
                  <w:tcW w:w="1409" w:type="pct"/>
                  <w:noWrap w:val="0"/>
                  <w:vAlign w:val="center"/>
                </w:tcPr>
                <w:p w14:paraId="2EA874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《饮食业油烟排放标准》（试行）（GB18483-2001）</w:t>
                  </w:r>
                </w:p>
              </w:tc>
            </w:tr>
            <w:tr w14:paraId="74B43A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09" w:type="pct"/>
                  <w:noWrap w:val="0"/>
                  <w:vAlign w:val="center"/>
                </w:tcPr>
                <w:p w14:paraId="4899FC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厂界</w:t>
                  </w:r>
                </w:p>
              </w:tc>
              <w:tc>
                <w:tcPr>
                  <w:tcW w:w="1009" w:type="pct"/>
                  <w:noWrap w:val="0"/>
                  <w:vAlign w:val="center"/>
                </w:tcPr>
                <w:p w14:paraId="311569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TSP、</w:t>
                  </w:r>
                  <w:r>
                    <w:rPr>
                      <w:rFonts w:hint="default" w:ascii="Times New Roman" w:hAnsi="Times New Roman" w:eastAsia="宋体" w:cs="Times New Roman"/>
                      <w:color w:val="auto"/>
                      <w:sz w:val="21"/>
                      <w:szCs w:val="21"/>
                      <w:lang w:val="en-US" w:eastAsia="zh-CN"/>
                    </w:rPr>
                    <w:t>氨、硫化氢、臭气浓度</w:t>
                  </w:r>
                </w:p>
              </w:tc>
              <w:tc>
                <w:tcPr>
                  <w:tcW w:w="913" w:type="pct"/>
                  <w:noWrap w:val="0"/>
                  <w:vAlign w:val="center"/>
                </w:tcPr>
                <w:p w14:paraId="6D15A5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上风向1个点、下风向3个点</w:t>
                  </w:r>
                </w:p>
              </w:tc>
              <w:tc>
                <w:tcPr>
                  <w:tcW w:w="658" w:type="pct"/>
                  <w:noWrap w:val="0"/>
                  <w:vAlign w:val="center"/>
                </w:tcPr>
                <w:p w14:paraId="42621C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1次/</w:t>
                  </w:r>
                  <w:r>
                    <w:rPr>
                      <w:rFonts w:hint="eastAsia" w:cs="Times New Roman"/>
                      <w:color w:val="auto"/>
                      <w:sz w:val="21"/>
                      <w:szCs w:val="21"/>
                      <w:highlight w:val="none"/>
                      <w:lang w:val="en-US" w:eastAsia="zh-CN"/>
                    </w:rPr>
                    <w:t>季度</w:t>
                  </w:r>
                </w:p>
              </w:tc>
              <w:tc>
                <w:tcPr>
                  <w:tcW w:w="1409" w:type="pct"/>
                  <w:noWrap w:val="0"/>
                  <w:vAlign w:val="center"/>
                </w:tcPr>
                <w:p w14:paraId="2015CC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val="0"/>
                      <w:color w:val="auto"/>
                      <w:kern w:val="2"/>
                      <w:sz w:val="21"/>
                      <w:szCs w:val="21"/>
                      <w:lang w:val="en-US" w:eastAsia="zh-CN" w:bidi="ar-SA"/>
                    </w:rPr>
                    <w:t>《恶臭污染物排放标准》（GB14554-93）中表1</w:t>
                  </w:r>
                  <w:r>
                    <w:rPr>
                      <w:rFonts w:hint="default" w:ascii="Times New Roman" w:hAnsi="Times New Roman" w:cs="Times New Roman"/>
                      <w:b w:val="0"/>
                      <w:color w:val="auto"/>
                      <w:kern w:val="2"/>
                      <w:sz w:val="21"/>
                      <w:szCs w:val="21"/>
                      <w:lang w:val="en-US" w:eastAsia="zh-CN" w:bidi="ar-SA"/>
                    </w:rPr>
                    <w:t>、</w:t>
                  </w:r>
                  <w:r>
                    <w:rPr>
                      <w:rFonts w:hint="default" w:ascii="Times New Roman" w:hAnsi="Times New Roman" w:cs="Times New Roman"/>
                      <w:color w:val="auto"/>
                      <w:sz w:val="21"/>
                      <w:szCs w:val="21"/>
                      <w:lang w:eastAsia="zh-CN"/>
                    </w:rPr>
                    <w:t>《大气污染物综合排放标准》（GB16297-1996）表2企业边界无组织监控浓度限制要求</w:t>
                  </w:r>
                </w:p>
              </w:tc>
            </w:tr>
          </w:tbl>
          <w:p w14:paraId="137F380D">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rPr>
              <w:t>5、</w:t>
            </w:r>
            <w:r>
              <w:rPr>
                <w:rFonts w:hint="default"/>
                <w:b/>
                <w:color w:val="auto"/>
                <w:highlight w:val="none"/>
              </w:rPr>
              <w:t>非正常工况</w:t>
            </w:r>
          </w:p>
          <w:p w14:paraId="4D9ACA09">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本项目非正常工况主要为</w:t>
            </w:r>
            <w:r>
              <w:rPr>
                <w:rFonts w:hint="eastAsia"/>
                <w:color w:val="auto"/>
                <w:highlight w:val="none"/>
                <w:lang w:val="en-US" w:eastAsia="zh-CN"/>
              </w:rPr>
              <w:t>油烟净化器设施</w:t>
            </w:r>
            <w:r>
              <w:rPr>
                <w:rFonts w:hint="eastAsia"/>
                <w:color w:val="auto"/>
                <w:highlight w:val="none"/>
              </w:rPr>
              <w:t>故障导致的</w:t>
            </w:r>
            <w:r>
              <w:rPr>
                <w:rFonts w:hint="eastAsia"/>
                <w:color w:val="auto"/>
                <w:highlight w:val="none"/>
                <w:lang w:val="en-US" w:eastAsia="zh-CN"/>
              </w:rPr>
              <w:t>油烟</w:t>
            </w:r>
            <w:r>
              <w:rPr>
                <w:rFonts w:hint="eastAsia"/>
                <w:color w:val="auto"/>
                <w:highlight w:val="none"/>
              </w:rPr>
              <w:t>废气非正常排放。该情况下的事故排放源强按未经过处理的污染物产生量计算，非正常工况下主要大气污染物的排放源强见下表：</w:t>
            </w:r>
          </w:p>
          <w:p w14:paraId="12C62084">
            <w:pPr>
              <w:pStyle w:val="77"/>
              <w:keepNext w:val="0"/>
              <w:keepLines w:val="0"/>
              <w:widowControl/>
              <w:suppressLineNumbers w:val="0"/>
              <w:spacing w:before="0" w:beforeLines="0" w:beforeAutospacing="0" w:after="0" w:afterAutospacing="0" w:line="240" w:lineRule="auto"/>
              <w:ind w:left="0" w:right="0"/>
              <w:rPr>
                <w:rFonts w:hint="default" w:eastAsia="宋体"/>
                <w:b/>
                <w:bCs/>
                <w:color w:val="auto"/>
                <w:highlight w:val="none"/>
                <w:lang w:val="zh-CN"/>
              </w:rPr>
            </w:pPr>
            <w:r>
              <w:rPr>
                <w:rFonts w:hint="default" w:eastAsia="宋体"/>
                <w:b/>
                <w:bCs/>
                <w:color w:val="auto"/>
                <w:highlight w:val="none"/>
                <w:lang w:val="zh-CN"/>
              </w:rPr>
              <w:t>表</w:t>
            </w:r>
            <w:r>
              <w:rPr>
                <w:rFonts w:hint="eastAsia" w:eastAsia="宋体"/>
                <w:b/>
                <w:bCs/>
                <w:color w:val="auto"/>
                <w:highlight w:val="none"/>
              </w:rPr>
              <w:t>4-4</w:t>
            </w:r>
            <w:r>
              <w:rPr>
                <w:rFonts w:hint="default" w:eastAsia="宋体"/>
                <w:b/>
                <w:bCs/>
                <w:color w:val="auto"/>
                <w:highlight w:val="none"/>
                <w:lang w:val="zh-CN"/>
              </w:rPr>
              <w:t xml:space="preserve">  </w:t>
            </w:r>
            <w:r>
              <w:rPr>
                <w:rFonts w:hint="eastAsia" w:eastAsia="宋体"/>
                <w:b/>
                <w:bCs/>
                <w:color w:val="auto"/>
                <w:highlight w:val="none"/>
                <w:lang w:val="en-US" w:eastAsia="zh-CN"/>
              </w:rPr>
              <w:t xml:space="preserve">  </w:t>
            </w:r>
            <w:r>
              <w:rPr>
                <w:rFonts w:hint="default" w:eastAsia="宋体"/>
                <w:b/>
                <w:bCs/>
                <w:color w:val="auto"/>
                <w:highlight w:val="none"/>
                <w:lang w:val="zh-CN"/>
              </w:rPr>
              <w:t>非正常工况</w:t>
            </w:r>
            <w:r>
              <w:rPr>
                <w:rFonts w:hint="eastAsia" w:eastAsia="宋体"/>
                <w:b/>
                <w:bCs/>
                <w:color w:val="auto"/>
                <w:highlight w:val="none"/>
              </w:rPr>
              <w:t>废气污染物情况</w:t>
            </w:r>
            <w:r>
              <w:rPr>
                <w:rFonts w:hint="default" w:eastAsia="宋体"/>
                <w:b/>
                <w:bCs/>
                <w:color w:val="auto"/>
                <w:highlight w:val="none"/>
                <w:lang w:val="zh-CN"/>
              </w:rPr>
              <w:t>一览表</w:t>
            </w:r>
          </w:p>
          <w:tbl>
            <w:tblPr>
              <w:tblStyle w:val="37"/>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8"/>
              <w:gridCol w:w="941"/>
              <w:gridCol w:w="1174"/>
              <w:gridCol w:w="1136"/>
              <w:gridCol w:w="1042"/>
              <w:gridCol w:w="954"/>
              <w:gridCol w:w="752"/>
              <w:gridCol w:w="1296"/>
            </w:tblGrid>
            <w:tr w14:paraId="180485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5" w:type="pct"/>
                  <w:tcBorders>
                    <w:tl2br w:val="nil"/>
                    <w:tr2bl w:val="nil"/>
                  </w:tcBorders>
                  <w:vAlign w:val="center"/>
                </w:tcPr>
                <w:p w14:paraId="255AAD06">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排放口编号</w:t>
                  </w:r>
                </w:p>
              </w:tc>
              <w:tc>
                <w:tcPr>
                  <w:tcW w:w="569" w:type="pct"/>
                  <w:tcBorders>
                    <w:tl2br w:val="nil"/>
                    <w:tr2bl w:val="nil"/>
                  </w:tcBorders>
                  <w:vAlign w:val="center"/>
                </w:tcPr>
                <w:p w14:paraId="399FFB61">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污染物</w:t>
                  </w:r>
                </w:p>
              </w:tc>
              <w:tc>
                <w:tcPr>
                  <w:tcW w:w="710" w:type="pct"/>
                  <w:tcBorders>
                    <w:tl2br w:val="nil"/>
                    <w:tr2bl w:val="nil"/>
                  </w:tcBorders>
                  <w:vAlign w:val="center"/>
                </w:tcPr>
                <w:p w14:paraId="7BAF335F">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非正常排放浓度mg/m</w:t>
                  </w:r>
                  <w:r>
                    <w:rPr>
                      <w:rFonts w:hint="default"/>
                      <w:color w:val="auto"/>
                      <w:szCs w:val="20"/>
                      <w:highlight w:val="none"/>
                      <w:vertAlign w:val="superscript"/>
                    </w:rPr>
                    <w:t>3</w:t>
                  </w:r>
                </w:p>
              </w:tc>
              <w:tc>
                <w:tcPr>
                  <w:tcW w:w="687" w:type="pct"/>
                  <w:tcBorders>
                    <w:tl2br w:val="nil"/>
                    <w:tr2bl w:val="nil"/>
                  </w:tcBorders>
                  <w:vAlign w:val="center"/>
                </w:tcPr>
                <w:p w14:paraId="42422C09">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非正常排放速率kg/h</w:t>
                  </w:r>
                </w:p>
              </w:tc>
              <w:tc>
                <w:tcPr>
                  <w:tcW w:w="630" w:type="pct"/>
                  <w:tcBorders>
                    <w:tl2br w:val="nil"/>
                    <w:tr2bl w:val="nil"/>
                  </w:tcBorders>
                  <w:vAlign w:val="center"/>
                </w:tcPr>
                <w:p w14:paraId="49A8DD2A">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非正常排放量kg</w:t>
                  </w:r>
                </w:p>
              </w:tc>
              <w:tc>
                <w:tcPr>
                  <w:tcW w:w="577" w:type="pct"/>
                  <w:tcBorders>
                    <w:tl2br w:val="nil"/>
                    <w:tr2bl w:val="nil"/>
                  </w:tcBorders>
                  <w:vAlign w:val="center"/>
                </w:tcPr>
                <w:p w14:paraId="399DBC65">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单次持续时间/h</w:t>
                  </w:r>
                </w:p>
              </w:tc>
              <w:tc>
                <w:tcPr>
                  <w:tcW w:w="455" w:type="pct"/>
                  <w:tcBorders>
                    <w:tl2br w:val="nil"/>
                    <w:tr2bl w:val="nil"/>
                  </w:tcBorders>
                  <w:vAlign w:val="center"/>
                </w:tcPr>
                <w:p w14:paraId="287FD5D7">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年发生频次</w:t>
                  </w:r>
                </w:p>
              </w:tc>
              <w:tc>
                <w:tcPr>
                  <w:tcW w:w="784" w:type="pct"/>
                  <w:tcBorders>
                    <w:tl2br w:val="nil"/>
                    <w:tr2bl w:val="nil"/>
                  </w:tcBorders>
                  <w:vAlign w:val="center"/>
                </w:tcPr>
                <w:p w14:paraId="0144AD07">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应对措施</w:t>
                  </w:r>
                </w:p>
              </w:tc>
            </w:tr>
            <w:tr w14:paraId="442E23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5" w:type="pct"/>
                  <w:tcBorders>
                    <w:tl2br w:val="nil"/>
                    <w:tr2bl w:val="nil"/>
                  </w:tcBorders>
                  <w:vAlign w:val="center"/>
                </w:tcPr>
                <w:p w14:paraId="471B0AE2">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DA003</w:t>
                  </w:r>
                </w:p>
              </w:tc>
              <w:tc>
                <w:tcPr>
                  <w:tcW w:w="569" w:type="pct"/>
                  <w:tcBorders>
                    <w:tl2br w:val="nil"/>
                    <w:tr2bl w:val="nil"/>
                  </w:tcBorders>
                  <w:vAlign w:val="center"/>
                </w:tcPr>
                <w:p w14:paraId="10FF0AB2">
                  <w:pPr>
                    <w:pStyle w:val="80"/>
                    <w:keepNext w:val="0"/>
                    <w:keepLines w:val="0"/>
                    <w:widowControl/>
                    <w:suppressLineNumbers w:val="0"/>
                    <w:spacing w:before="0" w:beforeAutospacing="0" w:after="0" w:afterAutospacing="0"/>
                    <w:ind w:left="0" w:right="0"/>
                    <w:rPr>
                      <w:rFonts w:hint="eastAsia" w:eastAsia="宋体"/>
                      <w:color w:val="auto"/>
                      <w:szCs w:val="20"/>
                      <w:highlight w:val="none"/>
                      <w:lang w:eastAsia="zh-CN"/>
                    </w:rPr>
                  </w:pPr>
                  <w:r>
                    <w:rPr>
                      <w:rFonts w:hint="eastAsia"/>
                      <w:color w:val="auto"/>
                      <w:szCs w:val="20"/>
                      <w:highlight w:val="none"/>
                      <w:lang w:val="en-US" w:eastAsia="zh-CN"/>
                    </w:rPr>
                    <w:t>油烟</w:t>
                  </w:r>
                </w:p>
              </w:tc>
              <w:tc>
                <w:tcPr>
                  <w:tcW w:w="710" w:type="pct"/>
                  <w:tcBorders>
                    <w:tl2br w:val="nil"/>
                    <w:tr2bl w:val="nil"/>
                  </w:tcBorders>
                  <w:vAlign w:val="center"/>
                </w:tcPr>
                <w:p w14:paraId="3E3D263F">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宋体"/>
                      <w:color w:val="auto"/>
                      <w:highlight w:val="none"/>
                      <w:lang w:val="en-US" w:eastAsia="zh-CN"/>
                    </w:rPr>
                  </w:pPr>
                  <w:r>
                    <w:rPr>
                      <w:rFonts w:hint="eastAsia"/>
                      <w:color w:val="auto"/>
                      <w:kern w:val="0"/>
                      <w:sz w:val="21"/>
                      <w:szCs w:val="21"/>
                      <w:highlight w:val="none"/>
                      <w:lang w:val="en-US" w:eastAsia="zh-CN" w:bidi="ar"/>
                    </w:rPr>
                    <w:t>11.79</w:t>
                  </w:r>
                </w:p>
              </w:tc>
              <w:tc>
                <w:tcPr>
                  <w:tcW w:w="687" w:type="pct"/>
                  <w:tcBorders>
                    <w:tl2br w:val="nil"/>
                    <w:tr2bl w:val="nil"/>
                  </w:tcBorders>
                  <w:vAlign w:val="center"/>
                </w:tcPr>
                <w:p w14:paraId="5331537B">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0.59</w:t>
                  </w:r>
                </w:p>
              </w:tc>
              <w:tc>
                <w:tcPr>
                  <w:tcW w:w="630" w:type="pct"/>
                  <w:tcBorders>
                    <w:tl2br w:val="nil"/>
                    <w:tr2bl w:val="nil"/>
                  </w:tcBorders>
                  <w:vAlign w:val="center"/>
                </w:tcPr>
                <w:p w14:paraId="7AA84C1B">
                  <w:pPr>
                    <w:keepNext w:val="0"/>
                    <w:keepLines w:val="0"/>
                    <w:widowControl/>
                    <w:suppressLineNumbers w:val="0"/>
                    <w:spacing w:before="0" w:beforeAutospacing="0" w:after="0" w:afterAutospacing="0" w:line="240" w:lineRule="auto"/>
                    <w:ind w:left="0" w:right="0" w:firstLine="0" w:firstLineChars="0"/>
                    <w:jc w:val="center"/>
                    <w:textAlignment w:val="bottom"/>
                    <w:rPr>
                      <w:rFonts w:hint="default" w:eastAsia="宋体"/>
                      <w:color w:val="auto"/>
                      <w:sz w:val="21"/>
                      <w:szCs w:val="21"/>
                      <w:highlight w:val="none"/>
                      <w:lang w:val="en-US" w:eastAsia="zh-CN"/>
                    </w:rPr>
                  </w:pPr>
                  <w:r>
                    <w:rPr>
                      <w:rFonts w:hint="eastAsia"/>
                      <w:color w:val="auto"/>
                      <w:sz w:val="21"/>
                      <w:szCs w:val="21"/>
                      <w:highlight w:val="none"/>
                      <w:lang w:val="en-US" w:eastAsia="zh-CN"/>
                    </w:rPr>
                    <w:t>1.18</w:t>
                  </w:r>
                </w:p>
              </w:tc>
              <w:tc>
                <w:tcPr>
                  <w:tcW w:w="577" w:type="pct"/>
                  <w:tcBorders>
                    <w:tl2br w:val="nil"/>
                    <w:tr2bl w:val="nil"/>
                  </w:tcBorders>
                  <w:vAlign w:val="center"/>
                </w:tcPr>
                <w:p w14:paraId="5E83FFED">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0.5</w:t>
                  </w:r>
                </w:p>
              </w:tc>
              <w:tc>
                <w:tcPr>
                  <w:tcW w:w="455" w:type="pct"/>
                  <w:tcBorders>
                    <w:tl2br w:val="nil"/>
                    <w:tr2bl w:val="nil"/>
                  </w:tcBorders>
                  <w:vAlign w:val="center"/>
                </w:tcPr>
                <w:p w14:paraId="31EABB9A">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2</w:t>
                  </w:r>
                </w:p>
              </w:tc>
              <w:tc>
                <w:tcPr>
                  <w:tcW w:w="784" w:type="pct"/>
                  <w:tcBorders>
                    <w:tl2br w:val="nil"/>
                    <w:tr2bl w:val="nil"/>
                  </w:tcBorders>
                  <w:vAlign w:val="center"/>
                </w:tcPr>
                <w:p w14:paraId="13212882">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关闭电源、关闭排口，检修维护</w:t>
                  </w:r>
                </w:p>
              </w:tc>
            </w:tr>
          </w:tbl>
          <w:p w14:paraId="3AB4D165">
            <w:pPr>
              <w:keepNext w:val="0"/>
              <w:keepLines w:val="0"/>
              <w:suppressLineNumbers w:val="0"/>
              <w:spacing w:before="0" w:beforeAutospacing="0" w:after="0" w:afterAutospacing="0"/>
              <w:ind w:left="0" w:right="0" w:firstLine="480"/>
              <w:rPr>
                <w:rFonts w:hint="default" w:eastAsia="宋体"/>
                <w:color w:val="auto"/>
                <w:highlight w:val="none"/>
                <w:lang w:val="en-US" w:eastAsia="zh-CN"/>
              </w:rPr>
            </w:pPr>
            <w:r>
              <w:rPr>
                <w:rFonts w:hint="eastAsia"/>
                <w:color w:val="auto"/>
                <w:highlight w:val="none"/>
              </w:rPr>
              <w:t>由上表可知，项目非正常工况时事故排放源的废气污染物排放浓度超标；</w:t>
            </w:r>
            <w:r>
              <w:rPr>
                <w:rFonts w:hint="eastAsia"/>
                <w:color w:val="auto"/>
                <w:kern w:val="0"/>
                <w:sz w:val="24"/>
                <w:szCs w:val="24"/>
                <w:highlight w:val="none"/>
              </w:rPr>
              <w:t>本次评价要求</w:t>
            </w:r>
            <w:r>
              <w:rPr>
                <w:rFonts w:hint="eastAsia"/>
                <w:color w:val="auto"/>
                <w:kern w:val="0"/>
                <w:sz w:val="24"/>
                <w:szCs w:val="24"/>
                <w:highlight w:val="none"/>
                <w:lang w:eastAsia="zh-CN"/>
              </w:rPr>
              <w:t>：</w:t>
            </w:r>
            <w:r>
              <w:rPr>
                <w:rFonts w:hint="eastAsia"/>
                <w:color w:val="auto"/>
                <w:kern w:val="0"/>
                <w:sz w:val="24"/>
                <w:szCs w:val="24"/>
                <w:highlight w:val="none"/>
                <w:lang w:val="en-US" w:eastAsia="zh-CN"/>
              </w:rPr>
              <w:t>企业</w:t>
            </w:r>
            <w:r>
              <w:rPr>
                <w:rFonts w:hint="default" w:ascii="Times New Roman" w:hAnsi="Times New Roman" w:cs="Times New Roman"/>
                <w:color w:val="auto"/>
                <w:sz w:val="24"/>
                <w:szCs w:val="24"/>
                <w:lang w:val="en-US" w:eastAsia="zh-CN"/>
              </w:rPr>
              <w:t>安排专人负责环保设备的日常维护和管理，每个固定时间检查、汇报情况，及时发现废气处理设备的隐患，确保废气处理系统正常运行；应定期维护、检修</w:t>
            </w:r>
            <w:r>
              <w:rPr>
                <w:rFonts w:hint="default" w:ascii="Times New Roman" w:hAnsi="Times New Roman" w:cs="Times New Roman"/>
                <w:color w:val="auto"/>
                <w:lang w:val="en-US" w:eastAsia="zh-CN"/>
              </w:rPr>
              <w:t>高效型静电式油烟净化器</w:t>
            </w:r>
            <w:r>
              <w:rPr>
                <w:rFonts w:hint="default" w:ascii="Times New Roman" w:hAnsi="Times New Roman" w:cs="Times New Roman"/>
                <w:color w:val="auto"/>
                <w:sz w:val="24"/>
                <w:szCs w:val="24"/>
                <w:lang w:val="en-US" w:eastAsia="zh-CN"/>
              </w:rPr>
              <w:t>，以保持废气处理装置的处理能力</w:t>
            </w:r>
            <w:r>
              <w:rPr>
                <w:rFonts w:hint="eastAsia"/>
                <w:color w:val="auto"/>
                <w:highlight w:val="none"/>
                <w:lang w:val="en-US" w:eastAsia="zh-CN"/>
              </w:rPr>
              <w:t>。</w:t>
            </w:r>
          </w:p>
          <w:p w14:paraId="3B831063">
            <w:pPr>
              <w:keepNext w:val="0"/>
              <w:keepLines w:val="0"/>
              <w:suppressLineNumbers w:val="0"/>
              <w:spacing w:before="0" w:beforeAutospacing="0" w:after="0" w:afterAutospacing="0"/>
              <w:ind w:left="0" w:right="0" w:firstLine="482"/>
              <w:rPr>
                <w:rFonts w:hint="default"/>
                <w:b/>
                <w:color w:val="auto"/>
                <w:highlight w:val="none"/>
              </w:rPr>
            </w:pPr>
            <w:r>
              <w:rPr>
                <w:rFonts w:hint="eastAsia"/>
                <w:b/>
                <w:color w:val="auto"/>
                <w:highlight w:val="none"/>
              </w:rPr>
              <w:t>6、污染防治措施可行性分析</w:t>
            </w:r>
          </w:p>
          <w:p w14:paraId="22A55A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szCs w:val="24"/>
                <w:lang w:eastAsia="zh-CN"/>
              </w:rPr>
              <w:t>①</w:t>
            </w:r>
            <w:r>
              <w:rPr>
                <w:rFonts w:hint="eastAsia" w:cs="Times New Roman"/>
                <w:color w:val="auto"/>
                <w:sz w:val="24"/>
                <w:szCs w:val="24"/>
                <w:lang w:val="en-US" w:eastAsia="zh-CN"/>
              </w:rPr>
              <w:t>锅炉废气</w:t>
            </w:r>
          </w:p>
          <w:p w14:paraId="452130E8">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color w:val="auto"/>
                <w:sz w:val="24"/>
              </w:rPr>
            </w:pPr>
            <w:r>
              <w:rPr>
                <w:rFonts w:hint="default" w:ascii="Times New Roman" w:hAnsi="Times New Roman" w:cs="Times New Roman"/>
                <w:color w:val="auto"/>
                <w:sz w:val="24"/>
                <w:highlight w:val="none"/>
              </w:rPr>
              <w:t>本项目锅炉安装低氮燃烧器，</w:t>
            </w:r>
            <w:r>
              <w:rPr>
                <w:rFonts w:hint="eastAsia" w:cs="Times New Roman"/>
                <w:color w:val="auto"/>
                <w:sz w:val="24"/>
                <w:highlight w:val="none"/>
                <w:lang w:val="en-US" w:eastAsia="zh-CN"/>
              </w:rPr>
              <w:t>锅炉废气分别</w:t>
            </w:r>
            <w:r>
              <w:rPr>
                <w:rFonts w:hint="default" w:ascii="Times New Roman" w:hAnsi="Times New Roman" w:cs="Times New Roman"/>
                <w:color w:val="auto"/>
                <w:sz w:val="24"/>
                <w:highlight w:val="none"/>
              </w:rPr>
              <w:t>经</w:t>
            </w:r>
            <w:r>
              <w:rPr>
                <w:rFonts w:hint="eastAsia" w:cs="Times New Roman"/>
                <w:color w:val="auto"/>
                <w:sz w:val="24"/>
                <w:highlight w:val="none"/>
                <w:lang w:val="en-US" w:eastAsia="zh-CN"/>
              </w:rPr>
              <w:t>1</w:t>
            </w:r>
            <w:r>
              <w:rPr>
                <w:rFonts w:hint="default" w:ascii="Times New Roman" w:hAnsi="Times New Roman" w:cs="Times New Roman"/>
                <w:color w:val="auto"/>
                <w:sz w:val="24"/>
                <w:highlight w:val="none"/>
              </w:rPr>
              <w:t>根</w:t>
            </w:r>
            <w:r>
              <w:rPr>
                <w:rFonts w:hint="eastAsia" w:cs="Times New Roman"/>
                <w:color w:val="auto"/>
                <w:sz w:val="24"/>
                <w:highlight w:val="none"/>
                <w:lang w:val="en-US" w:eastAsia="zh-CN"/>
              </w:rPr>
              <w:t>8</w:t>
            </w:r>
            <w:r>
              <w:rPr>
                <w:rFonts w:hint="default" w:ascii="Times New Roman" w:hAnsi="Times New Roman" w:cs="Times New Roman"/>
                <w:color w:val="auto"/>
                <w:sz w:val="24"/>
                <w:highlight w:val="none"/>
              </w:rPr>
              <w:t>m高</w:t>
            </w:r>
            <w:r>
              <w:rPr>
                <w:rFonts w:hint="eastAsia" w:cs="Times New Roman"/>
                <w:color w:val="auto"/>
                <w:sz w:val="24"/>
                <w:highlight w:val="none"/>
                <w:lang w:val="en-US" w:eastAsia="zh-CN"/>
              </w:rPr>
              <w:t>和1</w:t>
            </w:r>
            <w:r>
              <w:rPr>
                <w:rFonts w:hint="default" w:ascii="Times New Roman" w:hAnsi="Times New Roman" w:cs="Times New Roman"/>
                <w:color w:val="auto"/>
                <w:sz w:val="24"/>
                <w:highlight w:val="none"/>
              </w:rPr>
              <w:t>根</w:t>
            </w:r>
            <w:r>
              <w:rPr>
                <w:rFonts w:hint="eastAsia" w:cs="Times New Roman"/>
                <w:color w:val="auto"/>
                <w:sz w:val="24"/>
                <w:highlight w:val="none"/>
                <w:lang w:val="en-US" w:eastAsia="zh-CN"/>
              </w:rPr>
              <w:t>13</w:t>
            </w:r>
            <w:r>
              <w:rPr>
                <w:rFonts w:hint="default" w:ascii="Times New Roman" w:hAnsi="Times New Roman" w:cs="Times New Roman"/>
                <w:color w:val="auto"/>
                <w:sz w:val="24"/>
                <w:highlight w:val="none"/>
              </w:rPr>
              <w:t>m高排气筒</w:t>
            </w:r>
            <w:r>
              <w:rPr>
                <w:rFonts w:hint="eastAsia" w:cs="Times New Roman"/>
                <w:color w:val="auto"/>
                <w:sz w:val="24"/>
                <w:highlight w:val="none"/>
                <w:lang w:val="en-US" w:eastAsia="zh-CN"/>
              </w:rPr>
              <w:t>达标</w:t>
            </w:r>
            <w:r>
              <w:rPr>
                <w:rFonts w:hint="default" w:ascii="Times New Roman" w:hAnsi="Times New Roman" w:cs="Times New Roman"/>
                <w:color w:val="auto"/>
                <w:sz w:val="24"/>
                <w:highlight w:val="none"/>
              </w:rPr>
              <w:t>排放，</w:t>
            </w:r>
            <w:r>
              <w:rPr>
                <w:rFonts w:hint="eastAsia" w:cs="Times New Roman"/>
                <w:color w:val="auto"/>
                <w:sz w:val="24"/>
                <w:highlight w:val="none"/>
                <w:lang w:val="en-US" w:eastAsia="zh-CN"/>
              </w:rPr>
              <w:t>废气</w:t>
            </w:r>
            <w:r>
              <w:rPr>
                <w:rFonts w:hint="default" w:ascii="Times New Roman" w:hAnsi="Times New Roman" w:cs="Times New Roman"/>
                <w:color w:val="auto"/>
                <w:sz w:val="24"/>
                <w:highlight w:val="none"/>
              </w:rPr>
              <w:t>中颗粒物、二氧化硫、氮氧化物排放满足《锅炉大气污染物排放标准》（DB61/1226-2018）表3中标准限值</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highlight w:val="none"/>
                <w:lang w:val="en-US" w:eastAsia="zh-CN"/>
              </w:rPr>
              <w:t>颗粒物</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0mg/m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cs="Times New Roman"/>
                <w:color w:val="auto"/>
                <w:sz w:val="24"/>
                <w:szCs w:val="24"/>
                <w:highlight w:val="none"/>
                <w:vertAlign w:val="baseline"/>
                <w:lang w:eastAsia="zh-CN"/>
              </w:rPr>
              <w:t>、</w:t>
            </w:r>
            <w:r>
              <w:rPr>
                <w:rFonts w:hint="default" w:ascii="Times New Roman" w:hAnsi="Times New Roman" w:eastAsia="宋体" w:cs="Times New Roman"/>
                <w:i w:val="0"/>
                <w:color w:val="auto"/>
                <w:kern w:val="0"/>
                <w:sz w:val="21"/>
                <w:szCs w:val="21"/>
                <w:highlight w:val="none"/>
                <w:u w:val="none"/>
                <w:lang w:val="en-US" w:eastAsia="zh-CN" w:bidi="ar"/>
              </w:rPr>
              <w:t>SO</w:t>
            </w:r>
            <w:r>
              <w:rPr>
                <w:rFonts w:hint="default" w:ascii="Times New Roman" w:hAnsi="Times New Roman" w:eastAsia="宋体" w:cs="Times New Roman"/>
                <w:i w:val="0"/>
                <w:color w:val="auto"/>
                <w:kern w:val="0"/>
                <w:sz w:val="21"/>
                <w:szCs w:val="21"/>
                <w:highlight w:val="none"/>
                <w:u w:val="none"/>
                <w:vertAlign w:val="subscript"/>
                <w:lang w:val="en-US" w:eastAsia="zh-CN" w:bidi="ar"/>
              </w:rPr>
              <w:t>2</w:t>
            </w:r>
            <w:r>
              <w:rPr>
                <w:rFonts w:hint="default" w:ascii="Times New Roman" w:hAnsi="Times New Roman" w:eastAsia="宋体" w:cs="Times New Roman"/>
                <w:color w:val="auto"/>
                <w:sz w:val="24"/>
                <w:szCs w:val="24"/>
                <w:highlight w:val="none"/>
              </w:rPr>
              <w:t>≤</w:t>
            </w:r>
            <w:r>
              <w:rPr>
                <w:rFonts w:hint="eastAsia"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0mg/m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cs="Times New Roman"/>
                <w:color w:val="auto"/>
                <w:sz w:val="24"/>
                <w:szCs w:val="24"/>
                <w:highlight w:val="none"/>
                <w:vertAlign w:val="baseline"/>
                <w:lang w:eastAsia="zh-CN"/>
              </w:rPr>
              <w:t>、</w:t>
            </w:r>
            <w:r>
              <w:rPr>
                <w:rFonts w:hint="default" w:ascii="Times New Roman" w:hAnsi="Times New Roman" w:eastAsia="宋体" w:cs="Times New Roman"/>
                <w:color w:val="auto"/>
                <w:sz w:val="24"/>
                <w:szCs w:val="24"/>
                <w:highlight w:val="none"/>
              </w:rPr>
              <w:t>NO</w:t>
            </w:r>
            <w:r>
              <w:rPr>
                <w:rFonts w:hint="default" w:ascii="Times New Roman" w:hAnsi="Times New Roman" w:eastAsia="宋体" w:cs="Times New Roman"/>
                <w:color w:val="auto"/>
                <w:sz w:val="24"/>
                <w:szCs w:val="24"/>
                <w:highlight w:val="none"/>
                <w:vertAlign w:val="subscript"/>
              </w:rPr>
              <w:t>X</w:t>
            </w:r>
            <w:r>
              <w:rPr>
                <w:rFonts w:hint="default" w:ascii="Times New Roman" w:hAnsi="Times New Roman" w:eastAsia="宋体" w:cs="Times New Roman"/>
                <w:color w:val="auto"/>
                <w:sz w:val="24"/>
                <w:szCs w:val="24"/>
                <w:highlight w:val="none"/>
              </w:rPr>
              <w:t>≤</w:t>
            </w: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0mg/m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cs="Times New Roman"/>
                <w:color w:val="auto"/>
                <w:sz w:val="24"/>
                <w:szCs w:val="24"/>
                <w:lang w:eastAsia="zh-CN"/>
              </w:rPr>
              <w:t>）。</w:t>
            </w:r>
          </w:p>
          <w:p w14:paraId="0120D2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eastAsia="zh-CN"/>
              </w:rPr>
              <w:t>②</w:t>
            </w:r>
            <w:r>
              <w:rPr>
                <w:rFonts w:hint="default" w:ascii="Times New Roman" w:hAnsi="Times New Roman" w:cs="Times New Roman"/>
                <w:color w:val="auto"/>
                <w:sz w:val="24"/>
                <w:szCs w:val="24"/>
                <w:lang w:val="en-US" w:eastAsia="zh-CN"/>
              </w:rPr>
              <w:t>油烟</w:t>
            </w:r>
          </w:p>
          <w:p w14:paraId="3D54484F">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0"/>
                <w:sz w:val="24"/>
                <w:szCs w:val="24"/>
                <w:highlight w:val="none"/>
                <w:lang w:eastAsia="zh-CN" w:bidi="en-US"/>
              </w:rPr>
            </w:pPr>
            <w:r>
              <w:rPr>
                <w:rFonts w:hint="default" w:ascii="Times New Roman" w:hAnsi="Times New Roman" w:cs="Times New Roman"/>
                <w:color w:val="auto"/>
                <w:sz w:val="24"/>
              </w:rPr>
              <w:t>本项目炒、炸、煎等烹饪</w:t>
            </w:r>
            <w:r>
              <w:rPr>
                <w:rFonts w:hint="default" w:ascii="Times New Roman" w:hAnsi="Times New Roman" w:cs="Times New Roman"/>
                <w:color w:val="auto"/>
                <w:sz w:val="24"/>
                <w:lang w:val="en-US" w:eastAsia="zh-CN"/>
              </w:rPr>
              <w:t>过程会产生的油烟，拟</w:t>
            </w:r>
            <w:r>
              <w:rPr>
                <w:rFonts w:hint="default" w:ascii="Times New Roman" w:hAnsi="Times New Roman" w:cs="Times New Roman"/>
                <w:color w:val="auto"/>
                <w:sz w:val="24"/>
              </w:rPr>
              <w:t>设置</w:t>
            </w:r>
            <w:r>
              <w:rPr>
                <w:rFonts w:hint="eastAsia" w:ascii="Times New Roman" w:hAnsi="Times New Roman" w:cs="Times New Roman"/>
                <w:color w:val="auto"/>
                <w:sz w:val="24"/>
                <w:lang w:val="en-US" w:eastAsia="zh-CN"/>
              </w:rPr>
              <w:t>2套</w:t>
            </w:r>
            <w:r>
              <w:rPr>
                <w:rFonts w:hint="default" w:ascii="Times New Roman" w:hAnsi="Times New Roman" w:cs="Times New Roman"/>
                <w:color w:val="auto"/>
                <w:lang w:val="en-US" w:eastAsia="zh-CN"/>
              </w:rPr>
              <w:t>高效型静电式油烟净化器</w:t>
            </w:r>
            <w:r>
              <w:rPr>
                <w:rFonts w:hint="default" w:ascii="Times New Roman" w:hAnsi="Times New Roman" w:cs="Times New Roman"/>
                <w:color w:val="auto"/>
                <w:sz w:val="24"/>
                <w:lang w:eastAsia="zh-CN"/>
              </w:rPr>
              <w:t>，</w:t>
            </w:r>
            <w:r>
              <w:rPr>
                <w:rFonts w:hint="default" w:ascii="Times New Roman" w:hAnsi="Times New Roman" w:cs="Times New Roman"/>
                <w:color w:val="auto"/>
                <w:spacing w:val="4"/>
                <w:sz w:val="24"/>
                <w:szCs w:val="24"/>
                <w:highlight w:val="none"/>
                <w:lang w:eastAsia="zh-CN"/>
              </w:rPr>
              <w:t>油烟排放满足《饮食业油烟排放标准》（GB18483-2001）中的相关排放限值要求</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highlight w:val="none"/>
              </w:rPr>
              <w:t>项目采取上述措施后，各项废气污染物能够达标排放，</w:t>
            </w:r>
            <w:r>
              <w:rPr>
                <w:rFonts w:hint="default" w:ascii="Times New Roman" w:hAnsi="Times New Roman" w:cs="Times New Roman"/>
                <w:color w:val="auto"/>
                <w:sz w:val="24"/>
                <w:highlight w:val="none"/>
                <w:lang w:val="en-US" w:eastAsia="zh-CN"/>
              </w:rPr>
              <w:t>周围环境影响较小。</w:t>
            </w:r>
          </w:p>
          <w:p w14:paraId="728183B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color w:val="auto"/>
                <w:sz w:val="24"/>
                <w:lang w:eastAsia="zh-CN"/>
              </w:rPr>
            </w:pPr>
            <w:r>
              <w:rPr>
                <w:rFonts w:hint="default" w:ascii="Times New Roman" w:hAnsi="Times New Roman" w:eastAsia="宋体" w:cs="Times New Roman"/>
                <w:color w:val="auto"/>
                <w:sz w:val="24"/>
                <w:szCs w:val="24"/>
                <w:lang w:eastAsia="zh-CN"/>
              </w:rPr>
              <w:t>③</w:t>
            </w:r>
            <w:r>
              <w:rPr>
                <w:rFonts w:hint="eastAsia" w:ascii="Times New Roman" w:hAnsi="Times New Roman" w:eastAsia="宋体" w:cs="宋体"/>
                <w:color w:val="auto"/>
                <w:kern w:val="2"/>
                <w:sz w:val="24"/>
                <w:szCs w:val="20"/>
                <w:lang w:val="en-US" w:eastAsia="zh-CN" w:bidi="ar-SA"/>
              </w:rPr>
              <w:t>生产车间</w:t>
            </w:r>
            <w:r>
              <w:rPr>
                <w:rFonts w:hint="eastAsia"/>
                <w:color w:val="auto"/>
                <w:sz w:val="24"/>
              </w:rPr>
              <w:t>粉尘</w:t>
            </w:r>
            <w:r>
              <w:rPr>
                <w:rFonts w:hint="default"/>
                <w:color w:val="auto"/>
                <w:sz w:val="24"/>
              </w:rPr>
              <w:t>经车间密闭区域排风系统引至</w:t>
            </w:r>
            <w:r>
              <w:rPr>
                <w:rFonts w:hint="eastAsia"/>
                <w:color w:val="auto"/>
                <w:sz w:val="24"/>
              </w:rPr>
              <w:t>室外无组织</w:t>
            </w:r>
            <w:r>
              <w:rPr>
                <w:rFonts w:hint="default"/>
                <w:color w:val="auto"/>
                <w:sz w:val="24"/>
              </w:rPr>
              <w:t>排放</w:t>
            </w:r>
            <w:r>
              <w:rPr>
                <w:rFonts w:hint="eastAsia"/>
                <w:color w:val="auto"/>
                <w:sz w:val="24"/>
                <w:lang w:eastAsia="zh-CN"/>
              </w:rPr>
              <w:t>；</w:t>
            </w:r>
            <w:r>
              <w:rPr>
                <w:rFonts w:hint="eastAsia"/>
                <w:color w:val="auto"/>
                <w:sz w:val="24"/>
                <w:lang w:val="en-US" w:eastAsia="zh-CN"/>
              </w:rPr>
              <w:t>烘烤</w:t>
            </w:r>
            <w:r>
              <w:rPr>
                <w:rFonts w:hint="eastAsia"/>
                <w:color w:val="auto"/>
                <w:sz w:val="24"/>
              </w:rPr>
              <w:t>异味</w:t>
            </w:r>
            <w:r>
              <w:rPr>
                <w:rFonts w:hint="eastAsia" w:ascii="Times New Roman" w:hAnsi="Times New Roman" w:eastAsia="宋体" w:cs="Times New Roman"/>
                <w:color w:val="auto"/>
                <w:sz w:val="24"/>
                <w:lang w:eastAsia="zh-CN"/>
              </w:rPr>
              <w:t>随油烟经集气罩收集后引至楼顶排放</w:t>
            </w:r>
            <w:r>
              <w:rPr>
                <w:rFonts w:hint="eastAsia" w:ascii="Times New Roman" w:hAnsi="Times New Roman" w:eastAsia="宋体" w:cs="Times New Roman"/>
                <w:color w:val="auto"/>
                <w:sz w:val="24"/>
              </w:rPr>
              <w:t>，少部分无组织排放</w:t>
            </w:r>
            <w:r>
              <w:rPr>
                <w:rFonts w:hint="eastAsia" w:ascii="Times New Roman" w:hAnsi="Times New Roman" w:eastAsia="宋体" w:cs="Times New Roman"/>
                <w:color w:val="auto"/>
                <w:sz w:val="24"/>
                <w:lang w:eastAsia="zh-CN"/>
              </w:rPr>
              <w:t>，</w:t>
            </w:r>
            <w:r>
              <w:rPr>
                <w:rFonts w:hint="eastAsia"/>
                <w:color w:val="auto"/>
                <w:sz w:val="24"/>
                <w:lang w:eastAsia="zh-CN"/>
              </w:rPr>
              <w:t>排放量小，</w:t>
            </w:r>
            <w:r>
              <w:rPr>
                <w:rFonts w:hint="eastAsia"/>
                <w:color w:val="auto"/>
                <w:sz w:val="24"/>
                <w:lang w:val="en-US" w:eastAsia="zh-CN"/>
              </w:rPr>
              <w:t>加强车间通风换气后</w:t>
            </w:r>
            <w:r>
              <w:rPr>
                <w:rFonts w:hint="eastAsia"/>
                <w:color w:val="auto"/>
                <w:sz w:val="24"/>
                <w:lang w:eastAsia="zh-CN"/>
              </w:rPr>
              <w:t>废气均可达标排放。</w:t>
            </w:r>
          </w:p>
          <w:p w14:paraId="3B145FA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lang w:val="en-US" w:eastAsia="zh-CN"/>
              </w:rPr>
            </w:pPr>
            <w:r>
              <w:rPr>
                <w:rFonts w:hint="eastAsia"/>
                <w:color w:val="auto"/>
                <w:sz w:val="24"/>
                <w:lang w:eastAsia="zh-CN"/>
              </w:rPr>
              <w:t>④</w:t>
            </w:r>
            <w:r>
              <w:rPr>
                <w:rFonts w:hint="default" w:ascii="Times New Roman" w:hAnsi="Times New Roman" w:cs="Times New Roman"/>
                <w:color w:val="auto"/>
                <w:sz w:val="24"/>
                <w:szCs w:val="24"/>
                <w:lang w:val="en-US" w:eastAsia="zh-CN"/>
              </w:rPr>
              <w:t>污水处理站产生的</w:t>
            </w:r>
            <w:r>
              <w:rPr>
                <w:rFonts w:hint="eastAsia" w:cs="Times New Roman"/>
                <w:color w:val="auto"/>
                <w:sz w:val="24"/>
                <w:szCs w:val="24"/>
                <w:lang w:val="en-US" w:eastAsia="zh-CN"/>
              </w:rPr>
              <w:t>异味</w:t>
            </w:r>
          </w:p>
          <w:p w14:paraId="4C0040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为</w:t>
            </w:r>
            <w:r>
              <w:rPr>
                <w:rFonts w:hint="default" w:ascii="Times New Roman" w:hAnsi="Times New Roman" w:cs="Times New Roman"/>
                <w:color w:val="auto"/>
              </w:rPr>
              <w:t>降低恶臭气体的影响，保证污染物达标排放，本项目对</w:t>
            </w:r>
            <w:r>
              <w:rPr>
                <w:rFonts w:hint="default" w:ascii="Times New Roman" w:hAnsi="Times New Roman" w:cs="Times New Roman"/>
                <w:color w:val="auto"/>
                <w:lang w:val="en-US" w:eastAsia="zh-CN"/>
              </w:rPr>
              <w:t>一体化污水处理设施</w:t>
            </w:r>
            <w:r>
              <w:rPr>
                <w:rFonts w:hint="default" w:ascii="Times New Roman" w:hAnsi="Times New Roman" w:cs="Times New Roman"/>
                <w:color w:val="auto"/>
              </w:rPr>
              <w:t>加盖密</w:t>
            </w:r>
            <w:r>
              <w:rPr>
                <w:rFonts w:hint="default" w:ascii="Times New Roman" w:hAnsi="Times New Roman" w:cs="Times New Roman"/>
                <w:color w:val="auto"/>
                <w:lang w:val="en-US" w:eastAsia="zh-CN"/>
              </w:rPr>
              <w:t>封闭</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同时定期喷水除臭剂。</w:t>
            </w:r>
            <w:r>
              <w:rPr>
                <w:rFonts w:hint="default" w:ascii="Times New Roman" w:hAnsi="Times New Roman" w:cs="Times New Roman"/>
                <w:color w:val="auto"/>
                <w:sz w:val="24"/>
                <w:szCs w:val="24"/>
                <w:lang w:val="en-US" w:eastAsia="zh-CN"/>
              </w:rPr>
              <w:t>根据《排污许可证申请和核发技术规范--食品制造工业》（HJ1030.3-2019）中6.3.2.2无组织排放控制要求：“应对厂内污水处理站产生恶臭气体的区域加罩或加盖，或者投放除臭剂”，本项目污水处理</w:t>
            </w:r>
            <w:r>
              <w:rPr>
                <w:rFonts w:hint="eastAsia" w:ascii="Times New Roman" w:hAnsi="Times New Roman" w:cs="Times New Roman"/>
                <w:color w:val="auto"/>
                <w:sz w:val="24"/>
                <w:szCs w:val="24"/>
                <w:lang w:val="en-US" w:eastAsia="zh-CN"/>
              </w:rPr>
              <w:t>设施</w:t>
            </w:r>
            <w:r>
              <w:rPr>
                <w:rFonts w:hint="default" w:ascii="Times New Roman" w:hAnsi="Times New Roman" w:cs="Times New Roman"/>
                <w:color w:val="auto"/>
                <w:sz w:val="24"/>
                <w:szCs w:val="24"/>
                <w:lang w:val="en-US" w:eastAsia="zh-CN"/>
              </w:rPr>
              <w:t>为地埋式，加盖密闭，同时定期喷</w:t>
            </w:r>
            <w:r>
              <w:rPr>
                <w:rFonts w:hint="eastAsia" w:ascii="Times New Roman" w:hAnsi="Times New Roman" w:cs="Times New Roman"/>
                <w:color w:val="auto"/>
                <w:sz w:val="24"/>
                <w:szCs w:val="24"/>
                <w:lang w:val="en-US" w:eastAsia="zh-CN"/>
              </w:rPr>
              <w:t>洒</w:t>
            </w:r>
            <w:r>
              <w:rPr>
                <w:rFonts w:hint="eastAsia" w:cs="Times New Roman"/>
                <w:color w:val="auto"/>
                <w:sz w:val="24"/>
                <w:szCs w:val="24"/>
                <w:lang w:val="en-US" w:eastAsia="zh-CN"/>
              </w:rPr>
              <w:t>生物</w:t>
            </w:r>
            <w:r>
              <w:rPr>
                <w:rFonts w:hint="default" w:ascii="Times New Roman" w:hAnsi="Times New Roman" w:cs="Times New Roman"/>
                <w:color w:val="auto"/>
                <w:sz w:val="24"/>
                <w:szCs w:val="24"/>
                <w:lang w:val="en-US" w:eastAsia="zh-CN"/>
              </w:rPr>
              <w:t>除臭剂，</w:t>
            </w:r>
            <w:r>
              <w:rPr>
                <w:rFonts w:hint="default" w:ascii="Times New Roman" w:hAnsi="Times New Roman" w:eastAsia="宋体" w:cs="Times New Roman"/>
                <w:color w:val="auto"/>
                <w:sz w:val="24"/>
                <w:szCs w:val="24"/>
                <w:highlight w:val="none"/>
                <w:lang w:val="en-US" w:eastAsia="zh-CN"/>
              </w:rPr>
              <w:t>属于可行技术。</w:t>
            </w:r>
          </w:p>
          <w:p w14:paraId="48587AD3">
            <w:pPr>
              <w:keepNext w:val="0"/>
              <w:keepLines w:val="0"/>
              <w:suppressLineNumbers w:val="0"/>
              <w:adjustRightInd w:val="0"/>
              <w:snapToGrid w:val="0"/>
              <w:spacing w:before="0" w:beforeAutospacing="0" w:after="0" w:afterAutospacing="0"/>
              <w:ind w:left="0" w:right="0" w:firstLine="480"/>
              <w:rPr>
                <w:rFonts w:hint="default"/>
                <w:color w:val="auto"/>
                <w:highlight w:val="none"/>
                <w:lang w:bidi="zh-CN"/>
              </w:rPr>
            </w:pPr>
            <w:r>
              <w:rPr>
                <w:rFonts w:hint="default" w:ascii="Times New Roman" w:hAnsi="Times New Roman" w:eastAsia="宋体" w:cs="Times New Roman"/>
                <w:color w:val="auto"/>
                <w:kern w:val="0"/>
                <w:sz w:val="24"/>
                <w:szCs w:val="22"/>
                <w:lang w:eastAsia="zh-CN" w:bidi="en-US"/>
              </w:rPr>
              <w:t>根据废气污染源强分析，本项目各产污单元废气污染物产生量均较小，按照环评要求配套安装相关废气治理设施后，各废气污染物可做到达标排放，因此不会对周围环境空气产生较大影响。本次环评提出企业运营过程中必须加强废气处理设施的管理，定期检修，确保废气处理设施正常运行；在废气处理设备停止运行或出现故障时，产生废气的各工序也必须相应停止运营，以防止废气超标排放对周围环境空气产生影响。</w:t>
            </w:r>
          </w:p>
          <w:p w14:paraId="1D998D9A">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项目在运营期采取环评提出的各项污染防治措施后，对大气环境影响较小。</w:t>
            </w:r>
          </w:p>
          <w:p w14:paraId="2CE4888C">
            <w:pPr>
              <w:keepNext w:val="0"/>
              <w:keepLines w:val="0"/>
              <w:suppressLineNumbers w:val="0"/>
              <w:spacing w:before="0" w:beforeAutospacing="0" w:after="0" w:afterAutospacing="0"/>
              <w:ind w:left="0" w:right="0" w:firstLine="482"/>
              <w:rPr>
                <w:rFonts w:hint="default"/>
                <w:b/>
                <w:color w:val="auto"/>
                <w:highlight w:val="none"/>
              </w:rPr>
            </w:pPr>
            <w:r>
              <w:rPr>
                <w:rFonts w:hint="default"/>
                <w:b/>
                <w:color w:val="auto"/>
                <w:highlight w:val="none"/>
              </w:rPr>
              <w:t>二、</w:t>
            </w:r>
            <w:r>
              <w:rPr>
                <w:rFonts w:hint="eastAsia"/>
                <w:b/>
                <w:color w:val="auto"/>
                <w:highlight w:val="none"/>
              </w:rPr>
              <w:t>废水</w:t>
            </w:r>
          </w:p>
          <w:p w14:paraId="41D2002A">
            <w:pPr>
              <w:keepNext w:val="0"/>
              <w:keepLines w:val="0"/>
              <w:suppressLineNumbers w:val="0"/>
              <w:spacing w:before="0" w:beforeAutospacing="0" w:after="0" w:afterAutospacing="0"/>
              <w:ind w:left="0" w:right="0" w:firstLine="480"/>
              <w:rPr>
                <w:rFonts w:hint="eastAsia" w:eastAsia="宋体"/>
                <w:color w:val="auto"/>
                <w:highlight w:val="yellow"/>
                <w:lang w:val="en-US" w:eastAsia="zh-CN"/>
              </w:rPr>
            </w:pPr>
            <w:r>
              <w:rPr>
                <w:rFonts w:hint="eastAsia"/>
                <w:color w:val="auto"/>
                <w:highlight w:val="none"/>
              </w:rPr>
              <w:t>本项目用水主要为生活</w:t>
            </w:r>
            <w:r>
              <w:rPr>
                <w:rFonts w:hint="eastAsia"/>
                <w:color w:val="auto"/>
                <w:highlight w:val="none"/>
                <w:lang w:val="en-US" w:eastAsia="zh-CN"/>
              </w:rPr>
              <w:t>污水、生产</w:t>
            </w:r>
            <w:r>
              <w:rPr>
                <w:rFonts w:hint="default" w:ascii="Times New Roman" w:hAnsi="Times New Roman" w:cs="Times New Roman"/>
                <w:bCs/>
                <w:color w:val="auto"/>
                <w:sz w:val="24"/>
                <w:lang w:val="en-US" w:eastAsia="zh-CN"/>
              </w:rPr>
              <w:t>废水</w:t>
            </w:r>
            <w:r>
              <w:rPr>
                <w:rFonts w:hint="eastAsia"/>
                <w:color w:val="auto"/>
                <w:highlight w:val="none"/>
                <w:lang w:val="en-US" w:eastAsia="zh-CN"/>
              </w:rPr>
              <w:t>及</w:t>
            </w:r>
            <w:r>
              <w:rPr>
                <w:rFonts w:hint="default" w:ascii="Times New Roman" w:hAnsi="Times New Roman" w:cs="Times New Roman"/>
                <w:bCs/>
                <w:color w:val="auto"/>
                <w:sz w:val="24"/>
                <w:lang w:val="en-US" w:eastAsia="zh-CN"/>
              </w:rPr>
              <w:t>锅炉</w:t>
            </w:r>
            <w:r>
              <w:rPr>
                <w:rFonts w:hint="eastAsia" w:cs="Times New Roman"/>
                <w:bCs/>
                <w:color w:val="auto"/>
                <w:sz w:val="24"/>
                <w:lang w:val="en-US" w:eastAsia="zh-CN"/>
              </w:rPr>
              <w:t>定期排污</w:t>
            </w:r>
            <w:r>
              <w:rPr>
                <w:rFonts w:hint="eastAsia"/>
                <w:color w:val="auto"/>
                <w:highlight w:val="none"/>
              </w:rPr>
              <w:t>。</w:t>
            </w:r>
          </w:p>
          <w:p w14:paraId="4049EFFF">
            <w:pPr>
              <w:keepNext w:val="0"/>
              <w:keepLines w:val="0"/>
              <w:suppressLineNumbers w:val="0"/>
              <w:adjustRightInd w:val="0"/>
              <w:snapToGrid w:val="0"/>
              <w:spacing w:before="0" w:beforeAutospacing="0" w:after="0" w:afterAutospacing="0"/>
              <w:ind w:left="0" w:right="0" w:firstLine="480"/>
              <w:rPr>
                <w:rFonts w:hint="eastAsia"/>
                <w:color w:val="auto"/>
                <w:highlight w:val="none"/>
              </w:rPr>
            </w:pPr>
            <w:r>
              <w:rPr>
                <w:rFonts w:hint="eastAsia"/>
                <w:color w:val="auto"/>
                <w:highlight w:val="none"/>
              </w:rPr>
              <w:t>1、废水产排情况</w:t>
            </w:r>
          </w:p>
          <w:p w14:paraId="68D745C3">
            <w:pPr>
              <w:keepNext w:val="0"/>
              <w:keepLines w:val="0"/>
              <w:suppressLineNumbers w:val="0"/>
              <w:adjustRightInd w:val="0"/>
              <w:snapToGrid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w:t>
            </w:r>
            <w:r>
              <w:rPr>
                <w:rFonts w:hint="eastAsia"/>
                <w:color w:val="auto"/>
                <w:highlight w:val="none"/>
                <w:lang w:val="en-US" w:eastAsia="zh-CN"/>
              </w:rPr>
              <w:t>生活污水</w:t>
            </w:r>
          </w:p>
          <w:p w14:paraId="2F588C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szCs w:val="24"/>
                <w:highlight w:val="none"/>
                <w:lang w:val="en-US" w:eastAsia="zh-CN"/>
              </w:rPr>
              <w:t>项目生活污水产生量为</w:t>
            </w:r>
            <w:r>
              <w:rPr>
                <w:rFonts w:hint="eastAsia" w:ascii="Times New Roman" w:hAnsi="Times New Roman" w:eastAsia="宋体" w:cs="Times New Roman"/>
                <w:color w:val="auto"/>
                <w:sz w:val="24"/>
                <w:szCs w:val="24"/>
                <w:highlight w:val="none"/>
                <w:lang w:val="en-US" w:eastAsia="zh-CN"/>
              </w:rPr>
              <w:t>8.18</w:t>
            </w:r>
            <w:r>
              <w:rPr>
                <w:rFonts w:hint="default" w:ascii="Times New Roman" w:hAnsi="Times New Roman" w:eastAsia="宋体" w:cs="Times New Roman"/>
                <w:color w:val="auto"/>
                <w:kern w:val="0"/>
                <w:sz w:val="24"/>
                <w:szCs w:val="24"/>
                <w:highlight w:val="none"/>
              </w:rPr>
              <w:t>m</w:t>
            </w:r>
            <w:r>
              <w:rPr>
                <w:rFonts w:hint="default" w:ascii="Times New Roman" w:hAnsi="Times New Roman" w:eastAsia="宋体" w:cs="Times New Roman"/>
                <w:color w:val="auto"/>
                <w:kern w:val="0"/>
                <w:sz w:val="24"/>
                <w:szCs w:val="24"/>
                <w:highlight w:val="none"/>
                <w:vertAlign w:val="superscript"/>
              </w:rPr>
              <w:t>3</w:t>
            </w:r>
            <w:r>
              <w:rPr>
                <w:rFonts w:hint="default" w:ascii="Times New Roman" w:hAnsi="Times New Roman" w:eastAsia="宋体" w:cs="Times New Roman"/>
                <w:color w:val="auto"/>
                <w:sz w:val="24"/>
                <w:szCs w:val="24"/>
                <w:highlight w:val="none"/>
              </w:rPr>
              <w:t>/d，</w:t>
            </w:r>
            <w:r>
              <w:rPr>
                <w:rFonts w:hint="eastAsia" w:ascii="Times New Roman" w:hAnsi="Times New Roman" w:eastAsia="宋体" w:cs="Times New Roman"/>
                <w:color w:val="auto"/>
                <w:sz w:val="24"/>
                <w:szCs w:val="24"/>
                <w:highlight w:val="none"/>
                <w:lang w:val="en-US" w:eastAsia="zh-CN"/>
              </w:rPr>
              <w:t>1636</w:t>
            </w:r>
            <w:r>
              <w:rPr>
                <w:rFonts w:hint="default" w:ascii="Times New Roman" w:hAnsi="Times New Roman" w:eastAsia="宋体" w:cs="Times New Roman"/>
                <w:color w:val="auto"/>
                <w:kern w:val="0"/>
                <w:sz w:val="24"/>
                <w:szCs w:val="24"/>
                <w:highlight w:val="none"/>
              </w:rPr>
              <w:t>m</w:t>
            </w:r>
            <w:r>
              <w:rPr>
                <w:rFonts w:hint="default" w:ascii="Times New Roman" w:hAnsi="Times New Roman" w:eastAsia="宋体" w:cs="Times New Roman"/>
                <w:color w:val="auto"/>
                <w:kern w:val="0"/>
                <w:sz w:val="24"/>
                <w:szCs w:val="24"/>
                <w:highlight w:val="none"/>
                <w:vertAlign w:val="superscript"/>
              </w:rPr>
              <w:t>3</w:t>
            </w:r>
            <w:r>
              <w:rPr>
                <w:rFonts w:hint="default" w:ascii="Times New Roman" w:hAnsi="Times New Roman" w:eastAsia="宋体" w:cs="Times New Roman"/>
                <w:color w:val="auto"/>
                <w:sz w:val="24"/>
                <w:szCs w:val="24"/>
                <w:highlight w:val="none"/>
              </w:rPr>
              <w:t>/a</w:t>
            </w:r>
            <w:r>
              <w:rPr>
                <w:rFonts w:hint="default" w:ascii="Times New Roman" w:hAnsi="Times New Roman" w:eastAsia="宋体" w:cs="Times New Roman"/>
                <w:color w:val="auto"/>
                <w:sz w:val="24"/>
                <w:szCs w:val="24"/>
                <w:highlight w:val="none"/>
                <w:lang w:val="en-US" w:eastAsia="zh-CN"/>
              </w:rPr>
              <w:t>。生活污水主要包括办公住宿废水，生活污水主要污染因子为COD、</w:t>
            </w:r>
            <w:r>
              <w:rPr>
                <w:rFonts w:hint="eastAsia" w:ascii="Times New Roman" w:hAnsi="Times New Roman" w:eastAsia="宋体" w:cs="Times New Roman"/>
                <w:color w:val="auto"/>
                <w:sz w:val="24"/>
                <w:szCs w:val="24"/>
                <w:highlight w:val="none"/>
                <w:lang w:val="en-US" w:eastAsia="zh-CN"/>
              </w:rPr>
              <w:t>BOD</w:t>
            </w:r>
            <w:r>
              <w:rPr>
                <w:rFonts w:hint="eastAsia" w:ascii="Times New Roman" w:hAnsi="Times New Roman" w:eastAsia="宋体" w:cs="Times New Roman"/>
                <w:color w:val="auto"/>
                <w:sz w:val="24"/>
                <w:szCs w:val="24"/>
                <w:highlight w:val="none"/>
                <w:vertAlign w:val="subscript"/>
                <w:lang w:val="en-US" w:eastAsia="zh-CN"/>
              </w:rPr>
              <w:t>5</w:t>
            </w:r>
            <w:r>
              <w:rPr>
                <w:rFonts w:hint="eastAsia" w:ascii="Times New Roman" w:hAnsi="Times New Roman" w:eastAsia="宋体" w:cs="Times New Roman"/>
                <w:color w:val="auto"/>
                <w:sz w:val="24"/>
                <w:szCs w:val="24"/>
                <w:highlight w:val="none"/>
                <w:lang w:val="en-US" w:eastAsia="zh-CN"/>
              </w:rPr>
              <w:t>、SS、</w:t>
            </w:r>
            <w:r>
              <w:rPr>
                <w:rFonts w:hint="default" w:ascii="Times New Roman" w:hAnsi="Times New Roman" w:eastAsia="宋体" w:cs="Times New Roman"/>
                <w:color w:val="auto"/>
                <w:sz w:val="24"/>
                <w:szCs w:val="24"/>
                <w:highlight w:val="none"/>
                <w:lang w:val="en-US" w:eastAsia="zh-CN"/>
              </w:rPr>
              <w:t>氨氮、</w:t>
            </w:r>
            <w:r>
              <w:rPr>
                <w:rFonts w:hint="eastAsia" w:cs="Times New Roman"/>
                <w:color w:val="auto"/>
                <w:sz w:val="24"/>
                <w:szCs w:val="24"/>
                <w:highlight w:val="none"/>
                <w:lang w:val="en-US" w:eastAsia="zh-CN"/>
              </w:rPr>
              <w:t>总磷、总氮、</w:t>
            </w:r>
            <w:r>
              <w:rPr>
                <w:rFonts w:hint="eastAsia" w:ascii="Times New Roman" w:hAnsi="Times New Roman" w:eastAsia="宋体" w:cs="Times New Roman"/>
                <w:color w:val="auto"/>
                <w:sz w:val="24"/>
                <w:szCs w:val="24"/>
                <w:highlight w:val="none"/>
                <w:lang w:val="en-US" w:eastAsia="zh-CN"/>
              </w:rPr>
              <w:t>动植物油</w:t>
            </w:r>
            <w:r>
              <w:rPr>
                <w:rFonts w:hint="default" w:ascii="Times New Roman" w:hAnsi="Times New Roman" w:eastAsia="宋体" w:cs="Times New Roman"/>
                <w:color w:val="auto"/>
                <w:sz w:val="24"/>
                <w:szCs w:val="24"/>
                <w:highlight w:val="none"/>
                <w:lang w:val="en-US" w:eastAsia="zh-CN"/>
              </w:rPr>
              <w:t>，经类比分析，项目生活污水中各污染物产生情况见下表</w:t>
            </w:r>
            <w:r>
              <w:rPr>
                <w:rFonts w:hint="default" w:ascii="Times New Roman" w:hAnsi="Times New Roman" w:eastAsia="宋体" w:cs="Times New Roman"/>
                <w:color w:val="auto"/>
                <w:sz w:val="24"/>
                <w:highlight w:val="none"/>
                <w:lang w:val="en-US" w:eastAsia="zh-CN"/>
              </w:rPr>
              <w:t>，项目</w:t>
            </w:r>
            <w:r>
              <w:rPr>
                <w:rFonts w:hint="default" w:ascii="Times New Roman" w:hAnsi="Times New Roman" w:eastAsia="宋体" w:cs="Times New Roman"/>
                <w:color w:val="auto"/>
                <w:sz w:val="24"/>
                <w:highlight w:val="none"/>
              </w:rPr>
              <w:t>生活污水</w:t>
            </w:r>
            <w:r>
              <w:rPr>
                <w:rFonts w:hint="default" w:ascii="Times New Roman" w:hAnsi="Times New Roman" w:eastAsia="宋体" w:cs="Times New Roman"/>
                <w:color w:val="auto"/>
                <w:sz w:val="24"/>
                <w:highlight w:val="none"/>
                <w:lang w:val="en-US" w:eastAsia="zh-CN"/>
              </w:rPr>
              <w:t>中各污染物产生情况见下表</w:t>
            </w:r>
            <w:r>
              <w:rPr>
                <w:rFonts w:hint="eastAsia" w:ascii="Times New Roman" w:hAnsi="Times New Roman" w:eastAsia="宋体" w:cs="Times New Roman"/>
                <w:color w:val="auto"/>
                <w:sz w:val="24"/>
                <w:highlight w:val="none"/>
                <w:lang w:val="en-US" w:eastAsia="zh-CN"/>
              </w:rPr>
              <w:t>4-5</w:t>
            </w:r>
            <w:r>
              <w:rPr>
                <w:rFonts w:hint="default" w:ascii="Times New Roman" w:hAnsi="Times New Roman" w:eastAsia="宋体" w:cs="Times New Roman"/>
                <w:color w:val="auto"/>
                <w:sz w:val="24"/>
                <w:highlight w:val="none"/>
                <w:lang w:val="en-US" w:eastAsia="zh-CN"/>
              </w:rPr>
              <w:t>。</w:t>
            </w:r>
          </w:p>
          <w:p w14:paraId="2577A5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表4-</w:t>
            </w:r>
            <w:r>
              <w:rPr>
                <w:rFonts w:hint="eastAsia" w:ascii="Times New Roman" w:hAnsi="Times New Roman" w:eastAsia="宋体" w:cs="Times New Roman"/>
                <w:b/>
                <w:bCs/>
                <w:color w:val="auto"/>
                <w:kern w:val="2"/>
                <w:sz w:val="24"/>
                <w:szCs w:val="24"/>
                <w:highlight w:val="none"/>
                <w:lang w:val="en-US" w:eastAsia="zh-CN" w:bidi="ar-SA"/>
              </w:rPr>
              <w:t>5</w:t>
            </w:r>
            <w:r>
              <w:rPr>
                <w:rFonts w:hint="default" w:ascii="Times New Roman" w:hAnsi="Times New Roman" w:eastAsia="宋体" w:cs="Times New Roman"/>
                <w:b/>
                <w:bCs/>
                <w:color w:val="auto"/>
                <w:kern w:val="2"/>
                <w:sz w:val="24"/>
                <w:szCs w:val="24"/>
                <w:highlight w:val="none"/>
                <w:lang w:val="en-US" w:eastAsia="zh-CN" w:bidi="ar-SA"/>
              </w:rPr>
              <w:t xml:space="preserve">  </w:t>
            </w:r>
            <w:r>
              <w:rPr>
                <w:rFonts w:hint="eastAsia" w:ascii="Times New Roman" w:hAnsi="Times New Roman" w:eastAsia="宋体" w:cs="Times New Roman"/>
                <w:b/>
                <w:bCs/>
                <w:color w:val="auto"/>
                <w:kern w:val="2"/>
                <w:sz w:val="24"/>
                <w:szCs w:val="24"/>
                <w:highlight w:val="none"/>
                <w:lang w:val="en-US" w:eastAsia="zh-CN" w:bidi="ar-SA"/>
              </w:rPr>
              <w:t xml:space="preserve">  </w:t>
            </w:r>
            <w:r>
              <w:rPr>
                <w:rFonts w:hint="default" w:ascii="Times New Roman" w:hAnsi="Times New Roman" w:eastAsia="宋体" w:cs="Times New Roman"/>
                <w:b/>
                <w:bCs/>
                <w:color w:val="auto"/>
                <w:kern w:val="2"/>
                <w:sz w:val="24"/>
                <w:szCs w:val="24"/>
                <w:highlight w:val="none"/>
                <w:lang w:val="en-US" w:eastAsia="zh-CN" w:bidi="ar-SA"/>
              </w:rPr>
              <w:t>项目生活污水各污染物产生情况一览表</w:t>
            </w:r>
          </w:p>
          <w:tbl>
            <w:tblPr>
              <w:tblStyle w:val="37"/>
              <w:tblW w:w="4995"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900"/>
              <w:gridCol w:w="700"/>
              <w:gridCol w:w="933"/>
              <w:gridCol w:w="833"/>
              <w:gridCol w:w="917"/>
              <w:gridCol w:w="733"/>
              <w:gridCol w:w="750"/>
              <w:gridCol w:w="1066"/>
            </w:tblGrid>
            <w:tr w14:paraId="495C9F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5" w:type="pct"/>
                  <w:tcBorders>
                    <w:tl2br w:val="single" w:color="auto" w:sz="4" w:space="0"/>
                  </w:tcBorders>
                  <w:noWrap w:val="0"/>
                  <w:vAlign w:val="center"/>
                </w:tcPr>
                <w:p w14:paraId="32F04744">
                  <w:pPr>
                    <w:keepNext w:val="0"/>
                    <w:keepLines w:val="0"/>
                    <w:suppressLineNumbers w:val="0"/>
                    <w:spacing w:before="0" w:beforeAutospacing="0" w:after="0" w:afterAutospacing="0" w:line="240" w:lineRule="auto"/>
                    <w:ind w:left="0" w:right="0" w:firstLine="525" w:firstLineChars="2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w:t>
                  </w:r>
                </w:p>
                <w:p w14:paraId="5518476A">
                  <w:pPr>
                    <w:keepNext w:val="0"/>
                    <w:keepLines w:val="0"/>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w:t>
                  </w:r>
                </w:p>
              </w:tc>
              <w:tc>
                <w:tcPr>
                  <w:tcW w:w="544" w:type="pct"/>
                  <w:tcBorders>
                    <w:tl2br w:val="nil"/>
                    <w:tr2bl w:val="nil"/>
                  </w:tcBorders>
                  <w:noWrap w:val="0"/>
                  <w:vAlign w:val="center"/>
                </w:tcPr>
                <w:p w14:paraId="49EF13C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废水量</w:t>
                  </w:r>
                </w:p>
              </w:tc>
              <w:tc>
                <w:tcPr>
                  <w:tcW w:w="423" w:type="pct"/>
                  <w:tcBorders>
                    <w:tl2br w:val="nil"/>
                    <w:tr2bl w:val="nil"/>
                  </w:tcBorders>
                  <w:noWrap w:val="0"/>
                  <w:vAlign w:val="center"/>
                </w:tcPr>
                <w:p w14:paraId="3912E63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highlight w:val="none"/>
                    </w:rPr>
                  </w:pPr>
                  <w:r>
                    <w:rPr>
                      <w:rFonts w:hint="default" w:ascii="Times New Roman" w:hAnsi="Times New Roman" w:eastAsia="宋体" w:cs="Times New Roman"/>
                      <w:b/>
                      <w:color w:val="auto"/>
                      <w:sz w:val="21"/>
                      <w:szCs w:val="21"/>
                    </w:rPr>
                    <w:t>COD</w:t>
                  </w:r>
                </w:p>
              </w:tc>
              <w:tc>
                <w:tcPr>
                  <w:tcW w:w="564" w:type="pct"/>
                  <w:tcBorders>
                    <w:tl2br w:val="nil"/>
                    <w:tr2bl w:val="nil"/>
                  </w:tcBorders>
                  <w:noWrap w:val="0"/>
                  <w:vAlign w:val="center"/>
                </w:tcPr>
                <w:p w14:paraId="050E0AC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highlight w:val="none"/>
                    </w:rPr>
                  </w:pPr>
                  <w:r>
                    <w:rPr>
                      <w:rFonts w:hint="default" w:ascii="Times New Roman" w:hAnsi="Times New Roman" w:eastAsia="宋体" w:cs="Times New Roman"/>
                      <w:b/>
                      <w:color w:val="auto"/>
                      <w:sz w:val="21"/>
                      <w:szCs w:val="21"/>
                    </w:rPr>
                    <w:t>BOD</w:t>
                  </w:r>
                  <w:r>
                    <w:rPr>
                      <w:rFonts w:hint="default" w:ascii="Times New Roman" w:hAnsi="Times New Roman" w:eastAsia="宋体" w:cs="Times New Roman"/>
                      <w:b/>
                      <w:color w:val="auto"/>
                      <w:sz w:val="21"/>
                      <w:szCs w:val="21"/>
                      <w:vertAlign w:val="subscript"/>
                    </w:rPr>
                    <w:t>5</w:t>
                  </w:r>
                </w:p>
              </w:tc>
              <w:tc>
                <w:tcPr>
                  <w:tcW w:w="504" w:type="pct"/>
                  <w:tcBorders>
                    <w:tl2br w:val="nil"/>
                    <w:tr2bl w:val="nil"/>
                  </w:tcBorders>
                  <w:noWrap w:val="0"/>
                  <w:vAlign w:val="center"/>
                </w:tcPr>
                <w:p w14:paraId="6546078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highlight w:val="none"/>
                    </w:rPr>
                  </w:pPr>
                  <w:r>
                    <w:rPr>
                      <w:rFonts w:hint="default" w:ascii="Times New Roman" w:hAnsi="Times New Roman" w:eastAsia="宋体" w:cs="Times New Roman"/>
                      <w:b/>
                      <w:color w:val="auto"/>
                      <w:sz w:val="21"/>
                      <w:szCs w:val="21"/>
                    </w:rPr>
                    <w:t>SS</w:t>
                  </w:r>
                </w:p>
              </w:tc>
              <w:tc>
                <w:tcPr>
                  <w:tcW w:w="554" w:type="pct"/>
                  <w:tcBorders>
                    <w:tl2br w:val="nil"/>
                    <w:tr2bl w:val="nil"/>
                  </w:tcBorders>
                  <w:noWrap w:val="0"/>
                  <w:vAlign w:val="center"/>
                </w:tcPr>
                <w:p w14:paraId="75A37A0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highlight w:val="none"/>
                    </w:rPr>
                  </w:pPr>
                  <w:r>
                    <w:rPr>
                      <w:rFonts w:hint="default" w:ascii="Times New Roman" w:hAnsi="Times New Roman" w:eastAsia="宋体" w:cs="Times New Roman"/>
                      <w:b/>
                      <w:color w:val="auto"/>
                      <w:sz w:val="21"/>
                      <w:szCs w:val="21"/>
                    </w:rPr>
                    <w:t>氨氮</w:t>
                  </w:r>
                </w:p>
              </w:tc>
              <w:tc>
                <w:tcPr>
                  <w:tcW w:w="443" w:type="pct"/>
                  <w:tcBorders>
                    <w:tl2br w:val="nil"/>
                    <w:tr2bl w:val="nil"/>
                  </w:tcBorders>
                  <w:noWrap w:val="0"/>
                  <w:vAlign w:val="center"/>
                </w:tcPr>
                <w:p w14:paraId="15EA9A6A">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color w:val="auto"/>
                      <w:sz w:val="21"/>
                      <w:szCs w:val="21"/>
                      <w:lang w:val="en-US" w:eastAsia="zh-CN"/>
                    </w:rPr>
                  </w:pPr>
                  <w:r>
                    <w:rPr>
                      <w:rFonts w:hint="eastAsia" w:cs="Times New Roman"/>
                      <w:b/>
                      <w:color w:val="auto"/>
                      <w:sz w:val="21"/>
                      <w:szCs w:val="21"/>
                      <w:lang w:val="en-US" w:eastAsia="zh-CN"/>
                    </w:rPr>
                    <w:t>总磷</w:t>
                  </w:r>
                </w:p>
              </w:tc>
              <w:tc>
                <w:tcPr>
                  <w:tcW w:w="453" w:type="pct"/>
                  <w:tcBorders>
                    <w:tl2br w:val="nil"/>
                    <w:tr2bl w:val="nil"/>
                  </w:tcBorders>
                  <w:noWrap w:val="0"/>
                  <w:vAlign w:val="center"/>
                </w:tcPr>
                <w:p w14:paraId="7BAE786B">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color w:val="auto"/>
                      <w:sz w:val="21"/>
                      <w:szCs w:val="21"/>
                      <w:lang w:val="en-US" w:eastAsia="zh-CN"/>
                    </w:rPr>
                  </w:pPr>
                  <w:r>
                    <w:rPr>
                      <w:rFonts w:hint="eastAsia" w:cs="Times New Roman"/>
                      <w:b/>
                      <w:color w:val="auto"/>
                      <w:sz w:val="21"/>
                      <w:szCs w:val="21"/>
                      <w:lang w:val="en-US" w:eastAsia="zh-CN"/>
                    </w:rPr>
                    <w:t>总氮</w:t>
                  </w:r>
                </w:p>
              </w:tc>
              <w:tc>
                <w:tcPr>
                  <w:tcW w:w="645" w:type="pct"/>
                  <w:tcBorders>
                    <w:tl2br w:val="nil"/>
                    <w:tr2bl w:val="nil"/>
                  </w:tcBorders>
                  <w:noWrap w:val="0"/>
                  <w:vAlign w:val="center"/>
                </w:tcPr>
                <w:p w14:paraId="05E3026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color w:val="auto"/>
                      <w:sz w:val="21"/>
                      <w:szCs w:val="21"/>
                    </w:rPr>
                    <w:t>动植物油</w:t>
                  </w:r>
                </w:p>
              </w:tc>
            </w:tr>
            <w:tr w14:paraId="02C37E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5" w:type="pct"/>
                  <w:tcBorders>
                    <w:tl2br w:val="nil"/>
                    <w:tr2bl w:val="nil"/>
                  </w:tcBorders>
                  <w:noWrap w:val="0"/>
                  <w:vAlign w:val="center"/>
                </w:tcPr>
                <w:p w14:paraId="1A2E3F1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产生浓度（mg/L）</w:t>
                  </w:r>
                </w:p>
              </w:tc>
              <w:tc>
                <w:tcPr>
                  <w:tcW w:w="544" w:type="pct"/>
                  <w:tcBorders>
                    <w:tl2br w:val="nil"/>
                    <w:tr2bl w:val="nil"/>
                  </w:tcBorders>
                  <w:noWrap w:val="0"/>
                  <w:vAlign w:val="center"/>
                </w:tcPr>
                <w:p w14:paraId="53F7ADF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423" w:type="pct"/>
                  <w:tcBorders>
                    <w:tl2br w:val="nil"/>
                    <w:tr2bl w:val="nil"/>
                  </w:tcBorders>
                  <w:noWrap w:val="0"/>
                  <w:vAlign w:val="center"/>
                </w:tcPr>
                <w:p w14:paraId="144A1E39">
                  <w:pPr>
                    <w:keepNext w:val="0"/>
                    <w:keepLines w:val="0"/>
                    <w:suppressLineNumbers w:val="0"/>
                    <w:spacing w:before="0" w:beforeAutospacing="0" w:after="0" w:afterAutospacing="0" w:line="240" w:lineRule="auto"/>
                    <w:ind w:left="0" w:right="0" w:firstLine="0" w:firstLineChars="0"/>
                    <w:jc w:val="center"/>
                    <w:textAlignment w:val="bottom"/>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szCs w:val="21"/>
                      <w:lang w:eastAsia="zh-CN"/>
                    </w:rPr>
                    <w:t>300</w:t>
                  </w:r>
                </w:p>
              </w:tc>
              <w:tc>
                <w:tcPr>
                  <w:tcW w:w="564" w:type="pct"/>
                  <w:tcBorders>
                    <w:tl2br w:val="nil"/>
                    <w:tr2bl w:val="nil"/>
                  </w:tcBorders>
                  <w:noWrap w:val="0"/>
                  <w:vAlign w:val="center"/>
                </w:tcPr>
                <w:p w14:paraId="6BC611FE">
                  <w:pPr>
                    <w:keepNext w:val="0"/>
                    <w:keepLines w:val="0"/>
                    <w:suppressLineNumbers w:val="0"/>
                    <w:spacing w:before="0" w:beforeAutospacing="0" w:after="0" w:afterAutospacing="0" w:line="240" w:lineRule="auto"/>
                    <w:ind w:left="0" w:right="0" w:firstLine="0" w:firstLineChars="0"/>
                    <w:jc w:val="center"/>
                    <w:textAlignment w:val="bottom"/>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szCs w:val="21"/>
                      <w:lang w:eastAsia="zh-CN"/>
                    </w:rPr>
                    <w:t>180</w:t>
                  </w:r>
                </w:p>
              </w:tc>
              <w:tc>
                <w:tcPr>
                  <w:tcW w:w="504" w:type="pct"/>
                  <w:tcBorders>
                    <w:tl2br w:val="nil"/>
                    <w:tr2bl w:val="nil"/>
                  </w:tcBorders>
                  <w:noWrap w:val="0"/>
                  <w:vAlign w:val="center"/>
                </w:tcPr>
                <w:p w14:paraId="0D1CDFE1">
                  <w:pPr>
                    <w:keepNext w:val="0"/>
                    <w:keepLines w:val="0"/>
                    <w:suppressLineNumbers w:val="0"/>
                    <w:spacing w:before="0" w:beforeAutospacing="0" w:after="0" w:afterAutospacing="0" w:line="240" w:lineRule="auto"/>
                    <w:ind w:left="0" w:right="0" w:firstLine="0" w:firstLineChars="0"/>
                    <w:jc w:val="center"/>
                    <w:textAlignment w:val="bottom"/>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szCs w:val="21"/>
                      <w:lang w:eastAsia="zh-CN"/>
                    </w:rPr>
                    <w:t>220</w:t>
                  </w:r>
                </w:p>
              </w:tc>
              <w:tc>
                <w:tcPr>
                  <w:tcW w:w="554" w:type="pct"/>
                  <w:tcBorders>
                    <w:tl2br w:val="nil"/>
                    <w:tr2bl w:val="nil"/>
                  </w:tcBorders>
                  <w:noWrap w:val="0"/>
                  <w:vAlign w:val="center"/>
                </w:tcPr>
                <w:p w14:paraId="59911B65">
                  <w:pPr>
                    <w:keepNext w:val="0"/>
                    <w:keepLines w:val="0"/>
                    <w:suppressLineNumbers w:val="0"/>
                    <w:spacing w:before="0" w:beforeAutospacing="0" w:after="0" w:afterAutospacing="0" w:line="240" w:lineRule="auto"/>
                    <w:ind w:left="0" w:right="0" w:firstLine="0" w:firstLineChars="0"/>
                    <w:jc w:val="center"/>
                    <w:textAlignment w:val="bottom"/>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szCs w:val="21"/>
                      <w:lang w:eastAsia="zh-CN"/>
                    </w:rPr>
                    <w:t>35</w:t>
                  </w:r>
                </w:p>
              </w:tc>
              <w:tc>
                <w:tcPr>
                  <w:tcW w:w="443" w:type="pct"/>
                  <w:tcBorders>
                    <w:tl2br w:val="nil"/>
                    <w:tr2bl w:val="nil"/>
                  </w:tcBorders>
                  <w:noWrap w:val="0"/>
                  <w:vAlign w:val="center"/>
                </w:tcPr>
                <w:p w14:paraId="40251508">
                  <w:pPr>
                    <w:keepNext w:val="0"/>
                    <w:keepLines w:val="0"/>
                    <w:suppressLineNumbers w:val="0"/>
                    <w:spacing w:before="0" w:beforeAutospacing="0" w:after="0" w:afterAutospacing="0" w:line="240" w:lineRule="auto"/>
                    <w:ind w:left="0" w:right="0" w:firstLine="0" w:firstLineChars="0"/>
                    <w:jc w:val="center"/>
                    <w:textAlignment w:val="bottom"/>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7</w:t>
                  </w:r>
                </w:p>
              </w:tc>
              <w:tc>
                <w:tcPr>
                  <w:tcW w:w="453" w:type="pct"/>
                  <w:tcBorders>
                    <w:tl2br w:val="nil"/>
                    <w:tr2bl w:val="nil"/>
                  </w:tcBorders>
                  <w:noWrap w:val="0"/>
                  <w:vAlign w:val="center"/>
                </w:tcPr>
                <w:p w14:paraId="6AA24D0A">
                  <w:pPr>
                    <w:keepNext w:val="0"/>
                    <w:keepLines w:val="0"/>
                    <w:suppressLineNumbers w:val="0"/>
                    <w:spacing w:before="0" w:beforeAutospacing="0" w:after="0" w:afterAutospacing="0" w:line="240" w:lineRule="auto"/>
                    <w:ind w:left="0" w:right="0" w:firstLine="0" w:firstLineChars="0"/>
                    <w:jc w:val="center"/>
                    <w:textAlignment w:val="bottom"/>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65</w:t>
                  </w:r>
                </w:p>
              </w:tc>
              <w:tc>
                <w:tcPr>
                  <w:tcW w:w="645" w:type="pct"/>
                  <w:tcBorders>
                    <w:tl2br w:val="nil"/>
                    <w:tr2bl w:val="nil"/>
                  </w:tcBorders>
                  <w:noWrap w:val="0"/>
                  <w:vAlign w:val="center"/>
                </w:tcPr>
                <w:p w14:paraId="4D86D460">
                  <w:pPr>
                    <w:keepNext w:val="0"/>
                    <w:keepLines w:val="0"/>
                    <w:suppressLineNumbers w:val="0"/>
                    <w:spacing w:before="0" w:beforeAutospacing="0" w:after="0" w:afterAutospacing="0" w:line="240" w:lineRule="auto"/>
                    <w:ind w:left="0" w:right="0" w:firstLine="0" w:firstLineChars="0"/>
                    <w:jc w:val="center"/>
                    <w:textAlignment w:val="bottom"/>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lang w:val="en-US" w:eastAsia="zh-CN"/>
                    </w:rPr>
                    <w:t>20</w:t>
                  </w:r>
                </w:p>
              </w:tc>
            </w:tr>
            <w:tr w14:paraId="48B8DF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5" w:type="pct"/>
                  <w:tcBorders>
                    <w:tl2br w:val="nil"/>
                    <w:tr2bl w:val="nil"/>
                  </w:tcBorders>
                  <w:noWrap w:val="0"/>
                  <w:vAlign w:val="center"/>
                </w:tcPr>
                <w:p w14:paraId="3D29C3C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产生量（</w:t>
                  </w:r>
                  <w:r>
                    <w:rPr>
                      <w:rFonts w:hint="default" w:ascii="Times New Roman" w:hAnsi="Times New Roman" w:eastAsia="宋体" w:cs="Times New Roman"/>
                      <w:color w:val="auto"/>
                      <w:kern w:val="0"/>
                      <w:sz w:val="21"/>
                      <w:szCs w:val="21"/>
                      <w:highlight w:val="none"/>
                    </w:rPr>
                    <w:t>m</w:t>
                  </w:r>
                  <w:r>
                    <w:rPr>
                      <w:rFonts w:hint="default" w:ascii="Times New Roman" w:hAnsi="Times New Roman" w:eastAsia="宋体" w:cs="Times New Roman"/>
                      <w:color w:val="auto"/>
                      <w:kern w:val="0"/>
                      <w:sz w:val="21"/>
                      <w:szCs w:val="21"/>
                      <w:highlight w:val="none"/>
                      <w:vertAlign w:val="superscript"/>
                    </w:rPr>
                    <w:t>3</w:t>
                  </w:r>
                  <w:r>
                    <w:rPr>
                      <w:rFonts w:hint="default" w:ascii="Times New Roman" w:hAnsi="Times New Roman" w:eastAsia="宋体" w:cs="Times New Roman"/>
                      <w:color w:val="auto"/>
                      <w:sz w:val="21"/>
                      <w:szCs w:val="21"/>
                      <w:highlight w:val="none"/>
                    </w:rPr>
                    <w:t>/a）</w:t>
                  </w:r>
                </w:p>
              </w:tc>
              <w:tc>
                <w:tcPr>
                  <w:tcW w:w="544" w:type="pct"/>
                  <w:tcBorders>
                    <w:tl2br w:val="nil"/>
                    <w:tr2bl w:val="nil"/>
                  </w:tcBorders>
                  <w:noWrap w:val="0"/>
                  <w:vAlign w:val="center"/>
                </w:tcPr>
                <w:p w14:paraId="0345432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1636</w:t>
                  </w:r>
                </w:p>
              </w:tc>
              <w:tc>
                <w:tcPr>
                  <w:tcW w:w="423" w:type="pct"/>
                  <w:tcBorders>
                    <w:tl2br w:val="nil"/>
                    <w:tr2bl w:val="nil"/>
                  </w:tcBorders>
                  <w:noWrap w:val="0"/>
                  <w:vAlign w:val="center"/>
                </w:tcPr>
                <w:p w14:paraId="223F649C">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eastAsia="宋体" w:cs="Times New Roman"/>
                      <w:color w:val="auto"/>
                      <w:sz w:val="21"/>
                      <w:highlight w:val="none"/>
                      <w:lang w:val="en-US" w:eastAsia="zh-CN"/>
                    </w:rPr>
                    <w:t>0.491</w:t>
                  </w:r>
                </w:p>
              </w:tc>
              <w:tc>
                <w:tcPr>
                  <w:tcW w:w="564" w:type="pct"/>
                  <w:tcBorders>
                    <w:tl2br w:val="nil"/>
                    <w:tr2bl w:val="nil"/>
                  </w:tcBorders>
                  <w:noWrap w:val="0"/>
                  <w:vAlign w:val="center"/>
                </w:tcPr>
                <w:p w14:paraId="0747730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eastAsia="宋体" w:cs="Times New Roman"/>
                      <w:color w:val="auto"/>
                      <w:sz w:val="21"/>
                      <w:highlight w:val="none"/>
                      <w:lang w:val="en-US" w:eastAsia="zh-CN"/>
                    </w:rPr>
                    <w:t>0.294</w:t>
                  </w:r>
                </w:p>
              </w:tc>
              <w:tc>
                <w:tcPr>
                  <w:tcW w:w="504" w:type="pct"/>
                  <w:tcBorders>
                    <w:tl2br w:val="nil"/>
                    <w:tr2bl w:val="nil"/>
                  </w:tcBorders>
                  <w:noWrap w:val="0"/>
                  <w:vAlign w:val="center"/>
                </w:tcPr>
                <w:p w14:paraId="45173C47">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eastAsia="宋体" w:cs="Times New Roman"/>
                      <w:color w:val="auto"/>
                      <w:sz w:val="21"/>
                      <w:highlight w:val="none"/>
                      <w:lang w:val="en-US" w:eastAsia="zh-CN"/>
                    </w:rPr>
                    <w:t>0.36</w:t>
                  </w:r>
                </w:p>
              </w:tc>
              <w:tc>
                <w:tcPr>
                  <w:tcW w:w="554" w:type="pct"/>
                  <w:tcBorders>
                    <w:tl2br w:val="nil"/>
                    <w:tr2bl w:val="nil"/>
                  </w:tcBorders>
                  <w:noWrap w:val="0"/>
                  <w:vAlign w:val="center"/>
                </w:tcPr>
                <w:p w14:paraId="6C74378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eastAsia="宋体" w:cs="Times New Roman"/>
                      <w:color w:val="auto"/>
                      <w:sz w:val="21"/>
                      <w:highlight w:val="none"/>
                      <w:lang w:val="en-US" w:eastAsia="zh-CN"/>
                    </w:rPr>
                    <w:t>0.057</w:t>
                  </w:r>
                </w:p>
              </w:tc>
              <w:tc>
                <w:tcPr>
                  <w:tcW w:w="443" w:type="pct"/>
                  <w:tcBorders>
                    <w:tl2br w:val="nil"/>
                    <w:tr2bl w:val="nil"/>
                  </w:tcBorders>
                  <w:noWrap w:val="0"/>
                  <w:vAlign w:val="center"/>
                </w:tcPr>
                <w:p w14:paraId="0F94E59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highlight w:val="none"/>
                      <w:lang w:val="en-US" w:eastAsia="zh-CN"/>
                    </w:rPr>
                  </w:pPr>
                  <w:r>
                    <w:rPr>
                      <w:rFonts w:hint="eastAsia" w:cs="Times New Roman"/>
                      <w:color w:val="auto"/>
                      <w:sz w:val="21"/>
                      <w:highlight w:val="none"/>
                      <w:lang w:val="en-US" w:eastAsia="zh-CN"/>
                    </w:rPr>
                    <w:t>0.011</w:t>
                  </w:r>
                </w:p>
              </w:tc>
              <w:tc>
                <w:tcPr>
                  <w:tcW w:w="453" w:type="pct"/>
                  <w:tcBorders>
                    <w:tl2br w:val="nil"/>
                    <w:tr2bl w:val="nil"/>
                  </w:tcBorders>
                  <w:noWrap w:val="0"/>
                  <w:vAlign w:val="center"/>
                </w:tcPr>
                <w:p w14:paraId="2B0822C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highlight w:val="none"/>
                      <w:lang w:val="en-US" w:eastAsia="zh-CN"/>
                    </w:rPr>
                  </w:pPr>
                  <w:r>
                    <w:rPr>
                      <w:rFonts w:hint="eastAsia" w:cs="Times New Roman"/>
                      <w:color w:val="auto"/>
                      <w:sz w:val="21"/>
                      <w:highlight w:val="none"/>
                      <w:lang w:val="en-US" w:eastAsia="zh-CN"/>
                    </w:rPr>
                    <w:t>0.106</w:t>
                  </w:r>
                </w:p>
              </w:tc>
              <w:tc>
                <w:tcPr>
                  <w:tcW w:w="645" w:type="pct"/>
                  <w:tcBorders>
                    <w:tl2br w:val="nil"/>
                    <w:tr2bl w:val="nil"/>
                  </w:tcBorders>
                  <w:noWrap w:val="0"/>
                  <w:vAlign w:val="center"/>
                </w:tcPr>
                <w:p w14:paraId="551431B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eastAsia="宋体" w:cs="Times New Roman"/>
                      <w:color w:val="auto"/>
                      <w:sz w:val="21"/>
                      <w:highlight w:val="none"/>
                      <w:lang w:val="en-US" w:eastAsia="zh-CN"/>
                    </w:rPr>
                    <w:t>0.033</w:t>
                  </w:r>
                </w:p>
              </w:tc>
            </w:tr>
          </w:tbl>
          <w:p w14:paraId="12FD7EF9">
            <w:pPr>
              <w:keepNext w:val="0"/>
              <w:keepLines w:val="0"/>
              <w:suppressLineNumbers w:val="0"/>
              <w:spacing w:before="0" w:beforeAutospacing="0" w:after="0" w:afterAutospacing="0"/>
              <w:ind w:left="0" w:right="0" w:firstLine="480"/>
              <w:rPr>
                <w:rFonts w:hint="default" w:eastAsia="宋体"/>
                <w:color w:val="auto"/>
                <w:highlight w:val="none"/>
                <w:lang w:val="en-US" w:eastAsia="zh-CN"/>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w:t>
            </w:r>
            <w:r>
              <w:rPr>
                <w:rFonts w:hint="eastAsia"/>
                <w:color w:val="auto"/>
                <w:highlight w:val="none"/>
                <w:lang w:val="en-US" w:eastAsia="zh-CN"/>
              </w:rPr>
              <w:t>生产废水、锅炉定期排污</w:t>
            </w:r>
          </w:p>
          <w:p w14:paraId="4139256B">
            <w:pPr>
              <w:keepNext w:val="0"/>
              <w:keepLines w:val="0"/>
              <w:suppressLineNumbers w:val="0"/>
              <w:spacing w:before="0" w:beforeAutospacing="0" w:after="0" w:afterAutospacing="0"/>
              <w:ind w:left="0" w:right="0" w:firstLine="480"/>
              <w:rPr>
                <w:rFonts w:hint="default"/>
                <w:color w:val="auto"/>
                <w:highlight w:val="none"/>
                <w:lang w:val="en-US"/>
              </w:rPr>
            </w:pPr>
            <w:r>
              <w:rPr>
                <w:rFonts w:hint="default"/>
                <w:color w:val="auto"/>
                <w:highlight w:val="none"/>
              </w:rPr>
              <w:t>本项目生产废水</w:t>
            </w:r>
            <w:r>
              <w:rPr>
                <w:rFonts w:hint="default"/>
                <w:color w:val="auto"/>
                <w:highlight w:val="none"/>
                <w:lang w:val="en-US" w:eastAsia="zh-CN"/>
              </w:rPr>
              <w:t>主要为清洗废水</w:t>
            </w:r>
            <w:r>
              <w:rPr>
                <w:rFonts w:hint="eastAsia"/>
                <w:color w:val="auto"/>
                <w:highlight w:val="none"/>
                <w:lang w:val="en-US" w:eastAsia="zh-CN"/>
              </w:rPr>
              <w:t>（含油污水）</w:t>
            </w:r>
            <w:r>
              <w:rPr>
                <w:rFonts w:hint="default"/>
                <w:color w:val="auto"/>
                <w:highlight w:val="none"/>
                <w:lang w:val="en-US" w:eastAsia="zh-CN"/>
              </w:rPr>
              <w:t>。</w:t>
            </w:r>
            <w:r>
              <w:rPr>
                <w:rFonts w:hint="eastAsia"/>
                <w:color w:val="auto"/>
                <w:highlight w:val="none"/>
                <w:lang w:val="en-US" w:eastAsia="zh-CN"/>
              </w:rPr>
              <w:t>锅炉定期排污为清净下水，主要污染物为SS，</w:t>
            </w:r>
            <w:r>
              <w:rPr>
                <w:rFonts w:hint="eastAsia" w:ascii="Times New Roman" w:hAnsi="Times New Roman" w:eastAsia="宋体" w:cs="Times New Roman"/>
                <w:color w:val="auto"/>
                <w:sz w:val="24"/>
                <w:lang w:val="en-US" w:eastAsia="zh-CN"/>
              </w:rPr>
              <w:t>经</w:t>
            </w:r>
            <w:r>
              <w:rPr>
                <w:rFonts w:hint="eastAsia" w:ascii="Times New Roman" w:hAnsi="Times New Roman" w:cs="Times New Roman"/>
                <w:color w:val="auto"/>
                <w:sz w:val="24"/>
                <w:lang w:val="en-US" w:eastAsia="zh-CN"/>
              </w:rPr>
              <w:t>污水管排入</w:t>
            </w:r>
            <w:r>
              <w:rPr>
                <w:rFonts w:hint="eastAsia" w:ascii="Times New Roman" w:hAnsi="Times New Roman" w:eastAsia="宋体" w:cs="Times New Roman"/>
                <w:color w:val="auto"/>
                <w:sz w:val="24"/>
                <w:lang w:val="en-US" w:eastAsia="zh-CN"/>
              </w:rPr>
              <w:t>市政管网</w:t>
            </w:r>
            <w:r>
              <w:rPr>
                <w:rFonts w:hint="eastAsia" w:ascii="Times New Roman" w:hAnsi="Times New Roman" w:cs="Times New Roman"/>
                <w:color w:val="auto"/>
                <w:sz w:val="24"/>
                <w:lang w:val="en-US" w:eastAsia="zh-CN"/>
              </w:rPr>
              <w:t>最终进</w:t>
            </w:r>
            <w:r>
              <w:rPr>
                <w:rFonts w:hint="eastAsia" w:ascii="Times New Roman" w:hAnsi="Times New Roman" w:eastAsia="宋体" w:cs="Times New Roman"/>
                <w:color w:val="auto"/>
                <w:sz w:val="24"/>
                <w:lang w:eastAsia="zh-CN"/>
              </w:rPr>
              <w:t>泾河新城第二污水处理厂</w:t>
            </w:r>
            <w:r>
              <w:rPr>
                <w:rFonts w:hint="eastAsia" w:ascii="Times New Roman" w:hAnsi="Times New Roman" w:cs="Times New Roman"/>
                <w:color w:val="auto"/>
                <w:sz w:val="24"/>
                <w:lang w:val="en-US" w:eastAsia="zh-CN"/>
              </w:rPr>
              <w:t>处理。</w:t>
            </w:r>
          </w:p>
          <w:p w14:paraId="4DB8A8A1">
            <w:pPr>
              <w:keepNext w:val="0"/>
              <w:keepLines w:val="0"/>
              <w:suppressLineNumbers w:val="0"/>
              <w:spacing w:before="0" w:beforeAutospacing="0" w:after="0" w:afterAutospacing="0"/>
              <w:ind w:left="0" w:right="0" w:firstLine="480"/>
              <w:rPr>
                <w:rFonts w:hint="default" w:ascii="Times New Roman" w:hAnsi="Times New Roman" w:eastAsia="宋体" w:cs="Times New Roman"/>
                <w:b/>
                <w:bCs/>
                <w:color w:val="auto"/>
                <w:sz w:val="21"/>
                <w:szCs w:val="21"/>
                <w:highlight w:val="none"/>
              </w:rPr>
            </w:pPr>
            <w:r>
              <w:rPr>
                <w:rFonts w:hint="eastAsia" w:ascii="Times New Roman" w:hAnsi="Times New Roman" w:eastAsia="宋体" w:cs="Times New Roman"/>
                <w:color w:val="auto"/>
                <w:sz w:val="24"/>
                <w:szCs w:val="24"/>
                <w:highlight w:val="none"/>
                <w:lang w:val="en-US" w:eastAsia="zh-CN"/>
              </w:rPr>
              <w:t>根据陕西省《餐饮业环境保护工程技术指南》（DB61/T1307-2019）中饮食业单位含油污水水质浓度范围值见表4-6</w:t>
            </w:r>
            <w:r>
              <w:rPr>
                <w:rFonts w:hint="default" w:ascii="Times New Roman" w:hAnsi="Times New Roman" w:eastAsia="宋体" w:cs="Times New Roman"/>
                <w:color w:val="auto"/>
                <w:sz w:val="24"/>
                <w:szCs w:val="24"/>
                <w:lang w:val="en-US" w:eastAsia="zh-CN"/>
              </w:rPr>
              <w:t>。</w:t>
            </w:r>
          </w:p>
          <w:p w14:paraId="5A50A14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4"/>
                <w:szCs w:val="24"/>
                <w:highlight w:val="none"/>
              </w:rPr>
              <w:t>表</w:t>
            </w:r>
            <w:r>
              <w:rPr>
                <w:rFonts w:hint="default" w:ascii="Times New Roman" w:hAnsi="Times New Roman" w:eastAsia="宋体" w:cs="Times New Roman"/>
                <w:b/>
                <w:bCs/>
                <w:color w:val="auto"/>
                <w:sz w:val="24"/>
                <w:szCs w:val="24"/>
                <w:highlight w:val="none"/>
                <w:lang w:val="en-US" w:eastAsia="zh-CN"/>
              </w:rPr>
              <w:t>4-</w:t>
            </w:r>
            <w:r>
              <w:rPr>
                <w:rFonts w:hint="eastAsia" w:ascii="Times New Roman" w:hAnsi="Times New Roman" w:eastAsia="宋体" w:cs="Times New Roman"/>
                <w:b/>
                <w:bCs/>
                <w:color w:val="auto"/>
                <w:sz w:val="24"/>
                <w:szCs w:val="24"/>
                <w:highlight w:val="none"/>
                <w:lang w:val="en-US" w:eastAsia="zh-CN"/>
              </w:rPr>
              <w:t>6</w:t>
            </w:r>
            <w:r>
              <w:rPr>
                <w:rFonts w:hint="default" w:ascii="Times New Roman" w:hAnsi="Times New Roman" w:eastAsia="宋体" w:cs="Times New Roman"/>
                <w:b/>
                <w:bCs/>
                <w:color w:val="auto"/>
                <w:sz w:val="24"/>
                <w:szCs w:val="24"/>
                <w:highlight w:val="none"/>
                <w:lang w:val="en-US" w:eastAsia="zh-CN"/>
              </w:rPr>
              <w:t xml:space="preserve">  </w:t>
            </w:r>
            <w:r>
              <w:rPr>
                <w:rFonts w:hint="default" w:ascii="Times New Roman" w:hAnsi="Times New Roman" w:eastAsia="宋体" w:cs="Times New Roman"/>
                <w:b/>
                <w:bCs/>
                <w:color w:val="auto"/>
                <w:sz w:val="24"/>
                <w:szCs w:val="24"/>
                <w:highlight w:val="none"/>
              </w:rPr>
              <w:t xml:space="preserve">  </w:t>
            </w:r>
            <w:r>
              <w:rPr>
                <w:rFonts w:hint="default" w:ascii="Times New Roman" w:hAnsi="Times New Roman" w:eastAsia="宋体" w:cs="Times New Roman"/>
                <w:b/>
                <w:bCs/>
                <w:color w:val="auto"/>
                <w:sz w:val="24"/>
                <w:szCs w:val="24"/>
                <w:highlight w:val="none"/>
                <w:lang w:val="en-US" w:eastAsia="zh-CN"/>
              </w:rPr>
              <w:t>《餐饮业环境保护工程技术指南》</w:t>
            </w:r>
            <w:r>
              <w:rPr>
                <w:rFonts w:hint="eastAsia" w:ascii="Times New Roman" w:hAnsi="Times New Roman" w:eastAsia="宋体" w:cs="Times New Roman"/>
                <w:b/>
                <w:bCs/>
                <w:color w:val="auto"/>
                <w:sz w:val="24"/>
                <w:szCs w:val="24"/>
                <w:highlight w:val="none"/>
                <w:lang w:val="en-US" w:eastAsia="zh-CN"/>
              </w:rPr>
              <w:t xml:space="preserve">中含油污水水质范围  </w:t>
            </w:r>
          </w:p>
          <w:tbl>
            <w:tblPr>
              <w:tblStyle w:val="37"/>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2"/>
              <w:gridCol w:w="1095"/>
              <w:gridCol w:w="930"/>
              <w:gridCol w:w="975"/>
              <w:gridCol w:w="645"/>
              <w:gridCol w:w="645"/>
              <w:gridCol w:w="765"/>
              <w:gridCol w:w="962"/>
              <w:gridCol w:w="1121"/>
            </w:tblGrid>
            <w:tr w14:paraId="0D7E04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84" w:type="pct"/>
                  <w:tcBorders>
                    <w:tl2br w:val="nil"/>
                    <w:tr2bl w:val="nil"/>
                  </w:tcBorders>
                  <w:noWrap w:val="0"/>
                  <w:vAlign w:val="center"/>
                </w:tcPr>
                <w:p w14:paraId="329C01E7">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污染物</w:t>
                  </w:r>
                </w:p>
              </w:tc>
              <w:tc>
                <w:tcPr>
                  <w:tcW w:w="662" w:type="pct"/>
                  <w:tcBorders>
                    <w:tl2br w:val="nil"/>
                    <w:tr2bl w:val="nil"/>
                  </w:tcBorders>
                  <w:noWrap w:val="0"/>
                  <w:vAlign w:val="center"/>
                </w:tcPr>
                <w:p w14:paraId="23AEE27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color w:val="auto"/>
                      <w:sz w:val="21"/>
                      <w:szCs w:val="21"/>
                    </w:rPr>
                    <w:t>COD</w:t>
                  </w:r>
                </w:p>
              </w:tc>
              <w:tc>
                <w:tcPr>
                  <w:tcW w:w="562" w:type="pct"/>
                  <w:tcBorders>
                    <w:tl2br w:val="nil"/>
                    <w:tr2bl w:val="nil"/>
                  </w:tcBorders>
                  <w:noWrap w:val="0"/>
                  <w:vAlign w:val="center"/>
                </w:tcPr>
                <w:p w14:paraId="376A789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color w:val="auto"/>
                      <w:sz w:val="21"/>
                      <w:szCs w:val="21"/>
                    </w:rPr>
                    <w:t>BOD</w:t>
                  </w:r>
                  <w:r>
                    <w:rPr>
                      <w:rFonts w:hint="default" w:ascii="Times New Roman" w:hAnsi="Times New Roman" w:eastAsia="宋体" w:cs="Times New Roman"/>
                      <w:b/>
                      <w:color w:val="auto"/>
                      <w:sz w:val="21"/>
                      <w:szCs w:val="21"/>
                      <w:vertAlign w:val="subscript"/>
                    </w:rPr>
                    <w:t>5</w:t>
                  </w:r>
                </w:p>
              </w:tc>
              <w:tc>
                <w:tcPr>
                  <w:tcW w:w="589" w:type="pct"/>
                  <w:tcBorders>
                    <w:tl2br w:val="nil"/>
                    <w:tr2bl w:val="nil"/>
                  </w:tcBorders>
                  <w:noWrap w:val="0"/>
                  <w:vAlign w:val="center"/>
                </w:tcPr>
                <w:p w14:paraId="05E9AEA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color w:val="auto"/>
                      <w:sz w:val="21"/>
                      <w:szCs w:val="21"/>
                    </w:rPr>
                    <w:t>SS</w:t>
                  </w:r>
                </w:p>
              </w:tc>
              <w:tc>
                <w:tcPr>
                  <w:tcW w:w="389" w:type="pct"/>
                  <w:tcBorders>
                    <w:tl2br w:val="nil"/>
                    <w:tr2bl w:val="nil"/>
                  </w:tcBorders>
                  <w:noWrap w:val="0"/>
                  <w:vAlign w:val="center"/>
                </w:tcPr>
                <w:p w14:paraId="6C456F1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color w:val="auto"/>
                      <w:sz w:val="21"/>
                      <w:szCs w:val="21"/>
                    </w:rPr>
                    <w:t>氨氮</w:t>
                  </w:r>
                </w:p>
              </w:tc>
              <w:tc>
                <w:tcPr>
                  <w:tcW w:w="389" w:type="pct"/>
                  <w:tcBorders>
                    <w:tl2br w:val="nil"/>
                    <w:tr2bl w:val="nil"/>
                  </w:tcBorders>
                  <w:noWrap w:val="0"/>
                  <w:vAlign w:val="center"/>
                </w:tcPr>
                <w:p w14:paraId="2C9BDC6A">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color w:val="auto"/>
                      <w:sz w:val="21"/>
                      <w:szCs w:val="21"/>
                      <w:lang w:val="en-US" w:eastAsia="zh-CN"/>
                    </w:rPr>
                  </w:pPr>
                  <w:r>
                    <w:rPr>
                      <w:rFonts w:hint="eastAsia" w:cs="Times New Roman"/>
                      <w:b/>
                      <w:color w:val="auto"/>
                      <w:sz w:val="21"/>
                      <w:szCs w:val="21"/>
                      <w:lang w:val="en-US" w:eastAsia="zh-CN"/>
                    </w:rPr>
                    <w:t>总磷</w:t>
                  </w:r>
                </w:p>
              </w:tc>
              <w:tc>
                <w:tcPr>
                  <w:tcW w:w="462" w:type="pct"/>
                  <w:tcBorders>
                    <w:tl2br w:val="nil"/>
                    <w:tr2bl w:val="nil"/>
                  </w:tcBorders>
                  <w:noWrap w:val="0"/>
                  <w:vAlign w:val="center"/>
                </w:tcPr>
                <w:p w14:paraId="5C0F8673">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color w:val="auto"/>
                      <w:sz w:val="21"/>
                      <w:szCs w:val="21"/>
                      <w:lang w:val="en-US" w:eastAsia="zh-CN"/>
                    </w:rPr>
                  </w:pPr>
                  <w:r>
                    <w:rPr>
                      <w:rFonts w:hint="eastAsia" w:cs="Times New Roman"/>
                      <w:b/>
                      <w:color w:val="auto"/>
                      <w:sz w:val="21"/>
                      <w:szCs w:val="21"/>
                      <w:lang w:val="en-US" w:eastAsia="zh-CN"/>
                    </w:rPr>
                    <w:t>总氮</w:t>
                  </w:r>
                </w:p>
              </w:tc>
              <w:tc>
                <w:tcPr>
                  <w:tcW w:w="581" w:type="pct"/>
                  <w:tcBorders>
                    <w:tl2br w:val="nil"/>
                    <w:tr2bl w:val="nil"/>
                  </w:tcBorders>
                  <w:shd w:val="clear" w:color="auto" w:fill="auto"/>
                  <w:noWrap w:val="0"/>
                  <w:vAlign w:val="center"/>
                </w:tcPr>
                <w:p w14:paraId="11435731">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color w:val="auto"/>
                      <w:sz w:val="21"/>
                      <w:szCs w:val="21"/>
                    </w:rPr>
                    <w:t>动植物油</w:t>
                  </w:r>
                </w:p>
              </w:tc>
              <w:tc>
                <w:tcPr>
                  <w:tcW w:w="677" w:type="pct"/>
                  <w:tcBorders>
                    <w:tl2br w:val="nil"/>
                    <w:tr2bl w:val="nil"/>
                  </w:tcBorders>
                  <w:noWrap w:val="0"/>
                  <w:vAlign w:val="center"/>
                </w:tcPr>
                <w:p w14:paraId="0E9C9A7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lang w:val="en-US" w:eastAsia="zh-CN"/>
                    </w:rPr>
                  </w:pPr>
                  <w:r>
                    <w:rPr>
                      <w:rFonts w:hint="eastAsia" w:ascii="Times New Roman" w:hAnsi="Times New Roman" w:eastAsia="宋体" w:cs="Times New Roman"/>
                      <w:b/>
                      <w:color w:val="auto"/>
                      <w:sz w:val="21"/>
                      <w:szCs w:val="21"/>
                      <w:lang w:val="en-US" w:eastAsia="zh-CN"/>
                    </w:rPr>
                    <w:t>阴因子表面活性剂（LAS）</w:t>
                  </w:r>
                </w:p>
              </w:tc>
            </w:tr>
            <w:tr w14:paraId="7E5FED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684" w:type="pct"/>
                  <w:tcBorders>
                    <w:tl2br w:val="nil"/>
                    <w:tr2bl w:val="nil"/>
                  </w:tcBorders>
                  <w:noWrap w:val="0"/>
                  <w:vAlign w:val="center"/>
                </w:tcPr>
                <w:p w14:paraId="5A1B3366">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平均浓度</w:t>
                  </w:r>
                  <w:r>
                    <w:rPr>
                      <w:rFonts w:hint="default" w:ascii="Times New Roman" w:hAnsi="Times New Roman" w:eastAsia="宋体" w:cs="Times New Roman"/>
                      <w:color w:val="auto"/>
                      <w:sz w:val="21"/>
                      <w:szCs w:val="21"/>
                      <w:highlight w:val="none"/>
                      <w:lang w:val="en-US" w:eastAsia="zh-CN"/>
                    </w:rPr>
                    <w:t>（mg/L）</w:t>
                  </w:r>
                </w:p>
              </w:tc>
              <w:tc>
                <w:tcPr>
                  <w:tcW w:w="662" w:type="pct"/>
                  <w:tcBorders>
                    <w:tl2br w:val="nil"/>
                    <w:tr2bl w:val="nil"/>
                  </w:tcBorders>
                  <w:noWrap w:val="0"/>
                  <w:vAlign w:val="center"/>
                </w:tcPr>
                <w:p w14:paraId="4A4DA4B2">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800-1200</w:t>
                  </w:r>
                </w:p>
              </w:tc>
              <w:tc>
                <w:tcPr>
                  <w:tcW w:w="562" w:type="pct"/>
                  <w:tcBorders>
                    <w:tl2br w:val="nil"/>
                    <w:tr2bl w:val="nil"/>
                  </w:tcBorders>
                  <w:noWrap w:val="0"/>
                  <w:vAlign w:val="center"/>
                </w:tcPr>
                <w:p w14:paraId="03E4545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400-600</w:t>
                  </w:r>
                </w:p>
              </w:tc>
              <w:tc>
                <w:tcPr>
                  <w:tcW w:w="589" w:type="pct"/>
                  <w:tcBorders>
                    <w:tl2br w:val="nil"/>
                    <w:tr2bl w:val="nil"/>
                  </w:tcBorders>
                  <w:noWrap w:val="0"/>
                  <w:vAlign w:val="center"/>
                </w:tcPr>
                <w:p w14:paraId="0188E3A1">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300-500</w:t>
                  </w:r>
                </w:p>
              </w:tc>
              <w:tc>
                <w:tcPr>
                  <w:tcW w:w="389" w:type="pct"/>
                  <w:tcBorders>
                    <w:tl2br w:val="nil"/>
                    <w:tr2bl w:val="nil"/>
                  </w:tcBorders>
                  <w:noWrap w:val="0"/>
                  <w:vAlign w:val="center"/>
                </w:tcPr>
                <w:p w14:paraId="09E38F3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0-20</w:t>
                  </w:r>
                </w:p>
              </w:tc>
              <w:tc>
                <w:tcPr>
                  <w:tcW w:w="389" w:type="pct"/>
                  <w:tcBorders>
                    <w:tl2br w:val="nil"/>
                    <w:tr2bl w:val="nil"/>
                  </w:tcBorders>
                  <w:noWrap w:val="0"/>
                  <w:vAlign w:val="center"/>
                </w:tcPr>
                <w:p w14:paraId="7B4358AE">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8</w:t>
                  </w:r>
                </w:p>
              </w:tc>
              <w:tc>
                <w:tcPr>
                  <w:tcW w:w="462" w:type="pct"/>
                  <w:tcBorders>
                    <w:tl2br w:val="nil"/>
                    <w:tr2bl w:val="nil"/>
                  </w:tcBorders>
                  <w:noWrap w:val="0"/>
                  <w:vAlign w:val="center"/>
                </w:tcPr>
                <w:p w14:paraId="736C43D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w:t>
                  </w:r>
                  <w:r>
                    <w:rPr>
                      <w:rFonts w:hint="eastAsia" w:ascii="Times New Roman" w:hAnsi="Times New Roman" w:eastAsia="宋体" w:cs="Times New Roman"/>
                      <w:color w:val="auto"/>
                      <w:sz w:val="21"/>
                      <w:szCs w:val="21"/>
                      <w:highlight w:val="none"/>
                      <w:lang w:val="en-US" w:eastAsia="zh-CN"/>
                    </w:rPr>
                    <w:t>0-</w:t>
                  </w:r>
                  <w:r>
                    <w:rPr>
                      <w:rFonts w:hint="eastAsia" w:cs="Times New Roman"/>
                      <w:color w:val="auto"/>
                      <w:sz w:val="21"/>
                      <w:szCs w:val="21"/>
                      <w:highlight w:val="none"/>
                      <w:lang w:val="en-US" w:eastAsia="zh-CN"/>
                    </w:rPr>
                    <w:t>45</w:t>
                  </w:r>
                </w:p>
              </w:tc>
              <w:tc>
                <w:tcPr>
                  <w:tcW w:w="581" w:type="pct"/>
                  <w:tcBorders>
                    <w:tl2br w:val="nil"/>
                    <w:tr2bl w:val="nil"/>
                  </w:tcBorders>
                  <w:shd w:val="clear" w:color="auto" w:fill="auto"/>
                  <w:noWrap w:val="0"/>
                  <w:vAlign w:val="center"/>
                </w:tcPr>
                <w:p w14:paraId="51DC17EA">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100-200</w:t>
                  </w:r>
                </w:p>
              </w:tc>
              <w:tc>
                <w:tcPr>
                  <w:tcW w:w="677" w:type="pct"/>
                  <w:tcBorders>
                    <w:tl2br w:val="nil"/>
                    <w:tr2bl w:val="nil"/>
                  </w:tcBorders>
                  <w:noWrap w:val="0"/>
                  <w:vAlign w:val="center"/>
                </w:tcPr>
                <w:p w14:paraId="68BC9A0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0-10</w:t>
                  </w:r>
                </w:p>
              </w:tc>
            </w:tr>
          </w:tbl>
          <w:p w14:paraId="6A742400">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本项目含油废水按陕西省《餐饮业环境保护工程技术指南》（DB61/T1307-2019）中最大值计，项目运营期生产废水污染物产排情况一览表4-7。</w:t>
            </w:r>
          </w:p>
          <w:p w14:paraId="7421A72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表</w:t>
            </w:r>
            <w:r>
              <w:rPr>
                <w:rFonts w:hint="default" w:ascii="Times New Roman" w:hAnsi="Times New Roman" w:eastAsia="宋体" w:cs="Times New Roman"/>
                <w:b/>
                <w:bCs/>
                <w:color w:val="auto"/>
                <w:sz w:val="24"/>
                <w:szCs w:val="24"/>
                <w:highlight w:val="none"/>
                <w:lang w:val="en-US" w:eastAsia="zh-CN"/>
              </w:rPr>
              <w:t>4-</w:t>
            </w:r>
            <w:r>
              <w:rPr>
                <w:rFonts w:hint="eastAsia" w:ascii="Times New Roman" w:hAnsi="Times New Roman" w:eastAsia="宋体" w:cs="Times New Roman"/>
                <w:b/>
                <w:bCs/>
                <w:color w:val="auto"/>
                <w:sz w:val="24"/>
                <w:szCs w:val="24"/>
                <w:highlight w:val="none"/>
                <w:lang w:val="en-US" w:eastAsia="zh-CN"/>
              </w:rPr>
              <w:t>7</w:t>
            </w:r>
            <w:r>
              <w:rPr>
                <w:rFonts w:hint="default" w:ascii="Times New Roman" w:hAnsi="Times New Roman" w:eastAsia="宋体" w:cs="Times New Roman"/>
                <w:b/>
                <w:bCs/>
                <w:color w:val="auto"/>
                <w:sz w:val="24"/>
                <w:szCs w:val="24"/>
                <w:highlight w:val="none"/>
                <w:lang w:val="en-US" w:eastAsia="zh-CN"/>
              </w:rPr>
              <w:t xml:space="preserve">  </w:t>
            </w:r>
            <w:r>
              <w:rPr>
                <w:rFonts w:hint="default" w:ascii="Times New Roman" w:hAnsi="Times New Roman" w:eastAsia="宋体" w:cs="Times New Roman"/>
                <w:b/>
                <w:bCs/>
                <w:color w:val="auto"/>
                <w:sz w:val="24"/>
                <w:szCs w:val="24"/>
                <w:highlight w:val="none"/>
              </w:rPr>
              <w:t xml:space="preserve">  </w:t>
            </w:r>
            <w:r>
              <w:rPr>
                <w:rFonts w:hint="eastAsia" w:ascii="Times New Roman" w:hAnsi="Times New Roman" w:eastAsia="宋体" w:cs="Times New Roman"/>
                <w:b/>
                <w:bCs/>
                <w:color w:val="auto"/>
                <w:sz w:val="24"/>
                <w:szCs w:val="24"/>
                <w:highlight w:val="none"/>
                <w:lang w:val="en-US" w:eastAsia="zh-CN"/>
              </w:rPr>
              <w:t>项目运营期生产</w:t>
            </w:r>
            <w:r>
              <w:rPr>
                <w:rFonts w:hint="default" w:ascii="Times New Roman" w:hAnsi="Times New Roman" w:eastAsia="宋体" w:cs="Times New Roman"/>
                <w:b/>
                <w:bCs/>
                <w:color w:val="auto"/>
                <w:sz w:val="24"/>
                <w:szCs w:val="24"/>
                <w:highlight w:val="none"/>
              </w:rPr>
              <w:t>废水污染物产排情况一览表</w:t>
            </w:r>
          </w:p>
          <w:tbl>
            <w:tblPr>
              <w:tblStyle w:val="37"/>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110"/>
              <w:gridCol w:w="810"/>
              <w:gridCol w:w="765"/>
              <w:gridCol w:w="615"/>
              <w:gridCol w:w="705"/>
              <w:gridCol w:w="735"/>
              <w:gridCol w:w="855"/>
              <w:gridCol w:w="915"/>
              <w:gridCol w:w="701"/>
            </w:tblGrid>
            <w:tr w14:paraId="4B6B0D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38" w:type="pct"/>
                  <w:tcBorders>
                    <w:tl2br w:val="nil"/>
                    <w:tr2bl w:val="nil"/>
                  </w:tcBorders>
                  <w:noWrap w:val="0"/>
                  <w:vAlign w:val="center"/>
                </w:tcPr>
                <w:p w14:paraId="07EC6AC1">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项目排水量</w:t>
                  </w:r>
                </w:p>
              </w:tc>
              <w:tc>
                <w:tcPr>
                  <w:tcW w:w="671" w:type="pct"/>
                  <w:tcBorders>
                    <w:tl2br w:val="nil"/>
                    <w:tr2bl w:val="nil"/>
                  </w:tcBorders>
                  <w:noWrap w:val="0"/>
                  <w:vAlign w:val="center"/>
                </w:tcPr>
                <w:p w14:paraId="46D5DE7F">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污染物名称</w:t>
                  </w:r>
                </w:p>
              </w:tc>
              <w:tc>
                <w:tcPr>
                  <w:tcW w:w="489" w:type="pct"/>
                  <w:tcBorders>
                    <w:tl2br w:val="nil"/>
                    <w:tr2bl w:val="nil"/>
                  </w:tcBorders>
                  <w:noWrap w:val="0"/>
                  <w:vAlign w:val="center"/>
                </w:tcPr>
                <w:p w14:paraId="2738E09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color w:val="auto"/>
                      <w:sz w:val="21"/>
                      <w:szCs w:val="21"/>
                      <w:highlight w:val="none"/>
                    </w:rPr>
                    <w:t>COD</w:t>
                  </w:r>
                </w:p>
              </w:tc>
              <w:tc>
                <w:tcPr>
                  <w:tcW w:w="462" w:type="pct"/>
                  <w:tcBorders>
                    <w:tl2br w:val="nil"/>
                    <w:tr2bl w:val="nil"/>
                  </w:tcBorders>
                  <w:noWrap w:val="0"/>
                  <w:vAlign w:val="center"/>
                </w:tcPr>
                <w:p w14:paraId="087A16F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color w:val="auto"/>
                      <w:sz w:val="21"/>
                      <w:szCs w:val="21"/>
                      <w:highlight w:val="none"/>
                    </w:rPr>
                    <w:t>BOD</w:t>
                  </w:r>
                  <w:r>
                    <w:rPr>
                      <w:rFonts w:hint="default" w:ascii="Times New Roman" w:hAnsi="Times New Roman" w:eastAsia="宋体" w:cs="Times New Roman"/>
                      <w:b/>
                      <w:color w:val="auto"/>
                      <w:sz w:val="21"/>
                      <w:szCs w:val="21"/>
                      <w:highlight w:val="none"/>
                      <w:vertAlign w:val="subscript"/>
                    </w:rPr>
                    <w:t>5</w:t>
                  </w:r>
                </w:p>
              </w:tc>
              <w:tc>
                <w:tcPr>
                  <w:tcW w:w="372" w:type="pct"/>
                  <w:tcBorders>
                    <w:tl2br w:val="nil"/>
                    <w:tr2bl w:val="nil"/>
                  </w:tcBorders>
                  <w:noWrap w:val="0"/>
                  <w:vAlign w:val="center"/>
                </w:tcPr>
                <w:p w14:paraId="589ED0B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color w:val="auto"/>
                      <w:sz w:val="21"/>
                      <w:szCs w:val="21"/>
                      <w:highlight w:val="none"/>
                    </w:rPr>
                    <w:t>SS</w:t>
                  </w:r>
                </w:p>
              </w:tc>
              <w:tc>
                <w:tcPr>
                  <w:tcW w:w="426" w:type="pct"/>
                  <w:tcBorders>
                    <w:tl2br w:val="nil"/>
                    <w:tr2bl w:val="nil"/>
                  </w:tcBorders>
                  <w:noWrap w:val="0"/>
                  <w:vAlign w:val="center"/>
                </w:tcPr>
                <w:p w14:paraId="76EE11B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color w:val="auto"/>
                      <w:sz w:val="21"/>
                      <w:szCs w:val="21"/>
                      <w:highlight w:val="none"/>
                    </w:rPr>
                    <w:t>氨氮</w:t>
                  </w:r>
                </w:p>
              </w:tc>
              <w:tc>
                <w:tcPr>
                  <w:tcW w:w="444" w:type="pct"/>
                  <w:tcBorders>
                    <w:tl2br w:val="nil"/>
                    <w:tr2bl w:val="nil"/>
                  </w:tcBorders>
                  <w:noWrap w:val="0"/>
                  <w:vAlign w:val="center"/>
                </w:tcPr>
                <w:p w14:paraId="54613512">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color w:val="auto"/>
                      <w:sz w:val="21"/>
                      <w:szCs w:val="21"/>
                      <w:highlight w:val="none"/>
                      <w:lang w:val="en-US" w:eastAsia="zh-CN"/>
                    </w:rPr>
                  </w:pPr>
                  <w:r>
                    <w:rPr>
                      <w:rFonts w:hint="eastAsia" w:cs="Times New Roman"/>
                      <w:b/>
                      <w:color w:val="auto"/>
                      <w:sz w:val="21"/>
                      <w:szCs w:val="21"/>
                      <w:highlight w:val="none"/>
                      <w:lang w:val="en-US" w:eastAsia="zh-CN"/>
                    </w:rPr>
                    <w:t>总磷</w:t>
                  </w:r>
                </w:p>
              </w:tc>
              <w:tc>
                <w:tcPr>
                  <w:tcW w:w="517" w:type="pct"/>
                  <w:tcBorders>
                    <w:tl2br w:val="nil"/>
                    <w:tr2bl w:val="nil"/>
                  </w:tcBorders>
                  <w:noWrap w:val="0"/>
                  <w:vAlign w:val="center"/>
                </w:tcPr>
                <w:p w14:paraId="570C146F">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color w:val="auto"/>
                      <w:sz w:val="21"/>
                      <w:szCs w:val="21"/>
                      <w:highlight w:val="none"/>
                      <w:lang w:val="en-US" w:eastAsia="zh-CN"/>
                    </w:rPr>
                  </w:pPr>
                  <w:r>
                    <w:rPr>
                      <w:rFonts w:hint="eastAsia" w:cs="Times New Roman"/>
                      <w:b/>
                      <w:color w:val="auto"/>
                      <w:sz w:val="21"/>
                      <w:szCs w:val="21"/>
                      <w:highlight w:val="none"/>
                      <w:lang w:val="en-US" w:eastAsia="zh-CN"/>
                    </w:rPr>
                    <w:t>总氮</w:t>
                  </w:r>
                </w:p>
              </w:tc>
              <w:tc>
                <w:tcPr>
                  <w:tcW w:w="553" w:type="pct"/>
                  <w:tcBorders>
                    <w:tl2br w:val="nil"/>
                    <w:tr2bl w:val="nil"/>
                  </w:tcBorders>
                  <w:noWrap w:val="0"/>
                  <w:vAlign w:val="center"/>
                </w:tcPr>
                <w:p w14:paraId="2A95AE1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color w:val="auto"/>
                      <w:sz w:val="21"/>
                      <w:szCs w:val="21"/>
                      <w:highlight w:val="none"/>
                    </w:rPr>
                    <w:t>动植物油</w:t>
                  </w:r>
                </w:p>
              </w:tc>
              <w:tc>
                <w:tcPr>
                  <w:tcW w:w="424" w:type="pct"/>
                  <w:tcBorders>
                    <w:tl2br w:val="nil"/>
                    <w:tr2bl w:val="nil"/>
                  </w:tcBorders>
                  <w:noWrap w:val="0"/>
                  <w:vAlign w:val="center"/>
                </w:tcPr>
                <w:p w14:paraId="2F3B795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LAS</w:t>
                  </w:r>
                </w:p>
              </w:tc>
            </w:tr>
            <w:tr w14:paraId="130971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638" w:type="pct"/>
                  <w:vMerge w:val="restart"/>
                  <w:tcBorders>
                    <w:tl2br w:val="nil"/>
                    <w:tr2bl w:val="nil"/>
                  </w:tcBorders>
                  <w:noWrap w:val="0"/>
                  <w:vAlign w:val="center"/>
                </w:tcPr>
                <w:p w14:paraId="4824968D">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生产</w:t>
                  </w:r>
                  <w:r>
                    <w:rPr>
                      <w:rFonts w:hint="default" w:ascii="Times New Roman" w:hAnsi="Times New Roman" w:eastAsia="宋体" w:cs="Times New Roman"/>
                      <w:color w:val="auto"/>
                      <w:sz w:val="21"/>
                      <w:szCs w:val="21"/>
                      <w:highlight w:val="none"/>
                      <w:lang w:val="en-US" w:eastAsia="zh-CN"/>
                    </w:rPr>
                    <w:t>废水</w:t>
                  </w:r>
                  <w:r>
                    <w:rPr>
                      <w:rFonts w:hint="eastAsia" w:ascii="Times New Roman" w:hAnsi="Times New Roman" w:eastAsia="宋体" w:cs="Times New Roman"/>
                      <w:color w:val="auto"/>
                      <w:sz w:val="21"/>
                      <w:szCs w:val="21"/>
                      <w:highlight w:val="none"/>
                      <w:lang w:val="en-US" w:eastAsia="zh-CN"/>
                    </w:rPr>
                    <w:t>2</w:t>
                  </w:r>
                  <w:r>
                    <w:rPr>
                      <w:rFonts w:hint="eastAsia" w:cs="Times New Roman"/>
                      <w:color w:val="auto"/>
                      <w:sz w:val="21"/>
                      <w:szCs w:val="21"/>
                      <w:highlight w:val="none"/>
                      <w:lang w:val="en-US" w:eastAsia="zh-CN"/>
                    </w:rPr>
                    <w:t>34</w:t>
                  </w:r>
                  <w:r>
                    <w:rPr>
                      <w:rFonts w:hint="eastAsia" w:ascii="Times New Roman" w:hAnsi="Times New Roman" w:eastAsia="宋体"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rPr>
                    <w:t>m³/a</w:t>
                  </w:r>
                </w:p>
              </w:tc>
              <w:tc>
                <w:tcPr>
                  <w:tcW w:w="671" w:type="pct"/>
                  <w:tcBorders>
                    <w:tl2br w:val="nil"/>
                    <w:tr2bl w:val="nil"/>
                  </w:tcBorders>
                  <w:noWrap w:val="0"/>
                  <w:vAlign w:val="center"/>
                </w:tcPr>
                <w:p w14:paraId="6D274F17">
                  <w:pPr>
                    <w:keepNext w:val="0"/>
                    <w:keepLines w:val="0"/>
                    <w:suppressLineNumbers w:val="0"/>
                    <w:tabs>
                      <w:tab w:val="left" w:pos="231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产生浓度（mg/L）</w:t>
                  </w:r>
                </w:p>
              </w:tc>
              <w:tc>
                <w:tcPr>
                  <w:tcW w:w="489" w:type="pct"/>
                  <w:tcBorders>
                    <w:tl2br w:val="nil"/>
                    <w:tr2bl w:val="nil"/>
                  </w:tcBorders>
                  <w:noWrap w:val="0"/>
                  <w:vAlign w:val="center"/>
                </w:tcPr>
                <w:p w14:paraId="6EC0313C">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1200</w:t>
                  </w:r>
                </w:p>
              </w:tc>
              <w:tc>
                <w:tcPr>
                  <w:tcW w:w="462" w:type="pct"/>
                  <w:tcBorders>
                    <w:tl2br w:val="nil"/>
                    <w:tr2bl w:val="nil"/>
                  </w:tcBorders>
                  <w:noWrap w:val="0"/>
                  <w:vAlign w:val="center"/>
                </w:tcPr>
                <w:p w14:paraId="1310CEB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600</w:t>
                  </w:r>
                </w:p>
              </w:tc>
              <w:tc>
                <w:tcPr>
                  <w:tcW w:w="372" w:type="pct"/>
                  <w:tcBorders>
                    <w:tl2br w:val="nil"/>
                    <w:tr2bl w:val="nil"/>
                  </w:tcBorders>
                  <w:noWrap w:val="0"/>
                  <w:vAlign w:val="center"/>
                </w:tcPr>
                <w:p w14:paraId="31B9F3BC">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500</w:t>
                  </w:r>
                </w:p>
              </w:tc>
              <w:tc>
                <w:tcPr>
                  <w:tcW w:w="426" w:type="pct"/>
                  <w:tcBorders>
                    <w:tl2br w:val="nil"/>
                    <w:tr2bl w:val="nil"/>
                  </w:tcBorders>
                  <w:noWrap w:val="0"/>
                  <w:vAlign w:val="center"/>
                </w:tcPr>
                <w:p w14:paraId="27780B7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w:t>
                  </w:r>
                </w:p>
              </w:tc>
              <w:tc>
                <w:tcPr>
                  <w:tcW w:w="444" w:type="pct"/>
                  <w:tcBorders>
                    <w:tl2br w:val="nil"/>
                    <w:tr2bl w:val="nil"/>
                  </w:tcBorders>
                  <w:noWrap w:val="0"/>
                  <w:vAlign w:val="center"/>
                </w:tcPr>
                <w:p w14:paraId="0DC06C7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8</w:t>
                  </w:r>
                </w:p>
              </w:tc>
              <w:tc>
                <w:tcPr>
                  <w:tcW w:w="517" w:type="pct"/>
                  <w:tcBorders>
                    <w:tl2br w:val="nil"/>
                    <w:tr2bl w:val="nil"/>
                  </w:tcBorders>
                  <w:noWrap w:val="0"/>
                  <w:vAlign w:val="center"/>
                </w:tcPr>
                <w:p w14:paraId="659A0E9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45</w:t>
                  </w:r>
                </w:p>
              </w:tc>
              <w:tc>
                <w:tcPr>
                  <w:tcW w:w="553" w:type="pct"/>
                  <w:tcBorders>
                    <w:tl2br w:val="nil"/>
                    <w:tr2bl w:val="nil"/>
                  </w:tcBorders>
                  <w:noWrap w:val="0"/>
                  <w:vAlign w:val="center"/>
                </w:tcPr>
                <w:p w14:paraId="648D388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200</w:t>
                  </w:r>
                </w:p>
              </w:tc>
              <w:tc>
                <w:tcPr>
                  <w:tcW w:w="424" w:type="pct"/>
                  <w:tcBorders>
                    <w:tl2br w:val="nil"/>
                    <w:tr2bl w:val="nil"/>
                  </w:tcBorders>
                  <w:noWrap w:val="0"/>
                  <w:vAlign w:val="center"/>
                </w:tcPr>
                <w:p w14:paraId="257958E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w:t>
                  </w:r>
                </w:p>
              </w:tc>
            </w:tr>
            <w:tr w14:paraId="5EFB85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638" w:type="pct"/>
                  <w:vMerge w:val="continue"/>
                  <w:tcBorders>
                    <w:tl2br w:val="nil"/>
                    <w:tr2bl w:val="nil"/>
                  </w:tcBorders>
                  <w:noWrap w:val="0"/>
                  <w:vAlign w:val="center"/>
                </w:tcPr>
                <w:p w14:paraId="3DD37207">
                  <w:pPr>
                    <w:keepNext w:val="0"/>
                    <w:keepLines w:val="0"/>
                    <w:suppressLineNumbers w:val="0"/>
                    <w:tabs>
                      <w:tab w:val="left" w:pos="2310"/>
                    </w:tabs>
                    <w:spacing w:before="0" w:beforeAutospacing="0" w:after="0" w:afterAutospacing="0" w:line="240" w:lineRule="auto"/>
                    <w:ind w:left="0" w:right="0" w:firstLine="0" w:firstLineChars="0"/>
                    <w:rPr>
                      <w:rFonts w:hint="default" w:ascii="Times New Roman" w:hAnsi="Times New Roman" w:eastAsia="宋体" w:cs="Times New Roman"/>
                      <w:color w:val="auto"/>
                      <w:sz w:val="21"/>
                      <w:szCs w:val="21"/>
                      <w:highlight w:val="none"/>
                    </w:rPr>
                  </w:pPr>
                </w:p>
              </w:tc>
              <w:tc>
                <w:tcPr>
                  <w:tcW w:w="671" w:type="pct"/>
                  <w:tcBorders>
                    <w:tl2br w:val="nil"/>
                    <w:tr2bl w:val="nil"/>
                  </w:tcBorders>
                  <w:noWrap w:val="0"/>
                  <w:vAlign w:val="center"/>
                </w:tcPr>
                <w:p w14:paraId="708B2BE9">
                  <w:pPr>
                    <w:keepNext w:val="0"/>
                    <w:keepLines w:val="0"/>
                    <w:suppressLineNumbers w:val="0"/>
                    <w:tabs>
                      <w:tab w:val="left" w:pos="231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产生量（t/a）</w:t>
                  </w:r>
                </w:p>
              </w:tc>
              <w:tc>
                <w:tcPr>
                  <w:tcW w:w="489" w:type="pct"/>
                  <w:tcBorders>
                    <w:tl2br w:val="nil"/>
                    <w:tr2bl w:val="nil"/>
                  </w:tcBorders>
                  <w:noWrap w:val="0"/>
                  <w:vAlign w:val="center"/>
                </w:tcPr>
                <w:p w14:paraId="1DF5F889">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2.808</w:t>
                  </w:r>
                </w:p>
              </w:tc>
              <w:tc>
                <w:tcPr>
                  <w:tcW w:w="462" w:type="pct"/>
                  <w:tcBorders>
                    <w:tl2br w:val="nil"/>
                    <w:tr2bl w:val="nil"/>
                  </w:tcBorders>
                  <w:noWrap w:val="0"/>
                  <w:vAlign w:val="center"/>
                </w:tcPr>
                <w:p w14:paraId="57779DBD">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1.404</w:t>
                  </w:r>
                </w:p>
              </w:tc>
              <w:tc>
                <w:tcPr>
                  <w:tcW w:w="372" w:type="pct"/>
                  <w:tcBorders>
                    <w:tl2br w:val="nil"/>
                    <w:tr2bl w:val="nil"/>
                  </w:tcBorders>
                  <w:noWrap w:val="0"/>
                  <w:vAlign w:val="center"/>
                </w:tcPr>
                <w:p w14:paraId="460461CF">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1.17</w:t>
                  </w:r>
                </w:p>
              </w:tc>
              <w:tc>
                <w:tcPr>
                  <w:tcW w:w="426" w:type="pct"/>
                  <w:tcBorders>
                    <w:tl2br w:val="nil"/>
                    <w:tr2bl w:val="nil"/>
                  </w:tcBorders>
                  <w:noWrap w:val="0"/>
                  <w:vAlign w:val="center"/>
                </w:tcPr>
                <w:p w14:paraId="4FC29AEF">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0.04</w:t>
                  </w:r>
                  <w:r>
                    <w:rPr>
                      <w:rFonts w:hint="eastAsia" w:cs="Times New Roman"/>
                      <w:color w:val="auto"/>
                      <w:sz w:val="21"/>
                      <w:szCs w:val="21"/>
                      <w:highlight w:val="none"/>
                      <w:lang w:val="en-US" w:eastAsia="zh-CN"/>
                    </w:rPr>
                    <w:t>7</w:t>
                  </w:r>
                </w:p>
              </w:tc>
              <w:tc>
                <w:tcPr>
                  <w:tcW w:w="444" w:type="pct"/>
                  <w:tcBorders>
                    <w:tl2br w:val="nil"/>
                    <w:tr2bl w:val="nil"/>
                  </w:tcBorders>
                  <w:noWrap w:val="0"/>
                  <w:vAlign w:val="center"/>
                </w:tcPr>
                <w:p w14:paraId="799AD148">
                  <w:pPr>
                    <w:keepNext w:val="0"/>
                    <w:keepLines w:val="0"/>
                    <w:suppressLineNumbers w:val="0"/>
                    <w:tabs>
                      <w:tab w:val="left" w:pos="2310"/>
                    </w:tabs>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0.01</w:t>
                  </w:r>
                  <w:r>
                    <w:rPr>
                      <w:rFonts w:hint="eastAsia" w:cs="Times New Roman"/>
                      <w:color w:val="auto"/>
                      <w:sz w:val="21"/>
                      <w:szCs w:val="21"/>
                      <w:highlight w:val="none"/>
                      <w:lang w:val="en-US" w:eastAsia="zh-CN"/>
                    </w:rPr>
                    <w:t>9</w:t>
                  </w:r>
                </w:p>
              </w:tc>
              <w:tc>
                <w:tcPr>
                  <w:tcW w:w="517" w:type="pct"/>
                  <w:tcBorders>
                    <w:tl2br w:val="nil"/>
                    <w:tr2bl w:val="nil"/>
                  </w:tcBorders>
                  <w:noWrap w:val="0"/>
                  <w:vAlign w:val="center"/>
                </w:tcPr>
                <w:p w14:paraId="18C4C892">
                  <w:pPr>
                    <w:keepNext w:val="0"/>
                    <w:keepLines w:val="0"/>
                    <w:suppressLineNumbers w:val="0"/>
                    <w:tabs>
                      <w:tab w:val="left" w:pos="2310"/>
                    </w:tabs>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0.105</w:t>
                  </w:r>
                </w:p>
              </w:tc>
              <w:tc>
                <w:tcPr>
                  <w:tcW w:w="553" w:type="pct"/>
                  <w:tcBorders>
                    <w:tl2br w:val="nil"/>
                    <w:tr2bl w:val="nil"/>
                  </w:tcBorders>
                  <w:noWrap w:val="0"/>
                  <w:vAlign w:val="center"/>
                </w:tcPr>
                <w:p w14:paraId="1EF89260">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0.468</w:t>
                  </w:r>
                </w:p>
              </w:tc>
              <w:tc>
                <w:tcPr>
                  <w:tcW w:w="424" w:type="pct"/>
                  <w:tcBorders>
                    <w:tl2br w:val="nil"/>
                    <w:tr2bl w:val="nil"/>
                  </w:tcBorders>
                  <w:noWrap w:val="0"/>
                  <w:vAlign w:val="center"/>
                </w:tcPr>
                <w:p w14:paraId="33669660">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0.023</w:t>
                  </w:r>
                </w:p>
              </w:tc>
            </w:tr>
          </w:tbl>
          <w:p w14:paraId="0B79B327">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lang w:val="en-US"/>
              </w:rPr>
            </w:pPr>
            <w:r>
              <w:rPr>
                <w:rFonts w:hint="default" w:ascii="Times New Roman" w:hAnsi="Times New Roman" w:eastAsia="宋体" w:cs="Times New Roman"/>
                <w:color w:val="auto"/>
                <w:sz w:val="24"/>
                <w:lang w:eastAsia="zh-CN"/>
              </w:rPr>
              <w:t>本项目生活污水</w:t>
            </w:r>
            <w:r>
              <w:rPr>
                <w:rFonts w:hint="eastAsia" w:cs="Times New Roman"/>
                <w:color w:val="auto"/>
                <w:sz w:val="24"/>
                <w:lang w:val="en-US" w:eastAsia="zh-CN"/>
              </w:rPr>
              <w:t>经</w:t>
            </w:r>
            <w:r>
              <w:rPr>
                <w:rFonts w:hint="default" w:ascii="Times New Roman" w:hAnsi="Times New Roman" w:eastAsia="宋体" w:cs="Times New Roman"/>
                <w:color w:val="auto"/>
                <w:sz w:val="24"/>
                <w:lang w:eastAsia="zh-CN"/>
              </w:rPr>
              <w:t>化粪池</w:t>
            </w:r>
            <w:r>
              <w:rPr>
                <w:rFonts w:hint="eastAsia" w:cs="Times New Roman"/>
                <w:color w:val="auto"/>
                <w:sz w:val="24"/>
                <w:lang w:val="en-US" w:eastAsia="zh-CN"/>
              </w:rPr>
              <w:t>处理后与生产</w:t>
            </w:r>
            <w:r>
              <w:rPr>
                <w:rFonts w:hint="default" w:ascii="Times New Roman" w:hAnsi="Times New Roman" w:eastAsia="宋体" w:cs="Times New Roman"/>
                <w:color w:val="auto"/>
                <w:sz w:val="24"/>
                <w:lang w:eastAsia="zh-CN"/>
              </w:rPr>
              <w:t>废水</w:t>
            </w:r>
            <w:r>
              <w:rPr>
                <w:rFonts w:hint="eastAsia" w:cs="Times New Roman"/>
                <w:color w:val="auto"/>
                <w:sz w:val="24"/>
                <w:lang w:val="en-US" w:eastAsia="zh-CN"/>
              </w:rPr>
              <w:t>一同</w:t>
            </w:r>
            <w:r>
              <w:rPr>
                <w:rFonts w:hint="default" w:ascii="Times New Roman" w:hAnsi="Times New Roman" w:eastAsia="宋体" w:cs="Times New Roman"/>
                <w:color w:val="auto"/>
                <w:sz w:val="24"/>
                <w:lang w:eastAsia="zh-CN"/>
              </w:rPr>
              <w:t>排入污水处理站，经污水处理站处理后</w:t>
            </w:r>
            <w:r>
              <w:rPr>
                <w:rFonts w:hint="eastAsia" w:cs="Times New Roman"/>
                <w:color w:val="auto"/>
                <w:sz w:val="24"/>
                <w:lang w:val="en-US" w:eastAsia="zh-CN"/>
              </w:rPr>
              <w:t>与</w:t>
            </w:r>
            <w:r>
              <w:rPr>
                <w:rFonts w:hint="default" w:ascii="Times New Roman" w:hAnsi="Times New Roman" w:eastAsia="宋体" w:cs="Times New Roman"/>
                <w:color w:val="auto"/>
                <w:sz w:val="24"/>
                <w:lang w:eastAsia="zh-CN"/>
              </w:rPr>
              <w:t>锅炉</w:t>
            </w:r>
            <w:r>
              <w:rPr>
                <w:rFonts w:hint="eastAsia" w:cs="Times New Roman"/>
                <w:color w:val="auto"/>
                <w:sz w:val="24"/>
                <w:lang w:val="en-US" w:eastAsia="zh-CN"/>
              </w:rPr>
              <w:t>定期排污一并</w:t>
            </w:r>
            <w:r>
              <w:rPr>
                <w:rFonts w:hint="eastAsia" w:ascii="Times New Roman" w:hAnsi="Times New Roman" w:eastAsia="宋体" w:cs="Times New Roman"/>
                <w:color w:val="auto"/>
                <w:sz w:val="24"/>
                <w:lang w:val="en-US" w:eastAsia="zh-CN"/>
              </w:rPr>
              <w:t>经市政管网排至</w:t>
            </w:r>
            <w:r>
              <w:rPr>
                <w:rFonts w:hint="eastAsia" w:ascii="Times New Roman" w:hAnsi="Times New Roman" w:eastAsia="宋体" w:cs="Times New Roman"/>
                <w:color w:val="auto"/>
                <w:sz w:val="24"/>
                <w:lang w:eastAsia="zh-CN"/>
              </w:rPr>
              <w:t>泾河新城第二污水处理厂进行处置；</w:t>
            </w:r>
            <w:r>
              <w:rPr>
                <w:rFonts w:hint="default" w:ascii="Times New Roman" w:hAnsi="Times New Roman" w:eastAsia="宋体" w:cs="Times New Roman"/>
                <w:color w:val="auto"/>
                <w:sz w:val="24"/>
                <w:lang w:eastAsia="zh-CN"/>
              </w:rPr>
              <w:t>项目运营期</w:t>
            </w:r>
            <w:r>
              <w:rPr>
                <w:rFonts w:hint="eastAsia" w:ascii="Times New Roman" w:hAnsi="Times New Roman" w:eastAsia="宋体" w:cs="Times New Roman"/>
                <w:color w:val="auto"/>
                <w:sz w:val="24"/>
                <w:lang w:val="en-US" w:eastAsia="zh-CN"/>
              </w:rPr>
              <w:t>综合</w:t>
            </w:r>
            <w:r>
              <w:rPr>
                <w:rFonts w:hint="default" w:ascii="Times New Roman" w:hAnsi="Times New Roman" w:eastAsia="宋体" w:cs="Times New Roman"/>
                <w:color w:val="auto"/>
                <w:sz w:val="24"/>
                <w:lang w:eastAsia="zh-CN"/>
              </w:rPr>
              <w:t>废水污染物产排情况</w:t>
            </w:r>
            <w:r>
              <w:rPr>
                <w:rFonts w:hint="eastAsia" w:ascii="Times New Roman" w:hAnsi="Times New Roman" w:eastAsia="宋体" w:cs="Times New Roman"/>
                <w:color w:val="auto"/>
                <w:sz w:val="24"/>
                <w:lang w:val="en-US" w:eastAsia="zh-CN"/>
              </w:rPr>
              <w:t>见表4-8。</w:t>
            </w:r>
          </w:p>
          <w:p w14:paraId="6BB225B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表</w:t>
            </w:r>
            <w:r>
              <w:rPr>
                <w:rFonts w:hint="default" w:ascii="Times New Roman" w:hAnsi="Times New Roman" w:eastAsia="宋体" w:cs="Times New Roman"/>
                <w:b/>
                <w:bCs/>
                <w:color w:val="auto"/>
                <w:sz w:val="24"/>
                <w:szCs w:val="24"/>
                <w:highlight w:val="none"/>
                <w:lang w:val="en-US" w:eastAsia="zh-CN"/>
              </w:rPr>
              <w:t>4-</w:t>
            </w:r>
            <w:r>
              <w:rPr>
                <w:rFonts w:hint="eastAsia" w:ascii="Times New Roman" w:hAnsi="Times New Roman" w:eastAsia="宋体" w:cs="Times New Roman"/>
                <w:b/>
                <w:bCs/>
                <w:color w:val="auto"/>
                <w:sz w:val="24"/>
                <w:szCs w:val="24"/>
                <w:highlight w:val="none"/>
                <w:lang w:val="en-US" w:eastAsia="zh-CN"/>
              </w:rPr>
              <w:t>8</w:t>
            </w:r>
            <w:r>
              <w:rPr>
                <w:rFonts w:hint="default" w:ascii="Times New Roman" w:hAnsi="Times New Roman" w:eastAsia="宋体" w:cs="Times New Roman"/>
                <w:b/>
                <w:bCs/>
                <w:color w:val="auto"/>
                <w:sz w:val="24"/>
                <w:szCs w:val="24"/>
                <w:highlight w:val="none"/>
                <w:lang w:val="en-US" w:eastAsia="zh-CN"/>
              </w:rPr>
              <w:t xml:space="preserve">  </w:t>
            </w:r>
            <w:r>
              <w:rPr>
                <w:rFonts w:hint="default" w:ascii="Times New Roman" w:hAnsi="Times New Roman" w:eastAsia="宋体" w:cs="Times New Roman"/>
                <w:b/>
                <w:bCs/>
                <w:color w:val="auto"/>
                <w:sz w:val="24"/>
                <w:szCs w:val="24"/>
                <w:highlight w:val="none"/>
              </w:rPr>
              <w:t xml:space="preserve">  </w:t>
            </w:r>
            <w:r>
              <w:rPr>
                <w:rFonts w:hint="eastAsia" w:ascii="Times New Roman" w:hAnsi="Times New Roman" w:eastAsia="宋体" w:cs="Times New Roman"/>
                <w:b/>
                <w:bCs/>
                <w:color w:val="auto"/>
                <w:sz w:val="24"/>
                <w:szCs w:val="24"/>
                <w:highlight w:val="none"/>
                <w:lang w:val="en-US" w:eastAsia="zh-CN"/>
              </w:rPr>
              <w:t>项目运营期综合废水</w:t>
            </w:r>
            <w:r>
              <w:rPr>
                <w:rFonts w:hint="default" w:ascii="Times New Roman" w:hAnsi="Times New Roman" w:eastAsia="宋体" w:cs="Times New Roman"/>
                <w:b/>
                <w:bCs/>
                <w:color w:val="auto"/>
                <w:sz w:val="24"/>
                <w:szCs w:val="24"/>
                <w:highlight w:val="none"/>
              </w:rPr>
              <w:t>污染物产排情况一览表</w:t>
            </w:r>
          </w:p>
          <w:tbl>
            <w:tblPr>
              <w:tblStyle w:val="37"/>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39"/>
              <w:gridCol w:w="1095"/>
              <w:gridCol w:w="855"/>
              <w:gridCol w:w="825"/>
              <w:gridCol w:w="780"/>
              <w:gridCol w:w="720"/>
              <w:gridCol w:w="795"/>
              <w:gridCol w:w="780"/>
              <w:gridCol w:w="915"/>
              <w:gridCol w:w="761"/>
            </w:tblGrid>
            <w:tr w14:paraId="3A49E2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447" w:type="pct"/>
                  <w:tcBorders>
                    <w:tl2br w:val="nil"/>
                    <w:tr2bl w:val="nil"/>
                  </w:tcBorders>
                  <w:noWrap w:val="0"/>
                  <w:vAlign w:val="center"/>
                </w:tcPr>
                <w:p w14:paraId="57CB4CCD">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排水量</w:t>
                  </w:r>
                </w:p>
              </w:tc>
              <w:tc>
                <w:tcPr>
                  <w:tcW w:w="662" w:type="pct"/>
                  <w:tcBorders>
                    <w:tl2br w:val="nil"/>
                    <w:tr2bl w:val="nil"/>
                  </w:tcBorders>
                  <w:noWrap w:val="0"/>
                  <w:vAlign w:val="center"/>
                </w:tcPr>
                <w:p w14:paraId="4F10821A">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污染物名称</w:t>
                  </w:r>
                </w:p>
              </w:tc>
              <w:tc>
                <w:tcPr>
                  <w:tcW w:w="517" w:type="pct"/>
                  <w:tcBorders>
                    <w:tl2br w:val="nil"/>
                    <w:tr2bl w:val="nil"/>
                  </w:tcBorders>
                  <w:noWrap w:val="0"/>
                  <w:vAlign w:val="center"/>
                </w:tcPr>
                <w:p w14:paraId="46C7F0C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color w:val="auto"/>
                      <w:sz w:val="21"/>
                      <w:szCs w:val="21"/>
                      <w:highlight w:val="none"/>
                    </w:rPr>
                    <w:t>COD</w:t>
                  </w:r>
                </w:p>
              </w:tc>
              <w:tc>
                <w:tcPr>
                  <w:tcW w:w="499" w:type="pct"/>
                  <w:tcBorders>
                    <w:tl2br w:val="nil"/>
                    <w:tr2bl w:val="nil"/>
                  </w:tcBorders>
                  <w:noWrap w:val="0"/>
                  <w:vAlign w:val="center"/>
                </w:tcPr>
                <w:p w14:paraId="08A5A76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color w:val="auto"/>
                      <w:sz w:val="21"/>
                      <w:szCs w:val="21"/>
                      <w:highlight w:val="none"/>
                    </w:rPr>
                    <w:t>BOD</w:t>
                  </w:r>
                  <w:r>
                    <w:rPr>
                      <w:rFonts w:hint="default" w:ascii="Times New Roman" w:hAnsi="Times New Roman" w:eastAsia="宋体" w:cs="Times New Roman"/>
                      <w:b/>
                      <w:color w:val="auto"/>
                      <w:sz w:val="21"/>
                      <w:szCs w:val="21"/>
                      <w:highlight w:val="none"/>
                      <w:vertAlign w:val="subscript"/>
                    </w:rPr>
                    <w:t>5</w:t>
                  </w:r>
                </w:p>
              </w:tc>
              <w:tc>
                <w:tcPr>
                  <w:tcW w:w="471" w:type="pct"/>
                  <w:tcBorders>
                    <w:tl2br w:val="nil"/>
                    <w:tr2bl w:val="nil"/>
                  </w:tcBorders>
                  <w:noWrap w:val="0"/>
                  <w:vAlign w:val="center"/>
                </w:tcPr>
                <w:p w14:paraId="7FF9DEB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color w:val="auto"/>
                      <w:sz w:val="21"/>
                      <w:szCs w:val="21"/>
                      <w:highlight w:val="none"/>
                    </w:rPr>
                    <w:t>SS</w:t>
                  </w:r>
                </w:p>
              </w:tc>
              <w:tc>
                <w:tcPr>
                  <w:tcW w:w="435" w:type="pct"/>
                  <w:tcBorders>
                    <w:tl2br w:val="nil"/>
                    <w:tr2bl w:val="nil"/>
                  </w:tcBorders>
                  <w:noWrap w:val="0"/>
                  <w:vAlign w:val="center"/>
                </w:tcPr>
                <w:p w14:paraId="446E757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color w:val="auto"/>
                      <w:sz w:val="21"/>
                      <w:szCs w:val="21"/>
                      <w:highlight w:val="none"/>
                    </w:rPr>
                    <w:t>氨氮</w:t>
                  </w:r>
                </w:p>
              </w:tc>
              <w:tc>
                <w:tcPr>
                  <w:tcW w:w="480" w:type="pct"/>
                  <w:tcBorders>
                    <w:tl2br w:val="nil"/>
                    <w:tr2bl w:val="nil"/>
                  </w:tcBorders>
                  <w:noWrap w:val="0"/>
                  <w:vAlign w:val="center"/>
                </w:tcPr>
                <w:p w14:paraId="1D353EF3">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color w:val="auto"/>
                      <w:sz w:val="21"/>
                      <w:szCs w:val="21"/>
                      <w:highlight w:val="none"/>
                      <w:lang w:val="en-US" w:eastAsia="zh-CN"/>
                    </w:rPr>
                  </w:pPr>
                  <w:r>
                    <w:rPr>
                      <w:rFonts w:hint="eastAsia" w:cs="Times New Roman"/>
                      <w:b/>
                      <w:color w:val="auto"/>
                      <w:sz w:val="21"/>
                      <w:szCs w:val="21"/>
                      <w:highlight w:val="none"/>
                      <w:lang w:val="en-US" w:eastAsia="zh-CN"/>
                    </w:rPr>
                    <w:t>总磷</w:t>
                  </w:r>
                </w:p>
              </w:tc>
              <w:tc>
                <w:tcPr>
                  <w:tcW w:w="471" w:type="pct"/>
                  <w:tcBorders>
                    <w:tl2br w:val="nil"/>
                    <w:tr2bl w:val="nil"/>
                  </w:tcBorders>
                  <w:noWrap w:val="0"/>
                  <w:vAlign w:val="center"/>
                </w:tcPr>
                <w:p w14:paraId="0B651A04">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color w:val="auto"/>
                      <w:sz w:val="21"/>
                      <w:szCs w:val="21"/>
                      <w:highlight w:val="none"/>
                      <w:lang w:val="en-US" w:eastAsia="zh-CN"/>
                    </w:rPr>
                  </w:pPr>
                  <w:r>
                    <w:rPr>
                      <w:rFonts w:hint="eastAsia" w:cs="Times New Roman"/>
                      <w:b/>
                      <w:color w:val="auto"/>
                      <w:sz w:val="21"/>
                      <w:szCs w:val="21"/>
                      <w:highlight w:val="none"/>
                      <w:lang w:val="en-US" w:eastAsia="zh-CN"/>
                    </w:rPr>
                    <w:t>总氮</w:t>
                  </w:r>
                </w:p>
              </w:tc>
              <w:tc>
                <w:tcPr>
                  <w:tcW w:w="553" w:type="pct"/>
                  <w:tcBorders>
                    <w:tl2br w:val="nil"/>
                    <w:tr2bl w:val="nil"/>
                  </w:tcBorders>
                  <w:noWrap w:val="0"/>
                  <w:vAlign w:val="center"/>
                </w:tcPr>
                <w:p w14:paraId="56AE70D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color w:val="auto"/>
                      <w:sz w:val="21"/>
                      <w:szCs w:val="21"/>
                      <w:highlight w:val="none"/>
                    </w:rPr>
                    <w:t>动植物油</w:t>
                  </w:r>
                </w:p>
              </w:tc>
              <w:tc>
                <w:tcPr>
                  <w:tcW w:w="460" w:type="pct"/>
                  <w:tcBorders>
                    <w:tl2br w:val="nil"/>
                    <w:tr2bl w:val="nil"/>
                  </w:tcBorders>
                  <w:noWrap w:val="0"/>
                  <w:vAlign w:val="center"/>
                </w:tcPr>
                <w:p w14:paraId="7DE2752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LAS</w:t>
                  </w:r>
                </w:p>
              </w:tc>
            </w:tr>
            <w:tr w14:paraId="7D37C7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47" w:type="pct"/>
                  <w:vMerge w:val="restart"/>
                  <w:tcBorders>
                    <w:tl2br w:val="nil"/>
                    <w:tr2bl w:val="nil"/>
                  </w:tcBorders>
                  <w:noWrap w:val="0"/>
                  <w:vAlign w:val="center"/>
                </w:tcPr>
                <w:p w14:paraId="48A51250">
                  <w:pPr>
                    <w:keepNext w:val="0"/>
                    <w:keepLines w:val="0"/>
                    <w:suppressLineNumbers w:val="0"/>
                    <w:tabs>
                      <w:tab w:val="left" w:pos="2310"/>
                    </w:tabs>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生活污水1636</w:t>
                  </w:r>
                  <w:r>
                    <w:rPr>
                      <w:rFonts w:hint="default" w:ascii="Times New Roman" w:hAnsi="Times New Roman" w:eastAsia="宋体" w:cs="Times New Roman"/>
                      <w:color w:val="auto"/>
                      <w:sz w:val="21"/>
                      <w:szCs w:val="21"/>
                      <w:highlight w:val="none"/>
                    </w:rPr>
                    <w:t>m³/a</w:t>
                  </w:r>
                </w:p>
              </w:tc>
              <w:tc>
                <w:tcPr>
                  <w:tcW w:w="662" w:type="pct"/>
                  <w:tcBorders>
                    <w:tl2br w:val="nil"/>
                    <w:tr2bl w:val="nil"/>
                  </w:tcBorders>
                  <w:noWrap w:val="0"/>
                  <w:vAlign w:val="center"/>
                </w:tcPr>
                <w:p w14:paraId="7D1C98F7">
                  <w:pPr>
                    <w:keepNext w:val="0"/>
                    <w:keepLines w:val="0"/>
                    <w:suppressLineNumbers w:val="0"/>
                    <w:tabs>
                      <w:tab w:val="left" w:pos="231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产生浓度（mg/L）</w:t>
                  </w:r>
                </w:p>
              </w:tc>
              <w:tc>
                <w:tcPr>
                  <w:tcW w:w="517" w:type="pct"/>
                  <w:tcBorders>
                    <w:tl2br w:val="nil"/>
                    <w:tr2bl w:val="nil"/>
                  </w:tcBorders>
                  <w:noWrap w:val="0"/>
                  <w:vAlign w:val="center"/>
                </w:tcPr>
                <w:p w14:paraId="4EA36BCC">
                  <w:pPr>
                    <w:keepNext w:val="0"/>
                    <w:keepLines w:val="0"/>
                    <w:suppressLineNumbers w:val="0"/>
                    <w:spacing w:before="0" w:beforeAutospacing="0" w:after="0" w:afterAutospacing="0" w:line="240" w:lineRule="auto"/>
                    <w:ind w:left="0" w:right="0" w:firstLine="0" w:firstLineChars="0"/>
                    <w:jc w:val="center"/>
                    <w:textAlignment w:val="bottom"/>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eastAsia="zh-CN"/>
                    </w:rPr>
                    <w:t>300</w:t>
                  </w:r>
                </w:p>
              </w:tc>
              <w:tc>
                <w:tcPr>
                  <w:tcW w:w="499" w:type="pct"/>
                  <w:tcBorders>
                    <w:tl2br w:val="nil"/>
                    <w:tr2bl w:val="nil"/>
                  </w:tcBorders>
                  <w:noWrap w:val="0"/>
                  <w:vAlign w:val="center"/>
                </w:tcPr>
                <w:p w14:paraId="79746CCB">
                  <w:pPr>
                    <w:keepNext w:val="0"/>
                    <w:keepLines w:val="0"/>
                    <w:suppressLineNumbers w:val="0"/>
                    <w:spacing w:before="0" w:beforeAutospacing="0" w:after="0" w:afterAutospacing="0" w:line="240" w:lineRule="auto"/>
                    <w:ind w:left="0" w:right="0" w:firstLine="0" w:firstLineChars="0"/>
                    <w:jc w:val="center"/>
                    <w:textAlignment w:val="bottom"/>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eastAsia="zh-CN"/>
                    </w:rPr>
                    <w:t>180</w:t>
                  </w:r>
                </w:p>
              </w:tc>
              <w:tc>
                <w:tcPr>
                  <w:tcW w:w="471" w:type="pct"/>
                  <w:tcBorders>
                    <w:tl2br w:val="nil"/>
                    <w:tr2bl w:val="nil"/>
                  </w:tcBorders>
                  <w:noWrap w:val="0"/>
                  <w:vAlign w:val="center"/>
                </w:tcPr>
                <w:p w14:paraId="24BF3B35">
                  <w:pPr>
                    <w:keepNext w:val="0"/>
                    <w:keepLines w:val="0"/>
                    <w:suppressLineNumbers w:val="0"/>
                    <w:spacing w:before="0" w:beforeAutospacing="0" w:after="0" w:afterAutospacing="0" w:line="240" w:lineRule="auto"/>
                    <w:ind w:left="0" w:right="0" w:firstLine="0" w:firstLineChars="0"/>
                    <w:jc w:val="center"/>
                    <w:textAlignment w:val="bottom"/>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eastAsia="zh-CN"/>
                    </w:rPr>
                    <w:t>220</w:t>
                  </w:r>
                </w:p>
              </w:tc>
              <w:tc>
                <w:tcPr>
                  <w:tcW w:w="435" w:type="pct"/>
                  <w:tcBorders>
                    <w:tl2br w:val="nil"/>
                    <w:tr2bl w:val="nil"/>
                  </w:tcBorders>
                  <w:noWrap w:val="0"/>
                  <w:vAlign w:val="center"/>
                </w:tcPr>
                <w:p w14:paraId="77E4BCEB">
                  <w:pPr>
                    <w:keepNext w:val="0"/>
                    <w:keepLines w:val="0"/>
                    <w:suppressLineNumbers w:val="0"/>
                    <w:spacing w:before="0" w:beforeAutospacing="0" w:after="0" w:afterAutospacing="0" w:line="240" w:lineRule="auto"/>
                    <w:ind w:left="0" w:right="0" w:firstLine="0" w:firstLineChars="0"/>
                    <w:jc w:val="center"/>
                    <w:textAlignment w:val="bottom"/>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eastAsia="zh-CN"/>
                    </w:rPr>
                    <w:t>35</w:t>
                  </w:r>
                </w:p>
              </w:tc>
              <w:tc>
                <w:tcPr>
                  <w:tcW w:w="795" w:type="dxa"/>
                  <w:tcBorders>
                    <w:tl2br w:val="nil"/>
                    <w:tr2bl w:val="nil"/>
                  </w:tcBorders>
                  <w:noWrap w:val="0"/>
                  <w:vAlign w:val="center"/>
                </w:tcPr>
                <w:p w14:paraId="2CDAFB7E">
                  <w:pPr>
                    <w:keepNext w:val="0"/>
                    <w:keepLines w:val="0"/>
                    <w:suppressLineNumbers w:val="0"/>
                    <w:spacing w:before="0" w:beforeAutospacing="0" w:after="0" w:afterAutospacing="0" w:line="240" w:lineRule="auto"/>
                    <w:ind w:left="0" w:leftChars="0" w:right="0" w:rightChars="0" w:firstLine="0" w:firstLineChars="0"/>
                    <w:jc w:val="center"/>
                    <w:textAlignment w:val="bottom"/>
                    <w:rPr>
                      <w:rFonts w:hint="default" w:ascii="Times New Roman" w:hAnsi="Times New Roman" w:eastAsia="宋体" w:cs="Times New Roman"/>
                      <w:color w:val="auto"/>
                      <w:sz w:val="21"/>
                      <w:szCs w:val="21"/>
                      <w:lang w:eastAsia="zh-CN"/>
                    </w:rPr>
                  </w:pPr>
                  <w:r>
                    <w:rPr>
                      <w:rFonts w:hint="eastAsia" w:cs="Times New Roman"/>
                      <w:color w:val="auto"/>
                      <w:sz w:val="21"/>
                      <w:szCs w:val="21"/>
                      <w:lang w:val="en-US" w:eastAsia="zh-CN"/>
                    </w:rPr>
                    <w:t>7</w:t>
                  </w:r>
                </w:p>
              </w:tc>
              <w:tc>
                <w:tcPr>
                  <w:tcW w:w="780" w:type="dxa"/>
                  <w:tcBorders>
                    <w:tl2br w:val="nil"/>
                    <w:tr2bl w:val="nil"/>
                  </w:tcBorders>
                  <w:noWrap w:val="0"/>
                  <w:vAlign w:val="center"/>
                </w:tcPr>
                <w:p w14:paraId="0B985FE5">
                  <w:pPr>
                    <w:keepNext w:val="0"/>
                    <w:keepLines w:val="0"/>
                    <w:suppressLineNumbers w:val="0"/>
                    <w:spacing w:before="0" w:beforeAutospacing="0" w:after="0" w:afterAutospacing="0" w:line="240" w:lineRule="auto"/>
                    <w:ind w:left="0" w:leftChars="0" w:right="0" w:rightChars="0" w:firstLine="0" w:firstLineChars="0"/>
                    <w:jc w:val="center"/>
                    <w:textAlignment w:val="bottom"/>
                    <w:rPr>
                      <w:rFonts w:hint="default" w:ascii="Times New Roman" w:hAnsi="Times New Roman" w:eastAsia="宋体" w:cs="Times New Roman"/>
                      <w:color w:val="auto"/>
                      <w:sz w:val="21"/>
                      <w:szCs w:val="21"/>
                      <w:lang w:eastAsia="zh-CN"/>
                    </w:rPr>
                  </w:pPr>
                  <w:r>
                    <w:rPr>
                      <w:rFonts w:hint="eastAsia" w:cs="Times New Roman"/>
                      <w:color w:val="auto"/>
                      <w:sz w:val="21"/>
                      <w:szCs w:val="21"/>
                      <w:lang w:val="en-US" w:eastAsia="zh-CN"/>
                    </w:rPr>
                    <w:t>65</w:t>
                  </w:r>
                </w:p>
              </w:tc>
              <w:tc>
                <w:tcPr>
                  <w:tcW w:w="553" w:type="pct"/>
                  <w:tcBorders>
                    <w:tl2br w:val="nil"/>
                    <w:tr2bl w:val="nil"/>
                  </w:tcBorders>
                  <w:noWrap w:val="0"/>
                  <w:vAlign w:val="center"/>
                </w:tcPr>
                <w:p w14:paraId="1FAC6EC5">
                  <w:pPr>
                    <w:keepNext w:val="0"/>
                    <w:keepLines w:val="0"/>
                    <w:suppressLineNumbers w:val="0"/>
                    <w:spacing w:before="0" w:beforeAutospacing="0" w:after="0" w:afterAutospacing="0" w:line="240" w:lineRule="auto"/>
                    <w:ind w:left="0" w:right="0" w:firstLine="0" w:firstLineChars="0"/>
                    <w:jc w:val="center"/>
                    <w:textAlignment w:val="bottom"/>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lang w:val="en-US" w:eastAsia="zh-CN"/>
                    </w:rPr>
                    <w:t>20</w:t>
                  </w:r>
                </w:p>
              </w:tc>
              <w:tc>
                <w:tcPr>
                  <w:tcW w:w="460" w:type="pct"/>
                  <w:tcBorders>
                    <w:tl2br w:val="nil"/>
                    <w:tr2bl w:val="nil"/>
                  </w:tcBorders>
                  <w:noWrap w:val="0"/>
                  <w:vAlign w:val="center"/>
                </w:tcPr>
                <w:p w14:paraId="4ABAC02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r>
            <w:tr w14:paraId="3A66C8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447" w:type="pct"/>
                  <w:vMerge w:val="continue"/>
                  <w:tcBorders>
                    <w:tl2br w:val="nil"/>
                    <w:tr2bl w:val="nil"/>
                  </w:tcBorders>
                  <w:noWrap w:val="0"/>
                  <w:vAlign w:val="center"/>
                </w:tcPr>
                <w:p w14:paraId="38171C4F">
                  <w:pPr>
                    <w:keepNext w:val="0"/>
                    <w:keepLines w:val="0"/>
                    <w:suppressLineNumbers w:val="0"/>
                    <w:tabs>
                      <w:tab w:val="left" w:pos="2310"/>
                    </w:tabs>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highlight w:val="none"/>
                      <w:lang w:val="en-US" w:eastAsia="zh-CN"/>
                    </w:rPr>
                  </w:pPr>
                </w:p>
              </w:tc>
              <w:tc>
                <w:tcPr>
                  <w:tcW w:w="662" w:type="pct"/>
                  <w:tcBorders>
                    <w:tl2br w:val="nil"/>
                    <w:tr2bl w:val="nil"/>
                  </w:tcBorders>
                  <w:noWrap w:val="0"/>
                  <w:vAlign w:val="center"/>
                </w:tcPr>
                <w:p w14:paraId="629458AE">
                  <w:pPr>
                    <w:keepNext w:val="0"/>
                    <w:keepLines w:val="0"/>
                    <w:suppressLineNumbers w:val="0"/>
                    <w:tabs>
                      <w:tab w:val="left" w:pos="231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产生量（t/a）</w:t>
                  </w:r>
                </w:p>
              </w:tc>
              <w:tc>
                <w:tcPr>
                  <w:tcW w:w="517" w:type="pct"/>
                  <w:tcBorders>
                    <w:tl2br w:val="nil"/>
                    <w:tr2bl w:val="nil"/>
                  </w:tcBorders>
                  <w:noWrap w:val="0"/>
                  <w:vAlign w:val="center"/>
                </w:tcPr>
                <w:p w14:paraId="5E47435F">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0.491</w:t>
                  </w:r>
                </w:p>
              </w:tc>
              <w:tc>
                <w:tcPr>
                  <w:tcW w:w="499" w:type="pct"/>
                  <w:tcBorders>
                    <w:tl2br w:val="nil"/>
                    <w:tr2bl w:val="nil"/>
                  </w:tcBorders>
                  <w:noWrap w:val="0"/>
                  <w:vAlign w:val="center"/>
                </w:tcPr>
                <w:p w14:paraId="29FC117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0.294</w:t>
                  </w:r>
                </w:p>
              </w:tc>
              <w:tc>
                <w:tcPr>
                  <w:tcW w:w="471" w:type="pct"/>
                  <w:tcBorders>
                    <w:tl2br w:val="nil"/>
                    <w:tr2bl w:val="nil"/>
                  </w:tcBorders>
                  <w:noWrap w:val="0"/>
                  <w:vAlign w:val="center"/>
                </w:tcPr>
                <w:p w14:paraId="6FB7EB43">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0.36</w:t>
                  </w:r>
                </w:p>
              </w:tc>
              <w:tc>
                <w:tcPr>
                  <w:tcW w:w="435" w:type="pct"/>
                  <w:tcBorders>
                    <w:tl2br w:val="nil"/>
                    <w:tr2bl w:val="nil"/>
                  </w:tcBorders>
                  <w:noWrap w:val="0"/>
                  <w:vAlign w:val="center"/>
                </w:tcPr>
                <w:p w14:paraId="6690A41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0.057</w:t>
                  </w:r>
                </w:p>
              </w:tc>
              <w:tc>
                <w:tcPr>
                  <w:tcW w:w="795" w:type="dxa"/>
                  <w:tcBorders>
                    <w:tl2br w:val="nil"/>
                    <w:tr2bl w:val="nil"/>
                  </w:tcBorders>
                  <w:noWrap w:val="0"/>
                  <w:vAlign w:val="center"/>
                </w:tcPr>
                <w:p w14:paraId="4E48AD0D">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highlight w:val="none"/>
                      <w:lang w:val="en-US" w:eastAsia="zh-CN"/>
                    </w:rPr>
                    <w:t>0.011</w:t>
                  </w:r>
                </w:p>
              </w:tc>
              <w:tc>
                <w:tcPr>
                  <w:tcW w:w="780" w:type="dxa"/>
                  <w:tcBorders>
                    <w:tl2br w:val="nil"/>
                    <w:tr2bl w:val="nil"/>
                  </w:tcBorders>
                  <w:noWrap w:val="0"/>
                  <w:vAlign w:val="center"/>
                </w:tcPr>
                <w:p w14:paraId="08D6D34F">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highlight w:val="none"/>
                      <w:lang w:val="en-US" w:eastAsia="zh-CN"/>
                    </w:rPr>
                    <w:t>0.106</w:t>
                  </w:r>
                </w:p>
              </w:tc>
              <w:tc>
                <w:tcPr>
                  <w:tcW w:w="553" w:type="pct"/>
                  <w:tcBorders>
                    <w:tl2br w:val="nil"/>
                    <w:tr2bl w:val="nil"/>
                  </w:tcBorders>
                  <w:noWrap w:val="0"/>
                  <w:vAlign w:val="center"/>
                </w:tcPr>
                <w:p w14:paraId="1DBA1C6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0.033</w:t>
                  </w:r>
                </w:p>
              </w:tc>
              <w:tc>
                <w:tcPr>
                  <w:tcW w:w="460" w:type="pct"/>
                  <w:tcBorders>
                    <w:tl2br w:val="nil"/>
                    <w:tr2bl w:val="nil"/>
                  </w:tcBorders>
                  <w:noWrap w:val="0"/>
                  <w:vAlign w:val="center"/>
                </w:tcPr>
                <w:p w14:paraId="6AA1059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r>
            <w:tr w14:paraId="11B8AF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47" w:type="pct"/>
                  <w:tcBorders>
                    <w:tl2br w:val="nil"/>
                    <w:tr2bl w:val="nil"/>
                  </w:tcBorders>
                  <w:noWrap w:val="0"/>
                  <w:vAlign w:val="center"/>
                </w:tcPr>
                <w:p w14:paraId="0A792784">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化粪池去除</w:t>
                  </w:r>
                  <w:r>
                    <w:rPr>
                      <w:rFonts w:hint="default" w:ascii="Times New Roman" w:hAnsi="Times New Roman" w:eastAsia="宋体" w:cs="Times New Roman"/>
                      <w:color w:val="auto"/>
                      <w:sz w:val="21"/>
                      <w:szCs w:val="21"/>
                      <w:highlight w:val="none"/>
                      <w:lang w:val="en-US" w:eastAsia="zh-CN"/>
                    </w:rPr>
                    <w:t>效率（%）</w:t>
                  </w:r>
                </w:p>
              </w:tc>
              <w:tc>
                <w:tcPr>
                  <w:tcW w:w="662" w:type="pct"/>
                  <w:tcBorders>
                    <w:tl2br w:val="nil"/>
                    <w:tr2bl w:val="nil"/>
                  </w:tcBorders>
                  <w:noWrap w:val="0"/>
                  <w:vAlign w:val="center"/>
                </w:tcPr>
                <w:p w14:paraId="44ABC053">
                  <w:pPr>
                    <w:keepNext w:val="0"/>
                    <w:keepLines w:val="0"/>
                    <w:suppressLineNumbers w:val="0"/>
                    <w:tabs>
                      <w:tab w:val="left" w:pos="231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517" w:type="pct"/>
                  <w:tcBorders>
                    <w:tl2br w:val="nil"/>
                    <w:tr2bl w:val="nil"/>
                  </w:tcBorders>
                  <w:noWrap w:val="0"/>
                  <w:vAlign w:val="center"/>
                </w:tcPr>
                <w:p w14:paraId="45A7ABC1">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20</w:t>
                  </w:r>
                </w:p>
              </w:tc>
              <w:tc>
                <w:tcPr>
                  <w:tcW w:w="499" w:type="pct"/>
                  <w:tcBorders>
                    <w:tl2br w:val="nil"/>
                    <w:tr2bl w:val="nil"/>
                  </w:tcBorders>
                  <w:noWrap w:val="0"/>
                  <w:vAlign w:val="center"/>
                </w:tcPr>
                <w:p w14:paraId="77C4E54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20</w:t>
                  </w:r>
                </w:p>
              </w:tc>
              <w:tc>
                <w:tcPr>
                  <w:tcW w:w="471" w:type="pct"/>
                  <w:tcBorders>
                    <w:tl2br w:val="nil"/>
                    <w:tr2bl w:val="nil"/>
                  </w:tcBorders>
                  <w:noWrap w:val="0"/>
                  <w:vAlign w:val="center"/>
                </w:tcPr>
                <w:p w14:paraId="2559F0B5">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435" w:type="pct"/>
                  <w:tcBorders>
                    <w:tl2br w:val="nil"/>
                    <w:tr2bl w:val="nil"/>
                  </w:tcBorders>
                  <w:noWrap w:val="0"/>
                  <w:vAlign w:val="center"/>
                </w:tcPr>
                <w:p w14:paraId="4D40D58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w:t>
                  </w:r>
                </w:p>
              </w:tc>
              <w:tc>
                <w:tcPr>
                  <w:tcW w:w="795" w:type="dxa"/>
                  <w:tcBorders>
                    <w:tl2br w:val="nil"/>
                    <w:tr2bl w:val="nil"/>
                  </w:tcBorders>
                  <w:noWrap w:val="0"/>
                  <w:vAlign w:val="center"/>
                </w:tcPr>
                <w:p w14:paraId="77EB7B40">
                  <w:pPr>
                    <w:keepNext w:val="0"/>
                    <w:keepLines w:val="0"/>
                    <w:suppressLineNumbers w:val="0"/>
                    <w:spacing w:before="0" w:beforeAutospacing="0" w:after="0" w:afterAutospacing="0" w:line="240" w:lineRule="auto"/>
                    <w:ind w:left="0" w:leftChars="0" w:right="0" w:rightChars="0" w:firstLine="0" w:firstLineChars="0"/>
                    <w:jc w:val="center"/>
                    <w:rPr>
                      <w:rFonts w:hint="default" w:cs="Times New Roman"/>
                      <w:color w:val="auto"/>
                      <w:sz w:val="21"/>
                      <w:highlight w:val="none"/>
                      <w:lang w:val="en-US" w:eastAsia="zh-CN"/>
                    </w:rPr>
                  </w:pPr>
                  <w:r>
                    <w:rPr>
                      <w:rFonts w:hint="eastAsia" w:cs="Times New Roman"/>
                      <w:color w:val="auto"/>
                      <w:sz w:val="21"/>
                      <w:highlight w:val="none"/>
                      <w:lang w:val="en-US" w:eastAsia="zh-CN"/>
                    </w:rPr>
                    <w:t>0</w:t>
                  </w:r>
                </w:p>
              </w:tc>
              <w:tc>
                <w:tcPr>
                  <w:tcW w:w="780" w:type="dxa"/>
                  <w:tcBorders>
                    <w:tl2br w:val="nil"/>
                    <w:tr2bl w:val="nil"/>
                  </w:tcBorders>
                  <w:noWrap w:val="0"/>
                  <w:vAlign w:val="center"/>
                </w:tcPr>
                <w:p w14:paraId="7806D64C">
                  <w:pPr>
                    <w:keepNext w:val="0"/>
                    <w:keepLines w:val="0"/>
                    <w:suppressLineNumbers w:val="0"/>
                    <w:spacing w:before="0" w:beforeAutospacing="0" w:after="0" w:afterAutospacing="0" w:line="240" w:lineRule="auto"/>
                    <w:ind w:left="0" w:leftChars="0" w:right="0" w:rightChars="0" w:firstLine="0" w:firstLineChars="0"/>
                    <w:jc w:val="center"/>
                    <w:rPr>
                      <w:rFonts w:hint="default" w:cs="Times New Roman"/>
                      <w:color w:val="auto"/>
                      <w:sz w:val="21"/>
                      <w:highlight w:val="none"/>
                      <w:lang w:val="en-US" w:eastAsia="zh-CN"/>
                    </w:rPr>
                  </w:pPr>
                  <w:r>
                    <w:rPr>
                      <w:rFonts w:hint="eastAsia" w:cs="Times New Roman"/>
                      <w:color w:val="auto"/>
                      <w:sz w:val="21"/>
                      <w:highlight w:val="none"/>
                      <w:lang w:val="en-US" w:eastAsia="zh-CN"/>
                    </w:rPr>
                    <w:t>0</w:t>
                  </w:r>
                </w:p>
              </w:tc>
              <w:tc>
                <w:tcPr>
                  <w:tcW w:w="553" w:type="pct"/>
                  <w:tcBorders>
                    <w:tl2br w:val="nil"/>
                    <w:tr2bl w:val="nil"/>
                  </w:tcBorders>
                  <w:noWrap w:val="0"/>
                  <w:vAlign w:val="center"/>
                </w:tcPr>
                <w:p w14:paraId="4DC6052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50</w:t>
                  </w:r>
                </w:p>
              </w:tc>
              <w:tc>
                <w:tcPr>
                  <w:tcW w:w="460" w:type="pct"/>
                  <w:tcBorders>
                    <w:tl2br w:val="nil"/>
                    <w:tr2bl w:val="nil"/>
                  </w:tcBorders>
                  <w:noWrap w:val="0"/>
                  <w:vAlign w:val="center"/>
                </w:tcPr>
                <w:p w14:paraId="7BFA39B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r>
            <w:tr w14:paraId="6A9DF1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447" w:type="pct"/>
                  <w:vMerge w:val="restart"/>
                  <w:tcBorders>
                    <w:tl2br w:val="nil"/>
                    <w:tr2bl w:val="nil"/>
                  </w:tcBorders>
                  <w:noWrap w:val="0"/>
                  <w:vAlign w:val="center"/>
                </w:tcPr>
                <w:p w14:paraId="15694242">
                  <w:pPr>
                    <w:keepNext w:val="0"/>
                    <w:keepLines w:val="0"/>
                    <w:suppressLineNumbers w:val="0"/>
                    <w:tabs>
                      <w:tab w:val="left" w:pos="2310"/>
                    </w:tabs>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生活污水1636</w:t>
                  </w:r>
                  <w:r>
                    <w:rPr>
                      <w:rFonts w:hint="default" w:ascii="Times New Roman" w:hAnsi="Times New Roman" w:eastAsia="宋体" w:cs="Times New Roman"/>
                      <w:color w:val="auto"/>
                      <w:sz w:val="21"/>
                      <w:szCs w:val="21"/>
                      <w:highlight w:val="none"/>
                    </w:rPr>
                    <w:t>m³/a</w:t>
                  </w:r>
                </w:p>
              </w:tc>
              <w:tc>
                <w:tcPr>
                  <w:tcW w:w="1095" w:type="dxa"/>
                  <w:tcBorders>
                    <w:tl2br w:val="nil"/>
                    <w:tr2bl w:val="nil"/>
                  </w:tcBorders>
                  <w:noWrap w:val="0"/>
                  <w:vAlign w:val="center"/>
                </w:tcPr>
                <w:p w14:paraId="796B8EDE">
                  <w:pPr>
                    <w:keepNext w:val="0"/>
                    <w:keepLines w:val="0"/>
                    <w:suppressLineNumbers w:val="0"/>
                    <w:tabs>
                      <w:tab w:val="left" w:pos="2310"/>
                    </w:tabs>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产生浓度（mg/L）</w:t>
                  </w:r>
                </w:p>
              </w:tc>
              <w:tc>
                <w:tcPr>
                  <w:tcW w:w="517" w:type="pct"/>
                  <w:tcBorders>
                    <w:tl2br w:val="nil"/>
                    <w:tr2bl w:val="nil"/>
                  </w:tcBorders>
                  <w:noWrap w:val="0"/>
                  <w:vAlign w:val="center"/>
                </w:tcPr>
                <w:p w14:paraId="6168B0B0">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240</w:t>
                  </w:r>
                </w:p>
              </w:tc>
              <w:tc>
                <w:tcPr>
                  <w:tcW w:w="499" w:type="pct"/>
                  <w:tcBorders>
                    <w:tl2br w:val="nil"/>
                    <w:tr2bl w:val="nil"/>
                  </w:tcBorders>
                  <w:noWrap w:val="0"/>
                  <w:vAlign w:val="center"/>
                </w:tcPr>
                <w:p w14:paraId="60997CC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144</w:t>
                  </w:r>
                </w:p>
              </w:tc>
              <w:tc>
                <w:tcPr>
                  <w:tcW w:w="471" w:type="pct"/>
                  <w:tcBorders>
                    <w:tl2br w:val="nil"/>
                    <w:tr2bl w:val="nil"/>
                  </w:tcBorders>
                  <w:noWrap w:val="0"/>
                  <w:vAlign w:val="center"/>
                </w:tcPr>
                <w:p w14:paraId="06692849">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198</w:t>
                  </w:r>
                </w:p>
              </w:tc>
              <w:tc>
                <w:tcPr>
                  <w:tcW w:w="435" w:type="pct"/>
                  <w:tcBorders>
                    <w:tl2br w:val="nil"/>
                    <w:tr2bl w:val="nil"/>
                  </w:tcBorders>
                  <w:noWrap w:val="0"/>
                  <w:vAlign w:val="center"/>
                </w:tcPr>
                <w:p w14:paraId="38A1500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35</w:t>
                  </w:r>
                </w:p>
              </w:tc>
              <w:tc>
                <w:tcPr>
                  <w:tcW w:w="795" w:type="dxa"/>
                  <w:tcBorders>
                    <w:tl2br w:val="nil"/>
                    <w:tr2bl w:val="nil"/>
                  </w:tcBorders>
                  <w:noWrap w:val="0"/>
                  <w:vAlign w:val="center"/>
                </w:tcPr>
                <w:p w14:paraId="27CA74C0">
                  <w:pPr>
                    <w:keepNext w:val="0"/>
                    <w:keepLines w:val="0"/>
                    <w:suppressLineNumbers w:val="0"/>
                    <w:spacing w:before="0" w:beforeAutospacing="0" w:after="0" w:afterAutospacing="0" w:line="240" w:lineRule="auto"/>
                    <w:ind w:left="0" w:leftChars="0" w:right="0" w:rightChars="0" w:firstLine="0" w:firstLineChars="0"/>
                    <w:jc w:val="center"/>
                    <w:rPr>
                      <w:rFonts w:hint="default" w:cs="Times New Roman"/>
                      <w:color w:val="auto"/>
                      <w:sz w:val="21"/>
                      <w:highlight w:val="none"/>
                      <w:lang w:val="en-US" w:eastAsia="zh-CN"/>
                    </w:rPr>
                  </w:pPr>
                  <w:r>
                    <w:rPr>
                      <w:rFonts w:hint="eastAsia" w:cs="Times New Roman"/>
                      <w:color w:val="auto"/>
                      <w:sz w:val="21"/>
                      <w:highlight w:val="none"/>
                      <w:lang w:val="en-US" w:eastAsia="zh-CN"/>
                    </w:rPr>
                    <w:t>7</w:t>
                  </w:r>
                </w:p>
              </w:tc>
              <w:tc>
                <w:tcPr>
                  <w:tcW w:w="780" w:type="dxa"/>
                  <w:tcBorders>
                    <w:tl2br w:val="nil"/>
                    <w:tr2bl w:val="nil"/>
                  </w:tcBorders>
                  <w:noWrap w:val="0"/>
                  <w:vAlign w:val="center"/>
                </w:tcPr>
                <w:p w14:paraId="3BE03812">
                  <w:pPr>
                    <w:keepNext w:val="0"/>
                    <w:keepLines w:val="0"/>
                    <w:suppressLineNumbers w:val="0"/>
                    <w:spacing w:before="0" w:beforeAutospacing="0" w:after="0" w:afterAutospacing="0" w:line="240" w:lineRule="auto"/>
                    <w:ind w:left="0" w:leftChars="0" w:right="0" w:rightChars="0" w:firstLine="0" w:firstLineChars="0"/>
                    <w:jc w:val="center"/>
                    <w:rPr>
                      <w:rFonts w:hint="default" w:cs="Times New Roman"/>
                      <w:color w:val="auto"/>
                      <w:sz w:val="21"/>
                      <w:highlight w:val="none"/>
                      <w:lang w:val="en-US" w:eastAsia="zh-CN"/>
                    </w:rPr>
                  </w:pPr>
                  <w:r>
                    <w:rPr>
                      <w:rFonts w:hint="eastAsia" w:cs="Times New Roman"/>
                      <w:color w:val="auto"/>
                      <w:sz w:val="21"/>
                      <w:highlight w:val="none"/>
                      <w:lang w:val="en-US" w:eastAsia="zh-CN"/>
                    </w:rPr>
                    <w:t>65</w:t>
                  </w:r>
                </w:p>
              </w:tc>
              <w:tc>
                <w:tcPr>
                  <w:tcW w:w="553" w:type="pct"/>
                  <w:tcBorders>
                    <w:tl2br w:val="nil"/>
                    <w:tr2bl w:val="nil"/>
                  </w:tcBorders>
                  <w:noWrap w:val="0"/>
                  <w:vAlign w:val="center"/>
                </w:tcPr>
                <w:p w14:paraId="0246D7B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460" w:type="pct"/>
                  <w:tcBorders>
                    <w:tl2br w:val="nil"/>
                    <w:tr2bl w:val="nil"/>
                  </w:tcBorders>
                  <w:noWrap w:val="0"/>
                  <w:vAlign w:val="center"/>
                </w:tcPr>
                <w:p w14:paraId="6559EB6A">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r>
            <w:tr w14:paraId="455B88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447" w:type="pct"/>
                  <w:vMerge w:val="continue"/>
                  <w:tcBorders>
                    <w:tl2br w:val="nil"/>
                    <w:tr2bl w:val="nil"/>
                  </w:tcBorders>
                  <w:noWrap w:val="0"/>
                  <w:vAlign w:val="center"/>
                </w:tcPr>
                <w:p w14:paraId="22A84ACF">
                  <w:pPr>
                    <w:keepNext w:val="0"/>
                    <w:keepLines w:val="0"/>
                    <w:suppressLineNumbers w:val="0"/>
                    <w:tabs>
                      <w:tab w:val="left" w:pos="2310"/>
                    </w:tabs>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highlight w:val="none"/>
                      <w:lang w:val="en-US" w:eastAsia="zh-CN"/>
                    </w:rPr>
                  </w:pPr>
                </w:p>
              </w:tc>
              <w:tc>
                <w:tcPr>
                  <w:tcW w:w="1095" w:type="dxa"/>
                  <w:tcBorders>
                    <w:tl2br w:val="nil"/>
                    <w:tr2bl w:val="nil"/>
                  </w:tcBorders>
                  <w:noWrap w:val="0"/>
                  <w:vAlign w:val="center"/>
                </w:tcPr>
                <w:p w14:paraId="40368B14">
                  <w:pPr>
                    <w:keepNext w:val="0"/>
                    <w:keepLines w:val="0"/>
                    <w:suppressLineNumbers w:val="0"/>
                    <w:tabs>
                      <w:tab w:val="left" w:pos="2310"/>
                    </w:tabs>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产生量（t/a）</w:t>
                  </w:r>
                </w:p>
              </w:tc>
              <w:tc>
                <w:tcPr>
                  <w:tcW w:w="517" w:type="pct"/>
                  <w:tcBorders>
                    <w:tl2br w:val="nil"/>
                    <w:tr2bl w:val="nil"/>
                  </w:tcBorders>
                  <w:noWrap w:val="0"/>
                  <w:vAlign w:val="center"/>
                </w:tcPr>
                <w:p w14:paraId="6753DE68">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0.393</w:t>
                  </w:r>
                </w:p>
              </w:tc>
              <w:tc>
                <w:tcPr>
                  <w:tcW w:w="499" w:type="pct"/>
                  <w:tcBorders>
                    <w:tl2br w:val="nil"/>
                    <w:tr2bl w:val="nil"/>
                  </w:tcBorders>
                  <w:noWrap w:val="0"/>
                  <w:vAlign w:val="center"/>
                </w:tcPr>
                <w:p w14:paraId="58E5706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0.236</w:t>
                  </w:r>
                </w:p>
              </w:tc>
              <w:tc>
                <w:tcPr>
                  <w:tcW w:w="471" w:type="pct"/>
                  <w:tcBorders>
                    <w:tl2br w:val="nil"/>
                    <w:tr2bl w:val="nil"/>
                  </w:tcBorders>
                  <w:noWrap w:val="0"/>
                  <w:vAlign w:val="center"/>
                </w:tcPr>
                <w:p w14:paraId="4E5BF137">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0.324</w:t>
                  </w:r>
                </w:p>
              </w:tc>
              <w:tc>
                <w:tcPr>
                  <w:tcW w:w="435" w:type="pct"/>
                  <w:tcBorders>
                    <w:tl2br w:val="nil"/>
                    <w:tr2bl w:val="nil"/>
                  </w:tcBorders>
                  <w:noWrap w:val="0"/>
                  <w:vAlign w:val="center"/>
                </w:tcPr>
                <w:p w14:paraId="3D82085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0.057</w:t>
                  </w:r>
                </w:p>
              </w:tc>
              <w:tc>
                <w:tcPr>
                  <w:tcW w:w="795" w:type="dxa"/>
                  <w:tcBorders>
                    <w:tl2br w:val="nil"/>
                    <w:tr2bl w:val="nil"/>
                  </w:tcBorders>
                  <w:noWrap w:val="0"/>
                  <w:vAlign w:val="center"/>
                </w:tcPr>
                <w:p w14:paraId="256C19AC">
                  <w:pPr>
                    <w:keepNext w:val="0"/>
                    <w:keepLines w:val="0"/>
                    <w:suppressLineNumbers w:val="0"/>
                    <w:spacing w:before="0" w:beforeAutospacing="0" w:after="0" w:afterAutospacing="0" w:line="240" w:lineRule="auto"/>
                    <w:ind w:left="0" w:leftChars="0" w:right="0" w:rightChars="0" w:firstLine="0" w:firstLineChars="0"/>
                    <w:jc w:val="center"/>
                    <w:rPr>
                      <w:rFonts w:hint="default" w:cs="Times New Roman"/>
                      <w:color w:val="auto"/>
                      <w:sz w:val="21"/>
                      <w:highlight w:val="none"/>
                      <w:lang w:val="en-US" w:eastAsia="zh-CN"/>
                    </w:rPr>
                  </w:pPr>
                  <w:r>
                    <w:rPr>
                      <w:rFonts w:hint="eastAsia" w:cs="Times New Roman"/>
                      <w:color w:val="auto"/>
                      <w:sz w:val="21"/>
                      <w:highlight w:val="none"/>
                      <w:lang w:val="en-US" w:eastAsia="zh-CN"/>
                    </w:rPr>
                    <w:t>0.011</w:t>
                  </w:r>
                </w:p>
              </w:tc>
              <w:tc>
                <w:tcPr>
                  <w:tcW w:w="780" w:type="dxa"/>
                  <w:tcBorders>
                    <w:tl2br w:val="nil"/>
                    <w:tr2bl w:val="nil"/>
                  </w:tcBorders>
                  <w:noWrap w:val="0"/>
                  <w:vAlign w:val="center"/>
                </w:tcPr>
                <w:p w14:paraId="647EBE6E">
                  <w:pPr>
                    <w:keepNext w:val="0"/>
                    <w:keepLines w:val="0"/>
                    <w:suppressLineNumbers w:val="0"/>
                    <w:spacing w:before="0" w:beforeAutospacing="0" w:after="0" w:afterAutospacing="0" w:line="240" w:lineRule="auto"/>
                    <w:ind w:left="0" w:leftChars="0" w:right="0" w:rightChars="0" w:firstLine="0" w:firstLineChars="0"/>
                    <w:jc w:val="center"/>
                    <w:rPr>
                      <w:rFonts w:hint="default" w:cs="Times New Roman"/>
                      <w:color w:val="auto"/>
                      <w:sz w:val="21"/>
                      <w:highlight w:val="none"/>
                      <w:lang w:val="en-US" w:eastAsia="zh-CN"/>
                    </w:rPr>
                  </w:pPr>
                  <w:r>
                    <w:rPr>
                      <w:rFonts w:hint="eastAsia" w:cs="Times New Roman"/>
                      <w:color w:val="auto"/>
                      <w:sz w:val="21"/>
                      <w:highlight w:val="none"/>
                      <w:lang w:val="en-US" w:eastAsia="zh-CN"/>
                    </w:rPr>
                    <w:t>0.106</w:t>
                  </w:r>
                </w:p>
              </w:tc>
              <w:tc>
                <w:tcPr>
                  <w:tcW w:w="553" w:type="pct"/>
                  <w:tcBorders>
                    <w:tl2br w:val="nil"/>
                    <w:tr2bl w:val="nil"/>
                  </w:tcBorders>
                  <w:noWrap w:val="0"/>
                  <w:vAlign w:val="center"/>
                </w:tcPr>
                <w:p w14:paraId="3253301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0.016</w:t>
                  </w:r>
                </w:p>
              </w:tc>
              <w:tc>
                <w:tcPr>
                  <w:tcW w:w="460" w:type="pct"/>
                  <w:tcBorders>
                    <w:tl2br w:val="nil"/>
                    <w:tr2bl w:val="nil"/>
                  </w:tcBorders>
                  <w:noWrap w:val="0"/>
                  <w:vAlign w:val="center"/>
                </w:tcPr>
                <w:p w14:paraId="2093BE3D">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r>
            <w:tr w14:paraId="03F177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47" w:type="pct"/>
                  <w:vMerge w:val="restart"/>
                  <w:tcBorders>
                    <w:tl2br w:val="nil"/>
                    <w:tr2bl w:val="nil"/>
                  </w:tcBorders>
                  <w:noWrap w:val="0"/>
                  <w:vAlign w:val="center"/>
                </w:tcPr>
                <w:p w14:paraId="73959B2A">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生产</w:t>
                  </w:r>
                  <w:r>
                    <w:rPr>
                      <w:rFonts w:hint="default" w:ascii="Times New Roman" w:hAnsi="Times New Roman" w:eastAsia="宋体" w:cs="Times New Roman"/>
                      <w:color w:val="auto"/>
                      <w:sz w:val="21"/>
                      <w:szCs w:val="21"/>
                      <w:highlight w:val="none"/>
                      <w:lang w:val="en-US" w:eastAsia="zh-CN"/>
                    </w:rPr>
                    <w:t>废水</w:t>
                  </w:r>
                  <w:r>
                    <w:rPr>
                      <w:rFonts w:hint="eastAsia" w:cs="Times New Roman"/>
                      <w:color w:val="auto"/>
                      <w:sz w:val="21"/>
                      <w:szCs w:val="21"/>
                      <w:highlight w:val="none"/>
                      <w:lang w:val="en-US" w:eastAsia="zh-CN"/>
                    </w:rPr>
                    <w:t>2340</w:t>
                  </w:r>
                  <w:r>
                    <w:rPr>
                      <w:rFonts w:hint="default" w:ascii="Times New Roman" w:hAnsi="Times New Roman" w:eastAsia="宋体" w:cs="Times New Roman"/>
                      <w:color w:val="auto"/>
                      <w:sz w:val="21"/>
                      <w:szCs w:val="21"/>
                      <w:highlight w:val="none"/>
                    </w:rPr>
                    <w:t>m³/a</w:t>
                  </w:r>
                </w:p>
              </w:tc>
              <w:tc>
                <w:tcPr>
                  <w:tcW w:w="662" w:type="pct"/>
                  <w:tcBorders>
                    <w:tl2br w:val="nil"/>
                    <w:tr2bl w:val="nil"/>
                  </w:tcBorders>
                  <w:noWrap w:val="0"/>
                  <w:vAlign w:val="center"/>
                </w:tcPr>
                <w:p w14:paraId="2AA833A0">
                  <w:pPr>
                    <w:keepNext w:val="0"/>
                    <w:keepLines w:val="0"/>
                    <w:suppressLineNumbers w:val="0"/>
                    <w:tabs>
                      <w:tab w:val="left" w:pos="231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产生浓度（mg/L）</w:t>
                  </w:r>
                </w:p>
              </w:tc>
              <w:tc>
                <w:tcPr>
                  <w:tcW w:w="855" w:type="dxa"/>
                  <w:tcBorders>
                    <w:tl2br w:val="nil"/>
                    <w:tr2bl w:val="nil"/>
                  </w:tcBorders>
                  <w:noWrap w:val="0"/>
                  <w:vAlign w:val="center"/>
                </w:tcPr>
                <w:p w14:paraId="1B3DC031">
                  <w:pPr>
                    <w:keepNext w:val="0"/>
                    <w:keepLines w:val="0"/>
                    <w:suppressLineNumbers w:val="0"/>
                    <w:tabs>
                      <w:tab w:val="left" w:pos="2310"/>
                    </w:tabs>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1200</w:t>
                  </w:r>
                </w:p>
              </w:tc>
              <w:tc>
                <w:tcPr>
                  <w:tcW w:w="825" w:type="dxa"/>
                  <w:tcBorders>
                    <w:tl2br w:val="nil"/>
                    <w:tr2bl w:val="nil"/>
                  </w:tcBorders>
                  <w:noWrap w:val="0"/>
                  <w:vAlign w:val="center"/>
                </w:tcPr>
                <w:p w14:paraId="4C9EB554">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600</w:t>
                  </w:r>
                </w:p>
              </w:tc>
              <w:tc>
                <w:tcPr>
                  <w:tcW w:w="780" w:type="dxa"/>
                  <w:tcBorders>
                    <w:tl2br w:val="nil"/>
                    <w:tr2bl w:val="nil"/>
                  </w:tcBorders>
                  <w:noWrap w:val="0"/>
                  <w:vAlign w:val="center"/>
                </w:tcPr>
                <w:p w14:paraId="255369DA">
                  <w:pPr>
                    <w:keepNext w:val="0"/>
                    <w:keepLines w:val="0"/>
                    <w:suppressLineNumbers w:val="0"/>
                    <w:tabs>
                      <w:tab w:val="left" w:pos="2310"/>
                    </w:tabs>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500</w:t>
                  </w:r>
                </w:p>
              </w:tc>
              <w:tc>
                <w:tcPr>
                  <w:tcW w:w="720" w:type="dxa"/>
                  <w:tcBorders>
                    <w:tl2br w:val="nil"/>
                    <w:tr2bl w:val="nil"/>
                  </w:tcBorders>
                  <w:noWrap w:val="0"/>
                  <w:vAlign w:val="center"/>
                </w:tcPr>
                <w:p w14:paraId="484F14D4">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w:t>
                  </w:r>
                </w:p>
              </w:tc>
              <w:tc>
                <w:tcPr>
                  <w:tcW w:w="795" w:type="dxa"/>
                  <w:tcBorders>
                    <w:tl2br w:val="nil"/>
                    <w:tr2bl w:val="nil"/>
                  </w:tcBorders>
                  <w:noWrap w:val="0"/>
                  <w:vAlign w:val="center"/>
                </w:tcPr>
                <w:p w14:paraId="1E16B8E5">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8</w:t>
                  </w:r>
                </w:p>
              </w:tc>
              <w:tc>
                <w:tcPr>
                  <w:tcW w:w="780" w:type="dxa"/>
                  <w:tcBorders>
                    <w:tl2br w:val="nil"/>
                    <w:tr2bl w:val="nil"/>
                  </w:tcBorders>
                  <w:noWrap w:val="0"/>
                  <w:vAlign w:val="center"/>
                </w:tcPr>
                <w:p w14:paraId="2282FADB">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45</w:t>
                  </w:r>
                </w:p>
              </w:tc>
              <w:tc>
                <w:tcPr>
                  <w:tcW w:w="915" w:type="dxa"/>
                  <w:tcBorders>
                    <w:tl2br w:val="nil"/>
                    <w:tr2bl w:val="nil"/>
                  </w:tcBorders>
                  <w:noWrap w:val="0"/>
                  <w:vAlign w:val="center"/>
                </w:tcPr>
                <w:p w14:paraId="751D4DC3">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200</w:t>
                  </w:r>
                </w:p>
              </w:tc>
              <w:tc>
                <w:tcPr>
                  <w:tcW w:w="761" w:type="dxa"/>
                  <w:tcBorders>
                    <w:tl2br w:val="nil"/>
                    <w:tr2bl w:val="nil"/>
                  </w:tcBorders>
                  <w:noWrap w:val="0"/>
                  <w:vAlign w:val="center"/>
                </w:tcPr>
                <w:p w14:paraId="25822881">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w:t>
                  </w:r>
                </w:p>
              </w:tc>
            </w:tr>
            <w:tr w14:paraId="51A788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447" w:type="pct"/>
                  <w:vMerge w:val="continue"/>
                  <w:tcBorders>
                    <w:tl2br w:val="nil"/>
                    <w:tr2bl w:val="nil"/>
                  </w:tcBorders>
                  <w:noWrap w:val="0"/>
                  <w:vAlign w:val="center"/>
                </w:tcPr>
                <w:p w14:paraId="2F0F1052">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p>
              </w:tc>
              <w:tc>
                <w:tcPr>
                  <w:tcW w:w="662" w:type="pct"/>
                  <w:tcBorders>
                    <w:tl2br w:val="nil"/>
                    <w:tr2bl w:val="nil"/>
                  </w:tcBorders>
                  <w:noWrap w:val="0"/>
                  <w:vAlign w:val="center"/>
                </w:tcPr>
                <w:p w14:paraId="15FEDA69">
                  <w:pPr>
                    <w:keepNext w:val="0"/>
                    <w:keepLines w:val="0"/>
                    <w:suppressLineNumbers w:val="0"/>
                    <w:tabs>
                      <w:tab w:val="left" w:pos="231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产生量（t/a）</w:t>
                  </w:r>
                </w:p>
              </w:tc>
              <w:tc>
                <w:tcPr>
                  <w:tcW w:w="855" w:type="dxa"/>
                  <w:tcBorders>
                    <w:tl2br w:val="nil"/>
                    <w:tr2bl w:val="nil"/>
                  </w:tcBorders>
                  <w:shd w:val="clear" w:color="auto" w:fill="auto"/>
                  <w:noWrap w:val="0"/>
                  <w:vAlign w:val="center"/>
                </w:tcPr>
                <w:p w14:paraId="76B66BBC">
                  <w:pPr>
                    <w:keepNext w:val="0"/>
                    <w:keepLines w:val="0"/>
                    <w:suppressLineNumbers w:val="0"/>
                    <w:tabs>
                      <w:tab w:val="left" w:pos="2310"/>
                    </w:tabs>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2.808</w:t>
                  </w:r>
                </w:p>
              </w:tc>
              <w:tc>
                <w:tcPr>
                  <w:tcW w:w="825" w:type="dxa"/>
                  <w:tcBorders>
                    <w:tl2br w:val="nil"/>
                    <w:tr2bl w:val="nil"/>
                  </w:tcBorders>
                  <w:shd w:val="clear" w:color="auto" w:fill="auto"/>
                  <w:noWrap w:val="0"/>
                  <w:vAlign w:val="center"/>
                </w:tcPr>
                <w:p w14:paraId="2C03A652">
                  <w:pPr>
                    <w:keepNext w:val="0"/>
                    <w:keepLines w:val="0"/>
                    <w:suppressLineNumbers w:val="0"/>
                    <w:tabs>
                      <w:tab w:val="left" w:pos="2310"/>
                    </w:tabs>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1.404</w:t>
                  </w:r>
                </w:p>
              </w:tc>
              <w:tc>
                <w:tcPr>
                  <w:tcW w:w="780" w:type="dxa"/>
                  <w:tcBorders>
                    <w:tl2br w:val="nil"/>
                    <w:tr2bl w:val="nil"/>
                  </w:tcBorders>
                  <w:shd w:val="clear" w:color="auto" w:fill="auto"/>
                  <w:noWrap w:val="0"/>
                  <w:vAlign w:val="center"/>
                </w:tcPr>
                <w:p w14:paraId="5DFAEAD5">
                  <w:pPr>
                    <w:keepNext w:val="0"/>
                    <w:keepLines w:val="0"/>
                    <w:suppressLineNumbers w:val="0"/>
                    <w:tabs>
                      <w:tab w:val="left" w:pos="2310"/>
                    </w:tabs>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1.17</w:t>
                  </w:r>
                </w:p>
              </w:tc>
              <w:tc>
                <w:tcPr>
                  <w:tcW w:w="720" w:type="dxa"/>
                  <w:tcBorders>
                    <w:tl2br w:val="nil"/>
                    <w:tr2bl w:val="nil"/>
                  </w:tcBorders>
                  <w:shd w:val="clear" w:color="auto" w:fill="auto"/>
                  <w:noWrap w:val="0"/>
                  <w:vAlign w:val="center"/>
                </w:tcPr>
                <w:p w14:paraId="326E327E">
                  <w:pPr>
                    <w:keepNext w:val="0"/>
                    <w:keepLines w:val="0"/>
                    <w:suppressLineNumbers w:val="0"/>
                    <w:tabs>
                      <w:tab w:val="left" w:pos="2310"/>
                    </w:tabs>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0.04</w:t>
                  </w:r>
                  <w:r>
                    <w:rPr>
                      <w:rFonts w:hint="eastAsia" w:cs="Times New Roman"/>
                      <w:color w:val="auto"/>
                      <w:sz w:val="21"/>
                      <w:szCs w:val="21"/>
                      <w:highlight w:val="none"/>
                      <w:lang w:val="en-US" w:eastAsia="zh-CN"/>
                    </w:rPr>
                    <w:t>7</w:t>
                  </w:r>
                </w:p>
              </w:tc>
              <w:tc>
                <w:tcPr>
                  <w:tcW w:w="795" w:type="dxa"/>
                  <w:tcBorders>
                    <w:tl2br w:val="nil"/>
                    <w:tr2bl w:val="nil"/>
                  </w:tcBorders>
                  <w:shd w:val="clear" w:color="auto" w:fill="auto"/>
                  <w:noWrap w:val="0"/>
                  <w:vAlign w:val="center"/>
                </w:tcPr>
                <w:p w14:paraId="03B80CFC">
                  <w:pPr>
                    <w:keepNext w:val="0"/>
                    <w:keepLines w:val="0"/>
                    <w:suppressLineNumbers w:val="0"/>
                    <w:tabs>
                      <w:tab w:val="left" w:pos="2310"/>
                    </w:tabs>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0.01</w:t>
                  </w:r>
                  <w:r>
                    <w:rPr>
                      <w:rFonts w:hint="eastAsia" w:cs="Times New Roman"/>
                      <w:color w:val="auto"/>
                      <w:sz w:val="21"/>
                      <w:szCs w:val="21"/>
                      <w:highlight w:val="none"/>
                      <w:lang w:val="en-US" w:eastAsia="zh-CN"/>
                    </w:rPr>
                    <w:t>9</w:t>
                  </w:r>
                </w:p>
              </w:tc>
              <w:tc>
                <w:tcPr>
                  <w:tcW w:w="780" w:type="dxa"/>
                  <w:tcBorders>
                    <w:tl2br w:val="nil"/>
                    <w:tr2bl w:val="nil"/>
                  </w:tcBorders>
                  <w:shd w:val="clear" w:color="auto" w:fill="auto"/>
                  <w:noWrap w:val="0"/>
                  <w:vAlign w:val="center"/>
                </w:tcPr>
                <w:p w14:paraId="64BB35BC">
                  <w:pPr>
                    <w:keepNext w:val="0"/>
                    <w:keepLines w:val="0"/>
                    <w:suppressLineNumbers w:val="0"/>
                    <w:tabs>
                      <w:tab w:val="left" w:pos="2310"/>
                    </w:tabs>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0.105</w:t>
                  </w:r>
                </w:p>
              </w:tc>
              <w:tc>
                <w:tcPr>
                  <w:tcW w:w="915" w:type="dxa"/>
                  <w:tcBorders>
                    <w:tl2br w:val="nil"/>
                    <w:tr2bl w:val="nil"/>
                  </w:tcBorders>
                  <w:shd w:val="clear" w:color="auto" w:fill="auto"/>
                  <w:noWrap w:val="0"/>
                  <w:vAlign w:val="center"/>
                </w:tcPr>
                <w:p w14:paraId="7B5D12C7">
                  <w:pPr>
                    <w:keepNext w:val="0"/>
                    <w:keepLines w:val="0"/>
                    <w:suppressLineNumbers w:val="0"/>
                    <w:tabs>
                      <w:tab w:val="left" w:pos="2310"/>
                    </w:tabs>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0.468</w:t>
                  </w:r>
                </w:p>
              </w:tc>
              <w:tc>
                <w:tcPr>
                  <w:tcW w:w="761" w:type="dxa"/>
                  <w:tcBorders>
                    <w:tl2br w:val="nil"/>
                    <w:tr2bl w:val="nil"/>
                  </w:tcBorders>
                  <w:shd w:val="clear" w:color="auto" w:fill="auto"/>
                  <w:noWrap w:val="0"/>
                  <w:vAlign w:val="center"/>
                </w:tcPr>
                <w:p w14:paraId="73629468">
                  <w:pPr>
                    <w:keepNext w:val="0"/>
                    <w:keepLines w:val="0"/>
                    <w:suppressLineNumbers w:val="0"/>
                    <w:tabs>
                      <w:tab w:val="left" w:pos="2310"/>
                    </w:tabs>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0.023</w:t>
                  </w:r>
                </w:p>
              </w:tc>
            </w:tr>
            <w:tr w14:paraId="0FE89D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447" w:type="pct"/>
                  <w:vMerge w:val="restart"/>
                  <w:tcBorders>
                    <w:tl2br w:val="nil"/>
                    <w:tr2bl w:val="nil"/>
                  </w:tcBorders>
                  <w:noWrap w:val="0"/>
                  <w:vAlign w:val="center"/>
                </w:tcPr>
                <w:p w14:paraId="6FB4DA4B">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综合</w:t>
                  </w:r>
                  <w:r>
                    <w:rPr>
                      <w:rFonts w:hint="default" w:ascii="Times New Roman" w:hAnsi="Times New Roman" w:eastAsia="宋体" w:cs="Times New Roman"/>
                      <w:color w:val="auto"/>
                      <w:sz w:val="21"/>
                      <w:szCs w:val="21"/>
                      <w:highlight w:val="none"/>
                      <w:lang w:val="en-US" w:eastAsia="zh-CN"/>
                    </w:rPr>
                    <w:t>废水</w:t>
                  </w:r>
                  <w:r>
                    <w:rPr>
                      <w:rFonts w:hint="eastAsia" w:cs="Times New Roman"/>
                      <w:color w:val="auto"/>
                      <w:sz w:val="21"/>
                      <w:szCs w:val="21"/>
                      <w:highlight w:val="none"/>
                      <w:lang w:val="en-US" w:eastAsia="zh-CN"/>
                    </w:rPr>
                    <w:t>3976</w:t>
                  </w:r>
                  <w:r>
                    <w:rPr>
                      <w:rFonts w:hint="default" w:ascii="Times New Roman" w:hAnsi="Times New Roman" w:eastAsia="宋体" w:cs="Times New Roman"/>
                      <w:color w:val="auto"/>
                      <w:sz w:val="21"/>
                      <w:szCs w:val="21"/>
                      <w:highlight w:val="none"/>
                    </w:rPr>
                    <w:t>m³/a</w:t>
                  </w:r>
                </w:p>
              </w:tc>
              <w:tc>
                <w:tcPr>
                  <w:tcW w:w="662" w:type="pct"/>
                  <w:tcBorders>
                    <w:tl2br w:val="nil"/>
                    <w:tr2bl w:val="nil"/>
                  </w:tcBorders>
                  <w:noWrap w:val="0"/>
                  <w:vAlign w:val="center"/>
                </w:tcPr>
                <w:p w14:paraId="7BC3BC59">
                  <w:pPr>
                    <w:keepNext w:val="0"/>
                    <w:keepLines w:val="0"/>
                    <w:suppressLineNumbers w:val="0"/>
                    <w:tabs>
                      <w:tab w:val="left" w:pos="231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产生浓度（mg/L）</w:t>
                  </w:r>
                </w:p>
              </w:tc>
              <w:tc>
                <w:tcPr>
                  <w:tcW w:w="517" w:type="pct"/>
                  <w:tcBorders>
                    <w:tl2br w:val="nil"/>
                    <w:tr2bl w:val="nil"/>
                  </w:tcBorders>
                  <w:noWrap w:val="0"/>
                  <w:vAlign w:val="center"/>
                </w:tcPr>
                <w:p w14:paraId="11325745">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805</w:t>
                  </w:r>
                </w:p>
              </w:tc>
              <w:tc>
                <w:tcPr>
                  <w:tcW w:w="499" w:type="pct"/>
                  <w:tcBorders>
                    <w:tl2br w:val="nil"/>
                    <w:tr2bl w:val="nil"/>
                  </w:tcBorders>
                  <w:noWrap w:val="0"/>
                  <w:vAlign w:val="center"/>
                </w:tcPr>
                <w:p w14:paraId="45269EF4">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412</w:t>
                  </w:r>
                </w:p>
              </w:tc>
              <w:tc>
                <w:tcPr>
                  <w:tcW w:w="471" w:type="pct"/>
                  <w:tcBorders>
                    <w:tl2br w:val="nil"/>
                    <w:tr2bl w:val="nil"/>
                  </w:tcBorders>
                  <w:noWrap w:val="0"/>
                  <w:vAlign w:val="center"/>
                </w:tcPr>
                <w:p w14:paraId="7079E7B5">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376</w:t>
                  </w:r>
                </w:p>
              </w:tc>
              <w:tc>
                <w:tcPr>
                  <w:tcW w:w="435" w:type="pct"/>
                  <w:tcBorders>
                    <w:tl2br w:val="nil"/>
                    <w:tr2bl w:val="nil"/>
                  </w:tcBorders>
                  <w:noWrap w:val="0"/>
                  <w:vAlign w:val="center"/>
                </w:tcPr>
                <w:p w14:paraId="347769D2">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26</w:t>
                  </w:r>
                </w:p>
              </w:tc>
              <w:tc>
                <w:tcPr>
                  <w:tcW w:w="480" w:type="pct"/>
                  <w:tcBorders>
                    <w:tl2br w:val="nil"/>
                    <w:tr2bl w:val="nil"/>
                  </w:tcBorders>
                  <w:noWrap w:val="0"/>
                  <w:vAlign w:val="center"/>
                </w:tcPr>
                <w:p w14:paraId="18CBB71F">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31</w:t>
                  </w:r>
                </w:p>
              </w:tc>
              <w:tc>
                <w:tcPr>
                  <w:tcW w:w="471" w:type="pct"/>
                  <w:tcBorders>
                    <w:tl2br w:val="nil"/>
                    <w:tr2bl w:val="nil"/>
                  </w:tcBorders>
                  <w:noWrap w:val="0"/>
                  <w:vAlign w:val="center"/>
                </w:tcPr>
                <w:p w14:paraId="13ABFB31">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29</w:t>
                  </w:r>
                </w:p>
              </w:tc>
              <w:tc>
                <w:tcPr>
                  <w:tcW w:w="553" w:type="pct"/>
                  <w:tcBorders>
                    <w:tl2br w:val="nil"/>
                    <w:tr2bl w:val="nil"/>
                  </w:tcBorders>
                  <w:noWrap w:val="0"/>
                  <w:vAlign w:val="center"/>
                </w:tcPr>
                <w:p w14:paraId="6C9E5989">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122</w:t>
                  </w:r>
                </w:p>
              </w:tc>
              <w:tc>
                <w:tcPr>
                  <w:tcW w:w="460" w:type="pct"/>
                  <w:tcBorders>
                    <w:tl2br w:val="nil"/>
                    <w:tr2bl w:val="nil"/>
                  </w:tcBorders>
                  <w:noWrap w:val="0"/>
                  <w:vAlign w:val="center"/>
                </w:tcPr>
                <w:p w14:paraId="5854798B">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6</w:t>
                  </w:r>
                </w:p>
              </w:tc>
            </w:tr>
            <w:tr w14:paraId="763670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447" w:type="pct"/>
                  <w:vMerge w:val="continue"/>
                  <w:tcBorders>
                    <w:tl2br w:val="nil"/>
                    <w:tr2bl w:val="nil"/>
                  </w:tcBorders>
                  <w:noWrap w:val="0"/>
                  <w:vAlign w:val="center"/>
                </w:tcPr>
                <w:p w14:paraId="0D989656">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p>
              </w:tc>
              <w:tc>
                <w:tcPr>
                  <w:tcW w:w="662" w:type="pct"/>
                  <w:tcBorders>
                    <w:tl2br w:val="nil"/>
                    <w:tr2bl w:val="nil"/>
                  </w:tcBorders>
                  <w:noWrap w:val="0"/>
                  <w:vAlign w:val="center"/>
                </w:tcPr>
                <w:p w14:paraId="1F5C3172">
                  <w:pPr>
                    <w:keepNext w:val="0"/>
                    <w:keepLines w:val="0"/>
                    <w:suppressLineNumbers w:val="0"/>
                    <w:tabs>
                      <w:tab w:val="left" w:pos="231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产生量（t/a）</w:t>
                  </w:r>
                </w:p>
              </w:tc>
              <w:tc>
                <w:tcPr>
                  <w:tcW w:w="517" w:type="pct"/>
                  <w:tcBorders>
                    <w:tl2br w:val="nil"/>
                    <w:tr2bl w:val="nil"/>
                  </w:tcBorders>
                  <w:noWrap w:val="0"/>
                  <w:vAlign w:val="center"/>
                </w:tcPr>
                <w:p w14:paraId="09DF3DB7">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3.2</w:t>
                  </w:r>
                </w:p>
              </w:tc>
              <w:tc>
                <w:tcPr>
                  <w:tcW w:w="499" w:type="pct"/>
                  <w:tcBorders>
                    <w:tl2br w:val="nil"/>
                    <w:tr2bl w:val="nil"/>
                  </w:tcBorders>
                  <w:noWrap w:val="0"/>
                  <w:vAlign w:val="center"/>
                </w:tcPr>
                <w:p w14:paraId="7A33A32C">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1.638</w:t>
                  </w:r>
                </w:p>
              </w:tc>
              <w:tc>
                <w:tcPr>
                  <w:tcW w:w="471" w:type="pct"/>
                  <w:tcBorders>
                    <w:tl2br w:val="nil"/>
                    <w:tr2bl w:val="nil"/>
                  </w:tcBorders>
                  <w:noWrap w:val="0"/>
                  <w:vAlign w:val="center"/>
                </w:tcPr>
                <w:p w14:paraId="6B0A5F64">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1.5</w:t>
                  </w:r>
                </w:p>
              </w:tc>
              <w:tc>
                <w:tcPr>
                  <w:tcW w:w="435" w:type="pct"/>
                  <w:tcBorders>
                    <w:tl2br w:val="nil"/>
                    <w:tr2bl w:val="nil"/>
                  </w:tcBorders>
                  <w:noWrap w:val="0"/>
                  <w:vAlign w:val="center"/>
                </w:tcPr>
                <w:p w14:paraId="513E4E61">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0.103</w:t>
                  </w:r>
                </w:p>
              </w:tc>
              <w:tc>
                <w:tcPr>
                  <w:tcW w:w="480" w:type="pct"/>
                  <w:tcBorders>
                    <w:tl2br w:val="nil"/>
                    <w:tr2bl w:val="nil"/>
                  </w:tcBorders>
                  <w:noWrap w:val="0"/>
                  <w:vAlign w:val="center"/>
                </w:tcPr>
                <w:p w14:paraId="0102C1E5">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0.123</w:t>
                  </w:r>
                </w:p>
              </w:tc>
              <w:tc>
                <w:tcPr>
                  <w:tcW w:w="471" w:type="pct"/>
                  <w:tcBorders>
                    <w:tl2br w:val="nil"/>
                    <w:tr2bl w:val="nil"/>
                  </w:tcBorders>
                  <w:noWrap w:val="0"/>
                  <w:vAlign w:val="center"/>
                </w:tcPr>
                <w:p w14:paraId="5F358EE1">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0.115</w:t>
                  </w:r>
                </w:p>
              </w:tc>
              <w:tc>
                <w:tcPr>
                  <w:tcW w:w="553" w:type="pct"/>
                  <w:tcBorders>
                    <w:tl2br w:val="nil"/>
                    <w:tr2bl w:val="nil"/>
                  </w:tcBorders>
                  <w:noWrap w:val="0"/>
                  <w:vAlign w:val="center"/>
                </w:tcPr>
                <w:p w14:paraId="714EB912">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0.485</w:t>
                  </w:r>
                </w:p>
              </w:tc>
              <w:tc>
                <w:tcPr>
                  <w:tcW w:w="460" w:type="pct"/>
                  <w:tcBorders>
                    <w:tl2br w:val="nil"/>
                    <w:tr2bl w:val="nil"/>
                  </w:tcBorders>
                  <w:noWrap w:val="0"/>
                  <w:vAlign w:val="center"/>
                </w:tcPr>
                <w:p w14:paraId="04240DA7">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0.024</w:t>
                  </w:r>
                </w:p>
              </w:tc>
            </w:tr>
            <w:tr w14:paraId="32A5A5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447" w:type="pct"/>
                  <w:tcBorders>
                    <w:tl2br w:val="nil"/>
                    <w:tr2bl w:val="nil"/>
                  </w:tcBorders>
                  <w:noWrap w:val="0"/>
                  <w:vAlign w:val="center"/>
                </w:tcPr>
                <w:p w14:paraId="342CC459">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污水处理设施去除</w:t>
                  </w:r>
                  <w:r>
                    <w:rPr>
                      <w:rFonts w:hint="default" w:ascii="Times New Roman" w:hAnsi="Times New Roman" w:eastAsia="宋体" w:cs="Times New Roman"/>
                      <w:color w:val="auto"/>
                      <w:sz w:val="21"/>
                      <w:szCs w:val="21"/>
                      <w:highlight w:val="none"/>
                      <w:lang w:val="en-US" w:eastAsia="zh-CN"/>
                    </w:rPr>
                    <w:t>效率（%）</w:t>
                  </w:r>
                </w:p>
              </w:tc>
              <w:tc>
                <w:tcPr>
                  <w:tcW w:w="662" w:type="pct"/>
                  <w:tcBorders>
                    <w:tl2br w:val="nil"/>
                    <w:tr2bl w:val="nil"/>
                  </w:tcBorders>
                  <w:noWrap w:val="0"/>
                  <w:vAlign w:val="center"/>
                </w:tcPr>
                <w:p w14:paraId="1992D916">
                  <w:pPr>
                    <w:keepNext w:val="0"/>
                    <w:keepLines w:val="0"/>
                    <w:suppressLineNumbers w:val="0"/>
                    <w:tabs>
                      <w:tab w:val="left" w:pos="231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517" w:type="pct"/>
                  <w:tcBorders>
                    <w:tl2br w:val="nil"/>
                    <w:tr2bl w:val="nil"/>
                  </w:tcBorders>
                  <w:noWrap w:val="0"/>
                  <w:vAlign w:val="center"/>
                </w:tcPr>
                <w:p w14:paraId="7514C3D4">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88</w:t>
                  </w:r>
                </w:p>
              </w:tc>
              <w:tc>
                <w:tcPr>
                  <w:tcW w:w="499" w:type="pct"/>
                  <w:tcBorders>
                    <w:tl2br w:val="nil"/>
                    <w:tr2bl w:val="nil"/>
                  </w:tcBorders>
                  <w:noWrap w:val="0"/>
                  <w:vAlign w:val="center"/>
                </w:tcPr>
                <w:p w14:paraId="2357405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93</w:t>
                  </w:r>
                </w:p>
              </w:tc>
              <w:tc>
                <w:tcPr>
                  <w:tcW w:w="471" w:type="pct"/>
                  <w:tcBorders>
                    <w:tl2br w:val="nil"/>
                    <w:tr2bl w:val="nil"/>
                  </w:tcBorders>
                  <w:noWrap w:val="0"/>
                  <w:vAlign w:val="center"/>
                </w:tcPr>
                <w:p w14:paraId="0AE910F1">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92</w:t>
                  </w:r>
                </w:p>
              </w:tc>
              <w:tc>
                <w:tcPr>
                  <w:tcW w:w="435" w:type="pct"/>
                  <w:tcBorders>
                    <w:tl2br w:val="nil"/>
                    <w:tr2bl w:val="nil"/>
                  </w:tcBorders>
                  <w:noWrap w:val="0"/>
                  <w:vAlign w:val="center"/>
                </w:tcPr>
                <w:p w14:paraId="3B0B187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31</w:t>
                  </w:r>
                </w:p>
              </w:tc>
              <w:tc>
                <w:tcPr>
                  <w:tcW w:w="480" w:type="pct"/>
                  <w:tcBorders>
                    <w:tl2br w:val="nil"/>
                    <w:tr2bl w:val="nil"/>
                  </w:tcBorders>
                  <w:noWrap w:val="0"/>
                  <w:vAlign w:val="center"/>
                </w:tcPr>
                <w:p w14:paraId="2318865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92</w:t>
                  </w:r>
                </w:p>
              </w:tc>
              <w:tc>
                <w:tcPr>
                  <w:tcW w:w="471" w:type="pct"/>
                  <w:tcBorders>
                    <w:tl2br w:val="nil"/>
                    <w:tr2bl w:val="nil"/>
                  </w:tcBorders>
                  <w:noWrap w:val="0"/>
                  <w:vAlign w:val="center"/>
                </w:tcPr>
                <w:p w14:paraId="0F96BBE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90</w:t>
                  </w:r>
                </w:p>
              </w:tc>
              <w:tc>
                <w:tcPr>
                  <w:tcW w:w="553" w:type="pct"/>
                  <w:tcBorders>
                    <w:tl2br w:val="nil"/>
                    <w:tr2bl w:val="nil"/>
                  </w:tcBorders>
                  <w:noWrap w:val="0"/>
                  <w:vAlign w:val="center"/>
                </w:tcPr>
                <w:p w14:paraId="5620851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92</w:t>
                  </w:r>
                </w:p>
              </w:tc>
              <w:tc>
                <w:tcPr>
                  <w:tcW w:w="460" w:type="pct"/>
                  <w:tcBorders>
                    <w:tl2br w:val="nil"/>
                    <w:tr2bl w:val="nil"/>
                  </w:tcBorders>
                  <w:noWrap w:val="0"/>
                  <w:vAlign w:val="center"/>
                </w:tcPr>
                <w:p w14:paraId="623FC525">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96</w:t>
                  </w:r>
                </w:p>
              </w:tc>
            </w:tr>
            <w:tr w14:paraId="16E72D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47" w:type="pct"/>
                  <w:vMerge w:val="restart"/>
                  <w:tcBorders>
                    <w:tl2br w:val="nil"/>
                    <w:tr2bl w:val="nil"/>
                  </w:tcBorders>
                  <w:noWrap w:val="0"/>
                  <w:vAlign w:val="center"/>
                </w:tcPr>
                <w:p w14:paraId="33258509">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综合</w:t>
                  </w:r>
                  <w:r>
                    <w:rPr>
                      <w:rFonts w:hint="default" w:ascii="Times New Roman" w:hAnsi="Times New Roman" w:eastAsia="宋体" w:cs="Times New Roman"/>
                      <w:color w:val="auto"/>
                      <w:sz w:val="21"/>
                      <w:szCs w:val="21"/>
                      <w:highlight w:val="none"/>
                      <w:lang w:val="en-US" w:eastAsia="zh-CN"/>
                    </w:rPr>
                    <w:t>废水</w:t>
                  </w:r>
                  <w:r>
                    <w:rPr>
                      <w:rFonts w:hint="eastAsia" w:cs="Times New Roman"/>
                      <w:color w:val="auto"/>
                      <w:sz w:val="21"/>
                      <w:szCs w:val="21"/>
                      <w:highlight w:val="none"/>
                      <w:lang w:val="en-US" w:eastAsia="zh-CN"/>
                    </w:rPr>
                    <w:t>3976</w:t>
                  </w:r>
                  <w:r>
                    <w:rPr>
                      <w:rFonts w:hint="default" w:ascii="Times New Roman" w:hAnsi="Times New Roman" w:eastAsia="宋体" w:cs="Times New Roman"/>
                      <w:color w:val="auto"/>
                      <w:sz w:val="21"/>
                      <w:szCs w:val="21"/>
                      <w:highlight w:val="none"/>
                    </w:rPr>
                    <w:t>m³/a</w:t>
                  </w:r>
                </w:p>
              </w:tc>
              <w:tc>
                <w:tcPr>
                  <w:tcW w:w="662" w:type="pct"/>
                  <w:tcBorders>
                    <w:tl2br w:val="nil"/>
                    <w:tr2bl w:val="nil"/>
                  </w:tcBorders>
                  <w:noWrap w:val="0"/>
                  <w:vAlign w:val="center"/>
                </w:tcPr>
                <w:p w14:paraId="48DBEEF8">
                  <w:pPr>
                    <w:keepNext w:val="0"/>
                    <w:keepLines w:val="0"/>
                    <w:suppressLineNumbers w:val="0"/>
                    <w:tabs>
                      <w:tab w:val="left" w:pos="231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排放浓度（mg/L）</w:t>
                  </w:r>
                </w:p>
              </w:tc>
              <w:tc>
                <w:tcPr>
                  <w:tcW w:w="517" w:type="pct"/>
                  <w:tcBorders>
                    <w:tl2br w:val="nil"/>
                    <w:tr2bl w:val="nil"/>
                  </w:tcBorders>
                  <w:noWrap w:val="0"/>
                  <w:vAlign w:val="center"/>
                </w:tcPr>
                <w:p w14:paraId="25122894">
                  <w:pPr>
                    <w:keepNext w:val="0"/>
                    <w:keepLines w:val="0"/>
                    <w:suppressLineNumbers w:val="0"/>
                    <w:spacing w:before="0" w:beforeAutospacing="0" w:after="0" w:afterAutospacing="0" w:line="240" w:lineRule="auto"/>
                    <w:ind w:left="0" w:right="0" w:firstLine="0" w:firstLineChars="0"/>
                    <w:jc w:val="center"/>
                    <w:textAlignment w:val="bottom"/>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97</w:t>
                  </w:r>
                </w:p>
              </w:tc>
              <w:tc>
                <w:tcPr>
                  <w:tcW w:w="499" w:type="pct"/>
                  <w:tcBorders>
                    <w:tl2br w:val="nil"/>
                    <w:tr2bl w:val="nil"/>
                  </w:tcBorders>
                  <w:noWrap w:val="0"/>
                  <w:vAlign w:val="center"/>
                </w:tcPr>
                <w:p w14:paraId="6A999298">
                  <w:pPr>
                    <w:keepNext w:val="0"/>
                    <w:keepLines w:val="0"/>
                    <w:suppressLineNumbers w:val="0"/>
                    <w:spacing w:before="0" w:beforeAutospacing="0" w:after="0" w:afterAutospacing="0" w:line="240" w:lineRule="auto"/>
                    <w:ind w:left="0" w:right="0" w:firstLine="0" w:firstLineChars="0"/>
                    <w:jc w:val="center"/>
                    <w:textAlignment w:val="bottom"/>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29</w:t>
                  </w:r>
                </w:p>
              </w:tc>
              <w:tc>
                <w:tcPr>
                  <w:tcW w:w="471" w:type="pct"/>
                  <w:tcBorders>
                    <w:tl2br w:val="nil"/>
                    <w:tr2bl w:val="nil"/>
                  </w:tcBorders>
                  <w:noWrap w:val="0"/>
                  <w:vAlign w:val="center"/>
                </w:tcPr>
                <w:p w14:paraId="37E4649E">
                  <w:pPr>
                    <w:keepNext w:val="0"/>
                    <w:keepLines w:val="0"/>
                    <w:suppressLineNumbers w:val="0"/>
                    <w:spacing w:before="0" w:beforeAutospacing="0" w:after="0" w:afterAutospacing="0" w:line="240" w:lineRule="auto"/>
                    <w:ind w:left="0" w:right="0" w:firstLine="0" w:firstLineChars="0"/>
                    <w:jc w:val="center"/>
                    <w:textAlignment w:val="bottom"/>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30</w:t>
                  </w:r>
                </w:p>
              </w:tc>
              <w:tc>
                <w:tcPr>
                  <w:tcW w:w="435" w:type="pct"/>
                  <w:tcBorders>
                    <w:tl2br w:val="nil"/>
                    <w:tr2bl w:val="nil"/>
                  </w:tcBorders>
                  <w:noWrap w:val="0"/>
                  <w:vAlign w:val="center"/>
                </w:tcPr>
                <w:p w14:paraId="37B7F734">
                  <w:pPr>
                    <w:keepNext w:val="0"/>
                    <w:keepLines w:val="0"/>
                    <w:suppressLineNumbers w:val="0"/>
                    <w:spacing w:before="0" w:beforeAutospacing="0" w:after="0" w:afterAutospacing="0" w:line="240" w:lineRule="auto"/>
                    <w:ind w:left="0" w:right="0" w:firstLine="0" w:firstLineChars="0"/>
                    <w:jc w:val="center"/>
                    <w:textAlignment w:val="bottom"/>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18</w:t>
                  </w:r>
                </w:p>
              </w:tc>
              <w:tc>
                <w:tcPr>
                  <w:tcW w:w="480" w:type="pct"/>
                  <w:tcBorders>
                    <w:tl2br w:val="nil"/>
                    <w:tr2bl w:val="nil"/>
                  </w:tcBorders>
                  <w:noWrap w:val="0"/>
                  <w:vAlign w:val="center"/>
                </w:tcPr>
                <w:p w14:paraId="22E141FD">
                  <w:pPr>
                    <w:keepNext w:val="0"/>
                    <w:keepLines w:val="0"/>
                    <w:suppressLineNumbers w:val="0"/>
                    <w:spacing w:before="0" w:beforeAutospacing="0" w:after="0" w:afterAutospacing="0" w:line="240" w:lineRule="auto"/>
                    <w:ind w:left="0" w:right="0" w:firstLine="0" w:firstLineChars="0"/>
                    <w:jc w:val="center"/>
                    <w:textAlignment w:val="bottom"/>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w:t>
                  </w:r>
                </w:p>
              </w:tc>
              <w:tc>
                <w:tcPr>
                  <w:tcW w:w="471" w:type="pct"/>
                  <w:tcBorders>
                    <w:tl2br w:val="nil"/>
                    <w:tr2bl w:val="nil"/>
                  </w:tcBorders>
                  <w:noWrap w:val="0"/>
                  <w:vAlign w:val="center"/>
                </w:tcPr>
                <w:p w14:paraId="4E548CC1">
                  <w:pPr>
                    <w:keepNext w:val="0"/>
                    <w:keepLines w:val="0"/>
                    <w:suppressLineNumbers w:val="0"/>
                    <w:spacing w:before="0" w:beforeAutospacing="0" w:after="0" w:afterAutospacing="0" w:line="240" w:lineRule="auto"/>
                    <w:ind w:left="0" w:right="0" w:firstLine="0" w:firstLineChars="0"/>
                    <w:jc w:val="center"/>
                    <w:textAlignment w:val="bottom"/>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p>
              </w:tc>
              <w:tc>
                <w:tcPr>
                  <w:tcW w:w="553" w:type="pct"/>
                  <w:tcBorders>
                    <w:tl2br w:val="nil"/>
                    <w:tr2bl w:val="nil"/>
                  </w:tcBorders>
                  <w:noWrap w:val="0"/>
                  <w:vAlign w:val="center"/>
                </w:tcPr>
                <w:p w14:paraId="110A9867">
                  <w:pPr>
                    <w:keepNext w:val="0"/>
                    <w:keepLines w:val="0"/>
                    <w:suppressLineNumbers w:val="0"/>
                    <w:spacing w:before="0" w:beforeAutospacing="0" w:after="0" w:afterAutospacing="0" w:line="240" w:lineRule="auto"/>
                    <w:ind w:left="0" w:right="0" w:firstLine="0" w:firstLineChars="0"/>
                    <w:jc w:val="center"/>
                    <w:textAlignment w:val="bottom"/>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460" w:type="pct"/>
                  <w:tcBorders>
                    <w:tl2br w:val="nil"/>
                    <w:tr2bl w:val="nil"/>
                  </w:tcBorders>
                  <w:noWrap w:val="0"/>
                  <w:vAlign w:val="center"/>
                </w:tcPr>
                <w:p w14:paraId="1501B029">
                  <w:pPr>
                    <w:keepNext w:val="0"/>
                    <w:keepLines w:val="0"/>
                    <w:suppressLineNumbers w:val="0"/>
                    <w:spacing w:before="0" w:beforeAutospacing="0" w:after="0" w:afterAutospacing="0" w:line="240" w:lineRule="auto"/>
                    <w:ind w:left="0" w:right="0" w:firstLine="0" w:firstLineChars="0"/>
                    <w:jc w:val="center"/>
                    <w:textAlignment w:val="bottom"/>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0.24</w:t>
                  </w:r>
                </w:p>
              </w:tc>
            </w:tr>
            <w:tr w14:paraId="00C775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447" w:type="pct"/>
                  <w:vMerge w:val="continue"/>
                  <w:tcBorders>
                    <w:tl2br w:val="nil"/>
                    <w:tr2bl w:val="nil"/>
                  </w:tcBorders>
                  <w:noWrap w:val="0"/>
                  <w:vAlign w:val="center"/>
                </w:tcPr>
                <w:p w14:paraId="315FB771">
                  <w:pPr>
                    <w:keepNext w:val="0"/>
                    <w:keepLines w:val="0"/>
                    <w:suppressLineNumbers w:val="0"/>
                    <w:tabs>
                      <w:tab w:val="left" w:pos="2310"/>
                    </w:tabs>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p>
              </w:tc>
              <w:tc>
                <w:tcPr>
                  <w:tcW w:w="662" w:type="pct"/>
                  <w:tcBorders>
                    <w:tl2br w:val="nil"/>
                    <w:tr2bl w:val="nil"/>
                  </w:tcBorders>
                  <w:noWrap w:val="0"/>
                  <w:vAlign w:val="center"/>
                </w:tcPr>
                <w:p w14:paraId="44219471">
                  <w:pPr>
                    <w:keepNext w:val="0"/>
                    <w:keepLines w:val="0"/>
                    <w:suppressLineNumbers w:val="0"/>
                    <w:tabs>
                      <w:tab w:val="left" w:pos="231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排放量（t/a）</w:t>
                  </w:r>
                </w:p>
              </w:tc>
              <w:tc>
                <w:tcPr>
                  <w:tcW w:w="517" w:type="pct"/>
                  <w:tcBorders>
                    <w:tl2br w:val="nil"/>
                    <w:tr2bl w:val="nil"/>
                  </w:tcBorders>
                  <w:noWrap w:val="0"/>
                  <w:vAlign w:val="center"/>
                </w:tcPr>
                <w:p w14:paraId="437EE723">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0.386</w:t>
                  </w:r>
                </w:p>
              </w:tc>
              <w:tc>
                <w:tcPr>
                  <w:tcW w:w="499" w:type="pct"/>
                  <w:tcBorders>
                    <w:tl2br w:val="nil"/>
                    <w:tr2bl w:val="nil"/>
                  </w:tcBorders>
                  <w:noWrap w:val="0"/>
                  <w:vAlign w:val="center"/>
                </w:tcPr>
                <w:p w14:paraId="77F6B037">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0.115</w:t>
                  </w:r>
                </w:p>
              </w:tc>
              <w:tc>
                <w:tcPr>
                  <w:tcW w:w="471" w:type="pct"/>
                  <w:tcBorders>
                    <w:tl2br w:val="nil"/>
                    <w:tr2bl w:val="nil"/>
                  </w:tcBorders>
                  <w:noWrap w:val="0"/>
                  <w:vAlign w:val="center"/>
                </w:tcPr>
                <w:p w14:paraId="3F120729">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0.12</w:t>
                  </w:r>
                </w:p>
              </w:tc>
              <w:tc>
                <w:tcPr>
                  <w:tcW w:w="435" w:type="pct"/>
                  <w:tcBorders>
                    <w:tl2br w:val="nil"/>
                    <w:tr2bl w:val="nil"/>
                  </w:tcBorders>
                  <w:noWrap w:val="0"/>
                  <w:vAlign w:val="center"/>
                </w:tcPr>
                <w:p w14:paraId="55B3D9B6">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0.072</w:t>
                  </w:r>
                </w:p>
              </w:tc>
              <w:tc>
                <w:tcPr>
                  <w:tcW w:w="480" w:type="pct"/>
                  <w:tcBorders>
                    <w:tl2br w:val="nil"/>
                    <w:tr2bl w:val="nil"/>
                  </w:tcBorders>
                  <w:noWrap w:val="0"/>
                  <w:vAlign w:val="center"/>
                </w:tcPr>
                <w:p w14:paraId="118552D1">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0.008</w:t>
                  </w:r>
                </w:p>
              </w:tc>
              <w:tc>
                <w:tcPr>
                  <w:tcW w:w="471" w:type="pct"/>
                  <w:tcBorders>
                    <w:tl2br w:val="nil"/>
                    <w:tr2bl w:val="nil"/>
                  </w:tcBorders>
                  <w:noWrap w:val="0"/>
                  <w:vAlign w:val="center"/>
                </w:tcPr>
                <w:p w14:paraId="3013CB81">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0.012</w:t>
                  </w:r>
                </w:p>
              </w:tc>
              <w:tc>
                <w:tcPr>
                  <w:tcW w:w="553" w:type="pct"/>
                  <w:tcBorders>
                    <w:tl2br w:val="nil"/>
                    <w:tr2bl w:val="nil"/>
                  </w:tcBorders>
                  <w:noWrap w:val="0"/>
                  <w:vAlign w:val="center"/>
                </w:tcPr>
                <w:p w14:paraId="0450DD37">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0.04</w:t>
                  </w:r>
                </w:p>
              </w:tc>
              <w:tc>
                <w:tcPr>
                  <w:tcW w:w="460" w:type="pct"/>
                  <w:tcBorders>
                    <w:tl2br w:val="nil"/>
                    <w:tr2bl w:val="nil"/>
                  </w:tcBorders>
                  <w:noWrap w:val="0"/>
                  <w:vAlign w:val="center"/>
                </w:tcPr>
                <w:p w14:paraId="49E43489">
                  <w:pPr>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0.001</w:t>
                  </w:r>
                </w:p>
              </w:tc>
            </w:tr>
            <w:tr w14:paraId="0726EC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109" w:type="pct"/>
                  <w:gridSpan w:val="2"/>
                  <w:tcBorders>
                    <w:tl2br w:val="nil"/>
                    <w:tr2bl w:val="nil"/>
                  </w:tcBorders>
                  <w:noWrap w:val="0"/>
                  <w:vAlign w:val="center"/>
                </w:tcPr>
                <w:p w14:paraId="1410C076">
                  <w:pPr>
                    <w:keepNext w:val="0"/>
                    <w:keepLines w:val="0"/>
                    <w:suppressLineNumbers w:val="0"/>
                    <w:tabs>
                      <w:tab w:val="left" w:pos="231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（GB8978-1996）三级标准</w:t>
                  </w:r>
                </w:p>
              </w:tc>
              <w:tc>
                <w:tcPr>
                  <w:tcW w:w="517" w:type="pct"/>
                  <w:tcBorders>
                    <w:tl2br w:val="nil"/>
                    <w:tr2bl w:val="nil"/>
                  </w:tcBorders>
                  <w:noWrap w:val="0"/>
                  <w:vAlign w:val="center"/>
                </w:tcPr>
                <w:p w14:paraId="6F69349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500</w:t>
                  </w:r>
                </w:p>
              </w:tc>
              <w:tc>
                <w:tcPr>
                  <w:tcW w:w="499" w:type="pct"/>
                  <w:tcBorders>
                    <w:tl2br w:val="nil"/>
                    <w:tr2bl w:val="nil"/>
                  </w:tcBorders>
                  <w:noWrap w:val="0"/>
                  <w:vAlign w:val="center"/>
                </w:tcPr>
                <w:p w14:paraId="706CD4ED">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300</w:t>
                  </w:r>
                </w:p>
              </w:tc>
              <w:tc>
                <w:tcPr>
                  <w:tcW w:w="471" w:type="pct"/>
                  <w:tcBorders>
                    <w:tl2br w:val="nil"/>
                    <w:tr2bl w:val="nil"/>
                  </w:tcBorders>
                  <w:noWrap w:val="0"/>
                  <w:vAlign w:val="center"/>
                </w:tcPr>
                <w:p w14:paraId="3380813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400</w:t>
                  </w:r>
                </w:p>
              </w:tc>
              <w:tc>
                <w:tcPr>
                  <w:tcW w:w="435" w:type="pct"/>
                  <w:tcBorders>
                    <w:tl2br w:val="nil"/>
                    <w:tr2bl w:val="nil"/>
                  </w:tcBorders>
                  <w:noWrap w:val="0"/>
                  <w:vAlign w:val="center"/>
                </w:tcPr>
                <w:p w14:paraId="156BD19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480" w:type="pct"/>
                  <w:tcBorders>
                    <w:tl2br w:val="nil"/>
                    <w:tr2bl w:val="nil"/>
                  </w:tcBorders>
                  <w:noWrap w:val="0"/>
                  <w:vAlign w:val="center"/>
                </w:tcPr>
                <w:p w14:paraId="03F5318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471" w:type="pct"/>
                  <w:tcBorders>
                    <w:tl2br w:val="nil"/>
                    <w:tr2bl w:val="nil"/>
                  </w:tcBorders>
                  <w:noWrap w:val="0"/>
                  <w:vAlign w:val="center"/>
                </w:tcPr>
                <w:p w14:paraId="27CFF9F8">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553" w:type="pct"/>
                  <w:tcBorders>
                    <w:tl2br w:val="nil"/>
                    <w:tr2bl w:val="nil"/>
                  </w:tcBorders>
                  <w:noWrap w:val="0"/>
                  <w:vAlign w:val="center"/>
                </w:tcPr>
                <w:p w14:paraId="3B59AF1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100</w:t>
                  </w:r>
                </w:p>
              </w:tc>
              <w:tc>
                <w:tcPr>
                  <w:tcW w:w="460" w:type="pct"/>
                  <w:tcBorders>
                    <w:tl2br w:val="nil"/>
                    <w:tr2bl w:val="nil"/>
                  </w:tcBorders>
                  <w:noWrap w:val="0"/>
                  <w:vAlign w:val="center"/>
                </w:tcPr>
                <w:p w14:paraId="7AC3212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20</w:t>
                  </w:r>
                </w:p>
              </w:tc>
            </w:tr>
            <w:tr w14:paraId="0481C8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109" w:type="pct"/>
                  <w:gridSpan w:val="2"/>
                  <w:tcBorders>
                    <w:tl2br w:val="nil"/>
                    <w:tr2bl w:val="nil"/>
                  </w:tcBorders>
                  <w:noWrap w:val="0"/>
                  <w:vAlign w:val="center"/>
                </w:tcPr>
                <w:p w14:paraId="23D6EDB7">
                  <w:pPr>
                    <w:keepNext w:val="0"/>
                    <w:keepLines w:val="0"/>
                    <w:suppressLineNumbers w:val="0"/>
                    <w:tabs>
                      <w:tab w:val="left" w:pos="2310"/>
                    </w:tabs>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（GB/T31692-2015）B级标准</w:t>
                  </w:r>
                </w:p>
              </w:tc>
              <w:tc>
                <w:tcPr>
                  <w:tcW w:w="517" w:type="pct"/>
                  <w:tcBorders>
                    <w:tl2br w:val="nil"/>
                    <w:tr2bl w:val="nil"/>
                  </w:tcBorders>
                  <w:noWrap w:val="0"/>
                  <w:vAlign w:val="center"/>
                </w:tcPr>
                <w:p w14:paraId="50885063">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500</w:t>
                  </w:r>
                </w:p>
              </w:tc>
              <w:tc>
                <w:tcPr>
                  <w:tcW w:w="499" w:type="pct"/>
                  <w:tcBorders>
                    <w:tl2br w:val="nil"/>
                    <w:tr2bl w:val="nil"/>
                  </w:tcBorders>
                  <w:noWrap w:val="0"/>
                  <w:vAlign w:val="center"/>
                </w:tcPr>
                <w:p w14:paraId="29A02D18">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350</w:t>
                  </w:r>
                </w:p>
              </w:tc>
              <w:tc>
                <w:tcPr>
                  <w:tcW w:w="471" w:type="pct"/>
                  <w:tcBorders>
                    <w:tl2br w:val="nil"/>
                    <w:tr2bl w:val="nil"/>
                  </w:tcBorders>
                  <w:noWrap w:val="0"/>
                  <w:vAlign w:val="center"/>
                </w:tcPr>
                <w:p w14:paraId="2FE6A69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435" w:type="pct"/>
                  <w:tcBorders>
                    <w:tl2br w:val="nil"/>
                    <w:tr2bl w:val="nil"/>
                  </w:tcBorders>
                  <w:noWrap w:val="0"/>
                  <w:vAlign w:val="center"/>
                </w:tcPr>
                <w:p w14:paraId="27CA51C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45</w:t>
                  </w:r>
                </w:p>
              </w:tc>
              <w:tc>
                <w:tcPr>
                  <w:tcW w:w="480" w:type="pct"/>
                  <w:tcBorders>
                    <w:tl2br w:val="nil"/>
                    <w:tr2bl w:val="nil"/>
                  </w:tcBorders>
                  <w:noWrap w:val="0"/>
                  <w:vAlign w:val="center"/>
                </w:tcPr>
                <w:p w14:paraId="31C5FC9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8</w:t>
                  </w:r>
                </w:p>
              </w:tc>
              <w:tc>
                <w:tcPr>
                  <w:tcW w:w="471" w:type="pct"/>
                  <w:tcBorders>
                    <w:tl2br w:val="nil"/>
                    <w:tr2bl w:val="nil"/>
                  </w:tcBorders>
                  <w:noWrap w:val="0"/>
                  <w:vAlign w:val="center"/>
                </w:tcPr>
                <w:p w14:paraId="5123CE1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70</w:t>
                  </w:r>
                </w:p>
              </w:tc>
              <w:tc>
                <w:tcPr>
                  <w:tcW w:w="553" w:type="pct"/>
                  <w:tcBorders>
                    <w:tl2br w:val="nil"/>
                    <w:tr2bl w:val="nil"/>
                  </w:tcBorders>
                  <w:noWrap w:val="0"/>
                  <w:vAlign w:val="center"/>
                </w:tcPr>
                <w:p w14:paraId="4D362F6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100</w:t>
                  </w:r>
                </w:p>
              </w:tc>
              <w:tc>
                <w:tcPr>
                  <w:tcW w:w="460" w:type="pct"/>
                  <w:tcBorders>
                    <w:tl2br w:val="nil"/>
                    <w:tr2bl w:val="nil"/>
                  </w:tcBorders>
                  <w:noWrap w:val="0"/>
                  <w:vAlign w:val="center"/>
                </w:tcPr>
                <w:p w14:paraId="4EAA5D1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20</w:t>
                  </w:r>
                </w:p>
              </w:tc>
            </w:tr>
          </w:tbl>
          <w:p w14:paraId="7FF06CA8">
            <w:pPr>
              <w:keepNext w:val="0"/>
              <w:keepLines w:val="0"/>
              <w:suppressLineNumbers w:val="0"/>
              <w:spacing w:before="0" w:beforeAutospacing="0" w:after="0" w:afterAutospacing="0"/>
              <w:ind w:left="0" w:right="0" w:firstLine="480"/>
              <w:rPr>
                <w:rFonts w:hint="eastAsia"/>
                <w:color w:val="auto"/>
                <w:highlight w:val="none"/>
              </w:rPr>
            </w:pPr>
            <w:r>
              <w:rPr>
                <w:rFonts w:hint="default" w:ascii="Times New Roman" w:hAnsi="Times New Roman" w:eastAsia="宋体" w:cs="Times New Roman"/>
                <w:color w:val="auto"/>
                <w:sz w:val="24"/>
                <w:szCs w:val="24"/>
                <w:lang w:eastAsia="zh-CN"/>
              </w:rPr>
              <w:t>由上表数据可知，本项目经</w:t>
            </w:r>
            <w:r>
              <w:rPr>
                <w:rFonts w:hint="eastAsia" w:ascii="Times New Roman" w:hAnsi="Times New Roman" w:eastAsia="宋体" w:cs="Times New Roman"/>
                <w:color w:val="auto"/>
                <w:sz w:val="24"/>
                <w:szCs w:val="24"/>
                <w:lang w:val="en-US" w:eastAsia="zh-CN"/>
              </w:rPr>
              <w:t>污水</w:t>
            </w:r>
            <w:r>
              <w:rPr>
                <w:rFonts w:hint="default" w:ascii="Times New Roman" w:hAnsi="Times New Roman" w:eastAsia="宋体" w:cs="Times New Roman"/>
                <w:color w:val="auto"/>
                <w:sz w:val="24"/>
                <w:szCs w:val="24"/>
                <w:lang w:eastAsia="zh-CN"/>
              </w:rPr>
              <w:t>处理</w:t>
            </w:r>
            <w:r>
              <w:rPr>
                <w:rFonts w:hint="eastAsia" w:ascii="Times New Roman" w:hAnsi="Times New Roman" w:eastAsia="宋体" w:cs="Times New Roman"/>
                <w:color w:val="auto"/>
                <w:sz w:val="24"/>
                <w:szCs w:val="24"/>
                <w:lang w:val="en-US" w:eastAsia="zh-CN"/>
              </w:rPr>
              <w:t>站处理</w:t>
            </w:r>
            <w:r>
              <w:rPr>
                <w:rFonts w:hint="default" w:ascii="Times New Roman" w:hAnsi="Times New Roman" w:eastAsia="宋体" w:cs="Times New Roman"/>
                <w:color w:val="auto"/>
                <w:sz w:val="24"/>
                <w:szCs w:val="24"/>
                <w:lang w:eastAsia="zh-CN"/>
              </w:rPr>
              <w:t>后的废水</w:t>
            </w:r>
            <w:r>
              <w:rPr>
                <w:rFonts w:hint="eastAsia" w:ascii="Times New Roman" w:hAnsi="Times New Roman" w:eastAsia="宋体" w:cs="Times New Roman"/>
                <w:color w:val="auto"/>
                <w:sz w:val="24"/>
                <w:szCs w:val="24"/>
                <w:lang w:val="en-US" w:eastAsia="zh-CN"/>
              </w:rPr>
              <w:t>中各</w:t>
            </w:r>
            <w:r>
              <w:rPr>
                <w:rFonts w:hint="default" w:ascii="Times New Roman" w:hAnsi="Times New Roman" w:eastAsia="宋体" w:cs="Times New Roman"/>
                <w:color w:val="auto"/>
                <w:sz w:val="24"/>
                <w:szCs w:val="24"/>
                <w:lang w:eastAsia="zh-CN"/>
              </w:rPr>
              <w:t>污染</w:t>
            </w:r>
            <w:r>
              <w:rPr>
                <w:rFonts w:hint="eastAsia" w:ascii="Times New Roman" w:hAnsi="Times New Roman" w:eastAsia="宋体" w:cs="Times New Roman"/>
                <w:color w:val="auto"/>
                <w:sz w:val="24"/>
                <w:szCs w:val="24"/>
                <w:lang w:val="en-US" w:eastAsia="zh-CN"/>
              </w:rPr>
              <w:t>因子</w:t>
            </w:r>
            <w:r>
              <w:rPr>
                <w:rFonts w:hint="default" w:ascii="Times New Roman" w:hAnsi="Times New Roman" w:eastAsia="宋体" w:cs="Times New Roman"/>
                <w:color w:val="auto"/>
                <w:sz w:val="24"/>
                <w:szCs w:val="24"/>
                <w:lang w:eastAsia="zh-CN"/>
              </w:rPr>
              <w:t>浓度满足《污水综合排放标准》（GB8978-1996）三级标准及《污水排入城镇下水道水质标准》（GB/T31962-2015）中B级标准要求。</w:t>
            </w:r>
          </w:p>
          <w:p w14:paraId="11E5CB59">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2、废水类别污染物及污染治理设施信息</w:t>
            </w:r>
          </w:p>
          <w:p w14:paraId="1A163905">
            <w:pPr>
              <w:keepNext w:val="0"/>
              <w:keepLines w:val="0"/>
              <w:suppressLineNumbers w:val="0"/>
              <w:spacing w:before="0" w:beforeAutospacing="0" w:after="0" w:afterAutospacing="0"/>
              <w:ind w:left="0" w:right="0" w:firstLine="480"/>
              <w:rPr>
                <w:rFonts w:hint="eastAsia"/>
                <w:color w:val="auto"/>
                <w:highlight w:val="none"/>
              </w:rPr>
            </w:pPr>
            <w:r>
              <w:rPr>
                <w:rFonts w:hint="eastAsia"/>
                <w:color w:val="auto"/>
                <w:highlight w:val="none"/>
              </w:rPr>
              <w:t>废水类别、污染物及污染治理设施信息表、废水间接排放口基本情况表以及监测计划见下表。</w:t>
            </w:r>
          </w:p>
          <w:p w14:paraId="471499EE">
            <w:pPr>
              <w:pStyle w:val="77"/>
              <w:keepNext w:val="0"/>
              <w:keepLines w:val="0"/>
              <w:widowControl/>
              <w:suppressLineNumbers w:val="0"/>
              <w:spacing w:before="0" w:beforeLines="0" w:beforeAutospacing="0" w:after="0" w:afterAutospacing="0" w:line="240" w:lineRule="auto"/>
              <w:ind w:left="0" w:right="0"/>
              <w:rPr>
                <w:rFonts w:hint="default" w:eastAsia="宋体"/>
                <w:b/>
                <w:bCs/>
                <w:color w:val="auto"/>
                <w:highlight w:val="none"/>
              </w:rPr>
            </w:pPr>
            <w:r>
              <w:rPr>
                <w:rFonts w:hint="default" w:eastAsia="宋体"/>
                <w:b/>
                <w:bCs/>
                <w:color w:val="auto"/>
                <w:highlight w:val="none"/>
              </w:rPr>
              <w:t>表</w:t>
            </w:r>
            <w:r>
              <w:rPr>
                <w:rFonts w:hint="eastAsia" w:eastAsia="宋体"/>
                <w:b/>
                <w:bCs/>
                <w:color w:val="auto"/>
                <w:highlight w:val="none"/>
              </w:rPr>
              <w:t>4-6</w:t>
            </w:r>
            <w:r>
              <w:rPr>
                <w:rFonts w:hint="default" w:eastAsia="宋体"/>
                <w:b/>
                <w:bCs/>
                <w:color w:val="auto"/>
                <w:highlight w:val="none"/>
              </w:rPr>
              <w:t xml:space="preserve"> </w:t>
            </w:r>
            <w:r>
              <w:rPr>
                <w:rFonts w:hint="eastAsia" w:eastAsia="宋体"/>
                <w:b/>
                <w:bCs/>
                <w:color w:val="auto"/>
                <w:highlight w:val="none"/>
                <w:lang w:val="en-US" w:eastAsia="zh-CN"/>
              </w:rPr>
              <w:t xml:space="preserve">  </w:t>
            </w:r>
            <w:r>
              <w:rPr>
                <w:rFonts w:hint="default" w:eastAsia="宋体"/>
                <w:b/>
                <w:bCs/>
                <w:color w:val="auto"/>
                <w:highlight w:val="none"/>
              </w:rPr>
              <w:t xml:space="preserve"> 废水类别、污染物及污染治理设施信息表</w:t>
            </w:r>
          </w:p>
          <w:tbl>
            <w:tblPr>
              <w:tblStyle w:val="37"/>
              <w:tblW w:w="496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28" w:type="dxa"/>
                <w:left w:w="108" w:type="dxa"/>
                <w:bottom w:w="28" w:type="dxa"/>
                <w:right w:w="108" w:type="dxa"/>
              </w:tblCellMar>
            </w:tblPr>
            <w:tblGrid>
              <w:gridCol w:w="412"/>
              <w:gridCol w:w="476"/>
              <w:gridCol w:w="984"/>
              <w:gridCol w:w="632"/>
              <w:gridCol w:w="434"/>
              <w:gridCol w:w="881"/>
              <w:gridCol w:w="688"/>
              <w:gridCol w:w="728"/>
              <w:gridCol w:w="902"/>
              <w:gridCol w:w="741"/>
              <w:gridCol w:w="1337"/>
            </w:tblGrid>
            <w:tr w14:paraId="0A1189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454" w:hRule="atLeast"/>
                <w:jc w:val="center"/>
              </w:trPr>
              <w:tc>
                <w:tcPr>
                  <w:tcW w:w="250" w:type="pct"/>
                  <w:vMerge w:val="restart"/>
                  <w:vAlign w:val="center"/>
                </w:tcPr>
                <w:p w14:paraId="18A25820">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序号</w:t>
                  </w:r>
                </w:p>
              </w:tc>
              <w:tc>
                <w:tcPr>
                  <w:tcW w:w="289" w:type="pct"/>
                  <w:vMerge w:val="restart"/>
                  <w:vAlign w:val="center"/>
                </w:tcPr>
                <w:p w14:paraId="28321752">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废水类别</w:t>
                  </w:r>
                </w:p>
              </w:tc>
              <w:tc>
                <w:tcPr>
                  <w:tcW w:w="598" w:type="pct"/>
                  <w:vMerge w:val="restart"/>
                  <w:vAlign w:val="center"/>
                </w:tcPr>
                <w:p w14:paraId="1D607EC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污染物种类</w:t>
                  </w:r>
                </w:p>
              </w:tc>
              <w:tc>
                <w:tcPr>
                  <w:tcW w:w="384" w:type="pct"/>
                  <w:vMerge w:val="restart"/>
                  <w:vAlign w:val="center"/>
                </w:tcPr>
                <w:p w14:paraId="2F29AD1E">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排放去向</w:t>
                  </w:r>
                </w:p>
              </w:tc>
              <w:tc>
                <w:tcPr>
                  <w:tcW w:w="264" w:type="pct"/>
                  <w:vMerge w:val="restart"/>
                  <w:vAlign w:val="center"/>
                </w:tcPr>
                <w:p w14:paraId="40763B9C">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排放规律</w:t>
                  </w:r>
                </w:p>
              </w:tc>
              <w:tc>
                <w:tcPr>
                  <w:tcW w:w="1398" w:type="pct"/>
                  <w:gridSpan w:val="3"/>
                  <w:vAlign w:val="center"/>
                </w:tcPr>
                <w:p w14:paraId="258D1772">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污染治理设施</w:t>
                  </w:r>
                </w:p>
              </w:tc>
              <w:tc>
                <w:tcPr>
                  <w:tcW w:w="549" w:type="pct"/>
                  <w:vMerge w:val="restart"/>
                  <w:vAlign w:val="center"/>
                </w:tcPr>
                <w:p w14:paraId="394C1DF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排放口编号</w:t>
                  </w:r>
                </w:p>
              </w:tc>
              <w:tc>
                <w:tcPr>
                  <w:tcW w:w="451" w:type="pct"/>
                  <w:vMerge w:val="restart"/>
                  <w:vAlign w:val="center"/>
                </w:tcPr>
                <w:p w14:paraId="3D49BACF">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排放口设置是否符合</w:t>
                  </w:r>
                </w:p>
              </w:tc>
              <w:tc>
                <w:tcPr>
                  <w:tcW w:w="813" w:type="pct"/>
                  <w:vMerge w:val="restart"/>
                  <w:vAlign w:val="center"/>
                </w:tcPr>
                <w:p w14:paraId="4FB04F10">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排放口类型</w:t>
                  </w:r>
                </w:p>
              </w:tc>
            </w:tr>
            <w:tr w14:paraId="7365B4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250" w:type="pct"/>
                  <w:vMerge w:val="continue"/>
                  <w:vAlign w:val="center"/>
                </w:tcPr>
                <w:p w14:paraId="4B7FAAE3">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289" w:type="pct"/>
                  <w:vMerge w:val="continue"/>
                  <w:vAlign w:val="center"/>
                </w:tcPr>
                <w:p w14:paraId="4A54CB72">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598" w:type="pct"/>
                  <w:vMerge w:val="continue"/>
                  <w:vAlign w:val="center"/>
                </w:tcPr>
                <w:p w14:paraId="3E2291A1">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384" w:type="pct"/>
                  <w:vMerge w:val="continue"/>
                  <w:vAlign w:val="center"/>
                </w:tcPr>
                <w:p w14:paraId="46B0A444">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264" w:type="pct"/>
                  <w:vMerge w:val="continue"/>
                  <w:vAlign w:val="center"/>
                </w:tcPr>
                <w:p w14:paraId="461E982C">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536" w:type="pct"/>
                  <w:vAlign w:val="center"/>
                </w:tcPr>
                <w:p w14:paraId="3D59A78D">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污染物治理设施编号</w:t>
                  </w:r>
                </w:p>
              </w:tc>
              <w:tc>
                <w:tcPr>
                  <w:tcW w:w="419" w:type="pct"/>
                  <w:vAlign w:val="center"/>
                </w:tcPr>
                <w:p w14:paraId="365168FF">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污染治理设施名称</w:t>
                  </w:r>
                </w:p>
              </w:tc>
              <w:tc>
                <w:tcPr>
                  <w:tcW w:w="441" w:type="pct"/>
                  <w:vAlign w:val="center"/>
                </w:tcPr>
                <w:p w14:paraId="2A23B94D">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污染治理设施工艺</w:t>
                  </w:r>
                </w:p>
              </w:tc>
              <w:tc>
                <w:tcPr>
                  <w:tcW w:w="549" w:type="pct"/>
                  <w:vMerge w:val="continue"/>
                  <w:vAlign w:val="center"/>
                </w:tcPr>
                <w:p w14:paraId="3DA6F388">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451" w:type="pct"/>
                  <w:vMerge w:val="continue"/>
                  <w:vAlign w:val="center"/>
                </w:tcPr>
                <w:p w14:paraId="61D6B0E4">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813" w:type="pct"/>
                  <w:vMerge w:val="continue"/>
                  <w:vAlign w:val="center"/>
                </w:tcPr>
                <w:p w14:paraId="40382F8D">
                  <w:pPr>
                    <w:pStyle w:val="80"/>
                    <w:keepNext w:val="0"/>
                    <w:keepLines w:val="0"/>
                    <w:widowControl/>
                    <w:suppressLineNumbers w:val="0"/>
                    <w:spacing w:before="0" w:beforeAutospacing="0" w:after="0" w:afterAutospacing="0"/>
                    <w:ind w:left="0" w:right="0"/>
                    <w:rPr>
                      <w:rFonts w:hint="default"/>
                      <w:color w:val="auto"/>
                      <w:szCs w:val="20"/>
                      <w:highlight w:val="none"/>
                    </w:rPr>
                  </w:pPr>
                </w:p>
              </w:tc>
            </w:tr>
            <w:tr w14:paraId="409A56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53" w:hRule="atLeast"/>
                <w:jc w:val="center"/>
              </w:trPr>
              <w:tc>
                <w:tcPr>
                  <w:tcW w:w="250" w:type="pct"/>
                  <w:vAlign w:val="center"/>
                </w:tcPr>
                <w:p w14:paraId="70CD5A31">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default"/>
                      <w:color w:val="auto"/>
                      <w:szCs w:val="21"/>
                      <w:highlight w:val="none"/>
                    </w:rPr>
                    <w:t>1</w:t>
                  </w:r>
                </w:p>
              </w:tc>
              <w:tc>
                <w:tcPr>
                  <w:tcW w:w="289" w:type="pct"/>
                  <w:vAlign w:val="center"/>
                </w:tcPr>
                <w:p w14:paraId="56B28509">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eastAsia"/>
                      <w:color w:val="auto"/>
                      <w:szCs w:val="21"/>
                      <w:highlight w:val="none"/>
                      <w:lang w:val="en-US" w:eastAsia="zh-CN"/>
                    </w:rPr>
                    <w:t>综合废</w:t>
                  </w:r>
                  <w:r>
                    <w:rPr>
                      <w:rFonts w:hint="eastAsia"/>
                      <w:color w:val="auto"/>
                      <w:szCs w:val="21"/>
                      <w:highlight w:val="none"/>
                    </w:rPr>
                    <w:t>水</w:t>
                  </w:r>
                </w:p>
              </w:tc>
              <w:tc>
                <w:tcPr>
                  <w:tcW w:w="598" w:type="pct"/>
                  <w:vAlign w:val="center"/>
                </w:tcPr>
                <w:p w14:paraId="1658627D">
                  <w:pPr>
                    <w:pStyle w:val="80"/>
                    <w:keepNext w:val="0"/>
                    <w:keepLines w:val="0"/>
                    <w:widowControl/>
                    <w:suppressLineNumbers w:val="0"/>
                    <w:spacing w:before="0" w:beforeAutospacing="0" w:after="0" w:afterAutospacing="0"/>
                    <w:ind w:left="0" w:right="0"/>
                    <w:rPr>
                      <w:rFonts w:hint="default" w:eastAsia="宋体"/>
                      <w:color w:val="auto"/>
                      <w:szCs w:val="21"/>
                      <w:highlight w:val="none"/>
                      <w:lang w:val="en-US" w:eastAsia="zh-CN"/>
                    </w:rPr>
                  </w:pPr>
                  <w:r>
                    <w:rPr>
                      <w:rFonts w:hint="default"/>
                      <w:color w:val="auto"/>
                      <w:szCs w:val="21"/>
                      <w:highlight w:val="none"/>
                    </w:rPr>
                    <w:t>COD、SS、BOD</w:t>
                  </w:r>
                  <w:r>
                    <w:rPr>
                      <w:rFonts w:hint="default"/>
                      <w:color w:val="auto"/>
                      <w:szCs w:val="21"/>
                      <w:highlight w:val="none"/>
                      <w:vertAlign w:val="subscript"/>
                    </w:rPr>
                    <w:t>5</w:t>
                  </w:r>
                  <w:r>
                    <w:rPr>
                      <w:rFonts w:hint="default"/>
                      <w:color w:val="auto"/>
                      <w:szCs w:val="21"/>
                      <w:highlight w:val="none"/>
                    </w:rPr>
                    <w:t>、NH</w:t>
                  </w:r>
                  <w:r>
                    <w:rPr>
                      <w:rFonts w:hint="default"/>
                      <w:color w:val="auto"/>
                      <w:szCs w:val="21"/>
                      <w:highlight w:val="none"/>
                      <w:vertAlign w:val="subscript"/>
                    </w:rPr>
                    <w:t>3</w:t>
                  </w:r>
                  <w:r>
                    <w:rPr>
                      <w:rFonts w:hint="default"/>
                      <w:color w:val="auto"/>
                      <w:szCs w:val="21"/>
                      <w:highlight w:val="none"/>
                    </w:rPr>
                    <w:t>-N</w:t>
                  </w:r>
                  <w:r>
                    <w:rPr>
                      <w:rFonts w:hint="eastAsia"/>
                      <w:color w:val="auto"/>
                      <w:szCs w:val="21"/>
                      <w:highlight w:val="none"/>
                    </w:rPr>
                    <w:t>、</w:t>
                  </w:r>
                  <w:r>
                    <w:rPr>
                      <w:rFonts w:hint="eastAsia"/>
                      <w:color w:val="auto"/>
                      <w:szCs w:val="21"/>
                      <w:highlight w:val="none"/>
                      <w:lang w:val="en-US" w:eastAsia="zh-CN"/>
                    </w:rPr>
                    <w:t>动植物油、LAS</w:t>
                  </w:r>
                </w:p>
              </w:tc>
              <w:tc>
                <w:tcPr>
                  <w:tcW w:w="384" w:type="pct"/>
                  <w:vAlign w:val="center"/>
                </w:tcPr>
                <w:p w14:paraId="10325CC2">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eastAsia"/>
                      <w:color w:val="auto"/>
                      <w:szCs w:val="21"/>
                      <w:highlight w:val="none"/>
                    </w:rPr>
                    <w:t>泾河新城第二污水处理厂</w:t>
                  </w:r>
                </w:p>
              </w:tc>
              <w:tc>
                <w:tcPr>
                  <w:tcW w:w="264" w:type="pct"/>
                  <w:vAlign w:val="center"/>
                </w:tcPr>
                <w:p w14:paraId="0914D9D1">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default"/>
                      <w:color w:val="auto"/>
                      <w:szCs w:val="21"/>
                      <w:highlight w:val="none"/>
                    </w:rPr>
                    <w:t>间断</w:t>
                  </w:r>
                </w:p>
              </w:tc>
              <w:tc>
                <w:tcPr>
                  <w:tcW w:w="536" w:type="pct"/>
                  <w:vAlign w:val="center"/>
                </w:tcPr>
                <w:p w14:paraId="3C9633DF">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default"/>
                      <w:color w:val="auto"/>
                      <w:szCs w:val="21"/>
                      <w:highlight w:val="none"/>
                    </w:rPr>
                    <w:t>TW001</w:t>
                  </w:r>
                </w:p>
              </w:tc>
              <w:tc>
                <w:tcPr>
                  <w:tcW w:w="419" w:type="pct"/>
                  <w:vAlign w:val="center"/>
                </w:tcPr>
                <w:p w14:paraId="1BA5F535">
                  <w:pPr>
                    <w:pStyle w:val="80"/>
                    <w:keepNext w:val="0"/>
                    <w:keepLines w:val="0"/>
                    <w:widowControl/>
                    <w:suppressLineNumbers w:val="0"/>
                    <w:spacing w:before="0" w:beforeAutospacing="0" w:after="0" w:afterAutospacing="0"/>
                    <w:ind w:left="0" w:right="0"/>
                    <w:rPr>
                      <w:rFonts w:hint="default" w:eastAsia="宋体"/>
                      <w:color w:val="auto"/>
                      <w:szCs w:val="21"/>
                      <w:highlight w:val="none"/>
                      <w:lang w:val="en-US" w:eastAsia="zh-CN"/>
                    </w:rPr>
                  </w:pPr>
                  <w:r>
                    <w:rPr>
                      <w:rFonts w:hint="eastAsia"/>
                      <w:color w:val="auto"/>
                      <w:szCs w:val="21"/>
                      <w:highlight w:val="none"/>
                    </w:rPr>
                    <w:t>化粪池</w:t>
                  </w:r>
                  <w:r>
                    <w:rPr>
                      <w:rFonts w:hint="eastAsia"/>
                      <w:color w:val="auto"/>
                      <w:szCs w:val="21"/>
                      <w:highlight w:val="none"/>
                      <w:lang w:val="en-US" w:eastAsia="zh-CN"/>
                    </w:rPr>
                    <w:t>+地埋式污水处理设施</w:t>
                  </w:r>
                </w:p>
              </w:tc>
              <w:tc>
                <w:tcPr>
                  <w:tcW w:w="441" w:type="pct"/>
                  <w:vAlign w:val="center"/>
                </w:tcPr>
                <w:p w14:paraId="3AC8FCDE">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eastAsia"/>
                      <w:color w:val="auto"/>
                      <w:szCs w:val="21"/>
                      <w:highlight w:val="none"/>
                    </w:rPr>
                    <w:t>化粪池</w:t>
                  </w:r>
                  <w:r>
                    <w:rPr>
                      <w:rFonts w:hint="eastAsia"/>
                      <w:color w:val="auto"/>
                      <w:szCs w:val="21"/>
                      <w:highlight w:val="none"/>
                      <w:lang w:val="en-US" w:eastAsia="zh-CN"/>
                    </w:rPr>
                    <w:t>+地埋式污水处理设施</w:t>
                  </w:r>
                </w:p>
              </w:tc>
              <w:tc>
                <w:tcPr>
                  <w:tcW w:w="549" w:type="pct"/>
                  <w:vAlign w:val="center"/>
                </w:tcPr>
                <w:p w14:paraId="11AA45DA">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default"/>
                      <w:color w:val="auto"/>
                      <w:szCs w:val="21"/>
                      <w:highlight w:val="none"/>
                    </w:rPr>
                    <w:t>DW001</w:t>
                  </w:r>
                </w:p>
              </w:tc>
              <w:tc>
                <w:tcPr>
                  <w:tcW w:w="451" w:type="pct"/>
                  <w:vAlign w:val="center"/>
                </w:tcPr>
                <w:p w14:paraId="13F9DE65">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0"/>
                      <w:highlight w:val="none"/>
                    </w:rPr>
                  </w:pPr>
                  <w:r>
                    <w:rPr>
                      <w:rFonts w:hint="eastAsia"/>
                      <w:color w:val="auto"/>
                      <w:sz w:val="21"/>
                      <w:szCs w:val="20"/>
                      <w:highlight w:val="none"/>
                    </w:rPr>
                    <w:t>☑是</w:t>
                  </w:r>
                </w:p>
                <w:p w14:paraId="53558A72">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eastAsia"/>
                      <w:color w:val="auto"/>
                      <w:szCs w:val="20"/>
                      <w:highlight w:val="none"/>
                    </w:rPr>
                    <w:t>□否</w:t>
                  </w:r>
                </w:p>
              </w:tc>
              <w:tc>
                <w:tcPr>
                  <w:tcW w:w="813" w:type="pct"/>
                  <w:vAlign w:val="center"/>
                </w:tcPr>
                <w:p w14:paraId="0AE5CC95">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default"/>
                      <w:color w:val="auto"/>
                      <w:szCs w:val="21"/>
                      <w:highlight w:val="none"/>
                    </w:rPr>
                    <w:sym w:font="Wingdings 2" w:char="0052"/>
                  </w:r>
                  <w:r>
                    <w:rPr>
                      <w:rFonts w:hint="default"/>
                      <w:color w:val="auto"/>
                      <w:szCs w:val="21"/>
                      <w:highlight w:val="none"/>
                    </w:rPr>
                    <w:t>企业总排口</w:t>
                  </w:r>
                </w:p>
                <w:p w14:paraId="423DF0AF">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default"/>
                      <w:color w:val="auto"/>
                      <w:szCs w:val="21"/>
                      <w:highlight w:val="none"/>
                    </w:rPr>
                    <w:sym w:font="Wingdings 2" w:char="00A3"/>
                  </w:r>
                  <w:r>
                    <w:rPr>
                      <w:rFonts w:hint="default"/>
                      <w:color w:val="auto"/>
                      <w:szCs w:val="21"/>
                      <w:highlight w:val="none"/>
                    </w:rPr>
                    <w:t>雨水排放</w:t>
                  </w:r>
                </w:p>
                <w:p w14:paraId="576DD6CD">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default"/>
                      <w:color w:val="auto"/>
                      <w:szCs w:val="21"/>
                      <w:highlight w:val="none"/>
                    </w:rPr>
                    <w:sym w:font="Wingdings 2" w:char="00A3"/>
                  </w:r>
                  <w:r>
                    <w:rPr>
                      <w:rFonts w:hint="default"/>
                      <w:color w:val="auto"/>
                      <w:szCs w:val="21"/>
                      <w:highlight w:val="none"/>
                    </w:rPr>
                    <w:t>清净下水排放</w:t>
                  </w:r>
                </w:p>
                <w:p w14:paraId="39F9E472">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default"/>
                      <w:color w:val="auto"/>
                      <w:szCs w:val="21"/>
                      <w:highlight w:val="none"/>
                    </w:rPr>
                    <w:sym w:font="Wingdings 2" w:char="00A3"/>
                  </w:r>
                  <w:r>
                    <w:rPr>
                      <w:rFonts w:hint="default"/>
                      <w:color w:val="auto"/>
                      <w:szCs w:val="21"/>
                      <w:highlight w:val="none"/>
                    </w:rPr>
                    <w:t>温排水排放</w:t>
                  </w:r>
                </w:p>
                <w:p w14:paraId="657E8DE3">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default"/>
                      <w:color w:val="auto"/>
                      <w:szCs w:val="21"/>
                      <w:highlight w:val="none"/>
                    </w:rPr>
                    <w:sym w:font="Wingdings 2" w:char="00A3"/>
                  </w:r>
                  <w:r>
                    <w:rPr>
                      <w:rFonts w:hint="default"/>
                      <w:color w:val="auto"/>
                      <w:szCs w:val="21"/>
                      <w:highlight w:val="none"/>
                    </w:rPr>
                    <w:t>车间或车间处理设施排放口</w:t>
                  </w:r>
                </w:p>
              </w:tc>
            </w:tr>
          </w:tbl>
          <w:p w14:paraId="5A68F837">
            <w:pPr>
              <w:keepNext w:val="0"/>
              <w:keepLines w:val="0"/>
              <w:suppressLineNumbers w:val="0"/>
              <w:spacing w:before="0" w:beforeAutospacing="0" w:after="0" w:afterAutospacing="0"/>
              <w:ind w:left="0" w:right="0" w:firstLine="480"/>
              <w:rPr>
                <w:rFonts w:hint="default" w:eastAsia="宋体"/>
                <w:color w:val="auto"/>
                <w:highlight w:val="none"/>
                <w:lang w:val="en-US" w:eastAsia="zh-CN"/>
              </w:rPr>
            </w:pPr>
            <w:r>
              <w:rPr>
                <w:rFonts w:hint="eastAsia"/>
                <w:color w:val="auto"/>
                <w:highlight w:val="none"/>
              </w:rPr>
              <w:t>3、</w:t>
            </w:r>
            <w:r>
              <w:rPr>
                <w:rFonts w:hint="eastAsia"/>
                <w:color w:val="auto"/>
                <w:highlight w:val="none"/>
                <w:lang w:val="en-US" w:eastAsia="zh-CN"/>
              </w:rPr>
              <w:t>废水处理设施可行性分析</w:t>
            </w:r>
          </w:p>
          <w:p w14:paraId="562988E1">
            <w:pPr>
              <w:keepNext w:val="0"/>
              <w:keepLines w:val="0"/>
              <w:suppressLineNumbers w:val="0"/>
              <w:spacing w:before="0" w:beforeAutospacing="0" w:after="0" w:afterAutospacing="0"/>
              <w:ind w:left="0" w:leftChars="0" w:right="0" w:firstLine="0" w:firstLineChars="0"/>
              <w:jc w:val="center"/>
              <w:rPr>
                <w:rFonts w:hint="eastAsia" w:ascii="Times New Roman" w:hAnsi="Times New Roman" w:eastAsia="宋体" w:cs="Times New Roman"/>
                <w:color w:val="auto"/>
                <w:lang w:eastAsia="zh-CN"/>
              </w:rPr>
            </w:pPr>
            <w:r>
              <w:rPr>
                <w:rFonts w:hint="default"/>
                <w:color w:val="auto"/>
                <w:sz w:val="32"/>
              </w:rPr>
              <mc:AlternateContent>
                <mc:Choice Requires="wps">
                  <w:drawing>
                    <wp:anchor distT="0" distB="0" distL="114300" distR="114300" simplePos="0" relativeHeight="251660288" behindDoc="0" locked="0" layoutInCell="1" allowOverlap="1">
                      <wp:simplePos x="0" y="0"/>
                      <wp:positionH relativeFrom="column">
                        <wp:posOffset>1166495</wp:posOffset>
                      </wp:positionH>
                      <wp:positionV relativeFrom="paragraph">
                        <wp:posOffset>1932305</wp:posOffset>
                      </wp:positionV>
                      <wp:extent cx="848995" cy="450215"/>
                      <wp:effectExtent l="0" t="0" r="8255" b="6985"/>
                      <wp:wrapNone/>
                      <wp:docPr id="3" name="矩形 3"/>
                      <wp:cNvGraphicFramePr/>
                      <a:graphic xmlns:a="http://schemas.openxmlformats.org/drawingml/2006/main">
                        <a:graphicData uri="http://schemas.microsoft.com/office/word/2010/wordprocessingShape">
                          <wps:wsp>
                            <wps:cNvSpPr/>
                            <wps:spPr>
                              <a:xfrm>
                                <a:off x="2469515" y="8331200"/>
                                <a:ext cx="848995" cy="450215"/>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1.85pt;margin-top:152.15pt;height:35.45pt;width:66.85pt;z-index:251660288;v-text-anchor:middle;mso-width-relative:page;mso-height-relative:page;" fillcolor="#FFFFFF [3212]" filled="t" stroked="f" coordsize="21600,21600" o:gfxdata="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AvPTKD1QAAAAsBAAAPAAAAAAAAAAEAIAAAACIAAABkcnMvZG93bnJldi54bWxQSwEC&#10;FAAUAAAACACHTuJAAwZo1WkCAAC/BAAADgAAAAAAAAABACAAAAAkAQAAZHJzL2Uyb0RvYy54bWxQ&#10;SwUGAAAAAAYABgBZAQAA/wUAAAAA&#10;">
                      <v:fill on="t" focussize="0,0"/>
                      <v:stroke on="f" weight="2pt"/>
                      <v:imagedata o:title=""/>
                      <o:lock v:ext="edit" aspectratio="f"/>
                    </v:rect>
                  </w:pict>
                </mc:Fallback>
              </mc:AlternateContent>
            </w:r>
            <w:r>
              <w:rPr>
                <w:rFonts w:hint="default" w:ascii="Times New Roman" w:hAnsi="Times New Roman" w:cs="Times New Roman"/>
                <w:color w:val="auto"/>
                <w:sz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2271395</wp:posOffset>
                      </wp:positionV>
                      <wp:extent cx="1200150" cy="457200"/>
                      <wp:effectExtent l="0" t="0" r="0" b="0"/>
                      <wp:wrapNone/>
                      <wp:docPr id="10" name="矩形 10"/>
                      <wp:cNvGraphicFramePr/>
                      <a:graphic xmlns:a="http://schemas.openxmlformats.org/drawingml/2006/main">
                        <a:graphicData uri="http://schemas.microsoft.com/office/word/2010/wordprocessingShape">
                          <wps:wsp>
                            <wps:cNvSpPr/>
                            <wps:spPr>
                              <a:xfrm>
                                <a:off x="0" y="0"/>
                                <a:ext cx="1200150" cy="457200"/>
                              </a:xfrm>
                              <a:prstGeom prst="rect">
                                <a:avLst/>
                              </a:prstGeom>
                              <a:solidFill>
                                <a:srgbClr val="FFFFFF"/>
                              </a:solidFill>
                              <a:ln>
                                <a:noFill/>
                              </a:ln>
                            </wps:spPr>
                            <wps:txbx>
                              <w:txbxContent>
                                <w:p w14:paraId="1216FACD"/>
                              </w:txbxContent>
                            </wps:txbx>
                            <wps:bodyPr upright="1"/>
                          </wps:wsp>
                        </a:graphicData>
                      </a:graphic>
                    </wp:anchor>
                  </w:drawing>
                </mc:Choice>
                <mc:Fallback>
                  <w:pict>
                    <v:rect id="_x0000_s1026" o:spid="_x0000_s1026" o:spt="1" style="position:absolute;left:0pt;margin-left:2pt;margin-top:178.85pt;height:36pt;width:94.5pt;z-index:251659264;mso-width-relative:page;mso-height-relative:page;" fillcolor="#FFFFFF" filled="t" stroked="f" coordsize="21600,21600" o:gfxdata="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4+nthNcAAAAJAQAADwAAAAAAAAABACAAAAAiAAAAZHJzL2Rvd25yZXYueG1sUEsBAhQAFAAAAAgA&#10;h07iQE1Sq6O0AQAAbAMAAA4AAAAAAAAAAQAgAAAAJgEAAGRycy9lMm9Eb2MueG1sUEsFBgAAAAAG&#10;AAYAWQEAAEwFAAAAAA==&#10;">
                      <v:fill on="t" focussize="0,0"/>
                      <v:stroke on="f"/>
                      <v:imagedata o:title=""/>
                      <o:lock v:ext="edit" aspectratio="f"/>
                      <v:textbox>
                        <w:txbxContent>
                          <w:p w14:paraId="1216FACD"/>
                        </w:txbxContent>
                      </v:textbox>
                    </v:rect>
                  </w:pict>
                </mc:Fallback>
              </mc:AlternateContent>
            </w:r>
            <w:r>
              <w:rPr>
                <w:rFonts w:hint="eastAsia" w:ascii="Times New Roman" w:hAnsi="Times New Roman" w:eastAsia="宋体" w:cs="Times New Roman"/>
                <w:color w:val="auto"/>
                <w:lang w:eastAsia="zh-CN"/>
              </w:rPr>
              <w:drawing>
                <wp:inline distT="0" distB="0" distL="114300" distR="114300">
                  <wp:extent cx="4728845" cy="2579370"/>
                  <wp:effectExtent l="0" t="0" r="14605" b="11430"/>
                  <wp:docPr id="2" name="图片 2" descr="a225702664cc6cef5a81394c971d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225702664cc6cef5a81394c971d019"/>
                          <pic:cNvPicPr>
                            <a:picLocks noChangeAspect="1"/>
                          </pic:cNvPicPr>
                        </pic:nvPicPr>
                        <pic:blipFill>
                          <a:blip r:embed="rId32"/>
                          <a:stretch>
                            <a:fillRect/>
                          </a:stretch>
                        </pic:blipFill>
                        <pic:spPr>
                          <a:xfrm>
                            <a:off x="0" y="0"/>
                            <a:ext cx="4728845" cy="2579370"/>
                          </a:xfrm>
                          <a:prstGeom prst="rect">
                            <a:avLst/>
                          </a:prstGeom>
                        </pic:spPr>
                      </pic:pic>
                    </a:graphicData>
                  </a:graphic>
                </wp:inline>
              </w:drawing>
            </w:r>
          </w:p>
          <w:p w14:paraId="509295FD">
            <w:pPr>
              <w:pStyle w:val="77"/>
              <w:keepNext w:val="0"/>
              <w:keepLines w:val="0"/>
              <w:widowControl/>
              <w:suppressLineNumbers w:val="0"/>
              <w:spacing w:before="0" w:beforeLines="0" w:beforeAutospacing="0" w:after="0" w:afterAutospacing="0" w:line="240" w:lineRule="auto"/>
              <w:ind w:left="0" w:right="0"/>
              <w:rPr>
                <w:rFonts w:hint="default" w:eastAsia="宋体"/>
                <w:b/>
                <w:bCs/>
                <w:color w:val="auto"/>
                <w:highlight w:val="none"/>
                <w:lang w:val="en-US" w:eastAsia="zh-CN"/>
              </w:rPr>
            </w:pPr>
            <w:r>
              <w:rPr>
                <w:rFonts w:hint="eastAsia" w:eastAsia="宋体"/>
                <w:b/>
                <w:bCs/>
                <w:color w:val="auto"/>
                <w:highlight w:val="none"/>
                <w:lang w:val="en-US" w:eastAsia="zh-CN"/>
              </w:rPr>
              <w:t>图4-1</w:t>
            </w:r>
            <w:r>
              <w:rPr>
                <w:rFonts w:hint="default" w:eastAsia="宋体"/>
                <w:b/>
                <w:bCs/>
                <w:color w:val="auto"/>
                <w:highlight w:val="none"/>
              </w:rPr>
              <w:t xml:space="preserve"> </w:t>
            </w:r>
            <w:r>
              <w:rPr>
                <w:rFonts w:hint="eastAsia" w:eastAsia="宋体"/>
                <w:b/>
                <w:bCs/>
                <w:color w:val="auto"/>
                <w:highlight w:val="none"/>
                <w:lang w:val="en-US" w:eastAsia="zh-CN"/>
              </w:rPr>
              <w:t xml:space="preserve">  </w:t>
            </w:r>
            <w:r>
              <w:rPr>
                <w:rFonts w:hint="default" w:eastAsia="宋体"/>
                <w:b/>
                <w:bCs/>
                <w:color w:val="auto"/>
                <w:highlight w:val="none"/>
              </w:rPr>
              <w:t xml:space="preserve"> </w:t>
            </w:r>
            <w:r>
              <w:rPr>
                <w:rFonts w:hint="eastAsia" w:eastAsia="宋体"/>
                <w:b/>
                <w:bCs/>
                <w:color w:val="auto"/>
                <w:highlight w:val="none"/>
                <w:lang w:val="en-US" w:eastAsia="zh-CN"/>
              </w:rPr>
              <w:t>一体化污水处理工艺简图</w:t>
            </w:r>
          </w:p>
          <w:p w14:paraId="0507950E">
            <w:pPr>
              <w:pStyle w:val="197"/>
              <w:keepNext w:val="0"/>
              <w:keepLines w:val="0"/>
              <w:suppressLineNumbers w:val="0"/>
              <w:spacing w:before="0" w:beforeAutospacing="0" w:after="0" w:afterAutospacing="0"/>
              <w:ind w:left="0" w:right="0" w:firstLine="480"/>
              <w:rPr>
                <w:rFonts w:hint="default" w:ascii="Times New Roman" w:hAnsi="Times New Roman" w:cs="Times New Roman"/>
                <w:color w:val="auto"/>
                <w:kern w:val="2"/>
                <w:sz w:val="24"/>
                <w:szCs w:val="24"/>
                <w:lang w:val="en-US" w:eastAsia="zh-CN" w:bidi="ar-SA"/>
              </w:rPr>
            </w:pPr>
            <w:r>
              <w:rPr>
                <w:rFonts w:hint="default" w:ascii="Times New Roman" w:hAnsi="Times New Roman" w:cs="Times New Roman"/>
                <w:color w:val="auto"/>
                <w:kern w:val="2"/>
                <w:sz w:val="24"/>
                <w:szCs w:val="24"/>
                <w:lang w:val="en-US" w:eastAsia="zh-CN" w:bidi="ar-SA"/>
              </w:rPr>
              <w:t>工艺说明：</w:t>
            </w:r>
          </w:p>
          <w:p w14:paraId="672AADFD">
            <w:pPr>
              <w:pStyle w:val="197"/>
              <w:keepNext w:val="0"/>
              <w:keepLines w:val="0"/>
              <w:suppressLineNumbers w:val="0"/>
              <w:spacing w:before="0" w:beforeAutospacing="0" w:after="0" w:afterAutospacing="0"/>
              <w:ind w:left="0" w:right="0" w:firstLine="480"/>
              <w:rPr>
                <w:rFonts w:hint="default" w:ascii="Times New Roman" w:hAnsi="Times New Roman" w:cs="Times New Roman"/>
                <w:color w:val="auto"/>
                <w:kern w:val="2"/>
                <w:sz w:val="24"/>
                <w:szCs w:val="24"/>
                <w:lang w:val="en-US" w:eastAsia="zh-CN" w:bidi="ar-SA"/>
              </w:rPr>
            </w:pPr>
            <w:r>
              <w:rPr>
                <w:rFonts w:hint="default" w:ascii="Times New Roman" w:hAnsi="Times New Roman" w:cs="Times New Roman"/>
                <w:color w:val="auto"/>
                <w:kern w:val="2"/>
                <w:sz w:val="24"/>
                <w:szCs w:val="24"/>
                <w:lang w:val="en-US" w:eastAsia="zh-CN" w:bidi="ar-SA"/>
              </w:rPr>
              <w:t>本项目一体化污水处理设施设计处理规模为</w:t>
            </w:r>
            <w:r>
              <w:rPr>
                <w:rFonts w:hint="eastAsia" w:cs="Times New Roman"/>
                <w:color w:val="auto"/>
                <w:kern w:val="2"/>
                <w:sz w:val="24"/>
                <w:szCs w:val="24"/>
                <w:lang w:val="en-US" w:eastAsia="zh-CN" w:bidi="ar-SA"/>
              </w:rPr>
              <w:t>5</w:t>
            </w:r>
            <w:r>
              <w:rPr>
                <w:rFonts w:hint="default" w:ascii="Times New Roman" w:hAnsi="Times New Roman" w:cs="Times New Roman"/>
                <w:color w:val="auto"/>
                <w:kern w:val="2"/>
                <w:sz w:val="24"/>
                <w:szCs w:val="24"/>
                <w:lang w:val="en-US" w:eastAsia="zh-CN" w:bidi="ar-SA"/>
              </w:rPr>
              <w:t>0</w:t>
            </w:r>
            <w:r>
              <w:rPr>
                <w:rFonts w:hint="eastAsia" w:cs="Times New Roman"/>
                <w:color w:val="auto"/>
                <w:kern w:val="2"/>
                <w:sz w:val="24"/>
                <w:szCs w:val="24"/>
                <w:lang w:val="en-US" w:eastAsia="zh-CN" w:bidi="ar-SA"/>
              </w:rPr>
              <w:t>m</w:t>
            </w:r>
            <w:r>
              <w:rPr>
                <w:rFonts w:hint="eastAsia" w:cs="Times New Roman"/>
                <w:color w:val="auto"/>
                <w:kern w:val="2"/>
                <w:sz w:val="24"/>
                <w:szCs w:val="24"/>
                <w:vertAlign w:val="superscript"/>
                <w:lang w:val="en-US" w:eastAsia="zh-CN" w:bidi="ar-SA"/>
              </w:rPr>
              <w:t>3</w:t>
            </w:r>
            <w:r>
              <w:rPr>
                <w:rFonts w:hint="default" w:ascii="Times New Roman" w:hAnsi="Times New Roman" w:cs="Times New Roman"/>
                <w:color w:val="auto"/>
                <w:kern w:val="2"/>
                <w:sz w:val="24"/>
                <w:szCs w:val="24"/>
                <w:lang w:val="en-US" w:eastAsia="zh-CN" w:bidi="ar-SA"/>
              </w:rPr>
              <w:t>/d，</w:t>
            </w:r>
            <w:r>
              <w:rPr>
                <w:rFonts w:hint="eastAsia" w:cs="Times New Roman"/>
                <w:color w:val="auto"/>
                <w:kern w:val="2"/>
                <w:sz w:val="24"/>
                <w:szCs w:val="24"/>
                <w:lang w:val="en-US" w:eastAsia="zh-CN" w:bidi="ar-SA"/>
              </w:rPr>
              <w:t>采用A/O生化法处理工艺；</w:t>
            </w:r>
            <w:r>
              <w:rPr>
                <w:rFonts w:hint="default" w:ascii="Times New Roman" w:hAnsi="Times New Roman" w:cs="Times New Roman"/>
                <w:color w:val="auto"/>
                <w:kern w:val="2"/>
                <w:sz w:val="24"/>
                <w:szCs w:val="24"/>
                <w:lang w:val="en-US" w:eastAsia="zh-CN" w:bidi="ar-SA"/>
              </w:rPr>
              <w:t>污水由排水系统收集后，进入污水处理站的格栅，去除颗粒杂物后，进入气浮机，气浮是在水中形成高度分散的微小气泡，粘附废水中疏水基的固体或液体颗粒后进行泥水分离，清水进入水解酸化池， 进行酸化水解和硝化反硝化，降低有机物浓度，去除部分氨氮，然后入流O级生物接触氧化池进行好氧生化反应，在此绝大部分有机污染物通过生物氧化、吸附得以降解，出水自流至二沉池进行固液分离，沉淀池上清排放。</w:t>
            </w:r>
          </w:p>
          <w:p w14:paraId="7B4F969B">
            <w:pPr>
              <w:pStyle w:val="197"/>
              <w:keepNext w:val="0"/>
              <w:keepLines w:val="0"/>
              <w:suppressLineNumbers w:val="0"/>
              <w:spacing w:before="0" w:beforeAutospacing="0" w:after="0" w:afterAutospacing="0"/>
              <w:ind w:left="0" w:right="0" w:firstLine="480"/>
              <w:rPr>
                <w:rFonts w:hint="default" w:ascii="Times New Roman" w:hAnsi="Times New Roman" w:cs="Times New Roman"/>
                <w:color w:val="auto"/>
                <w:kern w:val="2"/>
                <w:sz w:val="24"/>
                <w:szCs w:val="24"/>
                <w:lang w:val="en-US" w:eastAsia="zh-CN" w:bidi="ar-SA"/>
              </w:rPr>
            </w:pPr>
            <w:r>
              <w:rPr>
                <w:rFonts w:hint="default" w:ascii="Times New Roman" w:hAnsi="Times New Roman" w:cs="Times New Roman"/>
                <w:color w:val="auto"/>
                <w:kern w:val="2"/>
                <w:sz w:val="24"/>
                <w:szCs w:val="24"/>
                <w:lang w:val="en-US" w:eastAsia="zh-CN" w:bidi="ar-SA"/>
              </w:rPr>
              <w:t>由二沉池中的污泥部分回流至A级生物处理池，另一部分污泥至污泥池进行污泥消化后定期抽吸外运，污泥池上清液回流至集水池再处理。</w:t>
            </w:r>
          </w:p>
          <w:p w14:paraId="4B7BC74F">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lang w:val="en-US" w:eastAsia="zh-CN"/>
              </w:rPr>
              <w:t>项目采取该处理工艺属于《排污许可证申请与核发技术规范  食品制造工业-方便食品、食品及饲料添加剂制造工业》附录A表A.1中的可行技术。</w:t>
            </w:r>
            <w:r>
              <w:rPr>
                <w:rFonts w:hint="eastAsia"/>
                <w:color w:val="auto"/>
                <w:highlight w:val="none"/>
              </w:rPr>
              <w:t>项目生活污水进化粪池处理，经市政管网排入</w:t>
            </w:r>
            <w:r>
              <w:rPr>
                <w:rFonts w:hint="default"/>
                <w:color w:val="auto"/>
                <w:highlight w:val="none"/>
              </w:rPr>
              <w:t>泾河新城第二污水处理厂</w:t>
            </w:r>
            <w:r>
              <w:rPr>
                <w:rFonts w:hint="eastAsia"/>
                <w:color w:val="auto"/>
                <w:highlight w:val="none"/>
              </w:rPr>
              <w:t>处理。排放浓度可满足</w:t>
            </w:r>
            <w:r>
              <w:rPr>
                <w:rFonts w:hint="default"/>
                <w:color w:val="auto"/>
                <w:highlight w:val="none"/>
              </w:rPr>
              <w:t>《污水综合排放标准》（GB8978-1996）三级标准</w:t>
            </w:r>
            <w:r>
              <w:rPr>
                <w:rFonts w:hint="eastAsia"/>
                <w:color w:val="auto"/>
                <w:highlight w:val="none"/>
              </w:rPr>
              <w:t>及</w:t>
            </w:r>
            <w:r>
              <w:rPr>
                <w:rFonts w:hint="default"/>
                <w:color w:val="auto"/>
                <w:highlight w:val="none"/>
              </w:rPr>
              <w:t>《污水排入城镇下水道水质标准》（GB/T 31962-2015）</w:t>
            </w:r>
            <w:r>
              <w:rPr>
                <w:rFonts w:hint="eastAsia"/>
                <w:color w:val="auto"/>
                <w:highlight w:val="none"/>
              </w:rPr>
              <w:t>B</w:t>
            </w:r>
            <w:r>
              <w:rPr>
                <w:rFonts w:hint="default"/>
                <w:color w:val="auto"/>
                <w:highlight w:val="none"/>
              </w:rPr>
              <w:t>级标准</w:t>
            </w:r>
            <w:r>
              <w:rPr>
                <w:rFonts w:hint="eastAsia"/>
                <w:color w:val="auto"/>
                <w:highlight w:val="none"/>
              </w:rPr>
              <w:t>要求。</w:t>
            </w:r>
          </w:p>
          <w:p w14:paraId="5CD368F0">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4、化粪池、污水处理厂依托可行性分析</w:t>
            </w:r>
          </w:p>
          <w:p w14:paraId="7A579C40">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本项目</w:t>
            </w:r>
            <w:r>
              <w:rPr>
                <w:rFonts w:hint="default"/>
                <w:color w:val="auto"/>
                <w:highlight w:val="none"/>
              </w:rPr>
              <w:t>化粪池容积为</w:t>
            </w:r>
            <w:r>
              <w:rPr>
                <w:rFonts w:hint="eastAsia"/>
                <w:color w:val="auto"/>
                <w:highlight w:val="none"/>
                <w:lang w:val="en-US" w:eastAsia="zh-CN"/>
              </w:rPr>
              <w:t>3</w:t>
            </w:r>
            <w:r>
              <w:rPr>
                <w:rFonts w:hint="eastAsia"/>
                <w:color w:val="auto"/>
                <w:highlight w:val="none"/>
              </w:rPr>
              <w:t>0</w:t>
            </w:r>
            <w:r>
              <w:rPr>
                <w:rFonts w:hint="default"/>
                <w:color w:val="auto"/>
                <w:highlight w:val="none"/>
              </w:rPr>
              <w:t>m</w:t>
            </w:r>
            <w:r>
              <w:rPr>
                <w:rFonts w:hint="default"/>
                <w:color w:val="auto"/>
                <w:highlight w:val="none"/>
                <w:vertAlign w:val="superscript"/>
              </w:rPr>
              <w:t>3</w:t>
            </w:r>
            <w:r>
              <w:rPr>
                <w:rFonts w:hint="default"/>
                <w:color w:val="auto"/>
                <w:highlight w:val="none"/>
              </w:rPr>
              <w:t>，</w:t>
            </w:r>
            <w:r>
              <w:rPr>
                <w:rFonts w:hint="eastAsia"/>
                <w:color w:val="auto"/>
                <w:highlight w:val="none"/>
                <w:lang w:val="en-US" w:eastAsia="zh-CN"/>
              </w:rPr>
              <w:t>生活</w:t>
            </w:r>
            <w:r>
              <w:rPr>
                <w:rFonts w:hint="default"/>
                <w:color w:val="auto"/>
                <w:highlight w:val="none"/>
              </w:rPr>
              <w:t>污水</w:t>
            </w:r>
            <w:r>
              <w:rPr>
                <w:rFonts w:hint="eastAsia"/>
                <w:color w:val="auto"/>
                <w:highlight w:val="none"/>
                <w:lang w:val="en-US" w:eastAsia="zh-CN"/>
              </w:rPr>
              <w:t>排放</w:t>
            </w:r>
            <w:r>
              <w:rPr>
                <w:rFonts w:hint="default"/>
                <w:color w:val="auto"/>
                <w:highlight w:val="none"/>
              </w:rPr>
              <w:t>量为</w:t>
            </w:r>
            <w:r>
              <w:rPr>
                <w:rFonts w:hint="eastAsia"/>
                <w:color w:val="auto"/>
                <w:highlight w:val="none"/>
                <w:lang w:val="en-US" w:eastAsia="zh-CN"/>
              </w:rPr>
              <w:t>8.18</w:t>
            </w:r>
            <w:r>
              <w:rPr>
                <w:rFonts w:hint="default"/>
                <w:color w:val="auto"/>
                <w:highlight w:val="none"/>
              </w:rPr>
              <w:t>m</w:t>
            </w:r>
            <w:r>
              <w:rPr>
                <w:rFonts w:hint="default"/>
                <w:color w:val="auto"/>
                <w:highlight w:val="none"/>
                <w:vertAlign w:val="superscript"/>
              </w:rPr>
              <w:t>3</w:t>
            </w:r>
            <w:r>
              <w:rPr>
                <w:rFonts w:hint="default"/>
                <w:color w:val="auto"/>
                <w:highlight w:val="none"/>
              </w:rPr>
              <w:t>/d，</w:t>
            </w:r>
            <w:r>
              <w:rPr>
                <w:rFonts w:hint="eastAsia"/>
                <w:color w:val="auto"/>
                <w:highlight w:val="none"/>
              </w:rPr>
              <w:t>化粪池</w:t>
            </w:r>
            <w:r>
              <w:rPr>
                <w:rFonts w:hint="eastAsia"/>
                <w:color w:val="auto"/>
                <w:highlight w:val="none"/>
                <w:lang w:val="en-US" w:eastAsia="zh-CN"/>
              </w:rPr>
              <w:t>容积</w:t>
            </w:r>
            <w:r>
              <w:rPr>
                <w:rFonts w:hint="eastAsia"/>
                <w:color w:val="auto"/>
                <w:highlight w:val="none"/>
              </w:rPr>
              <w:t>满足项目污水处理需求，且经化粪池处理后污染物排放浓度满足《污水综合排放标准》（GB</w:t>
            </w:r>
            <w:r>
              <w:rPr>
                <w:rFonts w:hint="default"/>
                <w:color w:val="auto"/>
                <w:highlight w:val="none"/>
              </w:rPr>
              <w:t xml:space="preserve"> </w:t>
            </w:r>
            <w:r>
              <w:rPr>
                <w:rFonts w:hint="eastAsia"/>
                <w:color w:val="auto"/>
                <w:highlight w:val="none"/>
              </w:rPr>
              <w:t>8978-1996）三级标准和《污水排入城镇下水道水质标准》（GB</w:t>
            </w:r>
            <w:r>
              <w:rPr>
                <w:rFonts w:hint="default"/>
                <w:color w:val="auto"/>
                <w:highlight w:val="none"/>
              </w:rPr>
              <w:t xml:space="preserve"> </w:t>
            </w:r>
            <w:r>
              <w:rPr>
                <w:rFonts w:hint="eastAsia"/>
                <w:color w:val="auto"/>
                <w:highlight w:val="none"/>
              </w:rPr>
              <w:t>31962-2015）B级标准，</w:t>
            </w:r>
            <w:r>
              <w:rPr>
                <w:rFonts w:hint="default"/>
                <w:color w:val="auto"/>
                <w:highlight w:val="none"/>
              </w:rPr>
              <w:t>因此</w:t>
            </w:r>
            <w:r>
              <w:rPr>
                <w:rFonts w:hint="eastAsia"/>
                <w:color w:val="auto"/>
                <w:highlight w:val="none"/>
              </w:rPr>
              <w:t>，</w:t>
            </w:r>
            <w:r>
              <w:rPr>
                <w:rFonts w:hint="default"/>
                <w:color w:val="auto"/>
                <w:highlight w:val="none"/>
              </w:rPr>
              <w:t>本项目污水</w:t>
            </w:r>
            <w:r>
              <w:rPr>
                <w:rFonts w:hint="eastAsia"/>
                <w:color w:val="auto"/>
                <w:highlight w:val="none"/>
                <w:lang w:val="en-US" w:eastAsia="zh-CN"/>
              </w:rPr>
              <w:t>经</w:t>
            </w:r>
            <w:r>
              <w:rPr>
                <w:rFonts w:hint="default"/>
                <w:color w:val="auto"/>
                <w:highlight w:val="none"/>
              </w:rPr>
              <w:t>化粪池</w:t>
            </w:r>
            <w:r>
              <w:rPr>
                <w:rFonts w:hint="eastAsia"/>
                <w:color w:val="auto"/>
                <w:highlight w:val="none"/>
                <w:lang w:val="en-US" w:eastAsia="zh-CN"/>
              </w:rPr>
              <w:t>处理</w:t>
            </w:r>
            <w:r>
              <w:rPr>
                <w:rFonts w:hint="default"/>
                <w:color w:val="auto"/>
                <w:highlight w:val="none"/>
              </w:rPr>
              <w:t>可行。</w:t>
            </w:r>
          </w:p>
          <w:p w14:paraId="1A69D1CB">
            <w:pPr>
              <w:keepNext w:val="0"/>
              <w:keepLines w:val="0"/>
              <w:suppressLineNumbers w:val="0"/>
              <w:adjustRightInd w:val="0"/>
              <w:snapToGrid w:val="0"/>
              <w:spacing w:before="0" w:beforeAutospacing="0" w:after="0" w:afterAutospacing="0"/>
              <w:ind w:left="0" w:right="0" w:firstLine="480"/>
              <w:rPr>
                <w:rFonts w:hint="default"/>
                <w:color w:val="auto"/>
                <w:highlight w:val="none"/>
              </w:rPr>
            </w:pPr>
            <w:r>
              <w:rPr>
                <w:rFonts w:hint="default"/>
                <w:color w:val="auto"/>
                <w:highlight w:val="none"/>
              </w:rPr>
              <w:t>泾河新城第二污水处理厂位于正阳大道以东，火车南站规划路以南的相交地区。服务范围具体包括：泾河以北，规划东边界以西，茶马大道以东及规划北边界以南围合的范围，现状大部分为泾河新城县永乐镇和崇文镇所在区域。总服务面积约34km</w:t>
            </w:r>
            <w:r>
              <w:rPr>
                <w:rFonts w:hint="default"/>
                <w:color w:val="auto"/>
                <w:highlight w:val="none"/>
                <w:vertAlign w:val="superscript"/>
              </w:rPr>
              <w:t>2</w:t>
            </w:r>
            <w:r>
              <w:rPr>
                <w:rFonts w:hint="default"/>
                <w:color w:val="auto"/>
                <w:highlight w:val="none"/>
              </w:rPr>
              <w:t>。污水处理厂采用</w:t>
            </w:r>
            <w:r>
              <w:rPr>
                <w:rFonts w:hint="eastAsia"/>
                <w:color w:val="auto"/>
                <w:highlight w:val="none"/>
                <w:lang w:val="en-US" w:eastAsia="zh-CN"/>
              </w:rPr>
              <w:t>AO2</w:t>
            </w:r>
            <w:r>
              <w:rPr>
                <w:rFonts w:hint="default"/>
                <w:color w:val="auto"/>
                <w:highlight w:val="none"/>
              </w:rPr>
              <w:t>的处理工艺，经过处理的水质达到《陕西省黄河流域污水综合排放标准》</w:t>
            </w:r>
            <w:r>
              <w:rPr>
                <w:rFonts w:hint="eastAsia"/>
                <w:color w:val="auto"/>
                <w:highlight w:val="none"/>
                <w:lang w:eastAsia="zh-CN"/>
              </w:rPr>
              <w:t>（</w:t>
            </w:r>
            <w:r>
              <w:rPr>
                <w:rFonts w:hint="default"/>
                <w:color w:val="auto"/>
                <w:highlight w:val="none"/>
              </w:rPr>
              <w:t>DB61/224-2018</w:t>
            </w:r>
            <w:r>
              <w:rPr>
                <w:rFonts w:hint="eastAsia"/>
                <w:color w:val="auto"/>
                <w:highlight w:val="none"/>
                <w:lang w:eastAsia="zh-CN"/>
              </w:rPr>
              <w:t>）</w:t>
            </w:r>
            <w:r>
              <w:rPr>
                <w:rFonts w:hint="default"/>
                <w:color w:val="auto"/>
                <w:highlight w:val="none"/>
              </w:rPr>
              <w:t>A标准和《西咸新区城镇污水处理厂再生水化提标改造和加盖除臭工程三年行动方案</w:t>
            </w:r>
            <w:r>
              <w:rPr>
                <w:rFonts w:hint="eastAsia"/>
                <w:color w:val="auto"/>
                <w:highlight w:val="none"/>
                <w:lang w:eastAsia="zh-CN"/>
              </w:rPr>
              <w:t>（</w:t>
            </w:r>
            <w:r>
              <w:rPr>
                <w:rFonts w:hint="default"/>
                <w:color w:val="auto"/>
                <w:highlight w:val="none"/>
              </w:rPr>
              <w:t>2018-2020年</w:t>
            </w:r>
            <w:r>
              <w:rPr>
                <w:rFonts w:hint="eastAsia"/>
                <w:color w:val="auto"/>
                <w:highlight w:val="none"/>
                <w:lang w:eastAsia="zh-CN"/>
              </w:rPr>
              <w:t>）</w:t>
            </w:r>
            <w:r>
              <w:rPr>
                <w:rFonts w:hint="default"/>
                <w:color w:val="auto"/>
                <w:highlight w:val="none"/>
              </w:rPr>
              <w:t>》</w:t>
            </w:r>
            <w:r>
              <w:rPr>
                <w:rFonts w:hint="eastAsia"/>
                <w:color w:val="auto"/>
                <w:highlight w:val="none"/>
                <w:lang w:eastAsia="zh-CN"/>
              </w:rPr>
              <w:t>（</w:t>
            </w:r>
            <w:r>
              <w:rPr>
                <w:rFonts w:hint="default"/>
                <w:color w:val="auto"/>
                <w:highlight w:val="none"/>
              </w:rPr>
              <w:t>陕西咸办字[2018]81号</w:t>
            </w:r>
            <w:r>
              <w:rPr>
                <w:rFonts w:hint="eastAsia"/>
                <w:color w:val="auto"/>
                <w:highlight w:val="none"/>
                <w:lang w:eastAsia="zh-CN"/>
              </w:rPr>
              <w:t>）</w:t>
            </w:r>
            <w:r>
              <w:rPr>
                <w:rFonts w:hint="default"/>
                <w:color w:val="auto"/>
                <w:highlight w:val="none"/>
              </w:rPr>
              <w:t>相关要求。项目设计污水处理规模为8.0×10</w:t>
            </w:r>
            <w:r>
              <w:rPr>
                <w:rFonts w:hint="default"/>
                <w:color w:val="auto"/>
                <w:highlight w:val="none"/>
                <w:vertAlign w:val="superscript"/>
              </w:rPr>
              <w:t>4</w:t>
            </w:r>
            <w:r>
              <w:rPr>
                <w:rFonts w:hint="default"/>
                <w:color w:val="auto"/>
                <w:highlight w:val="none"/>
              </w:rPr>
              <w:t>t/d，一期建设规模为处理污水4万m</w:t>
            </w:r>
            <w:r>
              <w:rPr>
                <w:rFonts w:hint="default"/>
                <w:color w:val="auto"/>
                <w:highlight w:val="none"/>
                <w:vertAlign w:val="superscript"/>
              </w:rPr>
              <w:t>3</w:t>
            </w:r>
            <w:r>
              <w:rPr>
                <w:rFonts w:hint="default"/>
                <w:color w:val="auto"/>
                <w:highlight w:val="none"/>
              </w:rPr>
              <w:t>/d，二期建设规模为处理污水4万m</w:t>
            </w:r>
            <w:r>
              <w:rPr>
                <w:rFonts w:hint="default"/>
                <w:color w:val="auto"/>
                <w:highlight w:val="none"/>
                <w:vertAlign w:val="superscript"/>
              </w:rPr>
              <w:t>3</w:t>
            </w:r>
            <w:r>
              <w:rPr>
                <w:rFonts w:hint="default"/>
                <w:color w:val="auto"/>
                <w:highlight w:val="none"/>
              </w:rPr>
              <w:t>/d。</w:t>
            </w:r>
          </w:p>
          <w:p w14:paraId="47A99E81">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本</w:t>
            </w:r>
            <w:r>
              <w:rPr>
                <w:rFonts w:hint="default"/>
                <w:color w:val="auto"/>
                <w:highlight w:val="none"/>
              </w:rPr>
              <w:t>项目位于泾河新城第二污水处理厂的收水范围内，目前市政污水管网已铺设到位，项目污水经化粪池</w:t>
            </w:r>
            <w:r>
              <w:rPr>
                <w:rFonts w:hint="eastAsia"/>
                <w:color w:val="auto"/>
                <w:highlight w:val="none"/>
                <w:lang w:eastAsia="zh-CN"/>
              </w:rPr>
              <w:t>、</w:t>
            </w:r>
            <w:r>
              <w:rPr>
                <w:rFonts w:hint="eastAsia"/>
                <w:color w:val="auto"/>
                <w:highlight w:val="none"/>
                <w:lang w:val="en-US" w:eastAsia="zh-CN"/>
              </w:rPr>
              <w:t>地埋式污水处理设施</w:t>
            </w:r>
            <w:r>
              <w:rPr>
                <w:rFonts w:hint="default"/>
                <w:color w:val="auto"/>
                <w:highlight w:val="none"/>
              </w:rPr>
              <w:t>处理后水质满足排放标准要求</w:t>
            </w:r>
            <w:r>
              <w:rPr>
                <w:rFonts w:hint="default"/>
                <w:color w:val="auto"/>
                <w:kern w:val="0"/>
                <w:highlight w:val="none"/>
              </w:rPr>
              <w:t>，且项目污水排放量占污水处理厂设计处理水量份额较小，废水水质简单，废水可生化降解性较好，故依托泾河新城第二污水处理厂处理可行。</w:t>
            </w:r>
          </w:p>
          <w:p w14:paraId="0D2488FF">
            <w:pPr>
              <w:keepNext w:val="0"/>
              <w:keepLines w:val="0"/>
              <w:suppressLineNumbers w:val="0"/>
              <w:spacing w:before="0" w:beforeAutospacing="0" w:after="0" w:afterAutospacing="0"/>
              <w:ind w:left="0" w:right="0" w:firstLine="480"/>
              <w:rPr>
                <w:rFonts w:hint="default"/>
                <w:b/>
                <w:bCs/>
                <w:color w:val="auto"/>
                <w:highlight w:val="none"/>
              </w:rPr>
            </w:pPr>
            <w:r>
              <w:rPr>
                <w:rFonts w:hint="eastAsia"/>
                <w:color w:val="auto"/>
                <w:highlight w:val="none"/>
              </w:rPr>
              <w:t>3、废水监测计划</w:t>
            </w:r>
          </w:p>
          <w:p w14:paraId="75231813">
            <w:pPr>
              <w:keepNext w:val="0"/>
              <w:keepLines w:val="0"/>
              <w:suppressLineNumbers w:val="0"/>
              <w:tabs>
                <w:tab w:val="left" w:pos="-900"/>
              </w:tabs>
              <w:snapToGrid w:val="0"/>
              <w:spacing w:before="0" w:beforeAutospacing="0" w:after="0" w:afterAutospacing="0"/>
              <w:ind w:left="0" w:right="0" w:firstLine="480"/>
              <w:rPr>
                <w:rFonts w:hint="default"/>
                <w:color w:val="auto"/>
                <w:highlight w:val="none"/>
              </w:rPr>
            </w:pPr>
            <w:r>
              <w:rPr>
                <w:rFonts w:hint="eastAsia"/>
                <w:color w:val="auto"/>
                <w:highlight w:val="none"/>
              </w:rPr>
              <w:t>根据</w:t>
            </w:r>
            <w:r>
              <w:rPr>
                <w:rFonts w:hint="default" w:ascii="Times New Roman" w:hAnsi="Times New Roman" w:cs="Times New Roman"/>
                <w:color w:val="auto"/>
                <w:sz w:val="24"/>
              </w:rPr>
              <w:t>《排污单位自行监测技术指南 总则》（HJ819-2017）</w:t>
            </w:r>
            <w:r>
              <w:rPr>
                <w:rFonts w:hint="default" w:ascii="Times New Roman" w:hAnsi="Times New Roman" w:cs="Times New Roman"/>
                <w:color w:val="auto"/>
                <w:sz w:val="24"/>
                <w:lang w:eastAsia="zh-CN"/>
              </w:rPr>
              <w:t>、《排污单位自行监测技术指南 食品制造》</w:t>
            </w:r>
            <w:r>
              <w:rPr>
                <w:rFonts w:hint="default" w:ascii="Times New Roman" w:hAnsi="Times New Roman" w:cs="Times New Roman"/>
                <w:color w:val="auto"/>
                <w:sz w:val="24"/>
              </w:rPr>
              <w:t>（HJ</w:t>
            </w:r>
            <w:r>
              <w:rPr>
                <w:rFonts w:hint="default" w:ascii="Times New Roman" w:hAnsi="Times New Roman" w:cs="Times New Roman"/>
                <w:color w:val="auto"/>
                <w:sz w:val="24"/>
                <w:lang w:val="en-US" w:eastAsia="zh-CN"/>
              </w:rPr>
              <w:t>1084-2020</w:t>
            </w:r>
            <w:r>
              <w:rPr>
                <w:rFonts w:hint="default" w:ascii="Times New Roman" w:hAnsi="Times New Roman" w:cs="Times New Roman"/>
                <w:color w:val="auto"/>
                <w:sz w:val="24"/>
              </w:rPr>
              <w:t>）</w:t>
            </w:r>
            <w:r>
              <w:rPr>
                <w:rFonts w:hint="default"/>
                <w:color w:val="auto"/>
                <w:highlight w:val="none"/>
              </w:rPr>
              <w:t>，本项目</w:t>
            </w:r>
            <w:r>
              <w:rPr>
                <w:rFonts w:hint="eastAsia"/>
                <w:color w:val="auto"/>
                <w:highlight w:val="none"/>
              </w:rPr>
              <w:t>废水</w:t>
            </w:r>
            <w:r>
              <w:rPr>
                <w:rFonts w:hint="default"/>
                <w:color w:val="auto"/>
                <w:highlight w:val="none"/>
              </w:rPr>
              <w:t>监测计划</w:t>
            </w:r>
            <w:r>
              <w:rPr>
                <w:rFonts w:hint="eastAsia"/>
                <w:color w:val="auto"/>
                <w:highlight w:val="none"/>
                <w:lang w:val="en-US" w:eastAsia="zh-CN"/>
              </w:rPr>
              <w:t>如下：</w:t>
            </w:r>
          </w:p>
          <w:p w14:paraId="2413E14B">
            <w:pPr>
              <w:pStyle w:val="77"/>
              <w:keepNext w:val="0"/>
              <w:keepLines w:val="0"/>
              <w:widowControl/>
              <w:suppressLineNumbers w:val="0"/>
              <w:spacing w:before="0" w:beforeLines="0" w:beforeAutospacing="0" w:after="0" w:afterAutospacing="0" w:line="240" w:lineRule="auto"/>
              <w:ind w:left="0" w:right="0"/>
              <w:rPr>
                <w:rFonts w:hint="default" w:eastAsia="宋体"/>
                <w:b/>
                <w:bCs/>
                <w:color w:val="auto"/>
                <w:highlight w:val="none"/>
                <w:lang w:val="zh-CN"/>
              </w:rPr>
            </w:pPr>
            <w:r>
              <w:rPr>
                <w:rFonts w:hint="default" w:eastAsia="宋体"/>
                <w:b/>
                <w:bCs/>
                <w:color w:val="auto"/>
                <w:highlight w:val="none"/>
                <w:lang w:val="zh-CN"/>
              </w:rPr>
              <w:t>表</w:t>
            </w:r>
            <w:r>
              <w:rPr>
                <w:rFonts w:hint="eastAsia" w:eastAsia="宋体"/>
                <w:b/>
                <w:bCs/>
                <w:color w:val="auto"/>
                <w:highlight w:val="none"/>
              </w:rPr>
              <w:t>4-7</w:t>
            </w:r>
            <w:r>
              <w:rPr>
                <w:rFonts w:hint="default" w:eastAsia="宋体"/>
                <w:b/>
                <w:bCs/>
                <w:color w:val="auto"/>
                <w:highlight w:val="none"/>
                <w:lang w:val="zh-CN"/>
              </w:rPr>
              <w:t xml:space="preserve">  </w:t>
            </w:r>
            <w:r>
              <w:rPr>
                <w:rFonts w:hint="eastAsia" w:eastAsia="宋体"/>
                <w:b/>
                <w:bCs/>
                <w:color w:val="auto"/>
                <w:highlight w:val="none"/>
                <w:lang w:val="en-US" w:eastAsia="zh-CN"/>
              </w:rPr>
              <w:t xml:space="preserve"> </w:t>
            </w:r>
            <w:r>
              <w:rPr>
                <w:rFonts w:hint="default" w:eastAsia="宋体"/>
                <w:b/>
                <w:bCs/>
                <w:color w:val="auto"/>
                <w:highlight w:val="none"/>
                <w:lang w:val="zh-CN"/>
              </w:rPr>
              <w:t xml:space="preserve"> 本项目运营期环境监测一览表</w:t>
            </w:r>
          </w:p>
          <w:tbl>
            <w:tblPr>
              <w:tblStyle w:val="37"/>
              <w:tblW w:w="4998" w:type="pct"/>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950"/>
              <w:gridCol w:w="1130"/>
              <w:gridCol w:w="1472"/>
              <w:gridCol w:w="1088"/>
              <w:gridCol w:w="3628"/>
            </w:tblGrid>
            <w:tr w14:paraId="444F5D5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624" w:hRule="atLeast"/>
                <w:jc w:val="center"/>
              </w:trPr>
              <w:tc>
                <w:tcPr>
                  <w:tcW w:w="574" w:type="pct"/>
                  <w:vAlign w:val="center"/>
                </w:tcPr>
                <w:p w14:paraId="4AC7BE0D">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类别</w:t>
                  </w:r>
                </w:p>
              </w:tc>
              <w:tc>
                <w:tcPr>
                  <w:tcW w:w="683" w:type="pct"/>
                  <w:vAlign w:val="center"/>
                </w:tcPr>
                <w:p w14:paraId="19C635EB">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监测</w:t>
                  </w:r>
                  <w:r>
                    <w:rPr>
                      <w:rFonts w:hint="eastAsia"/>
                      <w:color w:val="auto"/>
                      <w:szCs w:val="20"/>
                      <w:highlight w:val="none"/>
                    </w:rPr>
                    <w:t>点位</w:t>
                  </w:r>
                </w:p>
              </w:tc>
              <w:tc>
                <w:tcPr>
                  <w:tcW w:w="890" w:type="pct"/>
                  <w:vAlign w:val="center"/>
                </w:tcPr>
                <w:p w14:paraId="724AE7A2">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监测</w:t>
                  </w:r>
                  <w:r>
                    <w:rPr>
                      <w:rFonts w:hint="eastAsia"/>
                      <w:color w:val="auto"/>
                      <w:szCs w:val="20"/>
                      <w:highlight w:val="none"/>
                    </w:rPr>
                    <w:t>因子</w:t>
                  </w:r>
                </w:p>
              </w:tc>
              <w:tc>
                <w:tcPr>
                  <w:tcW w:w="657" w:type="pct"/>
                  <w:vAlign w:val="center"/>
                </w:tcPr>
                <w:p w14:paraId="54D473A7">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监测</w:t>
                  </w:r>
                </w:p>
                <w:p w14:paraId="31973BF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频率</w:t>
                  </w:r>
                </w:p>
              </w:tc>
              <w:tc>
                <w:tcPr>
                  <w:tcW w:w="2194" w:type="pct"/>
                  <w:vAlign w:val="center"/>
                </w:tcPr>
                <w:p w14:paraId="142289DD">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控制指标</w:t>
                  </w:r>
                </w:p>
              </w:tc>
            </w:tr>
            <w:tr w14:paraId="404CE86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624" w:hRule="atLeast"/>
                <w:jc w:val="center"/>
              </w:trPr>
              <w:tc>
                <w:tcPr>
                  <w:tcW w:w="574" w:type="pct"/>
                  <w:vAlign w:val="center"/>
                </w:tcPr>
                <w:p w14:paraId="0806A8C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废水</w:t>
                  </w:r>
                </w:p>
              </w:tc>
              <w:tc>
                <w:tcPr>
                  <w:tcW w:w="683" w:type="pct"/>
                  <w:vAlign w:val="center"/>
                </w:tcPr>
                <w:p w14:paraId="57EA8A8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厂区总排口DW001</w:t>
                  </w:r>
                </w:p>
              </w:tc>
              <w:tc>
                <w:tcPr>
                  <w:tcW w:w="890" w:type="pct"/>
                  <w:vAlign w:val="center"/>
                </w:tcPr>
                <w:p w14:paraId="1F0C0230">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default"/>
                      <w:color w:val="auto"/>
                      <w:szCs w:val="20"/>
                      <w:highlight w:val="none"/>
                    </w:rPr>
                    <w:t>COD、SS、BOD</w:t>
                  </w:r>
                  <w:r>
                    <w:rPr>
                      <w:rFonts w:hint="default"/>
                      <w:color w:val="auto"/>
                      <w:szCs w:val="20"/>
                      <w:highlight w:val="none"/>
                      <w:vertAlign w:val="subscript"/>
                    </w:rPr>
                    <w:t>5</w:t>
                  </w:r>
                  <w:r>
                    <w:rPr>
                      <w:rFonts w:hint="default"/>
                      <w:color w:val="auto"/>
                      <w:szCs w:val="20"/>
                      <w:highlight w:val="none"/>
                    </w:rPr>
                    <w:t>、NH</w:t>
                  </w:r>
                  <w:r>
                    <w:rPr>
                      <w:rFonts w:hint="default"/>
                      <w:color w:val="auto"/>
                      <w:szCs w:val="20"/>
                      <w:highlight w:val="none"/>
                      <w:vertAlign w:val="subscript"/>
                    </w:rPr>
                    <w:t>3</w:t>
                  </w:r>
                  <w:r>
                    <w:rPr>
                      <w:rFonts w:hint="default"/>
                      <w:color w:val="auto"/>
                      <w:szCs w:val="20"/>
                      <w:highlight w:val="none"/>
                    </w:rPr>
                    <w:t>-N、</w:t>
                  </w:r>
                  <w:r>
                    <w:rPr>
                      <w:rFonts w:hint="eastAsia"/>
                      <w:color w:val="auto"/>
                      <w:szCs w:val="20"/>
                      <w:highlight w:val="none"/>
                      <w:lang w:val="en-US" w:eastAsia="zh-CN"/>
                    </w:rPr>
                    <w:t>动植物油、TP、TN、LAS</w:t>
                  </w:r>
                </w:p>
              </w:tc>
              <w:tc>
                <w:tcPr>
                  <w:tcW w:w="657" w:type="pct"/>
                  <w:vAlign w:val="center"/>
                </w:tcPr>
                <w:p w14:paraId="2B6ABF29">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1次/</w:t>
                  </w:r>
                  <w:r>
                    <w:rPr>
                      <w:rFonts w:hint="eastAsia"/>
                      <w:color w:val="auto"/>
                      <w:szCs w:val="20"/>
                      <w:highlight w:val="none"/>
                      <w:lang w:val="en-US" w:eastAsia="zh-CN"/>
                    </w:rPr>
                    <w:t>半</w:t>
                  </w:r>
                  <w:r>
                    <w:rPr>
                      <w:rFonts w:hint="eastAsia"/>
                      <w:color w:val="auto"/>
                      <w:szCs w:val="20"/>
                      <w:highlight w:val="none"/>
                    </w:rPr>
                    <w:t>年</w:t>
                  </w:r>
                </w:p>
              </w:tc>
              <w:tc>
                <w:tcPr>
                  <w:tcW w:w="2194" w:type="pct"/>
                  <w:vAlign w:val="center"/>
                </w:tcPr>
                <w:p w14:paraId="3609A509">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《污水综合排放标准》（GB8978-1996）三级标准</w:t>
                  </w:r>
                  <w:r>
                    <w:rPr>
                      <w:rFonts w:hint="eastAsia"/>
                      <w:color w:val="auto"/>
                      <w:szCs w:val="20"/>
                      <w:highlight w:val="none"/>
                    </w:rPr>
                    <w:t>及</w:t>
                  </w:r>
                  <w:r>
                    <w:rPr>
                      <w:rFonts w:hint="default"/>
                      <w:color w:val="auto"/>
                      <w:szCs w:val="20"/>
                      <w:highlight w:val="none"/>
                    </w:rPr>
                    <w:t>《污水排入城镇下水道水质标准》（GB/T 31962-2015）B级标准</w:t>
                  </w:r>
                </w:p>
              </w:tc>
            </w:tr>
          </w:tbl>
          <w:p w14:paraId="1EA9ED4E">
            <w:pPr>
              <w:keepNext w:val="0"/>
              <w:keepLines w:val="0"/>
              <w:suppressLineNumbers w:val="0"/>
              <w:spacing w:before="0" w:beforeAutospacing="0" w:after="0" w:afterAutospacing="0"/>
              <w:ind w:left="0" w:right="0" w:firstLine="482"/>
              <w:rPr>
                <w:rFonts w:hint="default"/>
                <w:b/>
                <w:bCs/>
                <w:color w:val="auto"/>
                <w:highlight w:val="none"/>
              </w:rPr>
            </w:pPr>
            <w:r>
              <w:rPr>
                <w:rFonts w:hint="default"/>
                <w:b/>
                <w:bCs/>
                <w:color w:val="auto"/>
                <w:highlight w:val="none"/>
              </w:rPr>
              <w:t>三、</w:t>
            </w:r>
            <w:r>
              <w:rPr>
                <w:rFonts w:hint="eastAsia"/>
                <w:b/>
                <w:bCs/>
                <w:color w:val="auto"/>
                <w:highlight w:val="none"/>
              </w:rPr>
              <w:t>噪声</w:t>
            </w:r>
          </w:p>
          <w:p w14:paraId="184A1FEC">
            <w:pPr>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1、噪声源</w:t>
            </w:r>
            <w:r>
              <w:rPr>
                <w:rFonts w:hint="eastAsia"/>
                <w:color w:val="auto"/>
                <w:highlight w:val="none"/>
              </w:rPr>
              <w:t>及源强分析</w:t>
            </w:r>
          </w:p>
          <w:p w14:paraId="1AFB0BE1">
            <w:pPr>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项目噪声主要是设备运转时产生的设备噪声，主要设备为</w:t>
            </w:r>
            <w:r>
              <w:rPr>
                <w:rFonts w:hint="eastAsia"/>
                <w:color w:val="auto"/>
                <w:highlight w:val="none"/>
                <w:lang w:val="en-US" w:eastAsia="zh-CN"/>
              </w:rPr>
              <w:t>和面</w:t>
            </w:r>
            <w:r>
              <w:rPr>
                <w:rFonts w:hint="default"/>
                <w:color w:val="auto"/>
                <w:highlight w:val="none"/>
              </w:rPr>
              <w:t>机</w:t>
            </w:r>
            <w:r>
              <w:rPr>
                <w:rFonts w:hint="eastAsia"/>
                <w:color w:val="auto"/>
                <w:highlight w:val="none"/>
                <w:lang w:eastAsia="zh-CN"/>
              </w:rPr>
              <w:t>、</w:t>
            </w:r>
            <w:r>
              <w:rPr>
                <w:rFonts w:hint="eastAsia"/>
                <w:color w:val="auto"/>
                <w:highlight w:val="none"/>
                <w:lang w:val="en-US" w:eastAsia="zh-CN"/>
              </w:rPr>
              <w:t>搅拌机、包装机</w:t>
            </w:r>
            <w:r>
              <w:rPr>
                <w:rFonts w:hint="eastAsia"/>
                <w:color w:val="auto"/>
                <w:highlight w:val="none"/>
                <w:lang w:eastAsia="zh-CN"/>
              </w:rPr>
              <w:t>、</w:t>
            </w:r>
            <w:r>
              <w:rPr>
                <w:rFonts w:hint="eastAsia"/>
                <w:color w:val="auto"/>
                <w:highlight w:val="none"/>
                <w:lang w:val="en-US" w:eastAsia="zh-CN"/>
              </w:rPr>
              <w:t>燃气锅炉、</w:t>
            </w:r>
            <w:r>
              <w:rPr>
                <w:rFonts w:hint="eastAsia"/>
                <w:color w:val="auto"/>
                <w:highlight w:val="none"/>
              </w:rPr>
              <w:t>冷却塔</w:t>
            </w:r>
            <w:r>
              <w:rPr>
                <w:rFonts w:hint="default"/>
                <w:color w:val="auto"/>
                <w:highlight w:val="none"/>
              </w:rPr>
              <w:t>风机等，噪声源强约</w:t>
            </w:r>
            <w:r>
              <w:rPr>
                <w:rFonts w:hint="eastAsia"/>
                <w:color w:val="auto"/>
                <w:highlight w:val="none"/>
                <w:lang w:val="en-US" w:eastAsia="zh-CN"/>
              </w:rPr>
              <w:t>75</w:t>
            </w:r>
            <w:r>
              <w:rPr>
                <w:rFonts w:hint="default"/>
                <w:color w:val="auto"/>
                <w:highlight w:val="none"/>
              </w:rPr>
              <w:t>~</w:t>
            </w:r>
            <w:r>
              <w:rPr>
                <w:rFonts w:hint="eastAsia"/>
                <w:color w:val="auto"/>
                <w:highlight w:val="none"/>
                <w:lang w:val="en-US" w:eastAsia="zh-CN"/>
              </w:rPr>
              <w:t>95</w:t>
            </w:r>
            <w:r>
              <w:rPr>
                <w:rFonts w:hint="default"/>
                <w:color w:val="auto"/>
                <w:highlight w:val="none"/>
              </w:rPr>
              <w:t>dB（A）</w:t>
            </w:r>
            <w:r>
              <w:rPr>
                <w:rFonts w:hint="default"/>
                <w:color w:val="auto"/>
                <w:highlight w:val="none"/>
                <w:lang w:bidi="ar"/>
              </w:rPr>
              <w:t>。</w:t>
            </w:r>
            <w:r>
              <w:rPr>
                <w:rFonts w:hint="default"/>
                <w:color w:val="auto"/>
                <w:highlight w:val="none"/>
              </w:rPr>
              <w:t>主要噪声源强</w:t>
            </w:r>
            <w:r>
              <w:rPr>
                <w:rFonts w:hint="eastAsia"/>
                <w:color w:val="auto"/>
                <w:highlight w:val="none"/>
              </w:rPr>
              <w:t>情况见</w:t>
            </w:r>
            <w:r>
              <w:rPr>
                <w:rFonts w:hint="eastAsia"/>
                <w:color w:val="auto"/>
                <w:highlight w:val="none"/>
                <w:lang w:val="en-US" w:eastAsia="zh-CN"/>
              </w:rPr>
              <w:t>下</w:t>
            </w:r>
            <w:r>
              <w:rPr>
                <w:rFonts w:hint="default"/>
                <w:color w:val="auto"/>
                <w:highlight w:val="none"/>
              </w:rPr>
              <w:t>表。</w:t>
            </w:r>
          </w:p>
          <w:p w14:paraId="69E031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4"/>
                <w:szCs w:val="24"/>
                <w:highlight w:val="none"/>
              </w:rPr>
            </w:pPr>
          </w:p>
          <w:p w14:paraId="652CD7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表4-</w:t>
            </w:r>
            <w:r>
              <w:rPr>
                <w:rFonts w:hint="eastAsia" w:ascii="Times New Roman" w:hAnsi="Times New Roman" w:eastAsia="宋体" w:cs="Times New Roman"/>
                <w:b/>
                <w:bCs/>
                <w:color w:val="auto"/>
                <w:sz w:val="24"/>
                <w:szCs w:val="24"/>
                <w:highlight w:val="none"/>
                <w:lang w:val="en-US" w:eastAsia="zh-CN"/>
              </w:rPr>
              <w:t xml:space="preserve">8 </w:t>
            </w:r>
            <w:r>
              <w:rPr>
                <w:rFonts w:hint="default" w:ascii="Times New Roman" w:hAnsi="Times New Roman" w:eastAsia="宋体" w:cs="Times New Roman"/>
                <w:b/>
                <w:bCs/>
                <w:color w:val="auto"/>
                <w:sz w:val="24"/>
                <w:szCs w:val="24"/>
                <w:highlight w:val="none"/>
              </w:rPr>
              <w:t xml:space="preserve"> </w:t>
            </w:r>
            <w:r>
              <w:rPr>
                <w:rFonts w:hint="eastAsia" w:ascii="Times New Roman" w:hAnsi="Times New Roman" w:eastAsia="宋体" w:cs="Times New Roman"/>
                <w:b/>
                <w:bCs/>
                <w:color w:val="auto"/>
                <w:sz w:val="24"/>
                <w:szCs w:val="24"/>
                <w:highlight w:val="none"/>
                <w:lang w:val="en-US" w:eastAsia="zh-CN"/>
              </w:rPr>
              <w:t xml:space="preserve"> </w:t>
            </w:r>
            <w:r>
              <w:rPr>
                <w:rFonts w:hint="default" w:ascii="Times New Roman" w:hAnsi="Times New Roman" w:eastAsia="宋体" w:cs="Times New Roman"/>
                <w:b/>
                <w:bCs/>
                <w:color w:val="auto"/>
                <w:sz w:val="24"/>
                <w:szCs w:val="24"/>
                <w:highlight w:val="none"/>
              </w:rPr>
              <w:t xml:space="preserve"> </w:t>
            </w:r>
            <w:r>
              <w:rPr>
                <w:rFonts w:hint="eastAsia" w:ascii="Times New Roman" w:hAnsi="Times New Roman" w:eastAsia="宋体" w:cs="Times New Roman"/>
                <w:b/>
                <w:bCs/>
                <w:color w:val="auto"/>
                <w:sz w:val="24"/>
                <w:szCs w:val="24"/>
                <w:highlight w:val="none"/>
                <w:lang w:val="en-US" w:eastAsia="zh-CN"/>
              </w:rPr>
              <w:t>噪声源强调查清单</w:t>
            </w:r>
            <w:r>
              <w:rPr>
                <w:rFonts w:hint="eastAsia" w:ascii="Times New Roman" w:hAnsi="Times New Roman" w:eastAsia="宋体" w:cs="Times New Roman"/>
                <w:b/>
                <w:bCs/>
                <w:color w:val="auto"/>
                <w:sz w:val="24"/>
                <w:szCs w:val="24"/>
                <w:highlight w:val="none"/>
                <w:lang w:eastAsia="zh-CN"/>
              </w:rPr>
              <w:t>（</w:t>
            </w:r>
            <w:r>
              <w:rPr>
                <w:rFonts w:hint="eastAsia" w:ascii="Times New Roman" w:hAnsi="Times New Roman" w:eastAsia="宋体" w:cs="Times New Roman"/>
                <w:b/>
                <w:bCs/>
                <w:color w:val="auto"/>
                <w:sz w:val="24"/>
                <w:szCs w:val="24"/>
                <w:highlight w:val="none"/>
                <w:lang w:val="en-US" w:eastAsia="zh-CN"/>
              </w:rPr>
              <w:t>室内</w:t>
            </w:r>
            <w:r>
              <w:rPr>
                <w:rFonts w:hint="eastAsia" w:ascii="Times New Roman" w:hAnsi="Times New Roman" w:eastAsia="宋体" w:cs="Times New Roman"/>
                <w:b/>
                <w:bCs/>
                <w:color w:val="auto"/>
                <w:sz w:val="24"/>
                <w:szCs w:val="24"/>
                <w:highlight w:val="none"/>
                <w:lang w:eastAsia="zh-CN"/>
              </w:rPr>
              <w:t>）</w:t>
            </w:r>
          </w:p>
          <w:tbl>
            <w:tblPr>
              <w:tblStyle w:val="37"/>
              <w:tblW w:w="495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19"/>
              <w:gridCol w:w="957"/>
              <w:gridCol w:w="618"/>
              <w:gridCol w:w="994"/>
              <w:gridCol w:w="750"/>
              <w:gridCol w:w="885"/>
              <w:gridCol w:w="908"/>
              <w:gridCol w:w="692"/>
              <w:gridCol w:w="421"/>
              <w:gridCol w:w="678"/>
              <w:gridCol w:w="678"/>
            </w:tblGrid>
            <w:tr w14:paraId="3B87E6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25" w:hRule="atLeast"/>
                <w:jc w:val="center"/>
              </w:trPr>
              <w:tc>
                <w:tcPr>
                  <w:tcW w:w="377" w:type="pct"/>
                  <w:vMerge w:val="restart"/>
                  <w:tcBorders>
                    <w:tl2br w:val="nil"/>
                    <w:tr2bl w:val="nil"/>
                  </w:tcBorders>
                  <w:noWrap w:val="0"/>
                  <w:vAlign w:val="center"/>
                </w:tcPr>
                <w:p w14:paraId="0FA8F2AB">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default" w:ascii="Times New Roman" w:eastAsiaTheme="minorEastAsia"/>
                      <w:color w:val="auto"/>
                      <w:sz w:val="21"/>
                      <w:szCs w:val="21"/>
                      <w:highlight w:val="none"/>
                      <w:lang w:val="en-US" w:eastAsia="zh-CN"/>
                    </w:rPr>
                    <w:t>建筑名称</w:t>
                  </w:r>
                </w:p>
              </w:tc>
              <w:tc>
                <w:tcPr>
                  <w:tcW w:w="583" w:type="pct"/>
                  <w:vMerge w:val="restart"/>
                  <w:tcBorders>
                    <w:tl2br w:val="nil"/>
                    <w:tr2bl w:val="nil"/>
                  </w:tcBorders>
                  <w:noWrap w:val="0"/>
                  <w:vAlign w:val="center"/>
                </w:tcPr>
                <w:p w14:paraId="7638CEAC">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default" w:ascii="Times New Roman" w:eastAsiaTheme="minorEastAsia"/>
                      <w:color w:val="auto"/>
                      <w:sz w:val="21"/>
                      <w:szCs w:val="21"/>
                      <w:highlight w:val="none"/>
                      <w:lang w:val="en-US" w:eastAsia="zh-CN"/>
                    </w:rPr>
                    <w:t>声源</w:t>
                  </w:r>
                  <w:r>
                    <w:rPr>
                      <w:rFonts w:hint="eastAsia" w:ascii="Times New Roman" w:eastAsiaTheme="minorEastAsia"/>
                      <w:color w:val="auto"/>
                      <w:sz w:val="21"/>
                      <w:szCs w:val="21"/>
                      <w:highlight w:val="none"/>
                      <w:lang w:val="en-US" w:eastAsia="zh-CN"/>
                    </w:rPr>
                    <w:t>名称</w:t>
                  </w:r>
                </w:p>
              </w:tc>
              <w:tc>
                <w:tcPr>
                  <w:tcW w:w="376" w:type="pct"/>
                  <w:vMerge w:val="restart"/>
                  <w:tcBorders>
                    <w:tl2br w:val="nil"/>
                    <w:tr2bl w:val="nil"/>
                  </w:tcBorders>
                  <w:noWrap w:val="0"/>
                  <w:vAlign w:val="center"/>
                </w:tcPr>
                <w:p w14:paraId="61493875">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default" w:ascii="Times New Roman" w:eastAsiaTheme="minorEastAsia"/>
                      <w:color w:val="auto"/>
                      <w:sz w:val="21"/>
                      <w:szCs w:val="21"/>
                      <w:highlight w:val="none"/>
                      <w:lang w:val="zh-CN" w:eastAsia="zh-CN"/>
                    </w:rPr>
                    <w:t>数量</w:t>
                  </w:r>
                  <w:r>
                    <w:rPr>
                      <w:rFonts w:hint="eastAsia" w:ascii="Times New Roman" w:eastAsiaTheme="minorEastAsia"/>
                      <w:color w:val="auto"/>
                      <w:sz w:val="21"/>
                      <w:szCs w:val="21"/>
                      <w:highlight w:val="none"/>
                      <w:lang w:val="en-US" w:eastAsia="zh-CN"/>
                    </w:rPr>
                    <w:t>（台）</w:t>
                  </w:r>
                </w:p>
              </w:tc>
              <w:tc>
                <w:tcPr>
                  <w:tcW w:w="606" w:type="pct"/>
                  <w:tcBorders>
                    <w:tl2br w:val="nil"/>
                    <w:tr2bl w:val="nil"/>
                  </w:tcBorders>
                  <w:noWrap w:val="0"/>
                  <w:vAlign w:val="center"/>
                </w:tcPr>
                <w:p w14:paraId="11D4E4BF">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声源源强</w:t>
                  </w:r>
                  <w:r>
                    <w:rPr>
                      <w:rFonts w:hint="default" w:ascii="Times New Roman" w:eastAsiaTheme="minorEastAsia"/>
                      <w:color w:val="auto"/>
                      <w:sz w:val="21"/>
                      <w:szCs w:val="21"/>
                      <w:highlight w:val="none"/>
                      <w:lang w:val="en-US" w:eastAsia="zh-CN"/>
                    </w:rPr>
                    <w:t>dB（A）</w:t>
                  </w:r>
                </w:p>
              </w:tc>
              <w:tc>
                <w:tcPr>
                  <w:tcW w:w="457" w:type="pct"/>
                  <w:vMerge w:val="restart"/>
                  <w:tcBorders>
                    <w:tl2br w:val="nil"/>
                    <w:tr2bl w:val="nil"/>
                  </w:tcBorders>
                  <w:noWrap w:val="0"/>
                  <w:vAlign w:val="center"/>
                </w:tcPr>
                <w:p w14:paraId="6F693B6E">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声源控制</w:t>
                  </w:r>
                  <w:r>
                    <w:rPr>
                      <w:rFonts w:hint="default" w:ascii="Times New Roman" w:eastAsiaTheme="minorEastAsia"/>
                      <w:color w:val="auto"/>
                      <w:sz w:val="21"/>
                      <w:szCs w:val="21"/>
                      <w:highlight w:val="none"/>
                      <w:lang w:val="en-US" w:eastAsia="zh-CN"/>
                    </w:rPr>
                    <w:t>措施</w:t>
                  </w:r>
                </w:p>
              </w:tc>
              <w:tc>
                <w:tcPr>
                  <w:tcW w:w="1515" w:type="pct"/>
                  <w:gridSpan w:val="3"/>
                  <w:tcBorders>
                    <w:tl2br w:val="nil"/>
                    <w:tr2bl w:val="nil"/>
                  </w:tcBorders>
                  <w:noWrap w:val="0"/>
                  <w:vAlign w:val="center"/>
                </w:tcPr>
                <w:p w14:paraId="5D280009">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空间相对位置/m</w:t>
                  </w:r>
                </w:p>
              </w:tc>
              <w:tc>
                <w:tcPr>
                  <w:tcW w:w="256" w:type="pct"/>
                  <w:vMerge w:val="restart"/>
                  <w:tcBorders>
                    <w:tl2br w:val="nil"/>
                    <w:tr2bl w:val="nil"/>
                  </w:tcBorders>
                  <w:noWrap w:val="0"/>
                  <w:vAlign w:val="center"/>
                </w:tcPr>
                <w:p w14:paraId="01A9D9FE">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zh-CN" w:eastAsia="zh-CN"/>
                    </w:rPr>
                  </w:pPr>
                  <w:r>
                    <w:rPr>
                      <w:rFonts w:hint="default" w:ascii="Times New Roman" w:eastAsiaTheme="minorEastAsia"/>
                      <w:color w:val="auto"/>
                      <w:sz w:val="21"/>
                      <w:szCs w:val="21"/>
                      <w:highlight w:val="none"/>
                      <w:lang w:val="en-US" w:eastAsia="zh-CN"/>
                    </w:rPr>
                    <w:t>运行时</w:t>
                  </w:r>
                  <w:r>
                    <w:rPr>
                      <w:rFonts w:hint="eastAsia" w:ascii="Times New Roman" w:eastAsiaTheme="minorEastAsia"/>
                      <w:color w:val="auto"/>
                      <w:sz w:val="21"/>
                      <w:szCs w:val="21"/>
                      <w:highlight w:val="none"/>
                      <w:lang w:val="en-US" w:eastAsia="zh-CN"/>
                    </w:rPr>
                    <w:t>段</w:t>
                  </w:r>
                </w:p>
              </w:tc>
              <w:tc>
                <w:tcPr>
                  <w:tcW w:w="413" w:type="pct"/>
                  <w:vMerge w:val="restart"/>
                  <w:tcBorders>
                    <w:tl2br w:val="nil"/>
                    <w:tr2bl w:val="nil"/>
                  </w:tcBorders>
                  <w:noWrap w:val="0"/>
                  <w:vAlign w:val="center"/>
                </w:tcPr>
                <w:p w14:paraId="6C0083C2">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default" w:ascii="Times New Roman" w:eastAsiaTheme="minorEastAsia"/>
                      <w:color w:val="auto"/>
                      <w:sz w:val="21"/>
                      <w:szCs w:val="21"/>
                      <w:highlight w:val="none"/>
                      <w:lang w:val="zh-CN" w:eastAsia="zh-CN"/>
                    </w:rPr>
                    <w:t>建筑物插入损失/dB(A)</w:t>
                  </w:r>
                </w:p>
              </w:tc>
              <w:tc>
                <w:tcPr>
                  <w:tcW w:w="413" w:type="pct"/>
                  <w:vMerge w:val="restart"/>
                  <w:tcBorders>
                    <w:tl2br w:val="nil"/>
                    <w:tr2bl w:val="nil"/>
                  </w:tcBorders>
                  <w:noWrap w:val="0"/>
                  <w:vAlign w:val="center"/>
                </w:tcPr>
                <w:p w14:paraId="48040358">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建筑物外噪声</w:t>
                  </w:r>
                  <w:r>
                    <w:rPr>
                      <w:rFonts w:hint="default" w:ascii="Times New Roman" w:eastAsiaTheme="minorEastAsia"/>
                      <w:color w:val="auto"/>
                      <w:sz w:val="21"/>
                      <w:szCs w:val="21"/>
                      <w:highlight w:val="none"/>
                      <w:lang w:val="en-US" w:eastAsia="zh-CN"/>
                    </w:rPr>
                    <w:t>dB（A）</w:t>
                  </w:r>
                </w:p>
              </w:tc>
            </w:tr>
            <w:tr w14:paraId="1C5901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continue"/>
                  <w:tcBorders>
                    <w:tl2br w:val="nil"/>
                    <w:tr2bl w:val="nil"/>
                  </w:tcBorders>
                  <w:noWrap w:val="0"/>
                  <w:vAlign w:val="center"/>
                </w:tcPr>
                <w:p w14:paraId="20D88912">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zh-CN" w:eastAsia="zh-CN"/>
                    </w:rPr>
                  </w:pPr>
                </w:p>
              </w:tc>
              <w:tc>
                <w:tcPr>
                  <w:tcW w:w="583" w:type="pct"/>
                  <w:vMerge w:val="continue"/>
                  <w:tcBorders>
                    <w:tl2br w:val="nil"/>
                    <w:tr2bl w:val="nil"/>
                  </w:tcBorders>
                  <w:noWrap w:val="0"/>
                  <w:vAlign w:val="center"/>
                </w:tcPr>
                <w:p w14:paraId="5DA5C776">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zh-CN" w:eastAsia="zh-CN"/>
                    </w:rPr>
                  </w:pPr>
                </w:p>
              </w:tc>
              <w:tc>
                <w:tcPr>
                  <w:tcW w:w="376" w:type="pct"/>
                  <w:vMerge w:val="continue"/>
                  <w:tcBorders>
                    <w:tl2br w:val="nil"/>
                    <w:tr2bl w:val="nil"/>
                  </w:tcBorders>
                  <w:noWrap w:val="0"/>
                  <w:vAlign w:val="center"/>
                </w:tcPr>
                <w:p w14:paraId="2BD641CF">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zh-CN" w:eastAsia="zh-CN"/>
                    </w:rPr>
                  </w:pPr>
                </w:p>
              </w:tc>
              <w:tc>
                <w:tcPr>
                  <w:tcW w:w="606" w:type="pct"/>
                  <w:tcBorders>
                    <w:tl2br w:val="nil"/>
                    <w:tr2bl w:val="nil"/>
                  </w:tcBorders>
                  <w:noWrap w:val="0"/>
                  <w:vAlign w:val="center"/>
                </w:tcPr>
                <w:p w14:paraId="5579AF18">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声功率级</w:t>
                  </w:r>
                </w:p>
              </w:tc>
              <w:tc>
                <w:tcPr>
                  <w:tcW w:w="457" w:type="pct"/>
                  <w:vMerge w:val="continue"/>
                  <w:tcBorders>
                    <w:tl2br w:val="nil"/>
                    <w:tr2bl w:val="nil"/>
                  </w:tcBorders>
                  <w:noWrap w:val="0"/>
                  <w:vAlign w:val="center"/>
                </w:tcPr>
                <w:p w14:paraId="19987F2D">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539" w:type="pct"/>
                  <w:tcBorders>
                    <w:tl2br w:val="nil"/>
                    <w:tr2bl w:val="nil"/>
                  </w:tcBorders>
                  <w:noWrap w:val="0"/>
                  <w:vAlign w:val="center"/>
                </w:tcPr>
                <w:p w14:paraId="7062014A">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X</w:t>
                  </w:r>
                </w:p>
              </w:tc>
              <w:tc>
                <w:tcPr>
                  <w:tcW w:w="553" w:type="pct"/>
                  <w:tcBorders>
                    <w:tl2br w:val="nil"/>
                    <w:tr2bl w:val="nil"/>
                  </w:tcBorders>
                  <w:noWrap w:val="0"/>
                  <w:vAlign w:val="center"/>
                </w:tcPr>
                <w:p w14:paraId="7E419E41">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Y</w:t>
                  </w:r>
                </w:p>
              </w:tc>
              <w:tc>
                <w:tcPr>
                  <w:tcW w:w="421" w:type="pct"/>
                  <w:tcBorders>
                    <w:tl2br w:val="nil"/>
                    <w:tr2bl w:val="nil"/>
                  </w:tcBorders>
                  <w:noWrap w:val="0"/>
                  <w:vAlign w:val="center"/>
                </w:tcPr>
                <w:p w14:paraId="031DD7E5">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Z</w:t>
                  </w:r>
                </w:p>
              </w:tc>
              <w:tc>
                <w:tcPr>
                  <w:tcW w:w="256" w:type="pct"/>
                  <w:vMerge w:val="continue"/>
                  <w:tcBorders>
                    <w:tl2br w:val="nil"/>
                    <w:tr2bl w:val="nil"/>
                  </w:tcBorders>
                  <w:noWrap w:val="0"/>
                  <w:vAlign w:val="center"/>
                </w:tcPr>
                <w:p w14:paraId="09994AFE">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413" w:type="pct"/>
                  <w:vMerge w:val="continue"/>
                  <w:tcBorders>
                    <w:tl2br w:val="nil"/>
                    <w:tr2bl w:val="nil"/>
                  </w:tcBorders>
                  <w:noWrap w:val="0"/>
                  <w:vAlign w:val="center"/>
                </w:tcPr>
                <w:p w14:paraId="129747E6">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413" w:type="pct"/>
                  <w:vMerge w:val="continue"/>
                  <w:tcBorders>
                    <w:tl2br w:val="nil"/>
                    <w:tr2bl w:val="nil"/>
                  </w:tcBorders>
                  <w:noWrap w:val="0"/>
                  <w:vAlign w:val="center"/>
                </w:tcPr>
                <w:p w14:paraId="619ADFEA">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r>
            <w:tr w14:paraId="555F60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restart"/>
                  <w:tcBorders>
                    <w:tl2br w:val="nil"/>
                    <w:tr2bl w:val="nil"/>
                  </w:tcBorders>
                  <w:noWrap w:val="0"/>
                  <w:vAlign w:val="center"/>
                </w:tcPr>
                <w:p w14:paraId="0CA1CA29">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1#锅炉房</w:t>
                  </w:r>
                </w:p>
              </w:tc>
              <w:tc>
                <w:tcPr>
                  <w:tcW w:w="583" w:type="pct"/>
                  <w:vMerge w:val="restart"/>
                  <w:tcBorders>
                    <w:tl2br w:val="nil"/>
                    <w:tr2bl w:val="nil"/>
                  </w:tcBorders>
                  <w:noWrap w:val="0"/>
                  <w:vAlign w:val="center"/>
                </w:tcPr>
                <w:p w14:paraId="760E32E1">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eastAsia="宋体" w:cs="Times New Roman"/>
                      <w:color w:val="auto"/>
                      <w:sz w:val="21"/>
                      <w:szCs w:val="21"/>
                      <w:highlight w:val="none"/>
                      <w:lang w:val="en-US" w:eastAsia="zh-CN"/>
                    </w:rPr>
                  </w:pPr>
                  <w:r>
                    <w:rPr>
                      <w:rFonts w:hint="eastAsia" w:ascii="Times New Roman" w:eastAsiaTheme="minorEastAsia"/>
                      <w:color w:val="auto"/>
                      <w:sz w:val="21"/>
                      <w:szCs w:val="21"/>
                      <w:highlight w:val="none"/>
                      <w:lang w:val="en-US" w:eastAsia="zh-CN"/>
                    </w:rPr>
                    <w:t>燃气锅炉</w:t>
                  </w:r>
                </w:p>
              </w:tc>
              <w:tc>
                <w:tcPr>
                  <w:tcW w:w="376" w:type="pct"/>
                  <w:vMerge w:val="restart"/>
                  <w:tcBorders>
                    <w:tl2br w:val="nil"/>
                    <w:tr2bl w:val="nil"/>
                  </w:tcBorders>
                  <w:noWrap w:val="0"/>
                  <w:vAlign w:val="center"/>
                </w:tcPr>
                <w:p w14:paraId="615A5425">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3</w:t>
                  </w:r>
                </w:p>
              </w:tc>
              <w:tc>
                <w:tcPr>
                  <w:tcW w:w="606" w:type="pct"/>
                  <w:vMerge w:val="restart"/>
                  <w:tcBorders>
                    <w:tl2br w:val="nil"/>
                    <w:tr2bl w:val="nil"/>
                  </w:tcBorders>
                  <w:noWrap w:val="0"/>
                  <w:vAlign w:val="center"/>
                </w:tcPr>
                <w:p w14:paraId="07F75856">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85</w:t>
                  </w:r>
                </w:p>
              </w:tc>
              <w:tc>
                <w:tcPr>
                  <w:tcW w:w="457" w:type="pct"/>
                  <w:vMerge w:val="restart"/>
                  <w:tcBorders>
                    <w:tl2br w:val="nil"/>
                    <w:tr2bl w:val="nil"/>
                  </w:tcBorders>
                  <w:noWrap w:val="0"/>
                  <w:vAlign w:val="center"/>
                </w:tcPr>
                <w:p w14:paraId="12735416">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宋体"/>
                      <w:color w:val="auto"/>
                      <w:sz w:val="21"/>
                      <w:szCs w:val="21"/>
                      <w:highlight w:val="none"/>
                      <w:lang w:val="en-US" w:eastAsia="zh-CN"/>
                    </w:rPr>
                  </w:pPr>
                  <w:r>
                    <w:rPr>
                      <w:rFonts w:hint="default" w:ascii="Times New Roman" w:hAnsi="Times New Roman" w:eastAsia="宋体" w:cs="Times New Roman"/>
                      <w:color w:val="auto"/>
                      <w:sz w:val="21"/>
                      <w:szCs w:val="21"/>
                      <w:highlight w:val="none"/>
                    </w:rPr>
                    <w:t>选用低噪声设备，厂房隔声、减振等措施</w:t>
                  </w:r>
                </w:p>
              </w:tc>
              <w:tc>
                <w:tcPr>
                  <w:tcW w:w="539" w:type="pct"/>
                  <w:tcBorders>
                    <w:tl2br w:val="nil"/>
                    <w:tr2bl w:val="nil"/>
                  </w:tcBorders>
                  <w:noWrap w:val="0"/>
                  <w:vAlign w:val="center"/>
                </w:tcPr>
                <w:p w14:paraId="097F0067">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hAnsi="Times New Roman" w:cs="Times New Roman" w:eastAsiaTheme="minorEastAsia"/>
                      <w:color w:val="auto"/>
                      <w:sz w:val="21"/>
                      <w:szCs w:val="21"/>
                      <w:highlight w:val="none"/>
                      <w:lang w:val="en-US" w:eastAsia="zh-CN"/>
                    </w:rPr>
                    <w:t>111.12</w:t>
                  </w:r>
                </w:p>
              </w:tc>
              <w:tc>
                <w:tcPr>
                  <w:tcW w:w="553" w:type="pct"/>
                  <w:tcBorders>
                    <w:tl2br w:val="nil"/>
                    <w:tr2bl w:val="nil"/>
                  </w:tcBorders>
                  <w:noWrap w:val="0"/>
                  <w:vAlign w:val="center"/>
                </w:tcPr>
                <w:p w14:paraId="5D8853F6">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hAnsi="Times New Roman" w:cs="Times New Roman" w:eastAsiaTheme="minorEastAsia"/>
                      <w:color w:val="auto"/>
                      <w:sz w:val="21"/>
                      <w:szCs w:val="21"/>
                      <w:highlight w:val="none"/>
                      <w:lang w:val="en-US" w:eastAsia="zh-CN"/>
                    </w:rPr>
                    <w:t>189.56</w:t>
                  </w:r>
                </w:p>
              </w:tc>
              <w:tc>
                <w:tcPr>
                  <w:tcW w:w="421" w:type="pct"/>
                  <w:tcBorders>
                    <w:tl2br w:val="nil"/>
                    <w:tr2bl w:val="nil"/>
                  </w:tcBorders>
                  <w:noWrap w:val="0"/>
                  <w:vAlign w:val="center"/>
                </w:tcPr>
                <w:p w14:paraId="249198B7">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w:t>
                  </w:r>
                </w:p>
              </w:tc>
              <w:tc>
                <w:tcPr>
                  <w:tcW w:w="256" w:type="pct"/>
                  <w:vMerge w:val="restart"/>
                  <w:tcBorders>
                    <w:tl2br w:val="nil"/>
                    <w:tr2bl w:val="nil"/>
                  </w:tcBorders>
                  <w:noWrap w:val="0"/>
                  <w:vAlign w:val="center"/>
                </w:tcPr>
                <w:p w14:paraId="2FC40E8F">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宋体"/>
                      <w:color w:val="auto"/>
                      <w:sz w:val="21"/>
                      <w:szCs w:val="21"/>
                      <w:highlight w:val="none"/>
                      <w:lang w:val="en-US" w:eastAsia="zh-CN"/>
                    </w:rPr>
                  </w:pPr>
                  <w:r>
                    <w:rPr>
                      <w:rFonts w:hint="eastAsia" w:ascii="Times New Roman"/>
                      <w:color w:val="auto"/>
                      <w:sz w:val="21"/>
                      <w:szCs w:val="21"/>
                      <w:highlight w:val="none"/>
                      <w:lang w:val="en-US" w:eastAsia="zh-CN"/>
                    </w:rPr>
                    <w:t>昼间、</w:t>
                  </w:r>
                  <w:r>
                    <w:rPr>
                      <w:rFonts w:hint="default" w:ascii="Times New Roman"/>
                      <w:color w:val="auto"/>
                      <w:sz w:val="21"/>
                      <w:szCs w:val="21"/>
                      <w:highlight w:val="none"/>
                    </w:rPr>
                    <w:t>连续稳定</w:t>
                  </w:r>
                </w:p>
              </w:tc>
              <w:tc>
                <w:tcPr>
                  <w:tcW w:w="413" w:type="pct"/>
                  <w:vMerge w:val="restart"/>
                  <w:tcBorders>
                    <w:tl2br w:val="nil"/>
                    <w:tr2bl w:val="nil"/>
                  </w:tcBorders>
                  <w:noWrap w:val="0"/>
                  <w:vAlign w:val="center"/>
                </w:tcPr>
                <w:p w14:paraId="3572E375">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25</w:t>
                  </w:r>
                </w:p>
              </w:tc>
              <w:tc>
                <w:tcPr>
                  <w:tcW w:w="413" w:type="pct"/>
                  <w:vMerge w:val="restart"/>
                  <w:tcBorders>
                    <w:tl2br w:val="nil"/>
                    <w:tr2bl w:val="nil"/>
                  </w:tcBorders>
                  <w:noWrap w:val="0"/>
                  <w:vAlign w:val="center"/>
                </w:tcPr>
                <w:p w14:paraId="0DF8687A">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60</w:t>
                  </w:r>
                </w:p>
              </w:tc>
            </w:tr>
            <w:tr w14:paraId="36CF76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continue"/>
                  <w:tcBorders>
                    <w:tl2br w:val="nil"/>
                    <w:tr2bl w:val="nil"/>
                  </w:tcBorders>
                  <w:noWrap w:val="0"/>
                  <w:vAlign w:val="center"/>
                </w:tcPr>
                <w:p w14:paraId="2AE63786">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hAnsi="Times New Roman" w:eastAsia="宋体" w:cs="Times New Roman"/>
                      <w:color w:val="auto"/>
                      <w:sz w:val="21"/>
                      <w:szCs w:val="21"/>
                      <w:highlight w:val="none"/>
                      <w:lang w:val="en-US" w:eastAsia="zh-CN"/>
                    </w:rPr>
                  </w:pPr>
                </w:p>
              </w:tc>
              <w:tc>
                <w:tcPr>
                  <w:tcW w:w="583" w:type="pct"/>
                  <w:vMerge w:val="continue"/>
                  <w:tcBorders>
                    <w:tl2br w:val="nil"/>
                    <w:tr2bl w:val="nil"/>
                  </w:tcBorders>
                  <w:noWrap w:val="0"/>
                  <w:vAlign w:val="center"/>
                </w:tcPr>
                <w:p w14:paraId="230268DD">
                  <w:pPr>
                    <w:pStyle w:val="80"/>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p>
              </w:tc>
              <w:tc>
                <w:tcPr>
                  <w:tcW w:w="376" w:type="pct"/>
                  <w:vMerge w:val="continue"/>
                  <w:tcBorders>
                    <w:tl2br w:val="nil"/>
                    <w:tr2bl w:val="nil"/>
                  </w:tcBorders>
                  <w:noWrap w:val="0"/>
                  <w:vAlign w:val="center"/>
                </w:tcPr>
                <w:p w14:paraId="34B284AA">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606" w:type="pct"/>
                  <w:vMerge w:val="continue"/>
                  <w:tcBorders>
                    <w:tl2br w:val="nil"/>
                    <w:tr2bl w:val="nil"/>
                  </w:tcBorders>
                  <w:noWrap w:val="0"/>
                  <w:vAlign w:val="center"/>
                </w:tcPr>
                <w:p w14:paraId="677C0DE6">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457" w:type="pct"/>
                  <w:vMerge w:val="continue"/>
                  <w:tcBorders>
                    <w:tl2br w:val="nil"/>
                    <w:tr2bl w:val="nil"/>
                  </w:tcBorders>
                  <w:noWrap w:val="0"/>
                  <w:vAlign w:val="center"/>
                </w:tcPr>
                <w:p w14:paraId="739C7E76">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color w:val="auto"/>
                      <w:sz w:val="21"/>
                      <w:szCs w:val="21"/>
                      <w:highlight w:val="none"/>
                      <w:lang w:val="en-US" w:eastAsia="zh-CN"/>
                    </w:rPr>
                  </w:pPr>
                </w:p>
              </w:tc>
              <w:tc>
                <w:tcPr>
                  <w:tcW w:w="539" w:type="pct"/>
                  <w:tcBorders>
                    <w:tl2br w:val="nil"/>
                    <w:tr2bl w:val="nil"/>
                  </w:tcBorders>
                  <w:noWrap w:val="0"/>
                  <w:vAlign w:val="center"/>
                </w:tcPr>
                <w:p w14:paraId="76408686">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hAnsi="Times New Roman" w:cs="Times New Roman" w:eastAsiaTheme="minorEastAsia"/>
                      <w:color w:val="auto"/>
                      <w:sz w:val="21"/>
                      <w:szCs w:val="21"/>
                      <w:highlight w:val="none"/>
                      <w:lang w:val="en-US" w:eastAsia="zh-CN"/>
                    </w:rPr>
                    <w:t>110.68</w:t>
                  </w:r>
                </w:p>
              </w:tc>
              <w:tc>
                <w:tcPr>
                  <w:tcW w:w="553" w:type="pct"/>
                  <w:tcBorders>
                    <w:tl2br w:val="nil"/>
                    <w:tr2bl w:val="nil"/>
                  </w:tcBorders>
                  <w:noWrap w:val="0"/>
                  <w:vAlign w:val="center"/>
                </w:tcPr>
                <w:p w14:paraId="24942DA5">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hAnsi="Times New Roman" w:cs="Times New Roman" w:eastAsiaTheme="minorEastAsia"/>
                      <w:color w:val="auto"/>
                      <w:sz w:val="21"/>
                      <w:szCs w:val="21"/>
                      <w:highlight w:val="none"/>
                      <w:lang w:val="en-US" w:eastAsia="zh-CN"/>
                    </w:rPr>
                    <w:t>191.82</w:t>
                  </w:r>
                </w:p>
              </w:tc>
              <w:tc>
                <w:tcPr>
                  <w:tcW w:w="421" w:type="pct"/>
                  <w:tcBorders>
                    <w:tl2br w:val="nil"/>
                    <w:tr2bl w:val="nil"/>
                  </w:tcBorders>
                  <w:noWrap w:val="0"/>
                  <w:vAlign w:val="center"/>
                </w:tcPr>
                <w:p w14:paraId="2AC9EC33">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w:t>
                  </w:r>
                </w:p>
              </w:tc>
              <w:tc>
                <w:tcPr>
                  <w:tcW w:w="256" w:type="pct"/>
                  <w:vMerge w:val="continue"/>
                  <w:tcBorders>
                    <w:tl2br w:val="nil"/>
                    <w:tr2bl w:val="nil"/>
                  </w:tcBorders>
                  <w:noWrap w:val="0"/>
                  <w:vAlign w:val="center"/>
                </w:tcPr>
                <w:p w14:paraId="2F27CB81">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64A582E8">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vMerge w:val="continue"/>
                  <w:tcBorders>
                    <w:tl2br w:val="nil"/>
                    <w:tr2bl w:val="nil"/>
                  </w:tcBorders>
                  <w:noWrap w:val="0"/>
                  <w:vAlign w:val="center"/>
                </w:tcPr>
                <w:p w14:paraId="664CBBCC">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r>
            <w:tr w14:paraId="5E077E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continue"/>
                  <w:tcBorders>
                    <w:tl2br w:val="nil"/>
                    <w:tr2bl w:val="nil"/>
                  </w:tcBorders>
                  <w:noWrap w:val="0"/>
                  <w:vAlign w:val="center"/>
                </w:tcPr>
                <w:p w14:paraId="32A5CC8C">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583" w:type="pct"/>
                  <w:vMerge w:val="continue"/>
                  <w:tcBorders>
                    <w:tl2br w:val="nil"/>
                    <w:tr2bl w:val="nil"/>
                  </w:tcBorders>
                  <w:noWrap w:val="0"/>
                  <w:vAlign w:val="center"/>
                </w:tcPr>
                <w:p w14:paraId="758BA5EE">
                  <w:pPr>
                    <w:pStyle w:val="80"/>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p>
              </w:tc>
              <w:tc>
                <w:tcPr>
                  <w:tcW w:w="376" w:type="pct"/>
                  <w:vMerge w:val="continue"/>
                  <w:tcBorders>
                    <w:tl2br w:val="nil"/>
                    <w:tr2bl w:val="nil"/>
                  </w:tcBorders>
                  <w:noWrap w:val="0"/>
                  <w:vAlign w:val="center"/>
                </w:tcPr>
                <w:p w14:paraId="6CF02A7B">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606" w:type="pct"/>
                  <w:vMerge w:val="continue"/>
                  <w:tcBorders>
                    <w:tl2br w:val="nil"/>
                    <w:tr2bl w:val="nil"/>
                  </w:tcBorders>
                  <w:noWrap w:val="0"/>
                  <w:vAlign w:val="center"/>
                </w:tcPr>
                <w:p w14:paraId="0D7FC2CF">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457" w:type="pct"/>
                  <w:vMerge w:val="continue"/>
                  <w:tcBorders>
                    <w:tl2br w:val="nil"/>
                    <w:tr2bl w:val="nil"/>
                  </w:tcBorders>
                  <w:noWrap w:val="0"/>
                  <w:vAlign w:val="center"/>
                </w:tcPr>
                <w:p w14:paraId="48F4AEEC">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noWrap w:val="0"/>
                  <w:vAlign w:val="center"/>
                </w:tcPr>
                <w:p w14:paraId="7E32FB29">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hAnsi="Times New Roman" w:cs="Times New Roman" w:eastAsiaTheme="minorEastAsia"/>
                      <w:color w:val="auto"/>
                      <w:sz w:val="21"/>
                      <w:szCs w:val="21"/>
                      <w:highlight w:val="none"/>
                      <w:lang w:val="en-US" w:eastAsia="zh-CN"/>
                    </w:rPr>
                    <w:t>110.5</w:t>
                  </w:r>
                </w:p>
              </w:tc>
              <w:tc>
                <w:tcPr>
                  <w:tcW w:w="553" w:type="pct"/>
                  <w:tcBorders>
                    <w:tl2br w:val="nil"/>
                    <w:tr2bl w:val="nil"/>
                  </w:tcBorders>
                  <w:noWrap w:val="0"/>
                  <w:vAlign w:val="center"/>
                </w:tcPr>
                <w:p w14:paraId="4C6B82A1">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hAnsi="Times New Roman" w:cs="Times New Roman" w:eastAsiaTheme="minorEastAsia"/>
                      <w:color w:val="auto"/>
                      <w:sz w:val="21"/>
                      <w:szCs w:val="21"/>
                      <w:highlight w:val="none"/>
                      <w:lang w:val="en-US" w:eastAsia="zh-CN"/>
                    </w:rPr>
                    <w:t>194.03</w:t>
                  </w:r>
                </w:p>
              </w:tc>
              <w:tc>
                <w:tcPr>
                  <w:tcW w:w="421" w:type="pct"/>
                  <w:tcBorders>
                    <w:tl2br w:val="nil"/>
                    <w:tr2bl w:val="nil"/>
                  </w:tcBorders>
                  <w:noWrap w:val="0"/>
                  <w:vAlign w:val="center"/>
                </w:tcPr>
                <w:p w14:paraId="1791F394">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w:t>
                  </w:r>
                </w:p>
              </w:tc>
              <w:tc>
                <w:tcPr>
                  <w:tcW w:w="256" w:type="pct"/>
                  <w:vMerge w:val="continue"/>
                  <w:tcBorders>
                    <w:tl2br w:val="nil"/>
                    <w:tr2bl w:val="nil"/>
                  </w:tcBorders>
                  <w:noWrap w:val="0"/>
                  <w:vAlign w:val="center"/>
                </w:tcPr>
                <w:p w14:paraId="6A924759">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4D78D92A">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vMerge w:val="continue"/>
                  <w:tcBorders>
                    <w:tl2br w:val="nil"/>
                    <w:tr2bl w:val="nil"/>
                  </w:tcBorders>
                  <w:noWrap w:val="0"/>
                  <w:vAlign w:val="center"/>
                </w:tcPr>
                <w:p w14:paraId="3AA29351">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r>
            <w:tr w14:paraId="1638BE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restart"/>
                  <w:tcBorders>
                    <w:tl2br w:val="nil"/>
                    <w:tr2bl w:val="nil"/>
                  </w:tcBorders>
                  <w:shd w:val="clear" w:color="auto" w:fill="auto"/>
                  <w:noWrap w:val="0"/>
                  <w:vAlign w:val="center"/>
                </w:tcPr>
                <w:p w14:paraId="37D2F26E">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凉皮加工车间</w:t>
                  </w:r>
                </w:p>
                <w:p w14:paraId="575E3A16">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583" w:type="pct"/>
                  <w:tcBorders>
                    <w:tl2br w:val="nil"/>
                    <w:tr2bl w:val="nil"/>
                  </w:tcBorders>
                  <w:shd w:val="clear" w:color="auto" w:fill="auto"/>
                  <w:noWrap w:val="0"/>
                  <w:vAlign w:val="center"/>
                </w:tcPr>
                <w:p w14:paraId="53DA40D9">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和面机</w:t>
                  </w:r>
                </w:p>
              </w:tc>
              <w:tc>
                <w:tcPr>
                  <w:tcW w:w="376" w:type="pct"/>
                  <w:tcBorders>
                    <w:tl2br w:val="nil"/>
                    <w:tr2bl w:val="nil"/>
                  </w:tcBorders>
                  <w:shd w:val="clear" w:color="auto" w:fill="auto"/>
                  <w:noWrap w:val="0"/>
                  <w:vAlign w:val="center"/>
                </w:tcPr>
                <w:p w14:paraId="59AD83D8">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w:t>
                  </w:r>
                </w:p>
              </w:tc>
              <w:tc>
                <w:tcPr>
                  <w:tcW w:w="606" w:type="pct"/>
                  <w:tcBorders>
                    <w:tl2br w:val="nil"/>
                    <w:tr2bl w:val="nil"/>
                  </w:tcBorders>
                  <w:shd w:val="clear" w:color="auto" w:fill="auto"/>
                  <w:noWrap w:val="0"/>
                  <w:vAlign w:val="center"/>
                </w:tcPr>
                <w:p w14:paraId="55253D68">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80</w:t>
                  </w:r>
                </w:p>
              </w:tc>
              <w:tc>
                <w:tcPr>
                  <w:tcW w:w="457" w:type="pct"/>
                  <w:vMerge w:val="continue"/>
                  <w:tcBorders>
                    <w:tl2br w:val="nil"/>
                    <w:tr2bl w:val="nil"/>
                  </w:tcBorders>
                  <w:noWrap w:val="0"/>
                  <w:vAlign w:val="center"/>
                </w:tcPr>
                <w:p w14:paraId="5A5ADAE1">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shd w:val="clear" w:color="auto" w:fill="auto"/>
                  <w:noWrap w:val="0"/>
                  <w:vAlign w:val="center"/>
                </w:tcPr>
                <w:p w14:paraId="5A0332CC">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-2.81</w:t>
                  </w:r>
                </w:p>
              </w:tc>
              <w:tc>
                <w:tcPr>
                  <w:tcW w:w="553" w:type="pct"/>
                  <w:tcBorders>
                    <w:tl2br w:val="nil"/>
                    <w:tr2bl w:val="nil"/>
                  </w:tcBorders>
                  <w:shd w:val="clear" w:color="auto" w:fill="auto"/>
                  <w:noWrap w:val="0"/>
                  <w:vAlign w:val="center"/>
                </w:tcPr>
                <w:p w14:paraId="23E2412C">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180.67</w:t>
                  </w:r>
                </w:p>
              </w:tc>
              <w:tc>
                <w:tcPr>
                  <w:tcW w:w="421" w:type="pct"/>
                  <w:tcBorders>
                    <w:tl2br w:val="nil"/>
                    <w:tr2bl w:val="nil"/>
                  </w:tcBorders>
                  <w:shd w:val="clear" w:color="auto" w:fill="auto"/>
                  <w:noWrap w:val="0"/>
                  <w:vAlign w:val="center"/>
                </w:tcPr>
                <w:p w14:paraId="7F2253A2">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w:t>
                  </w:r>
                </w:p>
              </w:tc>
              <w:tc>
                <w:tcPr>
                  <w:tcW w:w="256" w:type="pct"/>
                  <w:vMerge w:val="continue"/>
                  <w:tcBorders>
                    <w:tl2br w:val="nil"/>
                    <w:tr2bl w:val="nil"/>
                  </w:tcBorders>
                  <w:noWrap w:val="0"/>
                  <w:vAlign w:val="center"/>
                </w:tcPr>
                <w:p w14:paraId="35139EE2">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17761D22">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tcBorders>
                    <w:tl2br w:val="nil"/>
                    <w:tr2bl w:val="nil"/>
                  </w:tcBorders>
                  <w:noWrap w:val="0"/>
                  <w:vAlign w:val="center"/>
                </w:tcPr>
                <w:p w14:paraId="02A40B00">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55</w:t>
                  </w:r>
                </w:p>
              </w:tc>
            </w:tr>
            <w:tr w14:paraId="171292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continue"/>
                  <w:tcBorders>
                    <w:tl2br w:val="nil"/>
                    <w:tr2bl w:val="nil"/>
                  </w:tcBorders>
                  <w:noWrap w:val="0"/>
                  <w:vAlign w:val="center"/>
                </w:tcPr>
                <w:p w14:paraId="5A340C86">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583" w:type="pct"/>
                  <w:tcBorders>
                    <w:tl2br w:val="nil"/>
                    <w:tr2bl w:val="nil"/>
                  </w:tcBorders>
                  <w:shd w:val="clear" w:color="auto" w:fill="auto"/>
                  <w:noWrap w:val="0"/>
                  <w:vAlign w:val="center"/>
                </w:tcPr>
                <w:p w14:paraId="3577E654">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切条机</w:t>
                  </w:r>
                </w:p>
              </w:tc>
              <w:tc>
                <w:tcPr>
                  <w:tcW w:w="376" w:type="pct"/>
                  <w:tcBorders>
                    <w:tl2br w:val="nil"/>
                    <w:tr2bl w:val="nil"/>
                  </w:tcBorders>
                  <w:shd w:val="clear" w:color="auto" w:fill="auto"/>
                  <w:noWrap w:val="0"/>
                  <w:vAlign w:val="center"/>
                </w:tcPr>
                <w:p w14:paraId="4099D891">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w:t>
                  </w:r>
                </w:p>
              </w:tc>
              <w:tc>
                <w:tcPr>
                  <w:tcW w:w="606" w:type="pct"/>
                  <w:tcBorders>
                    <w:tl2br w:val="nil"/>
                    <w:tr2bl w:val="nil"/>
                  </w:tcBorders>
                  <w:shd w:val="clear" w:color="auto" w:fill="auto"/>
                  <w:noWrap w:val="0"/>
                  <w:vAlign w:val="center"/>
                </w:tcPr>
                <w:p w14:paraId="44054A14">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85</w:t>
                  </w:r>
                </w:p>
              </w:tc>
              <w:tc>
                <w:tcPr>
                  <w:tcW w:w="457" w:type="pct"/>
                  <w:vMerge w:val="continue"/>
                  <w:tcBorders>
                    <w:tl2br w:val="nil"/>
                    <w:tr2bl w:val="nil"/>
                  </w:tcBorders>
                  <w:noWrap w:val="0"/>
                  <w:vAlign w:val="center"/>
                </w:tcPr>
                <w:p w14:paraId="5A1F0343">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shd w:val="clear" w:color="auto" w:fill="auto"/>
                  <w:noWrap w:val="0"/>
                  <w:vAlign w:val="center"/>
                </w:tcPr>
                <w:p w14:paraId="16A00E5E">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16.51</w:t>
                  </w:r>
                </w:p>
              </w:tc>
              <w:tc>
                <w:tcPr>
                  <w:tcW w:w="553" w:type="pct"/>
                  <w:tcBorders>
                    <w:tl2br w:val="nil"/>
                    <w:tr2bl w:val="nil"/>
                  </w:tcBorders>
                  <w:shd w:val="clear" w:color="auto" w:fill="auto"/>
                  <w:noWrap w:val="0"/>
                  <w:vAlign w:val="center"/>
                </w:tcPr>
                <w:p w14:paraId="7CBCE242">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183.22</w:t>
                  </w:r>
                </w:p>
              </w:tc>
              <w:tc>
                <w:tcPr>
                  <w:tcW w:w="421" w:type="pct"/>
                  <w:tcBorders>
                    <w:tl2br w:val="nil"/>
                    <w:tr2bl w:val="nil"/>
                  </w:tcBorders>
                  <w:shd w:val="clear" w:color="auto" w:fill="auto"/>
                  <w:noWrap w:val="0"/>
                  <w:vAlign w:val="center"/>
                </w:tcPr>
                <w:p w14:paraId="17F266BA">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w:t>
                  </w:r>
                </w:p>
              </w:tc>
              <w:tc>
                <w:tcPr>
                  <w:tcW w:w="256" w:type="pct"/>
                  <w:vMerge w:val="continue"/>
                  <w:tcBorders>
                    <w:tl2br w:val="nil"/>
                    <w:tr2bl w:val="nil"/>
                  </w:tcBorders>
                  <w:noWrap w:val="0"/>
                  <w:vAlign w:val="center"/>
                </w:tcPr>
                <w:p w14:paraId="26360A28">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068B12ED">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tcBorders>
                    <w:tl2br w:val="nil"/>
                    <w:tr2bl w:val="nil"/>
                  </w:tcBorders>
                  <w:noWrap w:val="0"/>
                  <w:vAlign w:val="center"/>
                </w:tcPr>
                <w:p w14:paraId="5EF940D5">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60</w:t>
                  </w:r>
                </w:p>
              </w:tc>
            </w:tr>
            <w:tr w14:paraId="53EEE4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continue"/>
                  <w:tcBorders>
                    <w:tl2br w:val="nil"/>
                    <w:tr2bl w:val="nil"/>
                  </w:tcBorders>
                  <w:noWrap w:val="0"/>
                  <w:vAlign w:val="center"/>
                </w:tcPr>
                <w:p w14:paraId="37D5ACE8">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583" w:type="pct"/>
                  <w:tcBorders>
                    <w:tl2br w:val="nil"/>
                    <w:tr2bl w:val="nil"/>
                  </w:tcBorders>
                  <w:shd w:val="clear" w:color="auto" w:fill="auto"/>
                  <w:noWrap w:val="0"/>
                  <w:vAlign w:val="center"/>
                </w:tcPr>
                <w:p w14:paraId="4C9CF5C0">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包装机</w:t>
                  </w:r>
                </w:p>
              </w:tc>
              <w:tc>
                <w:tcPr>
                  <w:tcW w:w="376" w:type="pct"/>
                  <w:tcBorders>
                    <w:tl2br w:val="nil"/>
                    <w:tr2bl w:val="nil"/>
                  </w:tcBorders>
                  <w:shd w:val="clear" w:color="auto" w:fill="auto"/>
                  <w:noWrap w:val="0"/>
                  <w:vAlign w:val="center"/>
                </w:tcPr>
                <w:p w14:paraId="63846766">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w:t>
                  </w:r>
                </w:p>
              </w:tc>
              <w:tc>
                <w:tcPr>
                  <w:tcW w:w="606" w:type="pct"/>
                  <w:tcBorders>
                    <w:tl2br w:val="nil"/>
                    <w:tr2bl w:val="nil"/>
                  </w:tcBorders>
                  <w:shd w:val="clear" w:color="auto" w:fill="auto"/>
                  <w:noWrap w:val="0"/>
                  <w:vAlign w:val="center"/>
                </w:tcPr>
                <w:p w14:paraId="6118184A">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85</w:t>
                  </w:r>
                </w:p>
              </w:tc>
              <w:tc>
                <w:tcPr>
                  <w:tcW w:w="457" w:type="pct"/>
                  <w:vMerge w:val="continue"/>
                  <w:tcBorders>
                    <w:tl2br w:val="nil"/>
                    <w:tr2bl w:val="nil"/>
                  </w:tcBorders>
                  <w:noWrap w:val="0"/>
                  <w:vAlign w:val="center"/>
                </w:tcPr>
                <w:p w14:paraId="34C8A69C">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shd w:val="clear" w:color="auto" w:fill="auto"/>
                  <w:noWrap w:val="0"/>
                  <w:vAlign w:val="center"/>
                </w:tcPr>
                <w:p w14:paraId="28E061DF">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72.53</w:t>
                  </w:r>
                </w:p>
              </w:tc>
              <w:tc>
                <w:tcPr>
                  <w:tcW w:w="553" w:type="pct"/>
                  <w:tcBorders>
                    <w:tl2br w:val="nil"/>
                    <w:tr2bl w:val="nil"/>
                  </w:tcBorders>
                  <w:shd w:val="clear" w:color="auto" w:fill="auto"/>
                  <w:noWrap w:val="0"/>
                  <w:vAlign w:val="center"/>
                </w:tcPr>
                <w:p w14:paraId="0AB76D4B">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189.58</w:t>
                  </w:r>
                </w:p>
              </w:tc>
              <w:tc>
                <w:tcPr>
                  <w:tcW w:w="421" w:type="pct"/>
                  <w:tcBorders>
                    <w:tl2br w:val="nil"/>
                    <w:tr2bl w:val="nil"/>
                  </w:tcBorders>
                  <w:shd w:val="clear" w:color="auto" w:fill="auto"/>
                  <w:noWrap w:val="0"/>
                  <w:vAlign w:val="center"/>
                </w:tcPr>
                <w:p w14:paraId="773240F8">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w:t>
                  </w:r>
                </w:p>
              </w:tc>
              <w:tc>
                <w:tcPr>
                  <w:tcW w:w="256" w:type="pct"/>
                  <w:vMerge w:val="continue"/>
                  <w:tcBorders>
                    <w:tl2br w:val="nil"/>
                    <w:tr2bl w:val="nil"/>
                  </w:tcBorders>
                  <w:noWrap w:val="0"/>
                  <w:vAlign w:val="center"/>
                </w:tcPr>
                <w:p w14:paraId="20050FA3">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2084DF28">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tcBorders>
                    <w:tl2br w:val="nil"/>
                    <w:tr2bl w:val="nil"/>
                  </w:tcBorders>
                  <w:noWrap w:val="0"/>
                  <w:vAlign w:val="center"/>
                </w:tcPr>
                <w:p w14:paraId="3D7B2B34">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60</w:t>
                  </w:r>
                </w:p>
              </w:tc>
            </w:tr>
            <w:tr w14:paraId="3156BD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restart"/>
                  <w:tcBorders>
                    <w:tl2br w:val="nil"/>
                    <w:tr2bl w:val="nil"/>
                  </w:tcBorders>
                  <w:noWrap w:val="0"/>
                  <w:vAlign w:val="center"/>
                </w:tcPr>
                <w:p w14:paraId="75FB5BB5">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r>
                    <w:rPr>
                      <w:rFonts w:hint="eastAsia" w:ascii="Times New Roman" w:cs="Times New Roman"/>
                      <w:color w:val="auto"/>
                      <w:sz w:val="21"/>
                      <w:szCs w:val="21"/>
                      <w:highlight w:val="none"/>
                      <w:lang w:val="en-US" w:eastAsia="zh-CN"/>
                    </w:rPr>
                    <w:t>中央厨房</w:t>
                  </w:r>
                </w:p>
              </w:tc>
              <w:tc>
                <w:tcPr>
                  <w:tcW w:w="583" w:type="pct"/>
                  <w:vMerge w:val="restart"/>
                  <w:tcBorders>
                    <w:tl2br w:val="nil"/>
                    <w:tr2bl w:val="nil"/>
                  </w:tcBorders>
                  <w:noWrap w:val="0"/>
                  <w:vAlign w:val="center"/>
                </w:tcPr>
                <w:p w14:paraId="7DB2C3C5">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eastAsia="宋体" w:cs="Times New Roman"/>
                      <w:color w:val="auto"/>
                      <w:sz w:val="21"/>
                      <w:szCs w:val="21"/>
                      <w:highlight w:val="none"/>
                      <w:lang w:val="en-US" w:eastAsia="zh-CN"/>
                    </w:rPr>
                  </w:pPr>
                  <w:r>
                    <w:rPr>
                      <w:rFonts w:hint="eastAsia" w:ascii="Times New Roman" w:eastAsiaTheme="minorEastAsia"/>
                      <w:color w:val="auto"/>
                      <w:sz w:val="21"/>
                      <w:szCs w:val="21"/>
                      <w:highlight w:val="none"/>
                      <w:lang w:val="en-US" w:eastAsia="zh-CN"/>
                    </w:rPr>
                    <w:t>和面机</w:t>
                  </w:r>
                </w:p>
              </w:tc>
              <w:tc>
                <w:tcPr>
                  <w:tcW w:w="376" w:type="pct"/>
                  <w:vMerge w:val="restart"/>
                  <w:tcBorders>
                    <w:tl2br w:val="nil"/>
                    <w:tr2bl w:val="nil"/>
                  </w:tcBorders>
                  <w:noWrap w:val="0"/>
                  <w:vAlign w:val="center"/>
                </w:tcPr>
                <w:p w14:paraId="045F63E5">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3</w:t>
                  </w:r>
                </w:p>
              </w:tc>
              <w:tc>
                <w:tcPr>
                  <w:tcW w:w="606" w:type="pct"/>
                  <w:vMerge w:val="restart"/>
                  <w:tcBorders>
                    <w:tl2br w:val="nil"/>
                    <w:tr2bl w:val="nil"/>
                  </w:tcBorders>
                  <w:noWrap w:val="0"/>
                  <w:vAlign w:val="center"/>
                </w:tcPr>
                <w:p w14:paraId="53D4EAD9">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80</w:t>
                  </w:r>
                </w:p>
              </w:tc>
              <w:tc>
                <w:tcPr>
                  <w:tcW w:w="457" w:type="pct"/>
                  <w:vMerge w:val="continue"/>
                  <w:tcBorders>
                    <w:tl2br w:val="nil"/>
                    <w:tr2bl w:val="nil"/>
                  </w:tcBorders>
                  <w:noWrap w:val="0"/>
                  <w:vAlign w:val="center"/>
                </w:tcPr>
                <w:p w14:paraId="391BBEBA">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noWrap w:val="0"/>
                  <w:vAlign w:val="center"/>
                </w:tcPr>
                <w:p w14:paraId="4B7098AB">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29.47</w:t>
                  </w:r>
                </w:p>
              </w:tc>
              <w:tc>
                <w:tcPr>
                  <w:tcW w:w="553" w:type="pct"/>
                  <w:tcBorders>
                    <w:tl2br w:val="nil"/>
                    <w:tr2bl w:val="nil"/>
                  </w:tcBorders>
                  <w:noWrap w:val="0"/>
                  <w:vAlign w:val="center"/>
                </w:tcPr>
                <w:p w14:paraId="6209286F">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115.52</w:t>
                  </w:r>
                </w:p>
              </w:tc>
              <w:tc>
                <w:tcPr>
                  <w:tcW w:w="421" w:type="pct"/>
                  <w:tcBorders>
                    <w:tl2br w:val="nil"/>
                    <w:tr2bl w:val="nil"/>
                  </w:tcBorders>
                  <w:noWrap w:val="0"/>
                  <w:vAlign w:val="center"/>
                </w:tcPr>
                <w:p w14:paraId="0F2192FC">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18.5</w:t>
                  </w:r>
                </w:p>
              </w:tc>
              <w:tc>
                <w:tcPr>
                  <w:tcW w:w="256" w:type="pct"/>
                  <w:vMerge w:val="continue"/>
                  <w:tcBorders>
                    <w:tl2br w:val="nil"/>
                    <w:tr2bl w:val="nil"/>
                  </w:tcBorders>
                  <w:noWrap w:val="0"/>
                  <w:vAlign w:val="center"/>
                </w:tcPr>
                <w:p w14:paraId="0C8D65C8">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76CB85DF">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vMerge w:val="restart"/>
                  <w:tcBorders>
                    <w:tl2br w:val="nil"/>
                    <w:tr2bl w:val="nil"/>
                  </w:tcBorders>
                  <w:noWrap w:val="0"/>
                  <w:vAlign w:val="center"/>
                </w:tcPr>
                <w:p w14:paraId="53E08F59">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55</w:t>
                  </w:r>
                </w:p>
              </w:tc>
            </w:tr>
            <w:tr w14:paraId="0647FE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continue"/>
                  <w:tcBorders>
                    <w:tl2br w:val="nil"/>
                    <w:tr2bl w:val="nil"/>
                  </w:tcBorders>
                  <w:noWrap w:val="0"/>
                  <w:vAlign w:val="center"/>
                </w:tcPr>
                <w:p w14:paraId="30DD0A91">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hAnsi="Times New Roman" w:eastAsia="宋体" w:cs="Times New Roman"/>
                      <w:color w:val="auto"/>
                      <w:sz w:val="21"/>
                      <w:szCs w:val="21"/>
                      <w:highlight w:val="none"/>
                      <w:lang w:val="en-US" w:eastAsia="zh-CN"/>
                    </w:rPr>
                  </w:pPr>
                </w:p>
              </w:tc>
              <w:tc>
                <w:tcPr>
                  <w:tcW w:w="583" w:type="pct"/>
                  <w:vMerge w:val="continue"/>
                  <w:tcBorders>
                    <w:tl2br w:val="nil"/>
                    <w:tr2bl w:val="nil"/>
                  </w:tcBorders>
                  <w:noWrap w:val="0"/>
                  <w:vAlign w:val="center"/>
                </w:tcPr>
                <w:p w14:paraId="5E8C7E30">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hAnsi="Times New Roman" w:eastAsia="宋体" w:cs="Times New Roman"/>
                      <w:color w:val="auto"/>
                      <w:sz w:val="21"/>
                      <w:szCs w:val="21"/>
                      <w:highlight w:val="none"/>
                      <w:lang w:val="en-US" w:eastAsia="zh-CN"/>
                    </w:rPr>
                  </w:pPr>
                </w:p>
              </w:tc>
              <w:tc>
                <w:tcPr>
                  <w:tcW w:w="376" w:type="pct"/>
                  <w:vMerge w:val="continue"/>
                  <w:tcBorders>
                    <w:tl2br w:val="nil"/>
                    <w:tr2bl w:val="nil"/>
                  </w:tcBorders>
                  <w:noWrap w:val="0"/>
                  <w:vAlign w:val="center"/>
                </w:tcPr>
                <w:p w14:paraId="0C7D7DDE">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606" w:type="pct"/>
                  <w:vMerge w:val="continue"/>
                  <w:tcBorders>
                    <w:tl2br w:val="nil"/>
                    <w:tr2bl w:val="nil"/>
                  </w:tcBorders>
                  <w:noWrap w:val="0"/>
                  <w:vAlign w:val="center"/>
                </w:tcPr>
                <w:p w14:paraId="29A592BA">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457" w:type="pct"/>
                  <w:vMerge w:val="continue"/>
                  <w:tcBorders>
                    <w:tl2br w:val="nil"/>
                    <w:tr2bl w:val="nil"/>
                  </w:tcBorders>
                  <w:noWrap w:val="0"/>
                  <w:vAlign w:val="center"/>
                </w:tcPr>
                <w:p w14:paraId="4219D173">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noWrap w:val="0"/>
                  <w:vAlign w:val="center"/>
                </w:tcPr>
                <w:p w14:paraId="4772995A">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29.99</w:t>
                  </w:r>
                </w:p>
              </w:tc>
              <w:tc>
                <w:tcPr>
                  <w:tcW w:w="553" w:type="pct"/>
                  <w:tcBorders>
                    <w:tl2br w:val="nil"/>
                    <w:tr2bl w:val="nil"/>
                  </w:tcBorders>
                  <w:noWrap w:val="0"/>
                  <w:vAlign w:val="center"/>
                </w:tcPr>
                <w:p w14:paraId="05011702">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112.46</w:t>
                  </w:r>
                </w:p>
              </w:tc>
              <w:tc>
                <w:tcPr>
                  <w:tcW w:w="421" w:type="pct"/>
                  <w:tcBorders>
                    <w:tl2br w:val="nil"/>
                    <w:tr2bl w:val="nil"/>
                  </w:tcBorders>
                  <w:noWrap w:val="0"/>
                  <w:vAlign w:val="center"/>
                </w:tcPr>
                <w:p w14:paraId="13FFA9BE">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18.5</w:t>
                  </w:r>
                </w:p>
              </w:tc>
              <w:tc>
                <w:tcPr>
                  <w:tcW w:w="256" w:type="pct"/>
                  <w:vMerge w:val="continue"/>
                  <w:tcBorders>
                    <w:tl2br w:val="nil"/>
                    <w:tr2bl w:val="nil"/>
                  </w:tcBorders>
                  <w:noWrap w:val="0"/>
                  <w:vAlign w:val="center"/>
                </w:tcPr>
                <w:p w14:paraId="12D7CE48">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6748C186">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vMerge w:val="continue"/>
                  <w:tcBorders>
                    <w:tl2br w:val="nil"/>
                    <w:tr2bl w:val="nil"/>
                  </w:tcBorders>
                  <w:noWrap w:val="0"/>
                  <w:vAlign w:val="center"/>
                </w:tcPr>
                <w:p w14:paraId="1CCA8169">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r>
            <w:tr w14:paraId="017C5F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continue"/>
                  <w:tcBorders>
                    <w:tl2br w:val="nil"/>
                    <w:tr2bl w:val="nil"/>
                  </w:tcBorders>
                  <w:noWrap w:val="0"/>
                  <w:vAlign w:val="center"/>
                </w:tcPr>
                <w:p w14:paraId="476CD98C">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hAnsi="Times New Roman" w:eastAsia="宋体" w:cs="Times New Roman"/>
                      <w:color w:val="auto"/>
                      <w:sz w:val="21"/>
                      <w:szCs w:val="21"/>
                      <w:highlight w:val="none"/>
                      <w:lang w:val="en-US" w:eastAsia="zh-CN"/>
                    </w:rPr>
                  </w:pPr>
                </w:p>
              </w:tc>
              <w:tc>
                <w:tcPr>
                  <w:tcW w:w="583" w:type="pct"/>
                  <w:vMerge w:val="continue"/>
                  <w:tcBorders>
                    <w:tl2br w:val="nil"/>
                    <w:tr2bl w:val="nil"/>
                  </w:tcBorders>
                  <w:noWrap w:val="0"/>
                  <w:vAlign w:val="center"/>
                </w:tcPr>
                <w:p w14:paraId="72726ADA">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hAnsi="Times New Roman" w:eastAsia="宋体" w:cs="Times New Roman"/>
                      <w:color w:val="auto"/>
                      <w:sz w:val="21"/>
                      <w:szCs w:val="21"/>
                      <w:highlight w:val="none"/>
                      <w:lang w:val="en-US" w:eastAsia="zh-CN"/>
                    </w:rPr>
                  </w:pPr>
                </w:p>
              </w:tc>
              <w:tc>
                <w:tcPr>
                  <w:tcW w:w="376" w:type="pct"/>
                  <w:vMerge w:val="continue"/>
                  <w:tcBorders>
                    <w:tl2br w:val="nil"/>
                    <w:tr2bl w:val="nil"/>
                  </w:tcBorders>
                  <w:noWrap w:val="0"/>
                  <w:vAlign w:val="center"/>
                </w:tcPr>
                <w:p w14:paraId="4E9C3BB9">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606" w:type="pct"/>
                  <w:vMerge w:val="continue"/>
                  <w:tcBorders>
                    <w:tl2br w:val="nil"/>
                    <w:tr2bl w:val="nil"/>
                  </w:tcBorders>
                  <w:noWrap w:val="0"/>
                  <w:vAlign w:val="center"/>
                </w:tcPr>
                <w:p w14:paraId="786F256A">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457" w:type="pct"/>
                  <w:vMerge w:val="continue"/>
                  <w:tcBorders>
                    <w:tl2br w:val="nil"/>
                    <w:tr2bl w:val="nil"/>
                  </w:tcBorders>
                  <w:noWrap w:val="0"/>
                  <w:vAlign w:val="center"/>
                </w:tcPr>
                <w:p w14:paraId="39D65863">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noWrap w:val="0"/>
                  <w:vAlign w:val="center"/>
                </w:tcPr>
                <w:p w14:paraId="72908AD7">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32.8</w:t>
                  </w:r>
                </w:p>
              </w:tc>
              <w:tc>
                <w:tcPr>
                  <w:tcW w:w="553" w:type="pct"/>
                  <w:tcBorders>
                    <w:tl2br w:val="nil"/>
                    <w:tr2bl w:val="nil"/>
                  </w:tcBorders>
                  <w:noWrap w:val="0"/>
                  <w:vAlign w:val="center"/>
                </w:tcPr>
                <w:p w14:paraId="5E2C4460">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115.8</w:t>
                  </w:r>
                </w:p>
              </w:tc>
              <w:tc>
                <w:tcPr>
                  <w:tcW w:w="421" w:type="pct"/>
                  <w:tcBorders>
                    <w:tl2br w:val="nil"/>
                    <w:tr2bl w:val="nil"/>
                  </w:tcBorders>
                  <w:noWrap w:val="0"/>
                  <w:vAlign w:val="center"/>
                </w:tcPr>
                <w:p w14:paraId="24F931F1">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6.5</w:t>
                  </w:r>
                </w:p>
              </w:tc>
              <w:tc>
                <w:tcPr>
                  <w:tcW w:w="256" w:type="pct"/>
                  <w:vMerge w:val="continue"/>
                  <w:tcBorders>
                    <w:tl2br w:val="nil"/>
                    <w:tr2bl w:val="nil"/>
                  </w:tcBorders>
                  <w:noWrap w:val="0"/>
                  <w:vAlign w:val="center"/>
                </w:tcPr>
                <w:p w14:paraId="5E0C86E8">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28236C63">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vMerge w:val="continue"/>
                  <w:tcBorders>
                    <w:tl2br w:val="nil"/>
                    <w:tr2bl w:val="nil"/>
                  </w:tcBorders>
                  <w:noWrap w:val="0"/>
                  <w:vAlign w:val="center"/>
                </w:tcPr>
                <w:p w14:paraId="19CCDE7F">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r>
            <w:tr w14:paraId="3D07F3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continue"/>
                  <w:tcBorders>
                    <w:tl2br w:val="nil"/>
                    <w:tr2bl w:val="nil"/>
                  </w:tcBorders>
                  <w:noWrap w:val="0"/>
                  <w:vAlign w:val="center"/>
                </w:tcPr>
                <w:p w14:paraId="6C3DC725">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583" w:type="pct"/>
                  <w:tcBorders>
                    <w:tl2br w:val="nil"/>
                    <w:tr2bl w:val="nil"/>
                  </w:tcBorders>
                  <w:noWrap w:val="0"/>
                  <w:vAlign w:val="center"/>
                </w:tcPr>
                <w:p w14:paraId="74EE8B2B">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eastAsia="宋体" w:cs="Times New Roman"/>
                      <w:color w:val="auto"/>
                      <w:sz w:val="21"/>
                      <w:szCs w:val="21"/>
                      <w:highlight w:val="none"/>
                      <w:lang w:val="en-US" w:eastAsia="zh-CN"/>
                    </w:rPr>
                  </w:pPr>
                  <w:r>
                    <w:rPr>
                      <w:rFonts w:hint="eastAsia" w:ascii="Times New Roman" w:eastAsiaTheme="minorEastAsia"/>
                      <w:color w:val="auto"/>
                      <w:sz w:val="21"/>
                      <w:szCs w:val="21"/>
                      <w:highlight w:val="none"/>
                      <w:lang w:val="en-US" w:eastAsia="zh-CN"/>
                    </w:rPr>
                    <w:t>研磨机</w:t>
                  </w:r>
                </w:p>
              </w:tc>
              <w:tc>
                <w:tcPr>
                  <w:tcW w:w="376" w:type="pct"/>
                  <w:tcBorders>
                    <w:tl2br w:val="nil"/>
                    <w:tr2bl w:val="nil"/>
                  </w:tcBorders>
                  <w:noWrap w:val="0"/>
                  <w:vAlign w:val="center"/>
                </w:tcPr>
                <w:p w14:paraId="0A3CC018">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w:t>
                  </w:r>
                </w:p>
              </w:tc>
              <w:tc>
                <w:tcPr>
                  <w:tcW w:w="606" w:type="pct"/>
                  <w:tcBorders>
                    <w:tl2br w:val="nil"/>
                    <w:tr2bl w:val="nil"/>
                  </w:tcBorders>
                  <w:noWrap w:val="0"/>
                  <w:vAlign w:val="center"/>
                </w:tcPr>
                <w:p w14:paraId="13FFD71A">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85</w:t>
                  </w:r>
                </w:p>
              </w:tc>
              <w:tc>
                <w:tcPr>
                  <w:tcW w:w="457" w:type="pct"/>
                  <w:vMerge w:val="continue"/>
                  <w:tcBorders>
                    <w:tl2br w:val="nil"/>
                    <w:tr2bl w:val="nil"/>
                  </w:tcBorders>
                  <w:noWrap w:val="0"/>
                  <w:vAlign w:val="center"/>
                </w:tcPr>
                <w:p w14:paraId="392630F9">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noWrap w:val="0"/>
                  <w:vAlign w:val="center"/>
                </w:tcPr>
                <w:p w14:paraId="17D7B0E7">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13.41</w:t>
                  </w:r>
                </w:p>
              </w:tc>
              <w:tc>
                <w:tcPr>
                  <w:tcW w:w="553" w:type="pct"/>
                  <w:tcBorders>
                    <w:tl2br w:val="nil"/>
                    <w:tr2bl w:val="nil"/>
                  </w:tcBorders>
                  <w:noWrap w:val="0"/>
                  <w:vAlign w:val="center"/>
                </w:tcPr>
                <w:p w14:paraId="414C44F5">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113.21</w:t>
                  </w:r>
                </w:p>
              </w:tc>
              <w:tc>
                <w:tcPr>
                  <w:tcW w:w="421" w:type="pct"/>
                  <w:tcBorders>
                    <w:tl2br w:val="nil"/>
                    <w:tr2bl w:val="nil"/>
                  </w:tcBorders>
                  <w:noWrap w:val="0"/>
                  <w:vAlign w:val="center"/>
                </w:tcPr>
                <w:p w14:paraId="50D8EFDB">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12.5</w:t>
                  </w:r>
                </w:p>
              </w:tc>
              <w:tc>
                <w:tcPr>
                  <w:tcW w:w="256" w:type="pct"/>
                  <w:vMerge w:val="continue"/>
                  <w:tcBorders>
                    <w:tl2br w:val="nil"/>
                    <w:tr2bl w:val="nil"/>
                  </w:tcBorders>
                  <w:noWrap w:val="0"/>
                  <w:vAlign w:val="center"/>
                </w:tcPr>
                <w:p w14:paraId="0741E0B2">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17037151">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tcBorders>
                    <w:tl2br w:val="nil"/>
                    <w:tr2bl w:val="nil"/>
                  </w:tcBorders>
                  <w:noWrap w:val="0"/>
                  <w:vAlign w:val="center"/>
                </w:tcPr>
                <w:p w14:paraId="23B244E5">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60</w:t>
                  </w:r>
                </w:p>
              </w:tc>
            </w:tr>
            <w:tr w14:paraId="5A2B8F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continue"/>
                  <w:tcBorders>
                    <w:tl2br w:val="nil"/>
                    <w:tr2bl w:val="nil"/>
                  </w:tcBorders>
                  <w:noWrap w:val="0"/>
                  <w:vAlign w:val="center"/>
                </w:tcPr>
                <w:p w14:paraId="0749A0C0">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583" w:type="pct"/>
                  <w:tcBorders>
                    <w:tl2br w:val="nil"/>
                    <w:tr2bl w:val="nil"/>
                  </w:tcBorders>
                  <w:noWrap w:val="0"/>
                  <w:vAlign w:val="center"/>
                </w:tcPr>
                <w:p w14:paraId="79C0CD2D">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eastAsia="宋体" w:cs="Times New Roman"/>
                      <w:color w:val="auto"/>
                      <w:sz w:val="21"/>
                      <w:szCs w:val="21"/>
                      <w:highlight w:val="none"/>
                      <w:lang w:val="en-US" w:eastAsia="zh-CN"/>
                    </w:rPr>
                  </w:pPr>
                  <w:r>
                    <w:rPr>
                      <w:rFonts w:hint="eastAsia" w:ascii="Times New Roman" w:eastAsiaTheme="minorEastAsia"/>
                      <w:color w:val="auto"/>
                      <w:sz w:val="21"/>
                      <w:szCs w:val="21"/>
                      <w:highlight w:val="none"/>
                      <w:lang w:val="en-US" w:eastAsia="zh-CN"/>
                    </w:rPr>
                    <w:t>搅拌机</w:t>
                  </w:r>
                </w:p>
              </w:tc>
              <w:tc>
                <w:tcPr>
                  <w:tcW w:w="376" w:type="pct"/>
                  <w:tcBorders>
                    <w:tl2br w:val="nil"/>
                    <w:tr2bl w:val="nil"/>
                  </w:tcBorders>
                  <w:noWrap w:val="0"/>
                  <w:vAlign w:val="center"/>
                </w:tcPr>
                <w:p w14:paraId="69C90DE6">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w:t>
                  </w:r>
                </w:p>
              </w:tc>
              <w:tc>
                <w:tcPr>
                  <w:tcW w:w="606" w:type="pct"/>
                  <w:tcBorders>
                    <w:tl2br w:val="nil"/>
                    <w:tr2bl w:val="nil"/>
                  </w:tcBorders>
                  <w:noWrap w:val="0"/>
                  <w:vAlign w:val="center"/>
                </w:tcPr>
                <w:p w14:paraId="1B376FBF">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80</w:t>
                  </w:r>
                </w:p>
              </w:tc>
              <w:tc>
                <w:tcPr>
                  <w:tcW w:w="457" w:type="pct"/>
                  <w:vMerge w:val="continue"/>
                  <w:tcBorders>
                    <w:tl2br w:val="nil"/>
                    <w:tr2bl w:val="nil"/>
                  </w:tcBorders>
                  <w:noWrap w:val="0"/>
                  <w:vAlign w:val="center"/>
                </w:tcPr>
                <w:p w14:paraId="6AED7894">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noWrap w:val="0"/>
                  <w:vAlign w:val="center"/>
                </w:tcPr>
                <w:p w14:paraId="4021FEAC">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11.25</w:t>
                  </w:r>
                </w:p>
              </w:tc>
              <w:tc>
                <w:tcPr>
                  <w:tcW w:w="553" w:type="pct"/>
                  <w:tcBorders>
                    <w:tl2br w:val="nil"/>
                    <w:tr2bl w:val="nil"/>
                  </w:tcBorders>
                  <w:noWrap w:val="0"/>
                  <w:vAlign w:val="center"/>
                </w:tcPr>
                <w:p w14:paraId="42B447B9">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109.33</w:t>
                  </w:r>
                </w:p>
              </w:tc>
              <w:tc>
                <w:tcPr>
                  <w:tcW w:w="421" w:type="pct"/>
                  <w:tcBorders>
                    <w:tl2br w:val="nil"/>
                    <w:tr2bl w:val="nil"/>
                  </w:tcBorders>
                  <w:noWrap w:val="0"/>
                  <w:vAlign w:val="center"/>
                </w:tcPr>
                <w:p w14:paraId="058A98D3">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12.5</w:t>
                  </w:r>
                </w:p>
              </w:tc>
              <w:tc>
                <w:tcPr>
                  <w:tcW w:w="256" w:type="pct"/>
                  <w:vMerge w:val="continue"/>
                  <w:tcBorders>
                    <w:tl2br w:val="nil"/>
                    <w:tr2bl w:val="nil"/>
                  </w:tcBorders>
                  <w:noWrap w:val="0"/>
                  <w:vAlign w:val="center"/>
                </w:tcPr>
                <w:p w14:paraId="7523074A">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7FC4B4BD">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tcBorders>
                    <w:tl2br w:val="nil"/>
                    <w:tr2bl w:val="nil"/>
                  </w:tcBorders>
                  <w:noWrap w:val="0"/>
                  <w:vAlign w:val="center"/>
                </w:tcPr>
                <w:p w14:paraId="10624EF3">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55</w:t>
                  </w:r>
                </w:p>
              </w:tc>
            </w:tr>
            <w:tr w14:paraId="4DAD26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continue"/>
                  <w:tcBorders>
                    <w:tl2br w:val="nil"/>
                    <w:tr2bl w:val="nil"/>
                  </w:tcBorders>
                  <w:noWrap w:val="0"/>
                  <w:vAlign w:val="center"/>
                </w:tcPr>
                <w:p w14:paraId="5077932F">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583" w:type="pct"/>
                  <w:vMerge w:val="restart"/>
                  <w:tcBorders>
                    <w:tl2br w:val="nil"/>
                    <w:tr2bl w:val="nil"/>
                  </w:tcBorders>
                  <w:noWrap w:val="0"/>
                  <w:vAlign w:val="center"/>
                </w:tcPr>
                <w:p w14:paraId="7A31A274">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eastAsia="宋体" w:cs="Times New Roman"/>
                      <w:color w:val="auto"/>
                      <w:sz w:val="21"/>
                      <w:szCs w:val="21"/>
                      <w:highlight w:val="none"/>
                      <w:lang w:val="en-US" w:eastAsia="zh-CN"/>
                    </w:rPr>
                  </w:pPr>
                  <w:r>
                    <w:rPr>
                      <w:rFonts w:hint="eastAsia" w:ascii="Times New Roman" w:eastAsiaTheme="minorEastAsia"/>
                      <w:color w:val="auto"/>
                      <w:sz w:val="21"/>
                      <w:szCs w:val="21"/>
                      <w:highlight w:val="none"/>
                      <w:lang w:val="en-US" w:eastAsia="zh-CN"/>
                    </w:rPr>
                    <w:t>炒锅</w:t>
                  </w:r>
                </w:p>
              </w:tc>
              <w:tc>
                <w:tcPr>
                  <w:tcW w:w="376" w:type="pct"/>
                  <w:vMerge w:val="restart"/>
                  <w:tcBorders>
                    <w:tl2br w:val="nil"/>
                    <w:tr2bl w:val="nil"/>
                  </w:tcBorders>
                  <w:noWrap w:val="0"/>
                  <w:vAlign w:val="center"/>
                </w:tcPr>
                <w:p w14:paraId="7EF9AC2A">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4</w:t>
                  </w:r>
                </w:p>
              </w:tc>
              <w:tc>
                <w:tcPr>
                  <w:tcW w:w="606" w:type="pct"/>
                  <w:vMerge w:val="restart"/>
                  <w:tcBorders>
                    <w:tl2br w:val="nil"/>
                    <w:tr2bl w:val="nil"/>
                  </w:tcBorders>
                  <w:noWrap w:val="0"/>
                  <w:vAlign w:val="center"/>
                </w:tcPr>
                <w:p w14:paraId="7EA84CDC">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75</w:t>
                  </w:r>
                </w:p>
              </w:tc>
              <w:tc>
                <w:tcPr>
                  <w:tcW w:w="457" w:type="pct"/>
                  <w:vMerge w:val="continue"/>
                  <w:tcBorders>
                    <w:tl2br w:val="nil"/>
                    <w:tr2bl w:val="nil"/>
                  </w:tcBorders>
                  <w:noWrap w:val="0"/>
                  <w:vAlign w:val="center"/>
                </w:tcPr>
                <w:p w14:paraId="3857C7EE">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shd w:val="clear" w:color="auto" w:fill="auto"/>
                  <w:noWrap w:val="0"/>
                  <w:vAlign w:val="center"/>
                </w:tcPr>
                <w:p w14:paraId="63AE5A01">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14.31</w:t>
                  </w:r>
                </w:p>
              </w:tc>
              <w:tc>
                <w:tcPr>
                  <w:tcW w:w="553" w:type="pct"/>
                  <w:tcBorders>
                    <w:tl2br w:val="nil"/>
                    <w:tr2bl w:val="nil"/>
                  </w:tcBorders>
                  <w:shd w:val="clear" w:color="auto" w:fill="auto"/>
                  <w:noWrap w:val="0"/>
                  <w:vAlign w:val="center"/>
                </w:tcPr>
                <w:p w14:paraId="14C00833">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106.71</w:t>
                  </w:r>
                </w:p>
              </w:tc>
              <w:tc>
                <w:tcPr>
                  <w:tcW w:w="421" w:type="pct"/>
                  <w:tcBorders>
                    <w:tl2br w:val="nil"/>
                    <w:tr2bl w:val="nil"/>
                  </w:tcBorders>
                  <w:shd w:val="clear" w:color="auto" w:fill="auto"/>
                  <w:noWrap w:val="0"/>
                  <w:vAlign w:val="center"/>
                </w:tcPr>
                <w:p w14:paraId="6E843557">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w:t>
                  </w:r>
                </w:p>
              </w:tc>
              <w:tc>
                <w:tcPr>
                  <w:tcW w:w="256" w:type="pct"/>
                  <w:vMerge w:val="continue"/>
                  <w:tcBorders>
                    <w:tl2br w:val="nil"/>
                    <w:tr2bl w:val="nil"/>
                  </w:tcBorders>
                  <w:noWrap w:val="0"/>
                  <w:vAlign w:val="center"/>
                </w:tcPr>
                <w:p w14:paraId="13162436">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4B820A66">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vMerge w:val="restart"/>
                  <w:tcBorders>
                    <w:tl2br w:val="nil"/>
                    <w:tr2bl w:val="nil"/>
                  </w:tcBorders>
                  <w:noWrap w:val="0"/>
                  <w:vAlign w:val="center"/>
                </w:tcPr>
                <w:p w14:paraId="1A332C5F">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50</w:t>
                  </w:r>
                </w:p>
              </w:tc>
            </w:tr>
            <w:tr w14:paraId="2C800C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25" w:hRule="atLeast"/>
                <w:jc w:val="center"/>
              </w:trPr>
              <w:tc>
                <w:tcPr>
                  <w:tcW w:w="377" w:type="pct"/>
                  <w:vMerge w:val="continue"/>
                  <w:tcBorders>
                    <w:tl2br w:val="nil"/>
                    <w:tr2bl w:val="nil"/>
                  </w:tcBorders>
                  <w:noWrap w:val="0"/>
                  <w:vAlign w:val="center"/>
                </w:tcPr>
                <w:p w14:paraId="55997F31">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583" w:type="pct"/>
                  <w:vMerge w:val="continue"/>
                  <w:tcBorders>
                    <w:tl2br w:val="nil"/>
                    <w:tr2bl w:val="nil"/>
                  </w:tcBorders>
                  <w:noWrap w:val="0"/>
                  <w:vAlign w:val="center"/>
                </w:tcPr>
                <w:p w14:paraId="42EF38BF">
                  <w:pPr>
                    <w:pStyle w:val="80"/>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p>
              </w:tc>
              <w:tc>
                <w:tcPr>
                  <w:tcW w:w="376" w:type="pct"/>
                  <w:vMerge w:val="continue"/>
                  <w:tcBorders>
                    <w:tl2br w:val="nil"/>
                    <w:tr2bl w:val="nil"/>
                  </w:tcBorders>
                  <w:noWrap w:val="0"/>
                  <w:vAlign w:val="center"/>
                </w:tcPr>
                <w:p w14:paraId="0557C87D">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606" w:type="pct"/>
                  <w:vMerge w:val="continue"/>
                  <w:tcBorders>
                    <w:tl2br w:val="nil"/>
                    <w:tr2bl w:val="nil"/>
                  </w:tcBorders>
                  <w:noWrap w:val="0"/>
                  <w:vAlign w:val="center"/>
                </w:tcPr>
                <w:p w14:paraId="3F049877">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457" w:type="pct"/>
                  <w:vMerge w:val="continue"/>
                  <w:tcBorders>
                    <w:tl2br w:val="nil"/>
                    <w:tr2bl w:val="nil"/>
                  </w:tcBorders>
                  <w:noWrap w:val="0"/>
                  <w:vAlign w:val="center"/>
                </w:tcPr>
                <w:p w14:paraId="7989DEE4">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shd w:val="clear" w:color="auto" w:fill="auto"/>
                  <w:noWrap w:val="0"/>
                  <w:vAlign w:val="center"/>
                </w:tcPr>
                <w:p w14:paraId="712140F7">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17.67</w:t>
                  </w:r>
                </w:p>
              </w:tc>
              <w:tc>
                <w:tcPr>
                  <w:tcW w:w="553" w:type="pct"/>
                  <w:tcBorders>
                    <w:tl2br w:val="nil"/>
                    <w:tr2bl w:val="nil"/>
                  </w:tcBorders>
                  <w:shd w:val="clear" w:color="auto" w:fill="auto"/>
                  <w:noWrap w:val="0"/>
                  <w:vAlign w:val="center"/>
                </w:tcPr>
                <w:p w14:paraId="5348F75D">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107.09</w:t>
                  </w:r>
                </w:p>
              </w:tc>
              <w:tc>
                <w:tcPr>
                  <w:tcW w:w="421" w:type="pct"/>
                  <w:tcBorders>
                    <w:tl2br w:val="nil"/>
                    <w:tr2bl w:val="nil"/>
                  </w:tcBorders>
                  <w:shd w:val="clear" w:color="auto" w:fill="auto"/>
                  <w:noWrap w:val="0"/>
                  <w:vAlign w:val="center"/>
                </w:tcPr>
                <w:p w14:paraId="466980CA">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w:t>
                  </w:r>
                </w:p>
              </w:tc>
              <w:tc>
                <w:tcPr>
                  <w:tcW w:w="256" w:type="pct"/>
                  <w:vMerge w:val="continue"/>
                  <w:tcBorders>
                    <w:tl2br w:val="nil"/>
                    <w:tr2bl w:val="nil"/>
                  </w:tcBorders>
                  <w:noWrap w:val="0"/>
                  <w:vAlign w:val="center"/>
                </w:tcPr>
                <w:p w14:paraId="0B16DC33">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4FCF419D">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vMerge w:val="continue"/>
                  <w:tcBorders>
                    <w:tl2br w:val="nil"/>
                    <w:tr2bl w:val="nil"/>
                  </w:tcBorders>
                  <w:noWrap w:val="0"/>
                  <w:vAlign w:val="center"/>
                </w:tcPr>
                <w:p w14:paraId="047A40C5">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r>
            <w:tr w14:paraId="5EC00D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continue"/>
                  <w:tcBorders>
                    <w:tl2br w:val="nil"/>
                    <w:tr2bl w:val="nil"/>
                  </w:tcBorders>
                  <w:noWrap w:val="0"/>
                  <w:vAlign w:val="center"/>
                </w:tcPr>
                <w:p w14:paraId="1231DF63">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583" w:type="pct"/>
                  <w:vMerge w:val="continue"/>
                  <w:tcBorders>
                    <w:tl2br w:val="nil"/>
                    <w:tr2bl w:val="nil"/>
                  </w:tcBorders>
                  <w:noWrap w:val="0"/>
                  <w:vAlign w:val="center"/>
                </w:tcPr>
                <w:p w14:paraId="7E3458BF">
                  <w:pPr>
                    <w:pStyle w:val="80"/>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p>
              </w:tc>
              <w:tc>
                <w:tcPr>
                  <w:tcW w:w="376" w:type="pct"/>
                  <w:vMerge w:val="continue"/>
                  <w:tcBorders>
                    <w:tl2br w:val="nil"/>
                    <w:tr2bl w:val="nil"/>
                  </w:tcBorders>
                  <w:noWrap w:val="0"/>
                  <w:vAlign w:val="center"/>
                </w:tcPr>
                <w:p w14:paraId="72BEC76C">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606" w:type="pct"/>
                  <w:vMerge w:val="continue"/>
                  <w:tcBorders>
                    <w:tl2br w:val="nil"/>
                    <w:tr2bl w:val="nil"/>
                  </w:tcBorders>
                  <w:noWrap w:val="0"/>
                  <w:vAlign w:val="center"/>
                </w:tcPr>
                <w:p w14:paraId="6A39C2AB">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457" w:type="pct"/>
                  <w:vMerge w:val="continue"/>
                  <w:tcBorders>
                    <w:tl2br w:val="nil"/>
                    <w:tr2bl w:val="nil"/>
                  </w:tcBorders>
                  <w:noWrap w:val="0"/>
                  <w:vAlign w:val="center"/>
                </w:tcPr>
                <w:p w14:paraId="02D8DFB4">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shd w:val="clear" w:color="auto" w:fill="auto"/>
                  <w:noWrap w:val="0"/>
                  <w:vAlign w:val="center"/>
                </w:tcPr>
                <w:p w14:paraId="7866050D">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21.1</w:t>
                  </w:r>
                </w:p>
              </w:tc>
              <w:tc>
                <w:tcPr>
                  <w:tcW w:w="553" w:type="pct"/>
                  <w:tcBorders>
                    <w:tl2br w:val="nil"/>
                    <w:tr2bl w:val="nil"/>
                  </w:tcBorders>
                  <w:shd w:val="clear" w:color="auto" w:fill="auto"/>
                  <w:noWrap w:val="0"/>
                  <w:vAlign w:val="center"/>
                </w:tcPr>
                <w:p w14:paraId="209B3B5F">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107.53</w:t>
                  </w:r>
                </w:p>
              </w:tc>
              <w:tc>
                <w:tcPr>
                  <w:tcW w:w="421" w:type="pct"/>
                  <w:tcBorders>
                    <w:tl2br w:val="nil"/>
                    <w:tr2bl w:val="nil"/>
                  </w:tcBorders>
                  <w:shd w:val="clear" w:color="auto" w:fill="auto"/>
                  <w:noWrap w:val="0"/>
                  <w:vAlign w:val="center"/>
                </w:tcPr>
                <w:p w14:paraId="0EE16E75">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w:t>
                  </w:r>
                </w:p>
              </w:tc>
              <w:tc>
                <w:tcPr>
                  <w:tcW w:w="256" w:type="pct"/>
                  <w:vMerge w:val="continue"/>
                  <w:tcBorders>
                    <w:tl2br w:val="nil"/>
                    <w:tr2bl w:val="nil"/>
                  </w:tcBorders>
                  <w:noWrap w:val="0"/>
                  <w:vAlign w:val="center"/>
                </w:tcPr>
                <w:p w14:paraId="78F1C841">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17D210D6">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vMerge w:val="continue"/>
                  <w:tcBorders>
                    <w:tl2br w:val="nil"/>
                    <w:tr2bl w:val="nil"/>
                  </w:tcBorders>
                  <w:noWrap w:val="0"/>
                  <w:vAlign w:val="center"/>
                </w:tcPr>
                <w:p w14:paraId="68F073C3">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r>
            <w:tr w14:paraId="04E9B6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continue"/>
                  <w:tcBorders>
                    <w:tl2br w:val="nil"/>
                    <w:tr2bl w:val="nil"/>
                  </w:tcBorders>
                  <w:noWrap w:val="0"/>
                  <w:vAlign w:val="center"/>
                </w:tcPr>
                <w:p w14:paraId="261E1F7D">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583" w:type="pct"/>
                  <w:vMerge w:val="continue"/>
                  <w:tcBorders>
                    <w:tl2br w:val="nil"/>
                    <w:tr2bl w:val="nil"/>
                  </w:tcBorders>
                  <w:noWrap w:val="0"/>
                  <w:vAlign w:val="center"/>
                </w:tcPr>
                <w:p w14:paraId="24B79047">
                  <w:pPr>
                    <w:pStyle w:val="80"/>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p>
              </w:tc>
              <w:tc>
                <w:tcPr>
                  <w:tcW w:w="376" w:type="pct"/>
                  <w:vMerge w:val="continue"/>
                  <w:tcBorders>
                    <w:tl2br w:val="nil"/>
                    <w:tr2bl w:val="nil"/>
                  </w:tcBorders>
                  <w:noWrap w:val="0"/>
                  <w:vAlign w:val="center"/>
                </w:tcPr>
                <w:p w14:paraId="09DC4006">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606" w:type="pct"/>
                  <w:vMerge w:val="continue"/>
                  <w:tcBorders>
                    <w:tl2br w:val="nil"/>
                    <w:tr2bl w:val="nil"/>
                  </w:tcBorders>
                  <w:noWrap w:val="0"/>
                  <w:vAlign w:val="center"/>
                </w:tcPr>
                <w:p w14:paraId="39F1A431">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457" w:type="pct"/>
                  <w:vMerge w:val="continue"/>
                  <w:tcBorders>
                    <w:tl2br w:val="nil"/>
                    <w:tr2bl w:val="nil"/>
                  </w:tcBorders>
                  <w:noWrap w:val="0"/>
                  <w:vAlign w:val="center"/>
                </w:tcPr>
                <w:p w14:paraId="772EFE98">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shd w:val="clear" w:color="auto" w:fill="auto"/>
                  <w:noWrap w:val="0"/>
                  <w:vAlign w:val="center"/>
                </w:tcPr>
                <w:p w14:paraId="5ACE3095">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24.24</w:t>
                  </w:r>
                </w:p>
              </w:tc>
              <w:tc>
                <w:tcPr>
                  <w:tcW w:w="553" w:type="pct"/>
                  <w:tcBorders>
                    <w:tl2br w:val="nil"/>
                    <w:tr2bl w:val="nil"/>
                  </w:tcBorders>
                  <w:shd w:val="clear" w:color="auto" w:fill="auto"/>
                  <w:noWrap w:val="0"/>
                  <w:vAlign w:val="center"/>
                </w:tcPr>
                <w:p w14:paraId="402AC954">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108.06</w:t>
                  </w:r>
                </w:p>
              </w:tc>
              <w:tc>
                <w:tcPr>
                  <w:tcW w:w="421" w:type="pct"/>
                  <w:tcBorders>
                    <w:tl2br w:val="nil"/>
                    <w:tr2bl w:val="nil"/>
                  </w:tcBorders>
                  <w:shd w:val="clear" w:color="auto" w:fill="auto"/>
                  <w:noWrap w:val="0"/>
                  <w:vAlign w:val="center"/>
                </w:tcPr>
                <w:p w14:paraId="4F9E526B">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w:t>
                  </w:r>
                </w:p>
              </w:tc>
              <w:tc>
                <w:tcPr>
                  <w:tcW w:w="256" w:type="pct"/>
                  <w:vMerge w:val="continue"/>
                  <w:tcBorders>
                    <w:tl2br w:val="nil"/>
                    <w:tr2bl w:val="nil"/>
                  </w:tcBorders>
                  <w:noWrap w:val="0"/>
                  <w:vAlign w:val="center"/>
                </w:tcPr>
                <w:p w14:paraId="471593EF">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66014FCE">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vMerge w:val="continue"/>
                  <w:tcBorders>
                    <w:tl2br w:val="nil"/>
                    <w:tr2bl w:val="nil"/>
                  </w:tcBorders>
                  <w:noWrap w:val="0"/>
                  <w:vAlign w:val="center"/>
                </w:tcPr>
                <w:p w14:paraId="2C3DFAF3">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r>
            <w:tr w14:paraId="6066DB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continue"/>
                  <w:tcBorders>
                    <w:tl2br w:val="nil"/>
                    <w:tr2bl w:val="nil"/>
                  </w:tcBorders>
                  <w:noWrap w:val="0"/>
                  <w:vAlign w:val="center"/>
                </w:tcPr>
                <w:p w14:paraId="425EC481">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583" w:type="pct"/>
                  <w:tcBorders>
                    <w:tl2br w:val="nil"/>
                    <w:tr2bl w:val="nil"/>
                  </w:tcBorders>
                  <w:shd w:val="clear" w:color="auto" w:fill="auto"/>
                  <w:noWrap w:val="0"/>
                  <w:vAlign w:val="center"/>
                </w:tcPr>
                <w:p w14:paraId="60DDE04F">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cs="Times New Roman" w:eastAsiaTheme="minorEastAsia"/>
                      <w:color w:val="auto"/>
                      <w:sz w:val="21"/>
                      <w:szCs w:val="21"/>
                      <w:highlight w:val="none"/>
                      <w:lang w:val="en-US" w:eastAsia="zh-CN" w:bidi="ar-SA"/>
                    </w:rPr>
                  </w:pPr>
                  <w:r>
                    <w:rPr>
                      <w:rFonts w:hint="eastAsia"/>
                      <w:b w:val="0"/>
                      <w:bCs w:val="0"/>
                      <w:color w:val="auto"/>
                      <w:szCs w:val="20"/>
                      <w:highlight w:val="none"/>
                    </w:rPr>
                    <w:t>肉丁机</w:t>
                  </w:r>
                </w:p>
              </w:tc>
              <w:tc>
                <w:tcPr>
                  <w:tcW w:w="376" w:type="pct"/>
                  <w:tcBorders>
                    <w:tl2br w:val="nil"/>
                    <w:tr2bl w:val="nil"/>
                  </w:tcBorders>
                  <w:shd w:val="clear" w:color="auto" w:fill="auto"/>
                  <w:noWrap w:val="0"/>
                  <w:vAlign w:val="center"/>
                </w:tcPr>
                <w:p w14:paraId="25809AC2">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w:t>
                  </w:r>
                </w:p>
              </w:tc>
              <w:tc>
                <w:tcPr>
                  <w:tcW w:w="606" w:type="pct"/>
                  <w:tcBorders>
                    <w:tl2br w:val="nil"/>
                    <w:tr2bl w:val="nil"/>
                  </w:tcBorders>
                  <w:noWrap w:val="0"/>
                  <w:vAlign w:val="center"/>
                </w:tcPr>
                <w:p w14:paraId="0B68DC1C">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75</w:t>
                  </w:r>
                </w:p>
              </w:tc>
              <w:tc>
                <w:tcPr>
                  <w:tcW w:w="457" w:type="pct"/>
                  <w:vMerge w:val="continue"/>
                  <w:tcBorders>
                    <w:tl2br w:val="nil"/>
                    <w:tr2bl w:val="nil"/>
                  </w:tcBorders>
                  <w:noWrap w:val="0"/>
                  <w:vAlign w:val="center"/>
                </w:tcPr>
                <w:p w14:paraId="1A2D117A">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noWrap w:val="0"/>
                  <w:vAlign w:val="center"/>
                </w:tcPr>
                <w:p w14:paraId="32FF9094">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18.38</w:t>
                  </w:r>
                </w:p>
              </w:tc>
              <w:tc>
                <w:tcPr>
                  <w:tcW w:w="553" w:type="pct"/>
                  <w:tcBorders>
                    <w:tl2br w:val="nil"/>
                    <w:tr2bl w:val="nil"/>
                  </w:tcBorders>
                  <w:noWrap w:val="0"/>
                  <w:vAlign w:val="center"/>
                </w:tcPr>
                <w:p w14:paraId="77124C85">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115.98</w:t>
                  </w:r>
                </w:p>
              </w:tc>
              <w:tc>
                <w:tcPr>
                  <w:tcW w:w="421" w:type="pct"/>
                  <w:tcBorders>
                    <w:tl2br w:val="nil"/>
                    <w:tr2bl w:val="nil"/>
                  </w:tcBorders>
                  <w:noWrap w:val="0"/>
                  <w:vAlign w:val="center"/>
                </w:tcPr>
                <w:p w14:paraId="61A26895">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w:t>
                  </w:r>
                </w:p>
              </w:tc>
              <w:tc>
                <w:tcPr>
                  <w:tcW w:w="256" w:type="pct"/>
                  <w:vMerge w:val="continue"/>
                  <w:tcBorders>
                    <w:tl2br w:val="nil"/>
                    <w:tr2bl w:val="nil"/>
                  </w:tcBorders>
                  <w:noWrap w:val="0"/>
                  <w:vAlign w:val="center"/>
                </w:tcPr>
                <w:p w14:paraId="22E3801D">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7C6289FA">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tcBorders>
                    <w:tl2br w:val="nil"/>
                    <w:tr2bl w:val="nil"/>
                  </w:tcBorders>
                  <w:noWrap w:val="0"/>
                  <w:vAlign w:val="center"/>
                </w:tcPr>
                <w:p w14:paraId="005C7953">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50</w:t>
                  </w:r>
                </w:p>
              </w:tc>
            </w:tr>
            <w:tr w14:paraId="182C2D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continue"/>
                  <w:tcBorders>
                    <w:tl2br w:val="nil"/>
                    <w:tr2bl w:val="nil"/>
                  </w:tcBorders>
                  <w:noWrap w:val="0"/>
                  <w:vAlign w:val="center"/>
                </w:tcPr>
                <w:p w14:paraId="50B473E3">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583" w:type="pct"/>
                  <w:tcBorders>
                    <w:tl2br w:val="nil"/>
                    <w:tr2bl w:val="nil"/>
                  </w:tcBorders>
                  <w:shd w:val="clear" w:color="auto" w:fill="auto"/>
                  <w:noWrap w:val="0"/>
                  <w:vAlign w:val="center"/>
                </w:tcPr>
                <w:p w14:paraId="7306C954">
                  <w:pPr>
                    <w:pStyle w:val="80"/>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240" w:lineRule="auto"/>
                    <w:ind w:left="0" w:leftChars="0" w:right="0" w:rightChars="0"/>
                    <w:jc w:val="center"/>
                    <w:textAlignment w:val="bottom"/>
                    <w:rPr>
                      <w:rFonts w:hint="eastAsia" w:ascii="Times New Roman" w:hAnsi="Times New Roman" w:cs="Times New Roman" w:eastAsiaTheme="minorEastAsia"/>
                      <w:color w:val="auto"/>
                      <w:sz w:val="21"/>
                      <w:szCs w:val="21"/>
                      <w:highlight w:val="none"/>
                      <w:lang w:val="en-US" w:eastAsia="zh-CN" w:bidi="ar-SA"/>
                    </w:rPr>
                  </w:pPr>
                  <w:r>
                    <w:rPr>
                      <w:rFonts w:hint="eastAsia"/>
                      <w:b w:val="0"/>
                      <w:bCs w:val="0"/>
                      <w:color w:val="auto"/>
                      <w:szCs w:val="20"/>
                      <w:highlight w:val="none"/>
                    </w:rPr>
                    <w:t>肉丝肉片机</w:t>
                  </w:r>
                </w:p>
              </w:tc>
              <w:tc>
                <w:tcPr>
                  <w:tcW w:w="376" w:type="pct"/>
                  <w:tcBorders>
                    <w:tl2br w:val="nil"/>
                    <w:tr2bl w:val="nil"/>
                  </w:tcBorders>
                  <w:shd w:val="clear" w:color="auto" w:fill="auto"/>
                  <w:noWrap w:val="0"/>
                  <w:vAlign w:val="center"/>
                </w:tcPr>
                <w:p w14:paraId="5DCC6870">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w:t>
                  </w:r>
                </w:p>
              </w:tc>
              <w:tc>
                <w:tcPr>
                  <w:tcW w:w="606" w:type="pct"/>
                  <w:tcBorders>
                    <w:tl2br w:val="nil"/>
                    <w:tr2bl w:val="nil"/>
                  </w:tcBorders>
                  <w:noWrap w:val="0"/>
                  <w:vAlign w:val="center"/>
                </w:tcPr>
                <w:p w14:paraId="48538A33">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75</w:t>
                  </w:r>
                </w:p>
              </w:tc>
              <w:tc>
                <w:tcPr>
                  <w:tcW w:w="457" w:type="pct"/>
                  <w:vMerge w:val="continue"/>
                  <w:tcBorders>
                    <w:tl2br w:val="nil"/>
                    <w:tr2bl w:val="nil"/>
                  </w:tcBorders>
                  <w:noWrap w:val="0"/>
                  <w:vAlign w:val="center"/>
                </w:tcPr>
                <w:p w14:paraId="7C55ACCA">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noWrap w:val="0"/>
                  <w:vAlign w:val="center"/>
                </w:tcPr>
                <w:p w14:paraId="262B0B70">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18.73</w:t>
                  </w:r>
                </w:p>
              </w:tc>
              <w:tc>
                <w:tcPr>
                  <w:tcW w:w="553" w:type="pct"/>
                  <w:tcBorders>
                    <w:tl2br w:val="nil"/>
                    <w:tr2bl w:val="nil"/>
                  </w:tcBorders>
                  <w:noWrap w:val="0"/>
                  <w:vAlign w:val="center"/>
                </w:tcPr>
                <w:p w14:paraId="04AB5728">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113.94</w:t>
                  </w:r>
                </w:p>
              </w:tc>
              <w:tc>
                <w:tcPr>
                  <w:tcW w:w="421" w:type="pct"/>
                  <w:tcBorders>
                    <w:tl2br w:val="nil"/>
                    <w:tr2bl w:val="nil"/>
                  </w:tcBorders>
                  <w:noWrap w:val="0"/>
                  <w:vAlign w:val="center"/>
                </w:tcPr>
                <w:p w14:paraId="4608AF98">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w:t>
                  </w:r>
                </w:p>
              </w:tc>
              <w:tc>
                <w:tcPr>
                  <w:tcW w:w="256" w:type="pct"/>
                  <w:vMerge w:val="continue"/>
                  <w:tcBorders>
                    <w:tl2br w:val="nil"/>
                    <w:tr2bl w:val="nil"/>
                  </w:tcBorders>
                  <w:noWrap w:val="0"/>
                  <w:vAlign w:val="center"/>
                </w:tcPr>
                <w:p w14:paraId="7B96DB7E">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0411EFD7">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tcBorders>
                    <w:tl2br w:val="nil"/>
                    <w:tr2bl w:val="nil"/>
                  </w:tcBorders>
                  <w:noWrap w:val="0"/>
                  <w:vAlign w:val="center"/>
                </w:tcPr>
                <w:p w14:paraId="7232B3EF">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50</w:t>
                  </w:r>
                </w:p>
              </w:tc>
            </w:tr>
            <w:tr w14:paraId="26524F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continue"/>
                  <w:tcBorders>
                    <w:tl2br w:val="nil"/>
                    <w:tr2bl w:val="nil"/>
                  </w:tcBorders>
                  <w:noWrap w:val="0"/>
                  <w:vAlign w:val="center"/>
                </w:tcPr>
                <w:p w14:paraId="5065BDCF">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583" w:type="pct"/>
                  <w:vMerge w:val="restart"/>
                  <w:tcBorders>
                    <w:tl2br w:val="nil"/>
                    <w:tr2bl w:val="nil"/>
                  </w:tcBorders>
                  <w:shd w:val="clear" w:color="auto" w:fill="auto"/>
                  <w:noWrap w:val="0"/>
                  <w:vAlign w:val="center"/>
                </w:tcPr>
                <w:p w14:paraId="1A5B1C7F">
                  <w:pPr>
                    <w:pStyle w:val="51"/>
                    <w:keepNext w:val="0"/>
                    <w:keepLines w:val="0"/>
                    <w:suppressLineNumbers w:val="0"/>
                    <w:spacing w:before="0" w:beforeLines="0" w:beforeAutospacing="0" w:after="0" w:afterLines="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eastAsiaTheme="minorEastAsia"/>
                      <w:color w:val="auto"/>
                      <w:sz w:val="21"/>
                      <w:szCs w:val="21"/>
                      <w:highlight w:val="none"/>
                      <w:lang w:val="en-US" w:eastAsia="zh-CN"/>
                    </w:rPr>
                    <w:t>切菜机</w:t>
                  </w:r>
                </w:p>
              </w:tc>
              <w:tc>
                <w:tcPr>
                  <w:tcW w:w="376" w:type="pct"/>
                  <w:vMerge w:val="restart"/>
                  <w:tcBorders>
                    <w:tl2br w:val="nil"/>
                    <w:tr2bl w:val="nil"/>
                  </w:tcBorders>
                  <w:shd w:val="clear" w:color="auto" w:fill="auto"/>
                  <w:noWrap w:val="0"/>
                  <w:vAlign w:val="center"/>
                </w:tcPr>
                <w:p w14:paraId="5F298004">
                  <w:pPr>
                    <w:pStyle w:val="51"/>
                    <w:keepNext w:val="0"/>
                    <w:keepLines w:val="0"/>
                    <w:suppressLineNumbers w:val="0"/>
                    <w:spacing w:before="0" w:beforeLines="0" w:beforeAutospacing="0" w:after="0" w:afterLines="0" w:afterAutospacing="0" w:line="240" w:lineRule="auto"/>
                    <w:ind w:left="0" w:leftChars="0" w:right="0" w:rightChars="0" w:firstLine="0" w:firstLineChars="0"/>
                    <w:jc w:val="center"/>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2</w:t>
                  </w:r>
                </w:p>
              </w:tc>
              <w:tc>
                <w:tcPr>
                  <w:tcW w:w="606" w:type="pct"/>
                  <w:vMerge w:val="restart"/>
                  <w:tcBorders>
                    <w:tl2br w:val="nil"/>
                    <w:tr2bl w:val="nil"/>
                  </w:tcBorders>
                  <w:noWrap w:val="0"/>
                  <w:vAlign w:val="center"/>
                </w:tcPr>
                <w:p w14:paraId="2DE5C490">
                  <w:pPr>
                    <w:pStyle w:val="51"/>
                    <w:keepNext w:val="0"/>
                    <w:keepLines w:val="0"/>
                    <w:suppressLineNumbers w:val="0"/>
                    <w:spacing w:before="0" w:beforeLines="0" w:beforeAutospacing="0" w:after="0" w:afterLines="0" w:afterAutospacing="0" w:line="240" w:lineRule="auto"/>
                    <w:ind w:left="0" w:leftChars="0" w:right="0" w:rightChars="0" w:firstLine="0" w:firstLineChars="0"/>
                    <w:jc w:val="center"/>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75</w:t>
                  </w:r>
                </w:p>
              </w:tc>
              <w:tc>
                <w:tcPr>
                  <w:tcW w:w="457" w:type="pct"/>
                  <w:vMerge w:val="continue"/>
                  <w:tcBorders>
                    <w:tl2br w:val="nil"/>
                    <w:tr2bl w:val="nil"/>
                  </w:tcBorders>
                  <w:noWrap w:val="0"/>
                  <w:vAlign w:val="center"/>
                </w:tcPr>
                <w:p w14:paraId="68DB5C80">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noWrap w:val="0"/>
                  <w:vAlign w:val="center"/>
                </w:tcPr>
                <w:p w14:paraId="2B23ED9D">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24.05</w:t>
                  </w:r>
                </w:p>
              </w:tc>
              <w:tc>
                <w:tcPr>
                  <w:tcW w:w="553" w:type="pct"/>
                  <w:tcBorders>
                    <w:tl2br w:val="nil"/>
                    <w:tr2bl w:val="nil"/>
                  </w:tcBorders>
                  <w:noWrap w:val="0"/>
                  <w:vAlign w:val="center"/>
                </w:tcPr>
                <w:p w14:paraId="4A7F03E7">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116.73</w:t>
                  </w:r>
                </w:p>
              </w:tc>
              <w:tc>
                <w:tcPr>
                  <w:tcW w:w="421" w:type="pct"/>
                  <w:tcBorders>
                    <w:tl2br w:val="nil"/>
                    <w:tr2bl w:val="nil"/>
                  </w:tcBorders>
                  <w:noWrap w:val="0"/>
                  <w:vAlign w:val="center"/>
                </w:tcPr>
                <w:p w14:paraId="48755FB1">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w:t>
                  </w:r>
                </w:p>
              </w:tc>
              <w:tc>
                <w:tcPr>
                  <w:tcW w:w="256" w:type="pct"/>
                  <w:vMerge w:val="continue"/>
                  <w:tcBorders>
                    <w:tl2br w:val="nil"/>
                    <w:tr2bl w:val="nil"/>
                  </w:tcBorders>
                  <w:noWrap w:val="0"/>
                  <w:vAlign w:val="center"/>
                </w:tcPr>
                <w:p w14:paraId="1FE4442B">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427E84E5">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vMerge w:val="restart"/>
                  <w:tcBorders>
                    <w:tl2br w:val="nil"/>
                    <w:tr2bl w:val="nil"/>
                  </w:tcBorders>
                  <w:noWrap w:val="0"/>
                  <w:vAlign w:val="center"/>
                </w:tcPr>
                <w:p w14:paraId="38DC2E7A">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50</w:t>
                  </w:r>
                </w:p>
              </w:tc>
            </w:tr>
            <w:tr w14:paraId="63C37D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continue"/>
                  <w:tcBorders>
                    <w:tl2br w:val="nil"/>
                    <w:tr2bl w:val="nil"/>
                  </w:tcBorders>
                  <w:noWrap w:val="0"/>
                  <w:vAlign w:val="center"/>
                </w:tcPr>
                <w:p w14:paraId="397D008D">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583" w:type="pct"/>
                  <w:vMerge w:val="continue"/>
                  <w:tcBorders>
                    <w:tl2br w:val="nil"/>
                    <w:tr2bl w:val="nil"/>
                  </w:tcBorders>
                  <w:noWrap w:val="0"/>
                  <w:vAlign w:val="center"/>
                </w:tcPr>
                <w:p w14:paraId="43840A76">
                  <w:pPr>
                    <w:pStyle w:val="80"/>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p>
              </w:tc>
              <w:tc>
                <w:tcPr>
                  <w:tcW w:w="376" w:type="pct"/>
                  <w:vMerge w:val="continue"/>
                  <w:tcBorders>
                    <w:tl2br w:val="nil"/>
                    <w:tr2bl w:val="nil"/>
                  </w:tcBorders>
                  <w:noWrap w:val="0"/>
                  <w:vAlign w:val="center"/>
                </w:tcPr>
                <w:p w14:paraId="580B801F">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606" w:type="pct"/>
                  <w:vMerge w:val="continue"/>
                  <w:tcBorders>
                    <w:tl2br w:val="nil"/>
                    <w:tr2bl w:val="nil"/>
                  </w:tcBorders>
                  <w:noWrap w:val="0"/>
                  <w:vAlign w:val="center"/>
                </w:tcPr>
                <w:p w14:paraId="34A41886">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57" w:type="pct"/>
                  <w:vMerge w:val="continue"/>
                  <w:tcBorders>
                    <w:tl2br w:val="nil"/>
                    <w:tr2bl w:val="nil"/>
                  </w:tcBorders>
                  <w:noWrap w:val="0"/>
                  <w:vAlign w:val="center"/>
                </w:tcPr>
                <w:p w14:paraId="0F2930BA">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noWrap w:val="0"/>
                  <w:vAlign w:val="center"/>
                </w:tcPr>
                <w:p w14:paraId="56D41C4A">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24.44</w:t>
                  </w:r>
                </w:p>
              </w:tc>
              <w:tc>
                <w:tcPr>
                  <w:tcW w:w="553" w:type="pct"/>
                  <w:tcBorders>
                    <w:tl2br w:val="nil"/>
                    <w:tr2bl w:val="nil"/>
                  </w:tcBorders>
                  <w:noWrap w:val="0"/>
                  <w:vAlign w:val="center"/>
                </w:tcPr>
                <w:p w14:paraId="45311041">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114.78</w:t>
                  </w:r>
                </w:p>
              </w:tc>
              <w:tc>
                <w:tcPr>
                  <w:tcW w:w="421" w:type="pct"/>
                  <w:tcBorders>
                    <w:tl2br w:val="nil"/>
                    <w:tr2bl w:val="nil"/>
                  </w:tcBorders>
                  <w:noWrap w:val="0"/>
                  <w:vAlign w:val="center"/>
                </w:tcPr>
                <w:p w14:paraId="296BCE13">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w:t>
                  </w:r>
                </w:p>
              </w:tc>
              <w:tc>
                <w:tcPr>
                  <w:tcW w:w="256" w:type="pct"/>
                  <w:vMerge w:val="continue"/>
                  <w:tcBorders>
                    <w:tl2br w:val="nil"/>
                    <w:tr2bl w:val="nil"/>
                  </w:tcBorders>
                  <w:noWrap w:val="0"/>
                  <w:vAlign w:val="center"/>
                </w:tcPr>
                <w:p w14:paraId="59A0BE8E">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1276AA3A">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vMerge w:val="continue"/>
                  <w:tcBorders>
                    <w:tl2br w:val="nil"/>
                    <w:tr2bl w:val="nil"/>
                  </w:tcBorders>
                  <w:noWrap w:val="0"/>
                  <w:vAlign w:val="center"/>
                </w:tcPr>
                <w:p w14:paraId="1F3E464B">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r>
            <w:tr w14:paraId="3DBBA8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25" w:hRule="atLeast"/>
                <w:jc w:val="center"/>
              </w:trPr>
              <w:tc>
                <w:tcPr>
                  <w:tcW w:w="377" w:type="pct"/>
                  <w:vMerge w:val="continue"/>
                  <w:tcBorders>
                    <w:tl2br w:val="nil"/>
                    <w:tr2bl w:val="nil"/>
                  </w:tcBorders>
                  <w:noWrap w:val="0"/>
                  <w:vAlign w:val="center"/>
                </w:tcPr>
                <w:p w14:paraId="7B83D159">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583" w:type="pct"/>
                  <w:tcBorders>
                    <w:tl2br w:val="nil"/>
                    <w:tr2bl w:val="nil"/>
                  </w:tcBorders>
                  <w:shd w:val="clear" w:color="auto" w:fill="auto"/>
                  <w:noWrap w:val="0"/>
                  <w:vAlign w:val="center"/>
                </w:tcPr>
                <w:p w14:paraId="61CAAAC4">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上料泵</w:t>
                  </w:r>
                </w:p>
              </w:tc>
              <w:tc>
                <w:tcPr>
                  <w:tcW w:w="376" w:type="pct"/>
                  <w:tcBorders>
                    <w:tl2br w:val="nil"/>
                    <w:tr2bl w:val="nil"/>
                  </w:tcBorders>
                  <w:shd w:val="clear" w:color="auto" w:fill="auto"/>
                  <w:noWrap w:val="0"/>
                  <w:vAlign w:val="center"/>
                </w:tcPr>
                <w:p w14:paraId="734218EA">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w:t>
                  </w:r>
                </w:p>
              </w:tc>
              <w:tc>
                <w:tcPr>
                  <w:tcW w:w="606" w:type="pct"/>
                  <w:tcBorders>
                    <w:tl2br w:val="nil"/>
                    <w:tr2bl w:val="nil"/>
                  </w:tcBorders>
                  <w:noWrap w:val="0"/>
                  <w:vAlign w:val="center"/>
                </w:tcPr>
                <w:p w14:paraId="084D7624">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85</w:t>
                  </w:r>
                </w:p>
              </w:tc>
              <w:tc>
                <w:tcPr>
                  <w:tcW w:w="457" w:type="pct"/>
                  <w:vMerge w:val="continue"/>
                  <w:tcBorders>
                    <w:tl2br w:val="nil"/>
                    <w:tr2bl w:val="nil"/>
                  </w:tcBorders>
                  <w:noWrap w:val="0"/>
                  <w:vAlign w:val="center"/>
                </w:tcPr>
                <w:p w14:paraId="65F180AD">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noWrap w:val="0"/>
                  <w:vAlign w:val="center"/>
                </w:tcPr>
                <w:p w14:paraId="18ECD0DA">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38.09</w:t>
                  </w:r>
                </w:p>
              </w:tc>
              <w:tc>
                <w:tcPr>
                  <w:tcW w:w="553" w:type="pct"/>
                  <w:tcBorders>
                    <w:tl2br w:val="nil"/>
                    <w:tr2bl w:val="nil"/>
                  </w:tcBorders>
                  <w:noWrap w:val="0"/>
                  <w:vAlign w:val="center"/>
                </w:tcPr>
                <w:p w14:paraId="245E1DAC">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106.94</w:t>
                  </w:r>
                </w:p>
              </w:tc>
              <w:tc>
                <w:tcPr>
                  <w:tcW w:w="421" w:type="pct"/>
                  <w:tcBorders>
                    <w:tl2br w:val="nil"/>
                    <w:tr2bl w:val="nil"/>
                  </w:tcBorders>
                  <w:noWrap w:val="0"/>
                  <w:vAlign w:val="center"/>
                </w:tcPr>
                <w:p w14:paraId="2EE87221">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w:t>
                  </w:r>
                </w:p>
              </w:tc>
              <w:tc>
                <w:tcPr>
                  <w:tcW w:w="256" w:type="pct"/>
                  <w:vMerge w:val="continue"/>
                  <w:tcBorders>
                    <w:tl2br w:val="nil"/>
                    <w:tr2bl w:val="nil"/>
                  </w:tcBorders>
                  <w:noWrap w:val="0"/>
                  <w:vAlign w:val="center"/>
                </w:tcPr>
                <w:p w14:paraId="3137EF50">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394C63AE">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tcBorders>
                    <w:tl2br w:val="nil"/>
                    <w:tr2bl w:val="nil"/>
                  </w:tcBorders>
                  <w:noWrap w:val="0"/>
                  <w:vAlign w:val="center"/>
                </w:tcPr>
                <w:p w14:paraId="03FC4ED5">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60</w:t>
                  </w:r>
                </w:p>
              </w:tc>
            </w:tr>
            <w:tr w14:paraId="74EF53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restart"/>
                  <w:tcBorders>
                    <w:tl2br w:val="nil"/>
                    <w:tr2bl w:val="nil"/>
                  </w:tcBorders>
                  <w:shd w:val="clear" w:color="auto" w:fill="auto"/>
                  <w:noWrap w:val="0"/>
                  <w:vAlign w:val="center"/>
                </w:tcPr>
                <w:p w14:paraId="532D3917">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2#锅炉房</w:t>
                  </w:r>
                </w:p>
              </w:tc>
              <w:tc>
                <w:tcPr>
                  <w:tcW w:w="583" w:type="pct"/>
                  <w:vMerge w:val="restart"/>
                  <w:tcBorders>
                    <w:tl2br w:val="nil"/>
                    <w:tr2bl w:val="nil"/>
                  </w:tcBorders>
                  <w:shd w:val="clear" w:color="auto" w:fill="auto"/>
                  <w:noWrap w:val="0"/>
                  <w:vAlign w:val="center"/>
                </w:tcPr>
                <w:p w14:paraId="7155A972">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0"/>
                      <w:sz w:val="21"/>
                      <w:szCs w:val="20"/>
                      <w:highlight w:val="none"/>
                      <w:lang w:val="en-US" w:eastAsia="zh-CN" w:bidi="ar-SA"/>
                    </w:rPr>
                  </w:pPr>
                  <w:r>
                    <w:rPr>
                      <w:rFonts w:hint="eastAsia" w:ascii="Times New Roman" w:eastAsiaTheme="minorEastAsia"/>
                      <w:color w:val="auto"/>
                      <w:sz w:val="21"/>
                      <w:szCs w:val="21"/>
                      <w:highlight w:val="none"/>
                      <w:lang w:val="en-US" w:eastAsia="zh-CN"/>
                    </w:rPr>
                    <w:t>燃气锅炉</w:t>
                  </w:r>
                </w:p>
              </w:tc>
              <w:tc>
                <w:tcPr>
                  <w:tcW w:w="376" w:type="pct"/>
                  <w:vMerge w:val="restart"/>
                  <w:tcBorders>
                    <w:tl2br w:val="nil"/>
                    <w:tr2bl w:val="nil"/>
                  </w:tcBorders>
                  <w:shd w:val="clear" w:color="auto" w:fill="auto"/>
                  <w:noWrap w:val="0"/>
                  <w:vAlign w:val="center"/>
                </w:tcPr>
                <w:p w14:paraId="330CE390">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4</w:t>
                  </w:r>
                </w:p>
              </w:tc>
              <w:tc>
                <w:tcPr>
                  <w:tcW w:w="606" w:type="pct"/>
                  <w:vMerge w:val="restart"/>
                  <w:tcBorders>
                    <w:tl2br w:val="nil"/>
                    <w:tr2bl w:val="nil"/>
                  </w:tcBorders>
                  <w:noWrap w:val="0"/>
                  <w:vAlign w:val="center"/>
                </w:tcPr>
                <w:p w14:paraId="0C7E87EA">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85</w:t>
                  </w:r>
                </w:p>
              </w:tc>
              <w:tc>
                <w:tcPr>
                  <w:tcW w:w="457" w:type="pct"/>
                  <w:vMerge w:val="continue"/>
                  <w:tcBorders>
                    <w:tl2br w:val="nil"/>
                    <w:tr2bl w:val="nil"/>
                  </w:tcBorders>
                  <w:noWrap w:val="0"/>
                  <w:vAlign w:val="center"/>
                </w:tcPr>
                <w:p w14:paraId="4E6BADB4">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noWrap w:val="0"/>
                  <w:vAlign w:val="center"/>
                </w:tcPr>
                <w:p w14:paraId="55C4FE34">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12.53</w:t>
                  </w:r>
                </w:p>
              </w:tc>
              <w:tc>
                <w:tcPr>
                  <w:tcW w:w="553" w:type="pct"/>
                  <w:tcBorders>
                    <w:tl2br w:val="nil"/>
                    <w:tr2bl w:val="nil"/>
                  </w:tcBorders>
                  <w:noWrap w:val="0"/>
                  <w:vAlign w:val="center"/>
                </w:tcPr>
                <w:p w14:paraId="3F6B3928">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90.12</w:t>
                  </w:r>
                </w:p>
              </w:tc>
              <w:tc>
                <w:tcPr>
                  <w:tcW w:w="421" w:type="pct"/>
                  <w:tcBorders>
                    <w:tl2br w:val="nil"/>
                    <w:tr2bl w:val="nil"/>
                  </w:tcBorders>
                  <w:noWrap w:val="0"/>
                  <w:vAlign w:val="center"/>
                </w:tcPr>
                <w:p w14:paraId="6D948FCF">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w:t>
                  </w:r>
                </w:p>
              </w:tc>
              <w:tc>
                <w:tcPr>
                  <w:tcW w:w="256" w:type="pct"/>
                  <w:vMerge w:val="continue"/>
                  <w:tcBorders>
                    <w:tl2br w:val="nil"/>
                    <w:tr2bl w:val="nil"/>
                  </w:tcBorders>
                  <w:noWrap w:val="0"/>
                  <w:vAlign w:val="center"/>
                </w:tcPr>
                <w:p w14:paraId="216E37D2">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519983F2">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vMerge w:val="restart"/>
                  <w:tcBorders>
                    <w:tl2br w:val="nil"/>
                    <w:tr2bl w:val="nil"/>
                  </w:tcBorders>
                  <w:noWrap w:val="0"/>
                  <w:vAlign w:val="center"/>
                </w:tcPr>
                <w:p w14:paraId="5B85BB6B">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60</w:t>
                  </w:r>
                </w:p>
              </w:tc>
            </w:tr>
            <w:tr w14:paraId="60D00C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continue"/>
                  <w:tcBorders>
                    <w:tl2br w:val="nil"/>
                    <w:tr2bl w:val="nil"/>
                  </w:tcBorders>
                  <w:noWrap w:val="0"/>
                  <w:vAlign w:val="center"/>
                </w:tcPr>
                <w:p w14:paraId="67ED5C8D">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hAnsi="Times New Roman" w:eastAsia="宋体" w:cs="Times New Roman"/>
                      <w:color w:val="auto"/>
                      <w:sz w:val="21"/>
                      <w:szCs w:val="21"/>
                      <w:highlight w:val="none"/>
                      <w:lang w:val="en-US" w:eastAsia="zh-CN"/>
                    </w:rPr>
                  </w:pPr>
                </w:p>
              </w:tc>
              <w:tc>
                <w:tcPr>
                  <w:tcW w:w="583" w:type="pct"/>
                  <w:vMerge w:val="continue"/>
                  <w:tcBorders>
                    <w:tl2br w:val="nil"/>
                    <w:tr2bl w:val="nil"/>
                  </w:tcBorders>
                  <w:noWrap w:val="0"/>
                  <w:vAlign w:val="center"/>
                </w:tcPr>
                <w:p w14:paraId="3BFD930A">
                  <w:pPr>
                    <w:pStyle w:val="80"/>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p>
              </w:tc>
              <w:tc>
                <w:tcPr>
                  <w:tcW w:w="376" w:type="pct"/>
                  <w:vMerge w:val="continue"/>
                  <w:tcBorders>
                    <w:tl2br w:val="nil"/>
                    <w:tr2bl w:val="nil"/>
                  </w:tcBorders>
                  <w:noWrap w:val="0"/>
                  <w:vAlign w:val="center"/>
                </w:tcPr>
                <w:p w14:paraId="0A650FF9">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606" w:type="pct"/>
                  <w:vMerge w:val="continue"/>
                  <w:tcBorders>
                    <w:tl2br w:val="nil"/>
                    <w:tr2bl w:val="nil"/>
                  </w:tcBorders>
                  <w:noWrap w:val="0"/>
                  <w:vAlign w:val="center"/>
                </w:tcPr>
                <w:p w14:paraId="4F8959C9">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457" w:type="pct"/>
                  <w:vMerge w:val="continue"/>
                  <w:tcBorders>
                    <w:tl2br w:val="nil"/>
                    <w:tr2bl w:val="nil"/>
                  </w:tcBorders>
                  <w:noWrap w:val="0"/>
                  <w:vAlign w:val="center"/>
                </w:tcPr>
                <w:p w14:paraId="5680F596">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noWrap w:val="0"/>
                  <w:vAlign w:val="center"/>
                </w:tcPr>
                <w:p w14:paraId="2E06BE22">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8.87</w:t>
                  </w:r>
                </w:p>
              </w:tc>
              <w:tc>
                <w:tcPr>
                  <w:tcW w:w="553" w:type="pct"/>
                  <w:tcBorders>
                    <w:tl2br w:val="nil"/>
                    <w:tr2bl w:val="nil"/>
                  </w:tcBorders>
                  <w:noWrap w:val="0"/>
                  <w:vAlign w:val="center"/>
                </w:tcPr>
                <w:p w14:paraId="7A9CE76F">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89.6</w:t>
                  </w:r>
                </w:p>
              </w:tc>
              <w:tc>
                <w:tcPr>
                  <w:tcW w:w="421" w:type="pct"/>
                  <w:tcBorders>
                    <w:tl2br w:val="nil"/>
                    <w:tr2bl w:val="nil"/>
                  </w:tcBorders>
                  <w:noWrap w:val="0"/>
                  <w:vAlign w:val="center"/>
                </w:tcPr>
                <w:p w14:paraId="2C79AF08">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w:t>
                  </w:r>
                </w:p>
              </w:tc>
              <w:tc>
                <w:tcPr>
                  <w:tcW w:w="256" w:type="pct"/>
                  <w:vMerge w:val="continue"/>
                  <w:tcBorders>
                    <w:tl2br w:val="nil"/>
                    <w:tr2bl w:val="nil"/>
                  </w:tcBorders>
                  <w:noWrap w:val="0"/>
                  <w:vAlign w:val="center"/>
                </w:tcPr>
                <w:p w14:paraId="57E38B9C">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1B7C6BD3">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vMerge w:val="continue"/>
                  <w:tcBorders>
                    <w:tl2br w:val="nil"/>
                    <w:tr2bl w:val="nil"/>
                  </w:tcBorders>
                  <w:noWrap w:val="0"/>
                  <w:vAlign w:val="center"/>
                </w:tcPr>
                <w:p w14:paraId="4255184E">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r>
            <w:tr w14:paraId="070863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77" w:type="pct"/>
                  <w:vMerge w:val="continue"/>
                  <w:tcBorders>
                    <w:tl2br w:val="nil"/>
                    <w:tr2bl w:val="nil"/>
                  </w:tcBorders>
                  <w:noWrap w:val="0"/>
                  <w:vAlign w:val="center"/>
                </w:tcPr>
                <w:p w14:paraId="69D66778">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hAnsi="Times New Roman" w:eastAsia="宋体" w:cs="Times New Roman"/>
                      <w:color w:val="auto"/>
                      <w:sz w:val="21"/>
                      <w:szCs w:val="21"/>
                      <w:highlight w:val="none"/>
                      <w:lang w:val="en-US" w:eastAsia="zh-CN"/>
                    </w:rPr>
                  </w:pPr>
                </w:p>
              </w:tc>
              <w:tc>
                <w:tcPr>
                  <w:tcW w:w="583" w:type="pct"/>
                  <w:vMerge w:val="continue"/>
                  <w:tcBorders>
                    <w:tl2br w:val="nil"/>
                    <w:tr2bl w:val="nil"/>
                  </w:tcBorders>
                  <w:noWrap w:val="0"/>
                  <w:vAlign w:val="center"/>
                </w:tcPr>
                <w:p w14:paraId="7C9DF607">
                  <w:pPr>
                    <w:pStyle w:val="80"/>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p>
              </w:tc>
              <w:tc>
                <w:tcPr>
                  <w:tcW w:w="376" w:type="pct"/>
                  <w:vMerge w:val="continue"/>
                  <w:tcBorders>
                    <w:tl2br w:val="nil"/>
                    <w:tr2bl w:val="nil"/>
                  </w:tcBorders>
                  <w:noWrap w:val="0"/>
                  <w:vAlign w:val="center"/>
                </w:tcPr>
                <w:p w14:paraId="49566F6D">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606" w:type="pct"/>
                  <w:vMerge w:val="continue"/>
                  <w:tcBorders>
                    <w:tl2br w:val="nil"/>
                    <w:tr2bl w:val="nil"/>
                  </w:tcBorders>
                  <w:noWrap w:val="0"/>
                  <w:vAlign w:val="center"/>
                </w:tcPr>
                <w:p w14:paraId="4AD4BD5C">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457" w:type="pct"/>
                  <w:vMerge w:val="continue"/>
                  <w:tcBorders>
                    <w:tl2br w:val="nil"/>
                    <w:tr2bl w:val="nil"/>
                  </w:tcBorders>
                  <w:noWrap w:val="0"/>
                  <w:vAlign w:val="center"/>
                </w:tcPr>
                <w:p w14:paraId="7428957D">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noWrap w:val="0"/>
                  <w:vAlign w:val="center"/>
                </w:tcPr>
                <w:p w14:paraId="7A876783">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13.14</w:t>
                  </w:r>
                </w:p>
              </w:tc>
              <w:tc>
                <w:tcPr>
                  <w:tcW w:w="553" w:type="pct"/>
                  <w:tcBorders>
                    <w:tl2br w:val="nil"/>
                    <w:tr2bl w:val="nil"/>
                  </w:tcBorders>
                  <w:noWrap w:val="0"/>
                  <w:vAlign w:val="center"/>
                </w:tcPr>
                <w:p w14:paraId="05B45B9A">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84.86</w:t>
                  </w:r>
                </w:p>
              </w:tc>
              <w:tc>
                <w:tcPr>
                  <w:tcW w:w="421" w:type="pct"/>
                  <w:tcBorders>
                    <w:tl2br w:val="nil"/>
                    <w:tr2bl w:val="nil"/>
                  </w:tcBorders>
                  <w:noWrap w:val="0"/>
                  <w:vAlign w:val="center"/>
                </w:tcPr>
                <w:p w14:paraId="4BCEFBC4">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w:t>
                  </w:r>
                </w:p>
              </w:tc>
              <w:tc>
                <w:tcPr>
                  <w:tcW w:w="256" w:type="pct"/>
                  <w:vMerge w:val="continue"/>
                  <w:tcBorders>
                    <w:tl2br w:val="nil"/>
                    <w:tr2bl w:val="nil"/>
                  </w:tcBorders>
                  <w:noWrap w:val="0"/>
                  <w:vAlign w:val="center"/>
                </w:tcPr>
                <w:p w14:paraId="4F8300B8">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3CD44C72">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vMerge w:val="continue"/>
                  <w:tcBorders>
                    <w:tl2br w:val="nil"/>
                    <w:tr2bl w:val="nil"/>
                  </w:tcBorders>
                  <w:noWrap w:val="0"/>
                  <w:vAlign w:val="center"/>
                </w:tcPr>
                <w:p w14:paraId="34BA3936">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r>
            <w:tr w14:paraId="1AAADE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25" w:hRule="atLeast"/>
                <w:jc w:val="center"/>
              </w:trPr>
              <w:tc>
                <w:tcPr>
                  <w:tcW w:w="377" w:type="pct"/>
                  <w:vMerge w:val="continue"/>
                  <w:tcBorders>
                    <w:tl2br w:val="nil"/>
                    <w:tr2bl w:val="nil"/>
                  </w:tcBorders>
                  <w:noWrap w:val="0"/>
                  <w:vAlign w:val="center"/>
                </w:tcPr>
                <w:p w14:paraId="2E53A53A">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hAnsi="Times New Roman" w:eastAsia="宋体" w:cs="Times New Roman"/>
                      <w:color w:val="auto"/>
                      <w:sz w:val="21"/>
                      <w:szCs w:val="21"/>
                      <w:highlight w:val="none"/>
                      <w:lang w:val="en-US" w:eastAsia="zh-CN"/>
                    </w:rPr>
                  </w:pPr>
                </w:p>
              </w:tc>
              <w:tc>
                <w:tcPr>
                  <w:tcW w:w="583" w:type="pct"/>
                  <w:vMerge w:val="continue"/>
                  <w:tcBorders>
                    <w:tl2br w:val="nil"/>
                    <w:tr2bl w:val="nil"/>
                  </w:tcBorders>
                  <w:noWrap w:val="0"/>
                  <w:vAlign w:val="center"/>
                </w:tcPr>
                <w:p w14:paraId="6B063C6C">
                  <w:pPr>
                    <w:pStyle w:val="80"/>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p>
              </w:tc>
              <w:tc>
                <w:tcPr>
                  <w:tcW w:w="376" w:type="pct"/>
                  <w:vMerge w:val="continue"/>
                  <w:tcBorders>
                    <w:tl2br w:val="nil"/>
                    <w:tr2bl w:val="nil"/>
                  </w:tcBorders>
                  <w:noWrap w:val="0"/>
                  <w:vAlign w:val="center"/>
                </w:tcPr>
                <w:p w14:paraId="11D99C2B">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606" w:type="pct"/>
                  <w:vMerge w:val="continue"/>
                  <w:tcBorders>
                    <w:tl2br w:val="nil"/>
                    <w:tr2bl w:val="nil"/>
                  </w:tcBorders>
                  <w:noWrap w:val="0"/>
                  <w:vAlign w:val="center"/>
                </w:tcPr>
                <w:p w14:paraId="731CD732">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457" w:type="pct"/>
                  <w:vMerge w:val="continue"/>
                  <w:tcBorders>
                    <w:tl2br w:val="nil"/>
                    <w:tr2bl w:val="nil"/>
                  </w:tcBorders>
                  <w:noWrap w:val="0"/>
                  <w:vAlign w:val="center"/>
                </w:tcPr>
                <w:p w14:paraId="3F20D711">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539" w:type="pct"/>
                  <w:tcBorders>
                    <w:tl2br w:val="nil"/>
                    <w:tr2bl w:val="nil"/>
                  </w:tcBorders>
                  <w:noWrap w:val="0"/>
                  <w:vAlign w:val="center"/>
                </w:tcPr>
                <w:p w14:paraId="28F71A1D">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9.33</w:t>
                  </w:r>
                </w:p>
              </w:tc>
              <w:tc>
                <w:tcPr>
                  <w:tcW w:w="553" w:type="pct"/>
                  <w:tcBorders>
                    <w:tl2br w:val="nil"/>
                    <w:tr2bl w:val="nil"/>
                  </w:tcBorders>
                  <w:noWrap w:val="0"/>
                  <w:vAlign w:val="center"/>
                </w:tcPr>
                <w:p w14:paraId="78CF6303">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84.11</w:t>
                  </w:r>
                </w:p>
              </w:tc>
              <w:tc>
                <w:tcPr>
                  <w:tcW w:w="421" w:type="pct"/>
                  <w:tcBorders>
                    <w:tl2br w:val="nil"/>
                    <w:tr2bl w:val="nil"/>
                  </w:tcBorders>
                  <w:noWrap w:val="0"/>
                  <w:vAlign w:val="center"/>
                </w:tcPr>
                <w:p w14:paraId="488E000E">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w:t>
                  </w:r>
                </w:p>
              </w:tc>
              <w:tc>
                <w:tcPr>
                  <w:tcW w:w="256" w:type="pct"/>
                  <w:vMerge w:val="continue"/>
                  <w:tcBorders>
                    <w:tl2br w:val="nil"/>
                    <w:tr2bl w:val="nil"/>
                  </w:tcBorders>
                  <w:noWrap w:val="0"/>
                  <w:vAlign w:val="center"/>
                </w:tcPr>
                <w:p w14:paraId="44A99DF8">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color w:val="auto"/>
                      <w:sz w:val="21"/>
                      <w:szCs w:val="21"/>
                      <w:highlight w:val="none"/>
                    </w:rPr>
                  </w:pPr>
                </w:p>
              </w:tc>
              <w:tc>
                <w:tcPr>
                  <w:tcW w:w="413" w:type="pct"/>
                  <w:vMerge w:val="continue"/>
                  <w:tcBorders>
                    <w:tl2br w:val="nil"/>
                    <w:tr2bl w:val="nil"/>
                  </w:tcBorders>
                  <w:noWrap w:val="0"/>
                  <w:vAlign w:val="center"/>
                </w:tcPr>
                <w:p w14:paraId="701154CB">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413" w:type="pct"/>
                  <w:vMerge w:val="continue"/>
                  <w:tcBorders>
                    <w:tl2br w:val="nil"/>
                    <w:tr2bl w:val="nil"/>
                  </w:tcBorders>
                  <w:noWrap w:val="0"/>
                  <w:vAlign w:val="center"/>
                </w:tcPr>
                <w:p w14:paraId="322D6C2F">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r>
            <w:tr w14:paraId="64D9A4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000" w:type="pct"/>
                  <w:gridSpan w:val="11"/>
                  <w:tcBorders>
                    <w:tl2br w:val="nil"/>
                    <w:tr2bl w:val="nil"/>
                  </w:tcBorders>
                  <w:noWrap w:val="0"/>
                  <w:vAlign w:val="center"/>
                </w:tcPr>
                <w:p w14:paraId="6A49333C">
                  <w:pPr>
                    <w:pStyle w:val="51"/>
                    <w:keepNext w:val="0"/>
                    <w:keepLines w:val="0"/>
                    <w:suppressLineNumbers w:val="0"/>
                    <w:spacing w:before="0" w:beforeLines="0" w:beforeAutospacing="0" w:after="0" w:afterLines="0" w:afterAutospacing="0" w:line="240" w:lineRule="auto"/>
                    <w:ind w:left="0" w:right="0" w:firstLine="0" w:firstLineChars="0"/>
                    <w:jc w:val="left"/>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注：坐标原点位于厂区西南角。</w:t>
                  </w:r>
                </w:p>
              </w:tc>
            </w:tr>
          </w:tbl>
          <w:p w14:paraId="4E3FB2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4"/>
                <w:szCs w:val="24"/>
                <w:highlight w:val="none"/>
              </w:rPr>
            </w:pPr>
          </w:p>
          <w:p w14:paraId="72B649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rPr>
              <w:t>表4-</w:t>
            </w:r>
            <w:r>
              <w:rPr>
                <w:rFonts w:hint="eastAsia" w:ascii="Times New Roman" w:hAnsi="Times New Roman" w:eastAsia="宋体" w:cs="Times New Roman"/>
                <w:b/>
                <w:bCs/>
                <w:color w:val="auto"/>
                <w:sz w:val="24"/>
                <w:szCs w:val="24"/>
                <w:highlight w:val="none"/>
                <w:lang w:val="en-US" w:eastAsia="zh-CN"/>
              </w:rPr>
              <w:t xml:space="preserve">9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val="en-US" w:eastAsia="zh-CN"/>
              </w:rPr>
              <w:t xml:space="preserve"> </w:t>
            </w:r>
            <w:r>
              <w:rPr>
                <w:rFonts w:hint="default" w:ascii="Times New Roman" w:hAnsi="Times New Roman" w:eastAsia="宋体" w:cs="Times New Roman"/>
                <w:b/>
                <w:bCs/>
                <w:color w:val="auto"/>
                <w:sz w:val="24"/>
                <w:szCs w:val="24"/>
                <w:highlight w:val="none"/>
              </w:rPr>
              <w:t xml:space="preserve"> </w:t>
            </w:r>
            <w:r>
              <w:rPr>
                <w:rFonts w:hint="eastAsia" w:ascii="Times New Roman" w:hAnsi="Times New Roman" w:eastAsia="宋体" w:cs="Times New Roman"/>
                <w:b/>
                <w:bCs/>
                <w:color w:val="auto"/>
                <w:sz w:val="24"/>
                <w:szCs w:val="24"/>
                <w:highlight w:val="none"/>
                <w:lang w:val="en-US" w:eastAsia="zh-CN"/>
              </w:rPr>
              <w:t>噪声源强调查清单（室外）</w:t>
            </w:r>
          </w:p>
          <w:tbl>
            <w:tblPr>
              <w:tblStyle w:val="37"/>
              <w:tblW w:w="492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344"/>
              <w:gridCol w:w="1158"/>
              <w:gridCol w:w="636"/>
              <w:gridCol w:w="717"/>
              <w:gridCol w:w="867"/>
              <w:gridCol w:w="716"/>
              <w:gridCol w:w="884"/>
              <w:gridCol w:w="1100"/>
              <w:gridCol w:w="1124"/>
              <w:gridCol w:w="600"/>
            </w:tblGrid>
            <w:tr w14:paraId="51C327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454" w:hRule="atLeast"/>
                <w:jc w:val="center"/>
              </w:trPr>
              <w:tc>
                <w:tcPr>
                  <w:tcW w:w="211" w:type="pct"/>
                  <w:vMerge w:val="restart"/>
                  <w:tcBorders>
                    <w:tl2br w:val="nil"/>
                    <w:tr2bl w:val="nil"/>
                  </w:tcBorders>
                  <w:shd w:val="clear" w:color="auto" w:fill="auto"/>
                  <w:vAlign w:val="center"/>
                </w:tcPr>
                <w:p w14:paraId="0139981A">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序号</w:t>
                  </w:r>
                </w:p>
              </w:tc>
              <w:tc>
                <w:tcPr>
                  <w:tcW w:w="1158" w:type="dxa"/>
                  <w:vMerge w:val="restart"/>
                  <w:tcBorders>
                    <w:tl2br w:val="nil"/>
                    <w:tr2bl w:val="nil"/>
                  </w:tcBorders>
                  <w:shd w:val="clear" w:color="auto" w:fill="auto"/>
                  <w:vAlign w:val="center"/>
                </w:tcPr>
                <w:p w14:paraId="19C453FF">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声源名称</w:t>
                  </w:r>
                </w:p>
              </w:tc>
              <w:tc>
                <w:tcPr>
                  <w:tcW w:w="390" w:type="pct"/>
                  <w:vMerge w:val="restart"/>
                  <w:tcBorders>
                    <w:tl2br w:val="nil"/>
                    <w:tr2bl w:val="nil"/>
                  </w:tcBorders>
                  <w:shd w:val="clear" w:color="auto" w:fill="auto"/>
                  <w:vAlign w:val="center"/>
                </w:tcPr>
                <w:p w14:paraId="35FCE1DF">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default" w:ascii="Times New Roman" w:eastAsiaTheme="minorEastAsia"/>
                      <w:color w:val="auto"/>
                      <w:sz w:val="21"/>
                      <w:szCs w:val="21"/>
                      <w:highlight w:val="none"/>
                      <w:lang w:val="en-US" w:eastAsia="zh-CN"/>
                    </w:rPr>
                    <w:t>数量</w:t>
                  </w:r>
                  <w:r>
                    <w:rPr>
                      <w:rFonts w:hint="eastAsia" w:ascii="Times New Roman" w:eastAsiaTheme="minorEastAsia"/>
                      <w:color w:val="auto"/>
                      <w:sz w:val="21"/>
                      <w:szCs w:val="21"/>
                      <w:highlight w:val="none"/>
                      <w:lang w:val="en-US" w:eastAsia="zh-CN"/>
                    </w:rPr>
                    <w:t>（台）</w:t>
                  </w:r>
                </w:p>
              </w:tc>
              <w:tc>
                <w:tcPr>
                  <w:tcW w:w="1411" w:type="pct"/>
                  <w:gridSpan w:val="3"/>
                  <w:tcBorders>
                    <w:tl2br w:val="nil"/>
                    <w:tr2bl w:val="nil"/>
                  </w:tcBorders>
                  <w:shd w:val="clear" w:color="auto" w:fill="auto"/>
                  <w:vAlign w:val="center"/>
                </w:tcPr>
                <w:p w14:paraId="1BE4DDF0">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空间相对位置</w:t>
                  </w:r>
                  <w:r>
                    <w:rPr>
                      <w:rFonts w:hint="default" w:ascii="Times New Roman" w:eastAsiaTheme="minorEastAsia"/>
                      <w:color w:val="auto"/>
                      <w:sz w:val="21"/>
                      <w:szCs w:val="21"/>
                      <w:highlight w:val="none"/>
                      <w:lang w:val="en-US" w:eastAsia="zh-CN"/>
                    </w:rPr>
                    <w:t>/m</w:t>
                  </w:r>
                </w:p>
              </w:tc>
              <w:tc>
                <w:tcPr>
                  <w:tcW w:w="542" w:type="pct"/>
                  <w:vMerge w:val="restart"/>
                  <w:tcBorders>
                    <w:tl2br w:val="nil"/>
                    <w:tr2bl w:val="nil"/>
                  </w:tcBorders>
                  <w:shd w:val="clear" w:color="auto" w:fill="auto"/>
                  <w:vAlign w:val="center"/>
                </w:tcPr>
                <w:p w14:paraId="37B7B276">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声源源强</w:t>
                  </w:r>
                  <w:r>
                    <w:rPr>
                      <w:rFonts w:hint="default" w:ascii="Times New Roman" w:eastAsiaTheme="minorEastAsia"/>
                      <w:color w:val="auto"/>
                      <w:sz w:val="21"/>
                      <w:szCs w:val="21"/>
                      <w:highlight w:val="none"/>
                      <w:lang w:val="en-US" w:eastAsia="zh-CN"/>
                    </w:rPr>
                    <w:t>dB</w:t>
                  </w:r>
                  <w:r>
                    <w:rPr>
                      <w:rFonts w:hint="eastAsia" w:ascii="Times New Roman" w:eastAsiaTheme="minorEastAsia"/>
                      <w:color w:val="auto"/>
                      <w:sz w:val="21"/>
                      <w:szCs w:val="21"/>
                      <w:highlight w:val="none"/>
                      <w:lang w:val="en-US" w:eastAsia="zh-CN"/>
                    </w:rPr>
                    <w:t>（</w:t>
                  </w:r>
                  <w:r>
                    <w:rPr>
                      <w:rFonts w:hint="default" w:ascii="Times New Roman" w:eastAsiaTheme="minorEastAsia"/>
                      <w:color w:val="auto"/>
                      <w:sz w:val="21"/>
                      <w:szCs w:val="21"/>
                      <w:highlight w:val="none"/>
                      <w:lang w:val="en-US" w:eastAsia="zh-CN"/>
                    </w:rPr>
                    <w:t>A</w:t>
                  </w:r>
                  <w:r>
                    <w:rPr>
                      <w:rFonts w:hint="eastAsia" w:ascii="Times New Roman" w:eastAsiaTheme="minorEastAsia"/>
                      <w:color w:val="auto"/>
                      <w:sz w:val="21"/>
                      <w:szCs w:val="21"/>
                      <w:highlight w:val="none"/>
                      <w:lang w:val="en-US" w:eastAsia="zh-CN"/>
                    </w:rPr>
                    <w:t>）</w:t>
                  </w:r>
                </w:p>
              </w:tc>
              <w:tc>
                <w:tcPr>
                  <w:tcW w:w="675" w:type="pct"/>
                  <w:vMerge w:val="restart"/>
                  <w:tcBorders>
                    <w:tl2br w:val="nil"/>
                    <w:tr2bl w:val="nil"/>
                  </w:tcBorders>
                  <w:shd w:val="clear" w:color="auto" w:fill="auto"/>
                  <w:vAlign w:val="center"/>
                </w:tcPr>
                <w:p w14:paraId="3FD82ED4">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声源控制措施措施</w:t>
                  </w:r>
                </w:p>
              </w:tc>
              <w:tc>
                <w:tcPr>
                  <w:tcW w:w="689" w:type="pct"/>
                  <w:vMerge w:val="restart"/>
                  <w:tcBorders>
                    <w:tl2br w:val="nil"/>
                    <w:tr2bl w:val="nil"/>
                  </w:tcBorders>
                  <w:shd w:val="clear" w:color="auto" w:fill="auto"/>
                  <w:vAlign w:val="center"/>
                </w:tcPr>
                <w:p w14:paraId="1917A527">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降噪后声源源强</w:t>
                  </w:r>
                  <w:r>
                    <w:rPr>
                      <w:rFonts w:hint="default" w:ascii="Times New Roman" w:eastAsiaTheme="minorEastAsia"/>
                      <w:color w:val="auto"/>
                      <w:sz w:val="21"/>
                      <w:szCs w:val="21"/>
                      <w:highlight w:val="none"/>
                      <w:lang w:val="en-US" w:eastAsia="zh-CN"/>
                    </w:rPr>
                    <w:t>dB</w:t>
                  </w:r>
                  <w:r>
                    <w:rPr>
                      <w:rFonts w:hint="eastAsia" w:ascii="Times New Roman" w:eastAsiaTheme="minorEastAsia"/>
                      <w:color w:val="auto"/>
                      <w:sz w:val="21"/>
                      <w:szCs w:val="21"/>
                      <w:highlight w:val="none"/>
                      <w:lang w:val="en-US" w:eastAsia="zh-CN"/>
                    </w:rPr>
                    <w:t>（</w:t>
                  </w:r>
                  <w:r>
                    <w:rPr>
                      <w:rFonts w:hint="default" w:ascii="Times New Roman" w:eastAsiaTheme="minorEastAsia"/>
                      <w:color w:val="auto"/>
                      <w:sz w:val="21"/>
                      <w:szCs w:val="21"/>
                      <w:highlight w:val="none"/>
                      <w:lang w:val="en-US" w:eastAsia="zh-CN"/>
                    </w:rPr>
                    <w:t>A</w:t>
                  </w:r>
                  <w:r>
                    <w:rPr>
                      <w:rFonts w:hint="eastAsia" w:ascii="Times New Roman" w:eastAsiaTheme="minorEastAsia"/>
                      <w:color w:val="auto"/>
                      <w:sz w:val="21"/>
                      <w:szCs w:val="21"/>
                      <w:highlight w:val="none"/>
                      <w:lang w:val="en-US" w:eastAsia="zh-CN"/>
                    </w:rPr>
                    <w:t>）</w:t>
                  </w:r>
                </w:p>
              </w:tc>
              <w:tc>
                <w:tcPr>
                  <w:tcW w:w="368" w:type="pct"/>
                  <w:vMerge w:val="restart"/>
                  <w:tcBorders>
                    <w:tl2br w:val="nil"/>
                    <w:tr2bl w:val="nil"/>
                  </w:tcBorders>
                  <w:shd w:val="clear" w:color="auto" w:fill="auto"/>
                  <w:vAlign w:val="center"/>
                </w:tcPr>
                <w:p w14:paraId="496BEE92">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default" w:ascii="Times New Roman" w:eastAsiaTheme="minorEastAsia"/>
                      <w:color w:val="auto"/>
                      <w:sz w:val="21"/>
                      <w:szCs w:val="21"/>
                      <w:highlight w:val="none"/>
                      <w:lang w:val="en-US" w:eastAsia="zh-CN"/>
                    </w:rPr>
                    <w:t>运行时段</w:t>
                  </w:r>
                </w:p>
              </w:tc>
            </w:tr>
            <w:tr w14:paraId="55D9AC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0" w:type="dxa"/>
                  <w:bottom w:w="0" w:type="dxa"/>
                  <w:right w:w="0" w:type="dxa"/>
                </w:tblCellMar>
              </w:tblPrEx>
              <w:trPr>
                <w:trHeight w:val="454" w:hRule="atLeast"/>
                <w:jc w:val="center"/>
              </w:trPr>
              <w:tc>
                <w:tcPr>
                  <w:tcW w:w="211" w:type="pct"/>
                  <w:vMerge w:val="continue"/>
                  <w:tcBorders>
                    <w:tl2br w:val="nil"/>
                    <w:tr2bl w:val="nil"/>
                  </w:tcBorders>
                  <w:shd w:val="clear" w:color="auto" w:fill="auto"/>
                  <w:vAlign w:val="center"/>
                </w:tcPr>
                <w:p w14:paraId="07FB06AE">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710" w:type="pct"/>
                  <w:vMerge w:val="continue"/>
                  <w:tcBorders>
                    <w:tl2br w:val="nil"/>
                    <w:tr2bl w:val="nil"/>
                  </w:tcBorders>
                  <w:shd w:val="clear" w:color="auto" w:fill="auto"/>
                  <w:vAlign w:val="center"/>
                </w:tcPr>
                <w:p w14:paraId="1C9E2F53">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390" w:type="pct"/>
                  <w:vMerge w:val="continue"/>
                  <w:tcBorders>
                    <w:tl2br w:val="nil"/>
                    <w:tr2bl w:val="nil"/>
                  </w:tcBorders>
                  <w:shd w:val="clear" w:color="auto" w:fill="auto"/>
                  <w:vAlign w:val="center"/>
                </w:tcPr>
                <w:p w14:paraId="572CB703">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440" w:type="pct"/>
                  <w:tcBorders>
                    <w:tl2br w:val="nil"/>
                    <w:tr2bl w:val="nil"/>
                  </w:tcBorders>
                  <w:shd w:val="clear" w:color="auto" w:fill="auto"/>
                  <w:vAlign w:val="center"/>
                </w:tcPr>
                <w:p w14:paraId="366FA4F9">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default" w:ascii="Times New Roman" w:eastAsiaTheme="minorEastAsia"/>
                      <w:color w:val="auto"/>
                      <w:sz w:val="21"/>
                      <w:szCs w:val="21"/>
                      <w:highlight w:val="none"/>
                      <w:lang w:val="en-US" w:eastAsia="zh-CN"/>
                    </w:rPr>
                    <w:t>X</w:t>
                  </w:r>
                </w:p>
              </w:tc>
              <w:tc>
                <w:tcPr>
                  <w:tcW w:w="532" w:type="pct"/>
                  <w:tcBorders>
                    <w:tl2br w:val="nil"/>
                    <w:tr2bl w:val="nil"/>
                  </w:tcBorders>
                  <w:shd w:val="clear" w:color="auto" w:fill="auto"/>
                  <w:vAlign w:val="center"/>
                </w:tcPr>
                <w:p w14:paraId="273F3297">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default" w:ascii="Times New Roman" w:eastAsiaTheme="minorEastAsia"/>
                      <w:color w:val="auto"/>
                      <w:sz w:val="21"/>
                      <w:szCs w:val="21"/>
                      <w:highlight w:val="none"/>
                      <w:lang w:val="en-US" w:eastAsia="zh-CN"/>
                    </w:rPr>
                    <w:t>Y</w:t>
                  </w:r>
                </w:p>
              </w:tc>
              <w:tc>
                <w:tcPr>
                  <w:tcW w:w="439" w:type="pct"/>
                  <w:tcBorders>
                    <w:tl2br w:val="nil"/>
                    <w:tr2bl w:val="nil"/>
                  </w:tcBorders>
                  <w:shd w:val="clear" w:color="auto" w:fill="auto"/>
                  <w:vAlign w:val="center"/>
                </w:tcPr>
                <w:p w14:paraId="35E7E795">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default" w:ascii="Times New Roman" w:eastAsiaTheme="minorEastAsia"/>
                      <w:color w:val="auto"/>
                      <w:sz w:val="21"/>
                      <w:szCs w:val="21"/>
                      <w:highlight w:val="none"/>
                      <w:lang w:val="en-US" w:eastAsia="zh-CN"/>
                    </w:rPr>
                    <w:t>Z</w:t>
                  </w:r>
                </w:p>
              </w:tc>
              <w:tc>
                <w:tcPr>
                  <w:tcW w:w="542" w:type="pct"/>
                  <w:vMerge w:val="continue"/>
                  <w:tcBorders>
                    <w:tl2br w:val="nil"/>
                    <w:tr2bl w:val="nil"/>
                  </w:tcBorders>
                  <w:shd w:val="clear" w:color="auto" w:fill="auto"/>
                  <w:vAlign w:val="center"/>
                </w:tcPr>
                <w:p w14:paraId="21D2DA45">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675" w:type="pct"/>
                  <w:vMerge w:val="continue"/>
                  <w:tcBorders>
                    <w:tl2br w:val="nil"/>
                    <w:tr2bl w:val="nil"/>
                  </w:tcBorders>
                  <w:shd w:val="clear" w:color="auto" w:fill="auto"/>
                  <w:vAlign w:val="center"/>
                </w:tcPr>
                <w:p w14:paraId="2682BCC5">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689" w:type="pct"/>
                  <w:vMerge w:val="continue"/>
                  <w:tcBorders>
                    <w:tl2br w:val="nil"/>
                    <w:tr2bl w:val="nil"/>
                  </w:tcBorders>
                  <w:shd w:val="clear" w:color="auto" w:fill="auto"/>
                  <w:vAlign w:val="center"/>
                </w:tcPr>
                <w:p w14:paraId="0DEA0CD2">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368" w:type="pct"/>
                  <w:vMerge w:val="continue"/>
                  <w:tcBorders>
                    <w:tl2br w:val="nil"/>
                    <w:tr2bl w:val="nil"/>
                  </w:tcBorders>
                  <w:shd w:val="clear" w:color="auto" w:fill="auto"/>
                  <w:vAlign w:val="center"/>
                </w:tcPr>
                <w:p w14:paraId="1C871694">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r>
            <w:tr w14:paraId="3D5A3F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11" w:type="pct"/>
                  <w:tcBorders>
                    <w:tl2br w:val="nil"/>
                    <w:tr2bl w:val="nil"/>
                  </w:tcBorders>
                  <w:shd w:val="clear" w:color="auto" w:fill="auto"/>
                  <w:vAlign w:val="center"/>
                </w:tcPr>
                <w:p w14:paraId="00433C59">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w:t>
                  </w:r>
                </w:p>
              </w:tc>
              <w:tc>
                <w:tcPr>
                  <w:tcW w:w="1158" w:type="dxa"/>
                  <w:tcBorders>
                    <w:tl2br w:val="nil"/>
                    <w:tr2bl w:val="nil"/>
                  </w:tcBorders>
                  <w:shd w:val="clear" w:color="auto" w:fill="auto"/>
                  <w:vAlign w:val="center"/>
                </w:tcPr>
                <w:p w14:paraId="0D6FF2EA">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制冷外机</w:t>
                  </w:r>
                </w:p>
              </w:tc>
              <w:tc>
                <w:tcPr>
                  <w:tcW w:w="390" w:type="pct"/>
                  <w:tcBorders>
                    <w:tl2br w:val="nil"/>
                    <w:tr2bl w:val="nil"/>
                  </w:tcBorders>
                  <w:shd w:val="clear" w:color="auto" w:fill="auto"/>
                  <w:vAlign w:val="center"/>
                </w:tcPr>
                <w:p w14:paraId="109D1EED">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w:t>
                  </w:r>
                </w:p>
              </w:tc>
              <w:tc>
                <w:tcPr>
                  <w:tcW w:w="440" w:type="pct"/>
                  <w:tcBorders>
                    <w:tl2br w:val="nil"/>
                    <w:tr2bl w:val="nil"/>
                  </w:tcBorders>
                  <w:shd w:val="clear" w:color="auto" w:fill="auto"/>
                  <w:vAlign w:val="center"/>
                </w:tcPr>
                <w:p w14:paraId="087196C1">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46.85</w:t>
                  </w:r>
                </w:p>
              </w:tc>
              <w:tc>
                <w:tcPr>
                  <w:tcW w:w="532" w:type="pct"/>
                  <w:tcBorders>
                    <w:tl2br w:val="nil"/>
                    <w:tr2bl w:val="nil"/>
                  </w:tcBorders>
                  <w:shd w:val="clear" w:color="auto" w:fill="auto"/>
                  <w:vAlign w:val="center"/>
                </w:tcPr>
                <w:p w14:paraId="64BA23A2">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163.06</w:t>
                  </w:r>
                </w:p>
              </w:tc>
              <w:tc>
                <w:tcPr>
                  <w:tcW w:w="439" w:type="pct"/>
                  <w:tcBorders>
                    <w:tl2br w:val="nil"/>
                    <w:tr2bl w:val="nil"/>
                  </w:tcBorders>
                  <w:shd w:val="clear" w:color="auto" w:fill="auto"/>
                  <w:vAlign w:val="center"/>
                </w:tcPr>
                <w:p w14:paraId="1EE53D40">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w:t>
                  </w:r>
                </w:p>
              </w:tc>
              <w:tc>
                <w:tcPr>
                  <w:tcW w:w="542" w:type="pct"/>
                  <w:tcBorders>
                    <w:tl2br w:val="nil"/>
                    <w:tr2bl w:val="nil"/>
                  </w:tcBorders>
                  <w:shd w:val="clear" w:color="auto" w:fill="auto"/>
                  <w:vAlign w:val="center"/>
                </w:tcPr>
                <w:p w14:paraId="0F20ED03">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95</w:t>
                  </w:r>
                </w:p>
              </w:tc>
              <w:tc>
                <w:tcPr>
                  <w:tcW w:w="675" w:type="pct"/>
                  <w:vMerge w:val="restart"/>
                  <w:tcBorders>
                    <w:tl2br w:val="nil"/>
                    <w:tr2bl w:val="nil"/>
                  </w:tcBorders>
                  <w:shd w:val="clear" w:color="auto" w:fill="auto"/>
                  <w:vAlign w:val="center"/>
                </w:tcPr>
                <w:p w14:paraId="4092E4C0">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隔声罩、基础减振</w:t>
                  </w:r>
                </w:p>
              </w:tc>
              <w:tc>
                <w:tcPr>
                  <w:tcW w:w="689" w:type="pct"/>
                  <w:tcBorders>
                    <w:tl2br w:val="nil"/>
                    <w:tr2bl w:val="nil"/>
                  </w:tcBorders>
                  <w:shd w:val="clear" w:color="auto" w:fill="auto"/>
                  <w:vAlign w:val="center"/>
                </w:tcPr>
                <w:p w14:paraId="7133DC75">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cs="Times New Roman"/>
                      <w:color w:val="auto"/>
                      <w:sz w:val="21"/>
                      <w:szCs w:val="21"/>
                      <w:highlight w:val="none"/>
                      <w:lang w:val="en-US" w:eastAsia="zh-CN"/>
                    </w:rPr>
                    <w:t>70</w:t>
                  </w:r>
                </w:p>
              </w:tc>
              <w:tc>
                <w:tcPr>
                  <w:tcW w:w="368" w:type="pct"/>
                  <w:vMerge w:val="restart"/>
                  <w:tcBorders>
                    <w:tl2br w:val="nil"/>
                    <w:tr2bl w:val="nil"/>
                  </w:tcBorders>
                  <w:shd w:val="clear" w:color="auto" w:fill="auto"/>
                  <w:vAlign w:val="center"/>
                </w:tcPr>
                <w:p w14:paraId="2B07E0F7">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昼间、连续稳定</w:t>
                  </w:r>
                </w:p>
              </w:tc>
            </w:tr>
            <w:tr w14:paraId="548580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11" w:type="pct"/>
                  <w:tcBorders>
                    <w:tl2br w:val="nil"/>
                    <w:tr2bl w:val="nil"/>
                  </w:tcBorders>
                  <w:shd w:val="clear" w:color="auto" w:fill="auto"/>
                  <w:vAlign w:val="center"/>
                </w:tcPr>
                <w:p w14:paraId="52FD5AAD">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2</w:t>
                  </w:r>
                </w:p>
              </w:tc>
              <w:tc>
                <w:tcPr>
                  <w:tcW w:w="1158" w:type="dxa"/>
                  <w:tcBorders>
                    <w:tl2br w:val="nil"/>
                    <w:tr2bl w:val="nil"/>
                  </w:tcBorders>
                  <w:shd w:val="clear" w:color="auto" w:fill="auto"/>
                  <w:vAlign w:val="center"/>
                </w:tcPr>
                <w:p w14:paraId="001A7A71">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污水提升泵</w:t>
                  </w:r>
                </w:p>
              </w:tc>
              <w:tc>
                <w:tcPr>
                  <w:tcW w:w="390" w:type="pct"/>
                  <w:tcBorders>
                    <w:tl2br w:val="nil"/>
                    <w:tr2bl w:val="nil"/>
                  </w:tcBorders>
                  <w:shd w:val="clear" w:color="auto" w:fill="auto"/>
                  <w:vAlign w:val="center"/>
                </w:tcPr>
                <w:p w14:paraId="22EFDF4B">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w:t>
                  </w:r>
                </w:p>
              </w:tc>
              <w:tc>
                <w:tcPr>
                  <w:tcW w:w="440" w:type="pct"/>
                  <w:tcBorders>
                    <w:tl2br w:val="nil"/>
                    <w:tr2bl w:val="nil"/>
                  </w:tcBorders>
                  <w:shd w:val="clear" w:color="auto" w:fill="auto"/>
                  <w:vAlign w:val="center"/>
                </w:tcPr>
                <w:p w14:paraId="62968F41">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111.54</w:t>
                  </w:r>
                </w:p>
              </w:tc>
              <w:tc>
                <w:tcPr>
                  <w:tcW w:w="532" w:type="pct"/>
                  <w:tcBorders>
                    <w:tl2br w:val="nil"/>
                    <w:tr2bl w:val="nil"/>
                  </w:tcBorders>
                  <w:shd w:val="clear" w:color="auto" w:fill="auto"/>
                  <w:vAlign w:val="center"/>
                </w:tcPr>
                <w:p w14:paraId="1A90A1E4">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176.75</w:t>
                  </w:r>
                </w:p>
              </w:tc>
              <w:tc>
                <w:tcPr>
                  <w:tcW w:w="439" w:type="pct"/>
                  <w:tcBorders>
                    <w:tl2br w:val="nil"/>
                    <w:tr2bl w:val="nil"/>
                  </w:tcBorders>
                  <w:shd w:val="clear" w:color="auto" w:fill="auto"/>
                  <w:vAlign w:val="center"/>
                </w:tcPr>
                <w:p w14:paraId="5807B595">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0.5</w:t>
                  </w:r>
                </w:p>
              </w:tc>
              <w:tc>
                <w:tcPr>
                  <w:tcW w:w="542" w:type="pct"/>
                  <w:tcBorders>
                    <w:tl2br w:val="nil"/>
                    <w:tr2bl w:val="nil"/>
                  </w:tcBorders>
                  <w:shd w:val="clear" w:color="auto" w:fill="auto"/>
                  <w:vAlign w:val="center"/>
                </w:tcPr>
                <w:p w14:paraId="33B5DE49">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90</w:t>
                  </w:r>
                </w:p>
              </w:tc>
              <w:tc>
                <w:tcPr>
                  <w:tcW w:w="675" w:type="pct"/>
                  <w:vMerge w:val="continue"/>
                  <w:tcBorders>
                    <w:tl2br w:val="nil"/>
                    <w:tr2bl w:val="nil"/>
                  </w:tcBorders>
                  <w:shd w:val="clear" w:color="auto" w:fill="auto"/>
                  <w:vAlign w:val="center"/>
                </w:tcPr>
                <w:p w14:paraId="29BF3F5E">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689" w:type="pct"/>
                  <w:tcBorders>
                    <w:tl2br w:val="nil"/>
                    <w:tr2bl w:val="nil"/>
                  </w:tcBorders>
                  <w:shd w:val="clear" w:color="auto" w:fill="auto"/>
                  <w:vAlign w:val="center"/>
                </w:tcPr>
                <w:p w14:paraId="53EC7FBC">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65</w:t>
                  </w:r>
                </w:p>
              </w:tc>
              <w:tc>
                <w:tcPr>
                  <w:tcW w:w="368" w:type="pct"/>
                  <w:vMerge w:val="continue"/>
                  <w:tcBorders>
                    <w:tl2br w:val="nil"/>
                    <w:tr2bl w:val="nil"/>
                  </w:tcBorders>
                  <w:shd w:val="clear" w:color="auto" w:fill="auto"/>
                  <w:vAlign w:val="center"/>
                </w:tcPr>
                <w:p w14:paraId="4BF175A6">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r>
            <w:tr w14:paraId="3D90A5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11" w:type="pct"/>
                  <w:tcBorders>
                    <w:tl2br w:val="nil"/>
                    <w:tr2bl w:val="nil"/>
                  </w:tcBorders>
                  <w:shd w:val="clear" w:color="auto" w:fill="auto"/>
                  <w:vAlign w:val="center"/>
                </w:tcPr>
                <w:p w14:paraId="55C66438">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3</w:t>
                  </w:r>
                </w:p>
              </w:tc>
              <w:tc>
                <w:tcPr>
                  <w:tcW w:w="1158" w:type="dxa"/>
                  <w:tcBorders>
                    <w:tl2br w:val="nil"/>
                    <w:tr2bl w:val="nil"/>
                  </w:tcBorders>
                  <w:shd w:val="clear" w:color="auto" w:fill="auto"/>
                  <w:vAlign w:val="center"/>
                </w:tcPr>
                <w:p w14:paraId="58C0BF25">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凉皮加工区</w:t>
                  </w:r>
                  <w:r>
                    <w:rPr>
                      <w:rFonts w:hint="default"/>
                      <w:color w:val="auto"/>
                      <w:kern w:val="0"/>
                      <w:sz w:val="21"/>
                      <w:szCs w:val="20"/>
                      <w:highlight w:val="none"/>
                    </w:rPr>
                    <w:t>冷却</w:t>
                  </w:r>
                  <w:r>
                    <w:rPr>
                      <w:rFonts w:hint="eastAsia"/>
                      <w:color w:val="auto"/>
                      <w:kern w:val="0"/>
                      <w:sz w:val="21"/>
                      <w:szCs w:val="20"/>
                      <w:highlight w:val="none"/>
                    </w:rPr>
                    <w:t>塔</w:t>
                  </w:r>
                </w:p>
              </w:tc>
              <w:tc>
                <w:tcPr>
                  <w:tcW w:w="390" w:type="pct"/>
                  <w:tcBorders>
                    <w:tl2br w:val="nil"/>
                    <w:tr2bl w:val="nil"/>
                  </w:tcBorders>
                  <w:shd w:val="clear" w:color="auto" w:fill="auto"/>
                  <w:vAlign w:val="center"/>
                </w:tcPr>
                <w:p w14:paraId="651258AC">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w:t>
                  </w:r>
                </w:p>
              </w:tc>
              <w:tc>
                <w:tcPr>
                  <w:tcW w:w="440" w:type="pct"/>
                  <w:tcBorders>
                    <w:tl2br w:val="nil"/>
                    <w:tr2bl w:val="nil"/>
                  </w:tcBorders>
                  <w:shd w:val="clear" w:color="auto" w:fill="auto"/>
                  <w:vAlign w:val="center"/>
                </w:tcPr>
                <w:p w14:paraId="76916B26">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60.68</w:t>
                  </w:r>
                </w:p>
              </w:tc>
              <w:tc>
                <w:tcPr>
                  <w:tcW w:w="532" w:type="pct"/>
                  <w:tcBorders>
                    <w:tl2br w:val="nil"/>
                    <w:tr2bl w:val="nil"/>
                  </w:tcBorders>
                  <w:shd w:val="clear" w:color="auto" w:fill="auto"/>
                  <w:vAlign w:val="center"/>
                </w:tcPr>
                <w:p w14:paraId="372F5096">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188.21</w:t>
                  </w:r>
                </w:p>
              </w:tc>
              <w:tc>
                <w:tcPr>
                  <w:tcW w:w="439" w:type="pct"/>
                  <w:tcBorders>
                    <w:tl2br w:val="nil"/>
                    <w:tr2bl w:val="nil"/>
                  </w:tcBorders>
                  <w:shd w:val="clear" w:color="auto" w:fill="auto"/>
                  <w:vAlign w:val="center"/>
                </w:tcPr>
                <w:p w14:paraId="2734CAA0">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hAnsi="Times New Roman" w:cs="Times New Roman" w:eastAsiaTheme="minorEastAsia"/>
                      <w:color w:val="auto"/>
                      <w:kern w:val="0"/>
                      <w:sz w:val="21"/>
                      <w:szCs w:val="21"/>
                      <w:highlight w:val="none"/>
                      <w:lang w:val="en-US" w:eastAsia="zh-CN" w:bidi="ar-SA"/>
                    </w:rPr>
                  </w:pPr>
                  <w:r>
                    <w:rPr>
                      <w:rFonts w:hint="eastAsia" w:ascii="Times New Roman" w:cs="Times New Roman" w:eastAsiaTheme="minorEastAsia"/>
                      <w:color w:val="auto"/>
                      <w:kern w:val="0"/>
                      <w:sz w:val="21"/>
                      <w:szCs w:val="21"/>
                      <w:highlight w:val="none"/>
                      <w:lang w:val="en-US" w:eastAsia="zh-CN" w:bidi="ar-SA"/>
                    </w:rPr>
                    <w:t>10</w:t>
                  </w:r>
                </w:p>
              </w:tc>
              <w:tc>
                <w:tcPr>
                  <w:tcW w:w="542" w:type="pct"/>
                  <w:tcBorders>
                    <w:tl2br w:val="nil"/>
                    <w:tr2bl w:val="nil"/>
                  </w:tcBorders>
                  <w:shd w:val="clear" w:color="auto" w:fill="auto"/>
                  <w:vAlign w:val="center"/>
                </w:tcPr>
                <w:p w14:paraId="320CB535">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85</w:t>
                  </w:r>
                </w:p>
              </w:tc>
              <w:tc>
                <w:tcPr>
                  <w:tcW w:w="675" w:type="pct"/>
                  <w:vMerge w:val="continue"/>
                  <w:tcBorders>
                    <w:tl2br w:val="nil"/>
                    <w:tr2bl w:val="nil"/>
                  </w:tcBorders>
                  <w:shd w:val="clear" w:color="auto" w:fill="auto"/>
                  <w:vAlign w:val="center"/>
                </w:tcPr>
                <w:p w14:paraId="2D5D111A">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689" w:type="pct"/>
                  <w:tcBorders>
                    <w:tl2br w:val="nil"/>
                    <w:tr2bl w:val="nil"/>
                  </w:tcBorders>
                  <w:shd w:val="clear" w:color="auto" w:fill="auto"/>
                  <w:vAlign w:val="center"/>
                </w:tcPr>
                <w:p w14:paraId="10DE5367">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60</w:t>
                  </w:r>
                </w:p>
              </w:tc>
              <w:tc>
                <w:tcPr>
                  <w:tcW w:w="368" w:type="pct"/>
                  <w:vMerge w:val="continue"/>
                  <w:tcBorders>
                    <w:tl2br w:val="nil"/>
                    <w:tr2bl w:val="nil"/>
                  </w:tcBorders>
                  <w:shd w:val="clear" w:color="auto" w:fill="auto"/>
                  <w:vAlign w:val="center"/>
                </w:tcPr>
                <w:p w14:paraId="434400CC">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r>
            <w:tr w14:paraId="1D1234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11" w:type="pct"/>
                  <w:tcBorders>
                    <w:tl2br w:val="nil"/>
                    <w:tr2bl w:val="nil"/>
                  </w:tcBorders>
                  <w:shd w:val="clear" w:color="auto" w:fill="auto"/>
                  <w:vAlign w:val="center"/>
                </w:tcPr>
                <w:p w14:paraId="576DC6E3">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4</w:t>
                  </w:r>
                </w:p>
              </w:tc>
              <w:tc>
                <w:tcPr>
                  <w:tcW w:w="1158" w:type="dxa"/>
                  <w:tcBorders>
                    <w:tl2br w:val="nil"/>
                    <w:tr2bl w:val="nil"/>
                  </w:tcBorders>
                  <w:shd w:val="clear" w:color="auto" w:fill="auto"/>
                  <w:vAlign w:val="center"/>
                </w:tcPr>
                <w:p w14:paraId="11B95D9C">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油烟净化器风机</w:t>
                  </w:r>
                </w:p>
              </w:tc>
              <w:tc>
                <w:tcPr>
                  <w:tcW w:w="390" w:type="pct"/>
                  <w:tcBorders>
                    <w:tl2br w:val="nil"/>
                    <w:tr2bl w:val="nil"/>
                  </w:tcBorders>
                  <w:shd w:val="clear" w:color="auto" w:fill="auto"/>
                  <w:vAlign w:val="center"/>
                </w:tcPr>
                <w:p w14:paraId="57FBA670">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w:t>
                  </w:r>
                </w:p>
              </w:tc>
              <w:tc>
                <w:tcPr>
                  <w:tcW w:w="440" w:type="pct"/>
                  <w:tcBorders>
                    <w:tl2br w:val="nil"/>
                    <w:tr2bl w:val="nil"/>
                  </w:tcBorders>
                  <w:shd w:val="clear" w:color="auto" w:fill="auto"/>
                  <w:vAlign w:val="center"/>
                </w:tcPr>
                <w:p w14:paraId="26CB919C">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20.23</w:t>
                  </w:r>
                </w:p>
              </w:tc>
              <w:tc>
                <w:tcPr>
                  <w:tcW w:w="532" w:type="pct"/>
                  <w:tcBorders>
                    <w:tl2br w:val="nil"/>
                    <w:tr2bl w:val="nil"/>
                  </w:tcBorders>
                  <w:shd w:val="clear" w:color="auto" w:fill="auto"/>
                  <w:vAlign w:val="center"/>
                </w:tcPr>
                <w:p w14:paraId="55371128">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105.17</w:t>
                  </w:r>
                </w:p>
              </w:tc>
              <w:tc>
                <w:tcPr>
                  <w:tcW w:w="439" w:type="pct"/>
                  <w:tcBorders>
                    <w:tl2br w:val="nil"/>
                    <w:tr2bl w:val="nil"/>
                  </w:tcBorders>
                  <w:shd w:val="clear" w:color="auto" w:fill="auto"/>
                  <w:vAlign w:val="center"/>
                </w:tcPr>
                <w:p w14:paraId="54CC856E">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25</w:t>
                  </w:r>
                </w:p>
              </w:tc>
              <w:tc>
                <w:tcPr>
                  <w:tcW w:w="542" w:type="pct"/>
                  <w:tcBorders>
                    <w:tl2br w:val="nil"/>
                    <w:tr2bl w:val="nil"/>
                  </w:tcBorders>
                  <w:shd w:val="clear" w:color="auto" w:fill="auto"/>
                  <w:vAlign w:val="center"/>
                </w:tcPr>
                <w:p w14:paraId="1CEA23BB">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90</w:t>
                  </w:r>
                </w:p>
              </w:tc>
              <w:tc>
                <w:tcPr>
                  <w:tcW w:w="675" w:type="pct"/>
                  <w:vMerge w:val="continue"/>
                  <w:tcBorders>
                    <w:tl2br w:val="nil"/>
                    <w:tr2bl w:val="nil"/>
                  </w:tcBorders>
                  <w:shd w:val="clear" w:color="auto" w:fill="auto"/>
                  <w:vAlign w:val="center"/>
                </w:tcPr>
                <w:p w14:paraId="58A92095">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689" w:type="pct"/>
                  <w:tcBorders>
                    <w:tl2br w:val="nil"/>
                    <w:tr2bl w:val="nil"/>
                  </w:tcBorders>
                  <w:shd w:val="clear" w:color="auto" w:fill="auto"/>
                  <w:vAlign w:val="center"/>
                </w:tcPr>
                <w:p w14:paraId="08DC549F">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65</w:t>
                  </w:r>
                </w:p>
              </w:tc>
              <w:tc>
                <w:tcPr>
                  <w:tcW w:w="368" w:type="pct"/>
                  <w:vMerge w:val="continue"/>
                  <w:tcBorders>
                    <w:tl2br w:val="nil"/>
                    <w:tr2bl w:val="nil"/>
                  </w:tcBorders>
                  <w:shd w:val="clear" w:color="auto" w:fill="auto"/>
                  <w:vAlign w:val="center"/>
                </w:tcPr>
                <w:p w14:paraId="10187CB1">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r>
            <w:tr w14:paraId="19CB71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11" w:type="pct"/>
                  <w:tcBorders>
                    <w:tl2br w:val="nil"/>
                    <w:tr2bl w:val="nil"/>
                  </w:tcBorders>
                  <w:shd w:val="clear" w:color="auto" w:fill="auto"/>
                  <w:vAlign w:val="center"/>
                </w:tcPr>
                <w:p w14:paraId="5A15BB2C">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0"/>
                      <w:highlight w:val="none"/>
                      <w:lang w:val="en-US" w:eastAsia="zh-CN" w:bidi="ar-SA"/>
                    </w:rPr>
                  </w:pPr>
                  <w:r>
                    <w:rPr>
                      <w:rFonts w:hint="eastAsia" w:cs="Times New Roman"/>
                      <w:color w:val="auto"/>
                      <w:kern w:val="0"/>
                      <w:sz w:val="21"/>
                      <w:szCs w:val="20"/>
                      <w:highlight w:val="none"/>
                      <w:lang w:val="en-US" w:eastAsia="zh-CN" w:bidi="ar-SA"/>
                    </w:rPr>
                    <w:t>5</w:t>
                  </w:r>
                </w:p>
              </w:tc>
              <w:tc>
                <w:tcPr>
                  <w:tcW w:w="1158" w:type="dxa"/>
                  <w:tcBorders>
                    <w:tl2br w:val="nil"/>
                    <w:tr2bl w:val="nil"/>
                  </w:tcBorders>
                  <w:shd w:val="clear" w:color="auto" w:fill="auto"/>
                  <w:vAlign w:val="center"/>
                </w:tcPr>
                <w:p w14:paraId="726A0B2A">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0"/>
                      <w:sz w:val="21"/>
                      <w:szCs w:val="20"/>
                      <w:highlight w:val="none"/>
                      <w:lang w:val="en-US" w:eastAsia="zh-CN" w:bidi="ar-SA"/>
                    </w:rPr>
                  </w:pPr>
                  <w:r>
                    <w:rPr>
                      <w:rFonts w:hint="eastAsia"/>
                      <w:color w:val="auto"/>
                      <w:kern w:val="0"/>
                      <w:sz w:val="21"/>
                      <w:szCs w:val="20"/>
                      <w:highlight w:val="none"/>
                      <w:lang w:val="en-US" w:eastAsia="zh-CN"/>
                    </w:rPr>
                    <w:t>制冷机组</w:t>
                  </w:r>
                </w:p>
              </w:tc>
              <w:tc>
                <w:tcPr>
                  <w:tcW w:w="390" w:type="pct"/>
                  <w:tcBorders>
                    <w:tl2br w:val="nil"/>
                    <w:tr2bl w:val="nil"/>
                  </w:tcBorders>
                  <w:shd w:val="clear" w:color="auto" w:fill="auto"/>
                  <w:vAlign w:val="center"/>
                </w:tcPr>
                <w:p w14:paraId="31974139">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default" w:ascii="Times New Roman" w:eastAsiaTheme="minorEastAsia"/>
                      <w:color w:val="auto"/>
                      <w:sz w:val="21"/>
                      <w:szCs w:val="21"/>
                      <w:highlight w:val="none"/>
                      <w:lang w:val="en-US" w:eastAsia="zh-CN"/>
                    </w:rPr>
                    <w:t>1</w:t>
                  </w:r>
                </w:p>
              </w:tc>
              <w:tc>
                <w:tcPr>
                  <w:tcW w:w="440" w:type="pct"/>
                  <w:tcBorders>
                    <w:tl2br w:val="nil"/>
                    <w:tr2bl w:val="nil"/>
                  </w:tcBorders>
                  <w:shd w:val="clear" w:color="auto" w:fill="auto"/>
                  <w:vAlign w:val="center"/>
                </w:tcPr>
                <w:p w14:paraId="61911063">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4.44</w:t>
                  </w:r>
                </w:p>
              </w:tc>
              <w:tc>
                <w:tcPr>
                  <w:tcW w:w="532" w:type="pct"/>
                  <w:tcBorders>
                    <w:tl2br w:val="nil"/>
                    <w:tr2bl w:val="nil"/>
                  </w:tcBorders>
                  <w:shd w:val="clear" w:color="auto" w:fill="auto"/>
                  <w:vAlign w:val="center"/>
                </w:tcPr>
                <w:p w14:paraId="4A51FF92">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124.33</w:t>
                  </w:r>
                </w:p>
              </w:tc>
              <w:tc>
                <w:tcPr>
                  <w:tcW w:w="439" w:type="pct"/>
                  <w:tcBorders>
                    <w:tl2br w:val="nil"/>
                    <w:tr2bl w:val="nil"/>
                  </w:tcBorders>
                  <w:shd w:val="clear" w:color="auto" w:fill="auto"/>
                  <w:vAlign w:val="center"/>
                </w:tcPr>
                <w:p w14:paraId="0A6681E8">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25</w:t>
                  </w:r>
                </w:p>
              </w:tc>
              <w:tc>
                <w:tcPr>
                  <w:tcW w:w="542" w:type="pct"/>
                  <w:tcBorders>
                    <w:tl2br w:val="nil"/>
                    <w:tr2bl w:val="nil"/>
                  </w:tcBorders>
                  <w:shd w:val="clear" w:color="auto" w:fill="auto"/>
                  <w:vAlign w:val="center"/>
                </w:tcPr>
                <w:p w14:paraId="39749536">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hAnsi="Times New Roman" w:cs="Times New Roman" w:eastAsiaTheme="minorEastAsia"/>
                      <w:color w:val="auto"/>
                      <w:kern w:val="0"/>
                      <w:sz w:val="21"/>
                      <w:szCs w:val="21"/>
                      <w:highlight w:val="none"/>
                      <w:lang w:val="en-US" w:eastAsia="zh-CN" w:bidi="ar-SA"/>
                    </w:rPr>
                  </w:pPr>
                  <w:r>
                    <w:rPr>
                      <w:rFonts w:hint="eastAsia" w:ascii="Times New Roman" w:eastAsiaTheme="minorEastAsia"/>
                      <w:color w:val="auto"/>
                      <w:sz w:val="21"/>
                      <w:szCs w:val="21"/>
                      <w:highlight w:val="none"/>
                      <w:lang w:val="en-US" w:eastAsia="zh-CN"/>
                    </w:rPr>
                    <w:t>85</w:t>
                  </w:r>
                </w:p>
              </w:tc>
              <w:tc>
                <w:tcPr>
                  <w:tcW w:w="675" w:type="pct"/>
                  <w:vMerge w:val="continue"/>
                  <w:tcBorders>
                    <w:tl2br w:val="nil"/>
                    <w:tr2bl w:val="nil"/>
                  </w:tcBorders>
                  <w:shd w:val="clear" w:color="auto" w:fill="auto"/>
                  <w:vAlign w:val="center"/>
                </w:tcPr>
                <w:p w14:paraId="674D70BC">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c>
                <w:tcPr>
                  <w:tcW w:w="689" w:type="pct"/>
                  <w:tcBorders>
                    <w:tl2br w:val="nil"/>
                    <w:tr2bl w:val="nil"/>
                  </w:tcBorders>
                  <w:shd w:val="clear" w:color="auto" w:fill="auto"/>
                  <w:vAlign w:val="center"/>
                </w:tcPr>
                <w:p w14:paraId="24066C96">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60</w:t>
                  </w:r>
                </w:p>
              </w:tc>
              <w:tc>
                <w:tcPr>
                  <w:tcW w:w="368" w:type="pct"/>
                  <w:vMerge w:val="continue"/>
                  <w:tcBorders>
                    <w:tl2br w:val="nil"/>
                    <w:tr2bl w:val="nil"/>
                  </w:tcBorders>
                  <w:shd w:val="clear" w:color="auto" w:fill="auto"/>
                  <w:vAlign w:val="center"/>
                </w:tcPr>
                <w:p w14:paraId="0F7EA983">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r>
            <w:tr w14:paraId="7E363E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211" w:type="pct"/>
                  <w:tcBorders>
                    <w:tl2br w:val="nil"/>
                    <w:tr2bl w:val="nil"/>
                  </w:tcBorders>
                  <w:shd w:val="clear" w:color="auto" w:fill="auto"/>
                  <w:vAlign w:val="center"/>
                </w:tcPr>
                <w:p w14:paraId="4837D79B">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eastAsiaTheme="minorEastAsia"/>
                      <w:color w:val="auto"/>
                      <w:sz w:val="21"/>
                      <w:szCs w:val="21"/>
                      <w:highlight w:val="none"/>
                      <w:lang w:val="en-US" w:eastAsia="zh-CN"/>
                    </w:rPr>
                  </w:pPr>
                  <w:r>
                    <w:rPr>
                      <w:rFonts w:hint="eastAsia" w:eastAsiaTheme="minorEastAsia"/>
                      <w:color w:val="auto"/>
                      <w:sz w:val="21"/>
                      <w:szCs w:val="21"/>
                      <w:highlight w:val="none"/>
                      <w:lang w:val="en-US" w:eastAsia="zh-CN"/>
                    </w:rPr>
                    <w:t>6</w:t>
                  </w:r>
                </w:p>
              </w:tc>
              <w:tc>
                <w:tcPr>
                  <w:tcW w:w="1158" w:type="dxa"/>
                  <w:tcBorders>
                    <w:tl2br w:val="nil"/>
                    <w:tr2bl w:val="nil"/>
                  </w:tcBorders>
                  <w:shd w:val="clear" w:color="auto" w:fill="auto"/>
                  <w:vAlign w:val="center"/>
                </w:tcPr>
                <w:p w14:paraId="62AE2DB2">
                  <w:pPr>
                    <w:keepNext w:val="0"/>
                    <w:keepLines w:val="0"/>
                    <w:suppressLineNumbers w:val="0"/>
                    <w:spacing w:before="0" w:beforeAutospacing="0" w:after="0" w:afterAutospacing="0" w:line="240" w:lineRule="auto"/>
                    <w:ind w:left="0" w:leftChars="0" w:right="0" w:rightChars="0" w:firstLine="0" w:firstLineChars="0"/>
                    <w:jc w:val="center"/>
                    <w:rPr>
                      <w:rFonts w:hint="eastAsia"/>
                      <w:color w:val="auto"/>
                      <w:kern w:val="0"/>
                      <w:sz w:val="21"/>
                      <w:szCs w:val="20"/>
                      <w:highlight w:val="none"/>
                      <w:lang w:val="en-US" w:eastAsia="zh-CN"/>
                    </w:rPr>
                  </w:pPr>
                  <w:r>
                    <w:rPr>
                      <w:rFonts w:hint="eastAsia"/>
                      <w:color w:val="auto"/>
                      <w:kern w:val="0"/>
                      <w:sz w:val="21"/>
                      <w:szCs w:val="20"/>
                      <w:highlight w:val="none"/>
                      <w:lang w:val="en-US" w:eastAsia="zh-CN"/>
                    </w:rPr>
                    <w:t>中央厨房</w:t>
                  </w:r>
                </w:p>
                <w:p w14:paraId="52AFECC3">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eastAsiaTheme="minorEastAsia"/>
                      <w:color w:val="auto"/>
                      <w:sz w:val="21"/>
                      <w:szCs w:val="21"/>
                      <w:highlight w:val="none"/>
                      <w:lang w:val="en-US" w:eastAsia="zh-CN"/>
                    </w:rPr>
                  </w:pPr>
                  <w:r>
                    <w:rPr>
                      <w:rFonts w:hint="default"/>
                      <w:color w:val="auto"/>
                      <w:kern w:val="0"/>
                      <w:sz w:val="21"/>
                      <w:szCs w:val="20"/>
                      <w:highlight w:val="none"/>
                    </w:rPr>
                    <w:t>冷却</w:t>
                  </w:r>
                  <w:r>
                    <w:rPr>
                      <w:rFonts w:hint="eastAsia"/>
                      <w:color w:val="auto"/>
                      <w:kern w:val="0"/>
                      <w:sz w:val="21"/>
                      <w:szCs w:val="20"/>
                      <w:highlight w:val="none"/>
                    </w:rPr>
                    <w:t>塔</w:t>
                  </w:r>
                </w:p>
              </w:tc>
              <w:tc>
                <w:tcPr>
                  <w:tcW w:w="390" w:type="pct"/>
                  <w:tcBorders>
                    <w:tl2br w:val="nil"/>
                    <w:tr2bl w:val="nil"/>
                  </w:tcBorders>
                  <w:shd w:val="clear" w:color="auto" w:fill="auto"/>
                  <w:vAlign w:val="center"/>
                </w:tcPr>
                <w:p w14:paraId="07FC3229">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eastAsia" w:ascii="Times New Roman" w:eastAsiaTheme="minorEastAsia"/>
                      <w:color w:val="auto"/>
                      <w:sz w:val="21"/>
                      <w:szCs w:val="21"/>
                      <w:highlight w:val="none"/>
                      <w:lang w:val="en-US" w:eastAsia="zh-CN"/>
                    </w:rPr>
                  </w:pPr>
                  <w:r>
                    <w:rPr>
                      <w:rFonts w:hint="default" w:ascii="Times New Roman" w:eastAsiaTheme="minorEastAsia"/>
                      <w:color w:val="auto"/>
                      <w:sz w:val="21"/>
                      <w:szCs w:val="21"/>
                      <w:highlight w:val="none"/>
                      <w:lang w:val="en-US" w:eastAsia="zh-CN"/>
                    </w:rPr>
                    <w:t>1</w:t>
                  </w:r>
                </w:p>
              </w:tc>
              <w:tc>
                <w:tcPr>
                  <w:tcW w:w="440" w:type="pct"/>
                  <w:tcBorders>
                    <w:tl2br w:val="nil"/>
                    <w:tr2bl w:val="nil"/>
                  </w:tcBorders>
                  <w:shd w:val="clear" w:color="auto" w:fill="auto"/>
                  <w:vAlign w:val="center"/>
                </w:tcPr>
                <w:p w14:paraId="649009E1">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5.52</w:t>
                  </w:r>
                </w:p>
              </w:tc>
              <w:tc>
                <w:tcPr>
                  <w:tcW w:w="532" w:type="pct"/>
                  <w:tcBorders>
                    <w:tl2br w:val="nil"/>
                    <w:tr2bl w:val="nil"/>
                  </w:tcBorders>
                  <w:shd w:val="clear" w:color="auto" w:fill="auto"/>
                  <w:vAlign w:val="center"/>
                </w:tcPr>
                <w:p w14:paraId="09D45F1E">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114.61</w:t>
                  </w:r>
                </w:p>
              </w:tc>
              <w:tc>
                <w:tcPr>
                  <w:tcW w:w="439" w:type="pct"/>
                  <w:tcBorders>
                    <w:tl2br w:val="nil"/>
                    <w:tr2bl w:val="nil"/>
                  </w:tcBorders>
                  <w:shd w:val="clear" w:color="auto" w:fill="auto"/>
                  <w:vAlign w:val="center"/>
                </w:tcPr>
                <w:p w14:paraId="0A865EC4">
                  <w:pPr>
                    <w:pStyle w:val="51"/>
                    <w:keepNext w:val="0"/>
                    <w:keepLines w:val="0"/>
                    <w:suppressLineNumbers w:val="0"/>
                    <w:spacing w:before="0" w:beforeLines="0" w:beforeAutospacing="0" w:after="0" w:afterLines="0" w:afterAutospacing="0" w:line="240" w:lineRule="auto"/>
                    <w:ind w:left="0" w:leftChars="0" w:right="0" w:rightChars="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25</w:t>
                  </w:r>
                </w:p>
              </w:tc>
              <w:tc>
                <w:tcPr>
                  <w:tcW w:w="542" w:type="pct"/>
                  <w:tcBorders>
                    <w:tl2br w:val="nil"/>
                    <w:tr2bl w:val="nil"/>
                  </w:tcBorders>
                  <w:shd w:val="clear" w:color="auto" w:fill="auto"/>
                  <w:vAlign w:val="center"/>
                </w:tcPr>
                <w:p w14:paraId="7BDF0906">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85</w:t>
                  </w:r>
                </w:p>
              </w:tc>
              <w:tc>
                <w:tcPr>
                  <w:tcW w:w="675" w:type="pct"/>
                  <w:vMerge w:val="continue"/>
                  <w:tcBorders>
                    <w:tl2br w:val="nil"/>
                    <w:tr2bl w:val="nil"/>
                  </w:tcBorders>
                  <w:shd w:val="clear" w:color="auto" w:fill="auto"/>
                  <w:vAlign w:val="center"/>
                </w:tcPr>
                <w:p w14:paraId="53EB2581">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p>
              </w:tc>
              <w:tc>
                <w:tcPr>
                  <w:tcW w:w="689" w:type="pct"/>
                  <w:tcBorders>
                    <w:tl2br w:val="nil"/>
                    <w:tr2bl w:val="nil"/>
                  </w:tcBorders>
                  <w:shd w:val="clear" w:color="auto" w:fill="auto"/>
                  <w:vAlign w:val="center"/>
                </w:tcPr>
                <w:p w14:paraId="2C325B76">
                  <w:pPr>
                    <w:pStyle w:val="51"/>
                    <w:keepNext w:val="0"/>
                    <w:keepLines w:val="0"/>
                    <w:suppressLineNumbers w:val="0"/>
                    <w:spacing w:before="0" w:beforeLines="0" w:beforeAutospacing="0" w:after="0" w:afterLines="0" w:afterAutospacing="0" w:line="240" w:lineRule="auto"/>
                    <w:ind w:left="0" w:right="0" w:firstLine="0" w:firstLineChars="0"/>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60</w:t>
                  </w:r>
                </w:p>
              </w:tc>
              <w:tc>
                <w:tcPr>
                  <w:tcW w:w="368" w:type="pct"/>
                  <w:vMerge w:val="continue"/>
                  <w:tcBorders>
                    <w:tl2br w:val="nil"/>
                    <w:tr2bl w:val="nil"/>
                  </w:tcBorders>
                  <w:shd w:val="clear" w:color="auto" w:fill="auto"/>
                  <w:vAlign w:val="center"/>
                </w:tcPr>
                <w:p w14:paraId="0201C73D">
                  <w:pPr>
                    <w:pStyle w:val="51"/>
                    <w:keepNext w:val="0"/>
                    <w:keepLines w:val="0"/>
                    <w:suppressLineNumbers w:val="0"/>
                    <w:spacing w:before="0" w:beforeLines="0" w:beforeAutospacing="0" w:after="0" w:afterLines="0" w:afterAutospacing="0" w:line="240" w:lineRule="auto"/>
                    <w:ind w:left="0" w:right="0" w:firstLine="0" w:firstLineChars="0"/>
                    <w:rPr>
                      <w:rFonts w:hint="eastAsia" w:ascii="Times New Roman" w:eastAsiaTheme="minorEastAsia"/>
                      <w:color w:val="auto"/>
                      <w:sz w:val="21"/>
                      <w:szCs w:val="21"/>
                      <w:highlight w:val="none"/>
                      <w:lang w:val="en-US" w:eastAsia="zh-CN"/>
                    </w:rPr>
                  </w:pPr>
                </w:p>
              </w:tc>
            </w:tr>
            <w:tr w14:paraId="256864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000" w:type="pct"/>
                  <w:gridSpan w:val="10"/>
                  <w:tcBorders>
                    <w:tl2br w:val="nil"/>
                    <w:tr2bl w:val="nil"/>
                  </w:tcBorders>
                  <w:shd w:val="clear" w:color="auto" w:fill="auto"/>
                  <w:vAlign w:val="center"/>
                </w:tcPr>
                <w:p w14:paraId="0D6AEC5F">
                  <w:pPr>
                    <w:pStyle w:val="51"/>
                    <w:keepNext w:val="0"/>
                    <w:keepLines w:val="0"/>
                    <w:suppressLineNumbers w:val="0"/>
                    <w:spacing w:before="0" w:beforeLines="0" w:beforeAutospacing="0" w:after="0" w:afterLines="0" w:afterAutospacing="0" w:line="240" w:lineRule="auto"/>
                    <w:ind w:left="0" w:right="0" w:firstLine="0" w:firstLineChars="0"/>
                    <w:jc w:val="left"/>
                    <w:rPr>
                      <w:rFonts w:hint="default" w:ascii="Times New Roman" w:eastAsiaTheme="minorEastAsia"/>
                      <w:color w:val="auto"/>
                      <w:sz w:val="21"/>
                      <w:szCs w:val="21"/>
                      <w:highlight w:val="none"/>
                      <w:lang w:val="en-US" w:eastAsia="zh-CN"/>
                    </w:rPr>
                  </w:pPr>
                  <w:r>
                    <w:rPr>
                      <w:rFonts w:hint="eastAsia" w:ascii="Times New Roman" w:eastAsiaTheme="minorEastAsia"/>
                      <w:color w:val="auto"/>
                      <w:sz w:val="21"/>
                      <w:szCs w:val="21"/>
                      <w:highlight w:val="none"/>
                      <w:lang w:val="en-US" w:eastAsia="zh-CN"/>
                    </w:rPr>
                    <w:t>注：坐标原点位于厂区西南角。</w:t>
                  </w:r>
                </w:p>
              </w:tc>
            </w:tr>
          </w:tbl>
          <w:p w14:paraId="1A95BB8A">
            <w:pPr>
              <w:pStyle w:val="7"/>
              <w:keepNext w:val="0"/>
              <w:keepLines w:val="0"/>
              <w:suppressLineNumbers w:val="0"/>
              <w:spacing w:before="0" w:beforeAutospacing="0" w:after="0" w:afterAutospacing="0"/>
              <w:ind w:left="0" w:right="0" w:firstLine="480"/>
              <w:rPr>
                <w:rFonts w:hint="default"/>
                <w:color w:val="auto"/>
                <w:sz w:val="24"/>
                <w:szCs w:val="24"/>
                <w:highlight w:val="none"/>
              </w:rPr>
            </w:pPr>
            <w:r>
              <w:rPr>
                <w:rFonts w:hint="eastAsia"/>
                <w:color w:val="auto"/>
                <w:sz w:val="24"/>
                <w:szCs w:val="24"/>
                <w:highlight w:val="none"/>
                <w:lang w:val="en-US" w:eastAsia="zh-CN"/>
              </w:rPr>
              <w:t>2</w:t>
            </w:r>
            <w:r>
              <w:rPr>
                <w:rFonts w:hint="eastAsia"/>
                <w:color w:val="auto"/>
                <w:sz w:val="24"/>
                <w:szCs w:val="24"/>
                <w:highlight w:val="none"/>
              </w:rPr>
              <w:t>、预测结果及达标分析</w:t>
            </w:r>
          </w:p>
          <w:p w14:paraId="4DDE960A">
            <w:pPr>
              <w:keepNext w:val="0"/>
              <w:keepLines w:val="0"/>
              <w:suppressLineNumbers w:val="0"/>
              <w:tabs>
                <w:tab w:val="left" w:pos="4027"/>
              </w:tabs>
              <w:adjustRightInd w:val="0"/>
              <w:snapToGrid w:val="0"/>
              <w:spacing w:before="0" w:beforeAutospacing="0" w:after="0" w:afterAutospacing="0"/>
              <w:ind w:left="0" w:right="0" w:firstLine="480"/>
              <w:rPr>
                <w:rFonts w:hint="default"/>
                <w:color w:val="auto"/>
                <w:highlight w:val="none"/>
              </w:rPr>
            </w:pPr>
            <w:r>
              <w:rPr>
                <w:rFonts w:hint="default"/>
                <w:color w:val="auto"/>
                <w:highlight w:val="none"/>
              </w:rPr>
              <w:t>预测模式根据《环境影响评价技术导则 声环境》（HJ2.4-20</w:t>
            </w:r>
            <w:r>
              <w:rPr>
                <w:rFonts w:hint="eastAsia"/>
                <w:color w:val="auto"/>
                <w:highlight w:val="none"/>
              </w:rPr>
              <w:t>21</w:t>
            </w:r>
            <w:r>
              <w:rPr>
                <w:rFonts w:hint="default"/>
                <w:color w:val="auto"/>
                <w:highlight w:val="none"/>
              </w:rPr>
              <w:t>）选取，</w:t>
            </w:r>
            <w:r>
              <w:rPr>
                <w:rFonts w:hint="default"/>
                <w:color w:val="auto"/>
                <w:kern w:val="0"/>
                <w:szCs w:val="20"/>
                <w:highlight w:val="none"/>
                <w:lang w:val="zh-CN"/>
              </w:rPr>
              <w:t>根据项目噪声源源强、所在位置，利用噪声预测模式和方法，对厂界四周的噪声值进行预测</w:t>
            </w:r>
            <w:r>
              <w:rPr>
                <w:rFonts w:hint="eastAsia"/>
                <w:color w:val="auto"/>
                <w:kern w:val="0"/>
                <w:szCs w:val="20"/>
                <w:highlight w:val="none"/>
                <w:lang w:val="zh-CN"/>
              </w:rPr>
              <w:t>。</w:t>
            </w:r>
            <w:r>
              <w:rPr>
                <w:rFonts w:hint="default"/>
                <w:color w:val="auto"/>
                <w:kern w:val="0"/>
                <w:szCs w:val="20"/>
                <w:highlight w:val="none"/>
                <w:lang w:val="zh-CN"/>
              </w:rPr>
              <w:t>噪声影响预测结果见</w:t>
            </w:r>
            <w:r>
              <w:rPr>
                <w:rFonts w:hint="default"/>
                <w:color w:val="auto"/>
                <w:kern w:val="0"/>
                <w:szCs w:val="20"/>
                <w:highlight w:val="none"/>
              </w:rPr>
              <w:t>下</w:t>
            </w:r>
            <w:r>
              <w:rPr>
                <w:rFonts w:hint="default"/>
                <w:color w:val="auto"/>
                <w:kern w:val="0"/>
                <w:szCs w:val="20"/>
                <w:highlight w:val="none"/>
                <w:lang w:val="zh-CN"/>
              </w:rPr>
              <w:t>表</w:t>
            </w:r>
            <w:r>
              <w:rPr>
                <w:rFonts w:hint="default"/>
                <w:color w:val="auto"/>
                <w:highlight w:val="none"/>
              </w:rPr>
              <w:t>。</w:t>
            </w:r>
          </w:p>
          <w:p w14:paraId="37FAB337">
            <w:pPr>
              <w:pStyle w:val="77"/>
              <w:keepNext w:val="0"/>
              <w:keepLines w:val="0"/>
              <w:widowControl/>
              <w:suppressLineNumbers w:val="0"/>
              <w:spacing w:before="0" w:beforeLines="0" w:beforeAutospacing="0" w:after="0" w:afterAutospacing="0" w:line="240" w:lineRule="auto"/>
              <w:ind w:left="0" w:right="0"/>
              <w:rPr>
                <w:rFonts w:hint="default" w:eastAsia="宋体"/>
                <w:b/>
                <w:bCs/>
                <w:color w:val="auto"/>
                <w:highlight w:val="none"/>
              </w:rPr>
            </w:pPr>
            <w:r>
              <w:rPr>
                <w:rFonts w:hint="eastAsia" w:eastAsia="宋体"/>
                <w:b/>
                <w:bCs/>
                <w:color w:val="auto"/>
                <w:highlight w:val="none"/>
              </w:rPr>
              <w:t xml:space="preserve">表4-10  </w:t>
            </w:r>
            <w:r>
              <w:rPr>
                <w:rFonts w:hint="eastAsia" w:eastAsia="宋体"/>
                <w:b/>
                <w:bCs/>
                <w:color w:val="auto"/>
                <w:highlight w:val="none"/>
                <w:lang w:val="en-US" w:eastAsia="zh-CN"/>
              </w:rPr>
              <w:t xml:space="preserve"> </w:t>
            </w:r>
            <w:r>
              <w:rPr>
                <w:rFonts w:hint="eastAsia" w:eastAsia="宋体"/>
                <w:b/>
                <w:bCs/>
                <w:color w:val="auto"/>
                <w:highlight w:val="none"/>
              </w:rPr>
              <w:t xml:space="preserve"> 项目厂界噪声值预测列表    单位：dB(A)</w:t>
            </w:r>
          </w:p>
          <w:tbl>
            <w:tblPr>
              <w:tblStyle w:val="3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1483"/>
              <w:gridCol w:w="1895"/>
              <w:gridCol w:w="1983"/>
              <w:gridCol w:w="1700"/>
            </w:tblGrid>
            <w:tr w14:paraId="24D044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vMerge w:val="restart"/>
                  <w:tcBorders>
                    <w:tl2br w:val="nil"/>
                    <w:tr2bl w:val="nil"/>
                  </w:tcBorders>
                  <w:vAlign w:val="center"/>
                </w:tcPr>
                <w:p w14:paraId="493A9B43">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bCs/>
                      <w:color w:val="auto"/>
                      <w:kern w:val="0"/>
                      <w:sz w:val="21"/>
                      <w:szCs w:val="21"/>
                      <w:highlight w:val="none"/>
                    </w:rPr>
                  </w:pPr>
                  <w:r>
                    <w:rPr>
                      <w:rFonts w:hint="default"/>
                      <w:bCs/>
                      <w:color w:val="auto"/>
                      <w:kern w:val="0"/>
                      <w:sz w:val="21"/>
                      <w:szCs w:val="21"/>
                      <w:highlight w:val="none"/>
                    </w:rPr>
                    <w:t>类别</w:t>
                  </w:r>
                </w:p>
              </w:tc>
              <w:tc>
                <w:tcPr>
                  <w:tcW w:w="2042" w:type="pct"/>
                  <w:gridSpan w:val="2"/>
                  <w:tcBorders>
                    <w:tl2br w:val="nil"/>
                    <w:tr2bl w:val="nil"/>
                  </w:tcBorders>
                  <w:vAlign w:val="center"/>
                </w:tcPr>
                <w:p w14:paraId="4C159E28">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bCs/>
                      <w:color w:val="auto"/>
                      <w:kern w:val="0"/>
                      <w:sz w:val="21"/>
                      <w:szCs w:val="21"/>
                      <w:highlight w:val="none"/>
                    </w:rPr>
                  </w:pPr>
                  <w:r>
                    <w:rPr>
                      <w:rFonts w:hint="default"/>
                      <w:bCs/>
                      <w:color w:val="auto"/>
                      <w:kern w:val="0"/>
                      <w:sz w:val="21"/>
                      <w:szCs w:val="21"/>
                      <w:highlight w:val="none"/>
                    </w:rPr>
                    <w:t>昼间</w:t>
                  </w:r>
                </w:p>
              </w:tc>
              <w:tc>
                <w:tcPr>
                  <w:tcW w:w="2227" w:type="pct"/>
                  <w:gridSpan w:val="2"/>
                  <w:tcBorders>
                    <w:tl2br w:val="nil"/>
                    <w:tr2bl w:val="nil"/>
                  </w:tcBorders>
                  <w:vAlign w:val="center"/>
                </w:tcPr>
                <w:p w14:paraId="0F0B1FD0">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eastAsia" w:eastAsia="宋体"/>
                      <w:bCs/>
                      <w:color w:val="auto"/>
                      <w:kern w:val="0"/>
                      <w:sz w:val="21"/>
                      <w:szCs w:val="21"/>
                      <w:highlight w:val="none"/>
                      <w:lang w:val="en-US" w:eastAsia="zh-CN"/>
                    </w:rPr>
                  </w:pPr>
                  <w:r>
                    <w:rPr>
                      <w:rFonts w:hint="eastAsia"/>
                      <w:bCs/>
                      <w:color w:val="auto"/>
                      <w:kern w:val="0"/>
                      <w:sz w:val="21"/>
                      <w:szCs w:val="21"/>
                      <w:highlight w:val="none"/>
                      <w:lang w:val="en-US" w:eastAsia="zh-CN"/>
                    </w:rPr>
                    <w:t>夜间</w:t>
                  </w:r>
                </w:p>
              </w:tc>
            </w:tr>
            <w:tr w14:paraId="488676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vMerge w:val="continue"/>
                  <w:tcBorders>
                    <w:tl2br w:val="nil"/>
                    <w:tr2bl w:val="nil"/>
                  </w:tcBorders>
                  <w:vAlign w:val="center"/>
                </w:tcPr>
                <w:p w14:paraId="0B2E3EFF">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bCs/>
                      <w:color w:val="auto"/>
                      <w:kern w:val="0"/>
                      <w:sz w:val="21"/>
                      <w:szCs w:val="21"/>
                      <w:highlight w:val="none"/>
                    </w:rPr>
                  </w:pPr>
                </w:p>
              </w:tc>
              <w:tc>
                <w:tcPr>
                  <w:tcW w:w="896" w:type="pct"/>
                  <w:tcBorders>
                    <w:tl2br w:val="nil"/>
                    <w:tr2bl w:val="nil"/>
                  </w:tcBorders>
                  <w:vAlign w:val="center"/>
                </w:tcPr>
                <w:p w14:paraId="6F610B0F">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bCs/>
                      <w:color w:val="auto"/>
                      <w:kern w:val="0"/>
                      <w:sz w:val="21"/>
                      <w:szCs w:val="21"/>
                      <w:highlight w:val="none"/>
                    </w:rPr>
                  </w:pPr>
                  <w:r>
                    <w:rPr>
                      <w:rFonts w:hint="default"/>
                      <w:bCs/>
                      <w:color w:val="auto"/>
                      <w:kern w:val="0"/>
                      <w:sz w:val="21"/>
                      <w:szCs w:val="21"/>
                      <w:highlight w:val="none"/>
                    </w:rPr>
                    <w:t>最大贡献值</w:t>
                  </w:r>
                </w:p>
              </w:tc>
              <w:tc>
                <w:tcPr>
                  <w:tcW w:w="1145" w:type="pct"/>
                  <w:tcBorders>
                    <w:tl2br w:val="nil"/>
                    <w:tr2bl w:val="nil"/>
                  </w:tcBorders>
                  <w:vAlign w:val="center"/>
                </w:tcPr>
                <w:p w14:paraId="51008999">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bCs/>
                      <w:color w:val="auto"/>
                      <w:kern w:val="0"/>
                      <w:sz w:val="21"/>
                      <w:szCs w:val="21"/>
                      <w:highlight w:val="none"/>
                    </w:rPr>
                  </w:pPr>
                  <w:r>
                    <w:rPr>
                      <w:rFonts w:hint="default"/>
                      <w:bCs/>
                      <w:color w:val="auto"/>
                      <w:kern w:val="0"/>
                      <w:sz w:val="21"/>
                      <w:szCs w:val="21"/>
                      <w:highlight w:val="none"/>
                    </w:rPr>
                    <w:t>最大贡献值出现位置（X,Y）m</w:t>
                  </w:r>
                </w:p>
              </w:tc>
              <w:tc>
                <w:tcPr>
                  <w:tcW w:w="1983" w:type="dxa"/>
                  <w:tcBorders>
                    <w:tl2br w:val="nil"/>
                    <w:tr2bl w:val="nil"/>
                  </w:tcBorders>
                  <w:vAlign w:val="center"/>
                </w:tcPr>
                <w:p w14:paraId="3F77CAAB">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bCs/>
                      <w:color w:val="auto"/>
                      <w:kern w:val="0"/>
                      <w:sz w:val="21"/>
                      <w:szCs w:val="21"/>
                      <w:highlight w:val="none"/>
                    </w:rPr>
                  </w:pPr>
                  <w:r>
                    <w:rPr>
                      <w:rFonts w:hint="default"/>
                      <w:bCs/>
                      <w:color w:val="auto"/>
                      <w:kern w:val="0"/>
                      <w:sz w:val="21"/>
                      <w:szCs w:val="21"/>
                      <w:highlight w:val="none"/>
                    </w:rPr>
                    <w:t>最大贡献值</w:t>
                  </w:r>
                </w:p>
              </w:tc>
              <w:tc>
                <w:tcPr>
                  <w:tcW w:w="1700" w:type="dxa"/>
                  <w:tcBorders>
                    <w:tl2br w:val="nil"/>
                    <w:tr2bl w:val="nil"/>
                  </w:tcBorders>
                  <w:vAlign w:val="center"/>
                </w:tcPr>
                <w:p w14:paraId="5E1DB6C9">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bCs/>
                      <w:color w:val="auto"/>
                      <w:kern w:val="0"/>
                      <w:sz w:val="21"/>
                      <w:szCs w:val="21"/>
                      <w:highlight w:val="none"/>
                    </w:rPr>
                  </w:pPr>
                  <w:r>
                    <w:rPr>
                      <w:rFonts w:hint="default"/>
                      <w:bCs/>
                      <w:color w:val="auto"/>
                      <w:kern w:val="0"/>
                      <w:sz w:val="21"/>
                      <w:szCs w:val="21"/>
                      <w:highlight w:val="none"/>
                    </w:rPr>
                    <w:t>最大贡献值出现位置（X,Y）m</w:t>
                  </w:r>
                </w:p>
              </w:tc>
            </w:tr>
            <w:tr w14:paraId="038B44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tcBorders>
                    <w:tl2br w:val="nil"/>
                    <w:tr2bl w:val="nil"/>
                  </w:tcBorders>
                  <w:vAlign w:val="center"/>
                </w:tcPr>
                <w:p w14:paraId="0CA1ACA5">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bCs/>
                      <w:color w:val="auto"/>
                      <w:kern w:val="0"/>
                      <w:sz w:val="21"/>
                      <w:szCs w:val="21"/>
                      <w:highlight w:val="none"/>
                    </w:rPr>
                  </w:pPr>
                  <w:r>
                    <w:rPr>
                      <w:rFonts w:hint="default"/>
                      <w:bCs/>
                      <w:color w:val="auto"/>
                      <w:kern w:val="0"/>
                      <w:sz w:val="21"/>
                      <w:szCs w:val="21"/>
                      <w:highlight w:val="none"/>
                    </w:rPr>
                    <w:t>东厂界</w:t>
                  </w:r>
                </w:p>
              </w:tc>
              <w:tc>
                <w:tcPr>
                  <w:tcW w:w="896" w:type="pct"/>
                  <w:tcBorders>
                    <w:tl2br w:val="nil"/>
                    <w:tr2bl w:val="nil"/>
                  </w:tcBorders>
                  <w:vAlign w:val="center"/>
                </w:tcPr>
                <w:p w14:paraId="02C120E5">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ascii="Times New Roman" w:hAnsi="Times New Roman" w:eastAsia="宋体" w:cs="Times New Roman"/>
                      <w:bCs/>
                      <w:color w:val="auto"/>
                      <w:kern w:val="0"/>
                      <w:sz w:val="21"/>
                      <w:szCs w:val="21"/>
                      <w:highlight w:val="none"/>
                      <w:lang w:val="en-US" w:eastAsia="zh-CN"/>
                    </w:rPr>
                  </w:pPr>
                  <w:r>
                    <w:rPr>
                      <w:rFonts w:hint="eastAsia" w:ascii="Times New Roman" w:hAnsi="Times New Roman" w:eastAsia="宋体" w:cs="Times New Roman"/>
                      <w:bCs/>
                      <w:color w:val="auto"/>
                      <w:kern w:val="0"/>
                      <w:sz w:val="21"/>
                      <w:szCs w:val="21"/>
                      <w:highlight w:val="none"/>
                      <w:lang w:val="en-US" w:eastAsia="zh-CN"/>
                    </w:rPr>
                    <w:t>44.</w:t>
                  </w:r>
                  <w:r>
                    <w:rPr>
                      <w:rFonts w:hint="eastAsia" w:cs="Times New Roman"/>
                      <w:bCs/>
                      <w:color w:val="auto"/>
                      <w:kern w:val="0"/>
                      <w:sz w:val="21"/>
                      <w:szCs w:val="21"/>
                      <w:highlight w:val="none"/>
                      <w:lang w:val="en-US" w:eastAsia="zh-CN"/>
                    </w:rPr>
                    <w:t>4</w:t>
                  </w:r>
                </w:p>
              </w:tc>
              <w:tc>
                <w:tcPr>
                  <w:tcW w:w="1145" w:type="pct"/>
                  <w:tcBorders>
                    <w:tl2br w:val="nil"/>
                    <w:tr2bl w:val="nil"/>
                  </w:tcBorders>
                  <w:vAlign w:val="center"/>
                </w:tcPr>
                <w:p w14:paraId="66315811">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eastAsia="宋体"/>
                      <w:bCs/>
                      <w:color w:val="auto"/>
                      <w:kern w:val="0"/>
                      <w:sz w:val="21"/>
                      <w:szCs w:val="21"/>
                      <w:highlight w:val="none"/>
                      <w:lang w:val="en-US" w:eastAsia="zh-CN"/>
                    </w:rPr>
                  </w:pPr>
                  <w:r>
                    <w:rPr>
                      <w:rFonts w:hint="eastAsia"/>
                      <w:bCs/>
                      <w:color w:val="auto"/>
                      <w:kern w:val="0"/>
                      <w:sz w:val="21"/>
                      <w:szCs w:val="21"/>
                      <w:highlight w:val="none"/>
                      <w:lang w:val="en-US" w:eastAsia="zh-CN"/>
                    </w:rPr>
                    <w:t>131.54，110.37</w:t>
                  </w:r>
                </w:p>
              </w:tc>
              <w:tc>
                <w:tcPr>
                  <w:tcW w:w="1983" w:type="dxa"/>
                  <w:tcBorders>
                    <w:tl2br w:val="nil"/>
                    <w:tr2bl w:val="nil"/>
                  </w:tcBorders>
                  <w:vAlign w:val="center"/>
                </w:tcPr>
                <w:p w14:paraId="17324E26">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ascii="Times New Roman" w:hAnsi="Times New Roman" w:eastAsia="宋体" w:cs="Times New Roman"/>
                      <w:bCs/>
                      <w:color w:val="auto"/>
                      <w:kern w:val="0"/>
                      <w:sz w:val="21"/>
                      <w:szCs w:val="21"/>
                      <w:highlight w:val="none"/>
                      <w:lang w:val="en-US" w:eastAsia="zh-CN"/>
                    </w:rPr>
                  </w:pPr>
                  <w:r>
                    <w:rPr>
                      <w:rFonts w:hint="eastAsia" w:ascii="Times New Roman" w:hAnsi="Times New Roman" w:eastAsia="宋体" w:cs="Times New Roman"/>
                      <w:bCs/>
                      <w:color w:val="auto"/>
                      <w:kern w:val="0"/>
                      <w:sz w:val="21"/>
                      <w:szCs w:val="21"/>
                      <w:highlight w:val="none"/>
                      <w:lang w:val="en-US" w:eastAsia="zh-CN"/>
                    </w:rPr>
                    <w:t>42.</w:t>
                  </w:r>
                  <w:r>
                    <w:rPr>
                      <w:rFonts w:hint="eastAsia" w:cs="Times New Roman"/>
                      <w:bCs/>
                      <w:color w:val="auto"/>
                      <w:kern w:val="0"/>
                      <w:sz w:val="21"/>
                      <w:szCs w:val="21"/>
                      <w:highlight w:val="none"/>
                      <w:lang w:val="en-US" w:eastAsia="zh-CN"/>
                    </w:rPr>
                    <w:t>8</w:t>
                  </w:r>
                </w:p>
              </w:tc>
              <w:tc>
                <w:tcPr>
                  <w:tcW w:w="1700" w:type="dxa"/>
                  <w:tcBorders>
                    <w:tl2br w:val="nil"/>
                    <w:tr2bl w:val="nil"/>
                  </w:tcBorders>
                  <w:vAlign w:val="center"/>
                </w:tcPr>
                <w:p w14:paraId="61F1B50E">
                  <w:pPr>
                    <w:keepNext w:val="0"/>
                    <w:keepLines w:val="0"/>
                    <w:suppressLineNumbers w:val="0"/>
                    <w:autoSpaceDE w:val="0"/>
                    <w:autoSpaceDN w:val="0"/>
                    <w:adjustRightInd w:val="0"/>
                    <w:snapToGrid w:val="0"/>
                    <w:spacing w:before="0" w:beforeAutospacing="0" w:after="0" w:afterAutospacing="0" w:line="360" w:lineRule="exact"/>
                    <w:ind w:left="0" w:leftChars="0" w:right="0" w:rightChars="0" w:firstLine="0" w:firstLineChars="0"/>
                    <w:contextualSpacing/>
                    <w:jc w:val="center"/>
                    <w:rPr>
                      <w:rFonts w:hint="default"/>
                      <w:bCs/>
                      <w:color w:val="auto"/>
                      <w:kern w:val="0"/>
                      <w:sz w:val="21"/>
                      <w:szCs w:val="21"/>
                      <w:highlight w:val="none"/>
                    </w:rPr>
                  </w:pPr>
                  <w:r>
                    <w:rPr>
                      <w:rFonts w:hint="eastAsia"/>
                      <w:bCs/>
                      <w:color w:val="auto"/>
                      <w:kern w:val="0"/>
                      <w:sz w:val="21"/>
                      <w:szCs w:val="21"/>
                      <w:highlight w:val="none"/>
                      <w:lang w:val="en-US" w:eastAsia="zh-CN"/>
                    </w:rPr>
                    <w:t>131.54，110.37</w:t>
                  </w:r>
                </w:p>
              </w:tc>
            </w:tr>
            <w:tr w14:paraId="4A41B3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tcBorders>
                    <w:tl2br w:val="nil"/>
                    <w:tr2bl w:val="nil"/>
                  </w:tcBorders>
                  <w:vAlign w:val="center"/>
                </w:tcPr>
                <w:p w14:paraId="31ED1D03">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bCs/>
                      <w:color w:val="auto"/>
                      <w:kern w:val="0"/>
                      <w:sz w:val="21"/>
                      <w:szCs w:val="21"/>
                      <w:highlight w:val="none"/>
                    </w:rPr>
                  </w:pPr>
                  <w:r>
                    <w:rPr>
                      <w:rFonts w:hint="default"/>
                      <w:bCs/>
                      <w:color w:val="auto"/>
                      <w:kern w:val="0"/>
                      <w:sz w:val="21"/>
                      <w:szCs w:val="21"/>
                      <w:highlight w:val="none"/>
                    </w:rPr>
                    <w:t>南厂界</w:t>
                  </w:r>
                </w:p>
              </w:tc>
              <w:tc>
                <w:tcPr>
                  <w:tcW w:w="896" w:type="pct"/>
                  <w:tcBorders>
                    <w:tl2br w:val="nil"/>
                    <w:tr2bl w:val="nil"/>
                  </w:tcBorders>
                  <w:vAlign w:val="center"/>
                </w:tcPr>
                <w:p w14:paraId="6053E390">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ascii="Times New Roman" w:hAnsi="Times New Roman" w:eastAsia="宋体"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42.4</w:t>
                  </w:r>
                </w:p>
              </w:tc>
              <w:tc>
                <w:tcPr>
                  <w:tcW w:w="1145" w:type="pct"/>
                  <w:tcBorders>
                    <w:tl2br w:val="nil"/>
                    <w:tr2bl w:val="nil"/>
                  </w:tcBorders>
                  <w:vAlign w:val="center"/>
                </w:tcPr>
                <w:p w14:paraId="42C98D8B">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eastAsia="宋体"/>
                      <w:bCs/>
                      <w:color w:val="auto"/>
                      <w:kern w:val="0"/>
                      <w:sz w:val="21"/>
                      <w:szCs w:val="21"/>
                      <w:highlight w:val="none"/>
                      <w:lang w:val="en-US" w:eastAsia="zh-CN"/>
                    </w:rPr>
                  </w:pPr>
                  <w:r>
                    <w:rPr>
                      <w:rFonts w:hint="eastAsia"/>
                      <w:bCs/>
                      <w:color w:val="auto"/>
                      <w:kern w:val="0"/>
                      <w:sz w:val="21"/>
                      <w:szCs w:val="21"/>
                      <w:highlight w:val="none"/>
                      <w:lang w:val="en-US" w:eastAsia="zh-CN"/>
                    </w:rPr>
                    <w:t>67.01，0.6</w:t>
                  </w:r>
                </w:p>
              </w:tc>
              <w:tc>
                <w:tcPr>
                  <w:tcW w:w="1983" w:type="dxa"/>
                  <w:tcBorders>
                    <w:tl2br w:val="nil"/>
                    <w:tr2bl w:val="nil"/>
                  </w:tcBorders>
                  <w:vAlign w:val="center"/>
                </w:tcPr>
                <w:p w14:paraId="20C994FD">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ascii="Times New Roman" w:hAnsi="Times New Roman" w:eastAsia="宋体" w:cs="Times New Roman"/>
                      <w:bCs/>
                      <w:color w:val="auto"/>
                      <w:kern w:val="0"/>
                      <w:sz w:val="21"/>
                      <w:szCs w:val="21"/>
                      <w:highlight w:val="none"/>
                      <w:lang w:val="en-US" w:eastAsia="zh-CN"/>
                    </w:rPr>
                  </w:pPr>
                  <w:r>
                    <w:rPr>
                      <w:rFonts w:hint="eastAsia" w:ascii="Times New Roman" w:hAnsi="Times New Roman" w:eastAsia="宋体" w:cs="Times New Roman"/>
                      <w:bCs/>
                      <w:color w:val="auto"/>
                      <w:kern w:val="0"/>
                      <w:sz w:val="21"/>
                      <w:szCs w:val="21"/>
                      <w:highlight w:val="none"/>
                      <w:lang w:val="en-US" w:eastAsia="zh-CN"/>
                    </w:rPr>
                    <w:t>3</w:t>
                  </w:r>
                  <w:r>
                    <w:rPr>
                      <w:rFonts w:hint="eastAsia" w:cs="Times New Roman"/>
                      <w:bCs/>
                      <w:color w:val="auto"/>
                      <w:kern w:val="0"/>
                      <w:sz w:val="21"/>
                      <w:szCs w:val="21"/>
                      <w:highlight w:val="none"/>
                      <w:lang w:val="en-US" w:eastAsia="zh-CN"/>
                    </w:rPr>
                    <w:t>5.9</w:t>
                  </w:r>
                </w:p>
              </w:tc>
              <w:tc>
                <w:tcPr>
                  <w:tcW w:w="1700" w:type="dxa"/>
                  <w:tcBorders>
                    <w:tl2br w:val="nil"/>
                    <w:tr2bl w:val="nil"/>
                  </w:tcBorders>
                  <w:vAlign w:val="center"/>
                </w:tcPr>
                <w:p w14:paraId="1141B9A3">
                  <w:pPr>
                    <w:keepNext w:val="0"/>
                    <w:keepLines w:val="0"/>
                    <w:suppressLineNumbers w:val="0"/>
                    <w:autoSpaceDE w:val="0"/>
                    <w:autoSpaceDN w:val="0"/>
                    <w:adjustRightInd w:val="0"/>
                    <w:snapToGrid w:val="0"/>
                    <w:spacing w:before="0" w:beforeAutospacing="0" w:after="0" w:afterAutospacing="0" w:line="360" w:lineRule="exact"/>
                    <w:ind w:left="0" w:leftChars="0" w:right="0" w:rightChars="0" w:firstLine="0" w:firstLineChars="0"/>
                    <w:contextualSpacing/>
                    <w:jc w:val="center"/>
                    <w:rPr>
                      <w:rFonts w:hint="default"/>
                      <w:bCs/>
                      <w:color w:val="auto"/>
                      <w:kern w:val="0"/>
                      <w:sz w:val="21"/>
                      <w:szCs w:val="21"/>
                      <w:highlight w:val="none"/>
                    </w:rPr>
                  </w:pPr>
                  <w:r>
                    <w:rPr>
                      <w:rFonts w:hint="eastAsia"/>
                      <w:bCs/>
                      <w:color w:val="auto"/>
                      <w:kern w:val="0"/>
                      <w:sz w:val="21"/>
                      <w:szCs w:val="21"/>
                      <w:highlight w:val="none"/>
                      <w:lang w:val="en-US" w:eastAsia="zh-CN"/>
                    </w:rPr>
                    <w:t>67.01，0.6</w:t>
                  </w:r>
                </w:p>
              </w:tc>
            </w:tr>
            <w:tr w14:paraId="3CEE0C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tcBorders>
                    <w:tl2br w:val="nil"/>
                    <w:tr2bl w:val="nil"/>
                  </w:tcBorders>
                  <w:vAlign w:val="center"/>
                </w:tcPr>
                <w:p w14:paraId="012F372D">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bCs/>
                      <w:color w:val="auto"/>
                      <w:kern w:val="0"/>
                      <w:sz w:val="21"/>
                      <w:szCs w:val="21"/>
                      <w:highlight w:val="none"/>
                    </w:rPr>
                  </w:pPr>
                  <w:r>
                    <w:rPr>
                      <w:rFonts w:hint="default"/>
                      <w:bCs/>
                      <w:color w:val="auto"/>
                      <w:kern w:val="0"/>
                      <w:sz w:val="21"/>
                      <w:szCs w:val="21"/>
                      <w:highlight w:val="none"/>
                    </w:rPr>
                    <w:t>西厂界</w:t>
                  </w:r>
                </w:p>
              </w:tc>
              <w:tc>
                <w:tcPr>
                  <w:tcW w:w="896" w:type="pct"/>
                  <w:tcBorders>
                    <w:tl2br w:val="nil"/>
                    <w:tr2bl w:val="nil"/>
                  </w:tcBorders>
                  <w:vAlign w:val="center"/>
                </w:tcPr>
                <w:p w14:paraId="5BB57320">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ascii="Times New Roman" w:hAnsi="Times New Roman" w:eastAsia="宋体"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53.0</w:t>
                  </w:r>
                </w:p>
              </w:tc>
              <w:tc>
                <w:tcPr>
                  <w:tcW w:w="1145" w:type="pct"/>
                  <w:tcBorders>
                    <w:tl2br w:val="nil"/>
                    <w:tr2bl w:val="nil"/>
                  </w:tcBorders>
                  <w:vAlign w:val="center"/>
                </w:tcPr>
                <w:p w14:paraId="37EDB1FF">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eastAsia="宋体"/>
                      <w:bCs/>
                      <w:color w:val="auto"/>
                      <w:kern w:val="0"/>
                      <w:sz w:val="21"/>
                      <w:szCs w:val="21"/>
                      <w:highlight w:val="none"/>
                      <w:lang w:val="en-US" w:eastAsia="zh-CN"/>
                    </w:rPr>
                  </w:pPr>
                  <w:r>
                    <w:rPr>
                      <w:rFonts w:hint="eastAsia"/>
                      <w:bCs/>
                      <w:color w:val="auto"/>
                      <w:kern w:val="0"/>
                      <w:sz w:val="21"/>
                      <w:szCs w:val="21"/>
                      <w:highlight w:val="none"/>
                      <w:lang w:val="en-US" w:eastAsia="zh-CN"/>
                    </w:rPr>
                    <w:t>-18.63，93.48</w:t>
                  </w:r>
                </w:p>
              </w:tc>
              <w:tc>
                <w:tcPr>
                  <w:tcW w:w="1983" w:type="dxa"/>
                  <w:tcBorders>
                    <w:tl2br w:val="nil"/>
                    <w:tr2bl w:val="nil"/>
                  </w:tcBorders>
                  <w:vAlign w:val="center"/>
                </w:tcPr>
                <w:p w14:paraId="3DD381BC">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ascii="Times New Roman" w:hAnsi="Times New Roman" w:eastAsia="宋体" w:cs="Times New Roman"/>
                      <w:bCs/>
                      <w:color w:val="auto"/>
                      <w:kern w:val="0"/>
                      <w:sz w:val="21"/>
                      <w:szCs w:val="21"/>
                      <w:highlight w:val="none"/>
                      <w:lang w:val="en-US" w:eastAsia="zh-CN"/>
                    </w:rPr>
                  </w:pPr>
                  <w:r>
                    <w:rPr>
                      <w:rFonts w:hint="eastAsia" w:ascii="Times New Roman" w:hAnsi="Times New Roman" w:eastAsia="宋体" w:cs="Times New Roman"/>
                      <w:bCs/>
                      <w:color w:val="auto"/>
                      <w:kern w:val="0"/>
                      <w:sz w:val="21"/>
                      <w:szCs w:val="21"/>
                      <w:highlight w:val="none"/>
                      <w:lang w:val="en-US" w:eastAsia="zh-CN"/>
                    </w:rPr>
                    <w:t>48.9</w:t>
                  </w:r>
                </w:p>
              </w:tc>
              <w:tc>
                <w:tcPr>
                  <w:tcW w:w="1700" w:type="dxa"/>
                  <w:tcBorders>
                    <w:tl2br w:val="nil"/>
                    <w:tr2bl w:val="nil"/>
                  </w:tcBorders>
                  <w:vAlign w:val="center"/>
                </w:tcPr>
                <w:p w14:paraId="2DDD6D06">
                  <w:pPr>
                    <w:keepNext w:val="0"/>
                    <w:keepLines w:val="0"/>
                    <w:suppressLineNumbers w:val="0"/>
                    <w:autoSpaceDE w:val="0"/>
                    <w:autoSpaceDN w:val="0"/>
                    <w:adjustRightInd w:val="0"/>
                    <w:snapToGrid w:val="0"/>
                    <w:spacing w:before="0" w:beforeAutospacing="0" w:after="0" w:afterAutospacing="0" w:line="360" w:lineRule="exact"/>
                    <w:ind w:left="0" w:leftChars="0" w:right="0" w:rightChars="0" w:firstLine="0" w:firstLineChars="0"/>
                    <w:contextualSpacing/>
                    <w:jc w:val="center"/>
                    <w:rPr>
                      <w:rFonts w:hint="default"/>
                      <w:bCs/>
                      <w:color w:val="auto"/>
                      <w:kern w:val="0"/>
                      <w:sz w:val="21"/>
                      <w:szCs w:val="21"/>
                      <w:highlight w:val="none"/>
                    </w:rPr>
                  </w:pPr>
                  <w:r>
                    <w:rPr>
                      <w:rFonts w:hint="eastAsia"/>
                      <w:bCs/>
                      <w:color w:val="auto"/>
                      <w:kern w:val="0"/>
                      <w:sz w:val="21"/>
                      <w:szCs w:val="21"/>
                      <w:highlight w:val="none"/>
                      <w:lang w:val="en-US" w:eastAsia="zh-CN"/>
                    </w:rPr>
                    <w:t>-18.63，93.48</w:t>
                  </w:r>
                </w:p>
              </w:tc>
            </w:tr>
            <w:tr w14:paraId="1DF796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tcBorders>
                    <w:tl2br w:val="nil"/>
                    <w:tr2bl w:val="nil"/>
                  </w:tcBorders>
                  <w:vAlign w:val="center"/>
                </w:tcPr>
                <w:p w14:paraId="4113A71B">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bCs/>
                      <w:color w:val="auto"/>
                      <w:kern w:val="0"/>
                      <w:sz w:val="21"/>
                      <w:szCs w:val="21"/>
                      <w:highlight w:val="none"/>
                    </w:rPr>
                  </w:pPr>
                  <w:r>
                    <w:rPr>
                      <w:rFonts w:hint="default"/>
                      <w:bCs/>
                      <w:color w:val="auto"/>
                      <w:kern w:val="0"/>
                      <w:sz w:val="21"/>
                      <w:szCs w:val="21"/>
                      <w:highlight w:val="none"/>
                    </w:rPr>
                    <w:t>北厂界</w:t>
                  </w:r>
                </w:p>
              </w:tc>
              <w:tc>
                <w:tcPr>
                  <w:tcW w:w="896" w:type="pct"/>
                  <w:tcBorders>
                    <w:tl2br w:val="nil"/>
                    <w:tr2bl w:val="nil"/>
                  </w:tcBorders>
                  <w:vAlign w:val="center"/>
                </w:tcPr>
                <w:p w14:paraId="68CDE99D">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ascii="Times New Roman" w:hAnsi="Times New Roman" w:eastAsia="宋体"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53.2</w:t>
                  </w:r>
                </w:p>
              </w:tc>
              <w:tc>
                <w:tcPr>
                  <w:tcW w:w="1145" w:type="pct"/>
                  <w:tcBorders>
                    <w:tl2br w:val="nil"/>
                    <w:tr2bl w:val="nil"/>
                  </w:tcBorders>
                  <w:vAlign w:val="center"/>
                </w:tcPr>
                <w:p w14:paraId="2EB206CD">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eastAsia="宋体"/>
                      <w:bCs/>
                      <w:color w:val="auto"/>
                      <w:kern w:val="0"/>
                      <w:sz w:val="21"/>
                      <w:szCs w:val="21"/>
                      <w:highlight w:val="none"/>
                      <w:lang w:val="en-US" w:eastAsia="zh-CN"/>
                    </w:rPr>
                  </w:pPr>
                  <w:r>
                    <w:rPr>
                      <w:rFonts w:hint="eastAsia"/>
                      <w:bCs/>
                      <w:color w:val="auto"/>
                      <w:kern w:val="0"/>
                      <w:sz w:val="21"/>
                      <w:szCs w:val="21"/>
                      <w:highlight w:val="none"/>
                      <w:lang w:val="en-US" w:eastAsia="zh-CN"/>
                    </w:rPr>
                    <w:t>44.04，198.99</w:t>
                  </w:r>
                </w:p>
              </w:tc>
              <w:tc>
                <w:tcPr>
                  <w:tcW w:w="1983" w:type="dxa"/>
                  <w:tcBorders>
                    <w:tl2br w:val="nil"/>
                    <w:tr2bl w:val="nil"/>
                  </w:tcBorders>
                  <w:vAlign w:val="center"/>
                </w:tcPr>
                <w:p w14:paraId="7B493968">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ascii="Times New Roman" w:hAnsi="Times New Roman" w:eastAsia="宋体"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48.2</w:t>
                  </w:r>
                </w:p>
              </w:tc>
              <w:tc>
                <w:tcPr>
                  <w:tcW w:w="1700" w:type="dxa"/>
                  <w:tcBorders>
                    <w:tl2br w:val="nil"/>
                    <w:tr2bl w:val="nil"/>
                  </w:tcBorders>
                  <w:vAlign w:val="center"/>
                </w:tcPr>
                <w:p w14:paraId="542C4108">
                  <w:pPr>
                    <w:keepNext w:val="0"/>
                    <w:keepLines w:val="0"/>
                    <w:suppressLineNumbers w:val="0"/>
                    <w:autoSpaceDE w:val="0"/>
                    <w:autoSpaceDN w:val="0"/>
                    <w:adjustRightInd w:val="0"/>
                    <w:snapToGrid w:val="0"/>
                    <w:spacing w:before="0" w:beforeAutospacing="0" w:after="0" w:afterAutospacing="0" w:line="360" w:lineRule="exact"/>
                    <w:ind w:left="0" w:leftChars="0" w:right="0" w:rightChars="0" w:firstLine="0" w:firstLineChars="0"/>
                    <w:contextualSpacing/>
                    <w:jc w:val="center"/>
                    <w:rPr>
                      <w:rFonts w:hint="default"/>
                      <w:bCs/>
                      <w:color w:val="auto"/>
                      <w:kern w:val="0"/>
                      <w:sz w:val="21"/>
                      <w:szCs w:val="21"/>
                      <w:highlight w:val="none"/>
                    </w:rPr>
                  </w:pPr>
                  <w:r>
                    <w:rPr>
                      <w:rFonts w:hint="eastAsia"/>
                      <w:bCs/>
                      <w:color w:val="auto"/>
                      <w:kern w:val="0"/>
                      <w:sz w:val="21"/>
                      <w:szCs w:val="21"/>
                      <w:highlight w:val="none"/>
                      <w:lang w:val="en-US" w:eastAsia="zh-CN"/>
                    </w:rPr>
                    <w:t>44.04，198.99</w:t>
                  </w:r>
                </w:p>
              </w:tc>
            </w:tr>
            <w:tr w14:paraId="6666DA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9" w:type="pct"/>
                  <w:tcBorders>
                    <w:tl2br w:val="nil"/>
                    <w:tr2bl w:val="nil"/>
                  </w:tcBorders>
                  <w:vAlign w:val="center"/>
                </w:tcPr>
                <w:p w14:paraId="1421F42A">
                  <w:pPr>
                    <w:keepNext w:val="0"/>
                    <w:keepLines w:val="0"/>
                    <w:suppressLineNumbers w:val="0"/>
                    <w:autoSpaceDE w:val="0"/>
                    <w:autoSpaceDN w:val="0"/>
                    <w:adjustRightInd w:val="0"/>
                    <w:snapToGrid w:val="0"/>
                    <w:spacing w:before="0" w:beforeAutospacing="0" w:after="0" w:afterAutospacing="0" w:line="360" w:lineRule="exact"/>
                    <w:ind w:left="0" w:right="0" w:firstLine="0" w:firstLineChars="0"/>
                    <w:contextualSpacing/>
                    <w:jc w:val="center"/>
                    <w:rPr>
                      <w:rFonts w:hint="default"/>
                      <w:bCs/>
                      <w:color w:val="auto"/>
                      <w:kern w:val="0"/>
                      <w:sz w:val="21"/>
                      <w:szCs w:val="21"/>
                      <w:highlight w:val="none"/>
                    </w:rPr>
                  </w:pPr>
                  <w:r>
                    <w:rPr>
                      <w:rFonts w:hint="default"/>
                      <w:bCs/>
                      <w:color w:val="auto"/>
                      <w:kern w:val="0"/>
                      <w:sz w:val="21"/>
                      <w:szCs w:val="21"/>
                      <w:highlight w:val="none"/>
                    </w:rPr>
                    <w:t>排放标准</w:t>
                  </w:r>
                </w:p>
              </w:tc>
              <w:tc>
                <w:tcPr>
                  <w:tcW w:w="2042" w:type="pct"/>
                  <w:gridSpan w:val="2"/>
                  <w:tcBorders>
                    <w:tl2br w:val="nil"/>
                    <w:tr2bl w:val="nil"/>
                  </w:tcBorders>
                  <w:vAlign w:val="center"/>
                </w:tcPr>
                <w:p w14:paraId="038E5811">
                  <w:pPr>
                    <w:keepNext w:val="0"/>
                    <w:keepLines w:val="0"/>
                    <w:widowControl/>
                    <w:suppressLineNumbers w:val="0"/>
                    <w:adjustRightInd w:val="0"/>
                    <w:snapToGrid w:val="0"/>
                    <w:spacing w:before="0" w:beforeAutospacing="0" w:after="0" w:afterAutospacing="0" w:line="360" w:lineRule="exact"/>
                    <w:ind w:left="0" w:right="0" w:firstLine="0" w:firstLineChars="0"/>
                    <w:jc w:val="center"/>
                    <w:textAlignment w:val="bottom"/>
                    <w:rPr>
                      <w:rFonts w:hint="eastAsia" w:eastAsia="宋体"/>
                      <w:bCs/>
                      <w:color w:val="auto"/>
                      <w:sz w:val="21"/>
                      <w:szCs w:val="21"/>
                      <w:highlight w:val="none"/>
                      <w:lang w:eastAsia="zh-CN"/>
                    </w:rPr>
                  </w:pPr>
                  <w:r>
                    <w:rPr>
                      <w:rFonts w:hint="eastAsia"/>
                      <w:bCs/>
                      <w:color w:val="auto"/>
                      <w:kern w:val="0"/>
                      <w:sz w:val="21"/>
                      <w:szCs w:val="21"/>
                      <w:highlight w:val="none"/>
                      <w:lang w:val="en-US" w:eastAsia="zh-CN"/>
                    </w:rPr>
                    <w:t>2</w:t>
                  </w:r>
                  <w:r>
                    <w:rPr>
                      <w:rFonts w:hint="default"/>
                      <w:bCs/>
                      <w:color w:val="auto"/>
                      <w:kern w:val="0"/>
                      <w:sz w:val="21"/>
                      <w:szCs w:val="21"/>
                      <w:highlight w:val="none"/>
                    </w:rPr>
                    <w:t>类：昼间：6</w:t>
                  </w:r>
                  <w:r>
                    <w:rPr>
                      <w:rFonts w:hint="eastAsia"/>
                      <w:bCs/>
                      <w:color w:val="auto"/>
                      <w:kern w:val="0"/>
                      <w:sz w:val="21"/>
                      <w:szCs w:val="21"/>
                      <w:highlight w:val="none"/>
                      <w:lang w:val="en-US" w:eastAsia="zh-CN"/>
                    </w:rPr>
                    <w:t>0</w:t>
                  </w:r>
                </w:p>
              </w:tc>
              <w:tc>
                <w:tcPr>
                  <w:tcW w:w="2227" w:type="pct"/>
                  <w:gridSpan w:val="2"/>
                  <w:tcBorders>
                    <w:tl2br w:val="nil"/>
                    <w:tr2bl w:val="nil"/>
                  </w:tcBorders>
                  <w:vAlign w:val="center"/>
                </w:tcPr>
                <w:p w14:paraId="201AAC42">
                  <w:pPr>
                    <w:keepNext w:val="0"/>
                    <w:keepLines w:val="0"/>
                    <w:widowControl/>
                    <w:suppressLineNumbers w:val="0"/>
                    <w:adjustRightInd w:val="0"/>
                    <w:snapToGrid w:val="0"/>
                    <w:spacing w:before="0" w:beforeAutospacing="0" w:after="0" w:afterAutospacing="0" w:line="360" w:lineRule="exact"/>
                    <w:ind w:left="0" w:right="0" w:firstLine="0" w:firstLineChars="0"/>
                    <w:jc w:val="center"/>
                    <w:textAlignment w:val="bottom"/>
                    <w:rPr>
                      <w:rFonts w:hint="eastAsia" w:eastAsia="宋体"/>
                      <w:bCs/>
                      <w:color w:val="auto"/>
                      <w:kern w:val="0"/>
                      <w:sz w:val="21"/>
                      <w:szCs w:val="21"/>
                      <w:highlight w:val="none"/>
                      <w:lang w:eastAsia="zh-CN"/>
                    </w:rPr>
                  </w:pPr>
                  <w:r>
                    <w:rPr>
                      <w:rFonts w:hint="eastAsia"/>
                      <w:bCs/>
                      <w:color w:val="auto"/>
                      <w:kern w:val="0"/>
                      <w:sz w:val="21"/>
                      <w:szCs w:val="21"/>
                      <w:highlight w:val="none"/>
                      <w:lang w:val="en-US" w:eastAsia="zh-CN"/>
                    </w:rPr>
                    <w:t>2</w:t>
                  </w:r>
                  <w:r>
                    <w:rPr>
                      <w:rFonts w:hint="default"/>
                      <w:bCs/>
                      <w:color w:val="auto"/>
                      <w:kern w:val="0"/>
                      <w:sz w:val="21"/>
                      <w:szCs w:val="21"/>
                      <w:highlight w:val="none"/>
                    </w:rPr>
                    <w:t>类：</w:t>
                  </w:r>
                  <w:r>
                    <w:rPr>
                      <w:rFonts w:hint="eastAsia"/>
                      <w:bCs/>
                      <w:color w:val="auto"/>
                      <w:kern w:val="0"/>
                      <w:sz w:val="21"/>
                      <w:szCs w:val="21"/>
                      <w:highlight w:val="none"/>
                      <w:lang w:val="en-US" w:eastAsia="zh-CN"/>
                    </w:rPr>
                    <w:t>夜</w:t>
                  </w:r>
                  <w:r>
                    <w:rPr>
                      <w:rFonts w:hint="default"/>
                      <w:bCs/>
                      <w:color w:val="auto"/>
                      <w:kern w:val="0"/>
                      <w:sz w:val="21"/>
                      <w:szCs w:val="21"/>
                      <w:highlight w:val="none"/>
                    </w:rPr>
                    <w:t>间：</w:t>
                  </w:r>
                  <w:r>
                    <w:rPr>
                      <w:rFonts w:hint="eastAsia"/>
                      <w:bCs/>
                      <w:color w:val="auto"/>
                      <w:kern w:val="0"/>
                      <w:sz w:val="21"/>
                      <w:szCs w:val="21"/>
                      <w:highlight w:val="none"/>
                      <w:lang w:val="en-US" w:eastAsia="zh-CN"/>
                    </w:rPr>
                    <w:t>50</w:t>
                  </w:r>
                </w:p>
              </w:tc>
            </w:tr>
          </w:tbl>
          <w:p w14:paraId="2AEFEEFF">
            <w:pPr>
              <w:keepNext w:val="0"/>
              <w:keepLines w:val="0"/>
              <w:suppressLineNumbers w:val="0"/>
              <w:tabs>
                <w:tab w:val="left" w:pos="4099"/>
              </w:tabs>
              <w:adjustRightInd w:val="0"/>
              <w:snapToGrid w:val="0"/>
              <w:spacing w:before="0" w:beforeAutospacing="0" w:after="0" w:afterAutospacing="0"/>
              <w:ind w:left="0" w:right="0" w:firstLine="468"/>
              <w:rPr>
                <w:rFonts w:hint="default"/>
                <w:color w:val="auto"/>
                <w:spacing w:val="-3"/>
                <w:highlight w:val="none"/>
              </w:rPr>
            </w:pPr>
            <w:r>
              <w:rPr>
                <w:rFonts w:hint="default"/>
                <w:color w:val="auto"/>
                <w:spacing w:val="-3"/>
                <w:highlight w:val="none"/>
              </w:rPr>
              <w:t>由上表预测结果可知</w:t>
            </w:r>
            <w:r>
              <w:rPr>
                <w:rFonts w:hint="eastAsia"/>
                <w:color w:val="auto"/>
                <w:spacing w:val="-3"/>
                <w:highlight w:val="none"/>
              </w:rPr>
              <w:t>，</w:t>
            </w:r>
            <w:r>
              <w:rPr>
                <w:rFonts w:hint="default"/>
                <w:color w:val="auto"/>
                <w:spacing w:val="-3"/>
                <w:highlight w:val="none"/>
              </w:rPr>
              <w:t>项目运营后各厂界各噪声源叠加后的噪声最大贡献值满足《工业企业厂界</w:t>
            </w:r>
            <w:r>
              <w:rPr>
                <w:rFonts w:hint="default"/>
                <w:color w:val="auto"/>
                <w:highlight w:val="none"/>
              </w:rPr>
              <w:t>环境噪声排放</w:t>
            </w:r>
            <w:r>
              <w:rPr>
                <w:rFonts w:hint="default"/>
                <w:color w:val="auto"/>
                <w:spacing w:val="-3"/>
                <w:highlight w:val="none"/>
              </w:rPr>
              <w:t>标准》（GB12348-2008）</w:t>
            </w:r>
            <w:r>
              <w:rPr>
                <w:rFonts w:hint="eastAsia"/>
                <w:color w:val="auto"/>
                <w:spacing w:val="-3"/>
                <w:highlight w:val="none"/>
                <w:lang w:val="en-US" w:eastAsia="zh-CN"/>
              </w:rPr>
              <w:t>2</w:t>
            </w:r>
            <w:r>
              <w:rPr>
                <w:rFonts w:hint="default"/>
                <w:color w:val="auto"/>
                <w:spacing w:val="-3"/>
                <w:highlight w:val="none"/>
              </w:rPr>
              <w:t>类标准</w:t>
            </w:r>
            <w:r>
              <w:rPr>
                <w:rFonts w:hint="eastAsia"/>
                <w:color w:val="auto"/>
                <w:spacing w:val="-3"/>
                <w:highlight w:val="none"/>
                <w:lang w:eastAsia="zh-CN"/>
              </w:rPr>
              <w:t>：</w:t>
            </w:r>
            <w:r>
              <w:rPr>
                <w:rFonts w:hint="default"/>
                <w:color w:val="auto"/>
                <w:spacing w:val="-3"/>
                <w:highlight w:val="none"/>
              </w:rPr>
              <w:t>昼间≤6</w:t>
            </w:r>
            <w:r>
              <w:rPr>
                <w:rFonts w:hint="eastAsia"/>
                <w:color w:val="auto"/>
                <w:spacing w:val="-3"/>
                <w:highlight w:val="none"/>
                <w:lang w:val="en-US" w:eastAsia="zh-CN"/>
              </w:rPr>
              <w:t>0</w:t>
            </w:r>
            <w:r>
              <w:rPr>
                <w:rFonts w:hint="default"/>
                <w:color w:val="auto"/>
                <w:highlight w:val="none"/>
              </w:rPr>
              <w:t>dB</w:t>
            </w:r>
            <w:r>
              <w:rPr>
                <w:rFonts w:hint="eastAsia"/>
                <w:color w:val="auto"/>
                <w:highlight w:val="none"/>
              </w:rPr>
              <w:t>（A）</w:t>
            </w:r>
            <w:r>
              <w:rPr>
                <w:rFonts w:hint="eastAsia"/>
                <w:color w:val="auto"/>
                <w:highlight w:val="none"/>
                <w:lang w:eastAsia="zh-CN"/>
              </w:rPr>
              <w:t>，</w:t>
            </w:r>
            <w:r>
              <w:rPr>
                <w:rFonts w:hint="eastAsia"/>
                <w:color w:val="auto"/>
                <w:spacing w:val="-3"/>
                <w:highlight w:val="none"/>
                <w:lang w:val="en-US" w:eastAsia="zh-CN"/>
              </w:rPr>
              <w:t>夜</w:t>
            </w:r>
            <w:r>
              <w:rPr>
                <w:rFonts w:hint="default"/>
                <w:color w:val="auto"/>
                <w:spacing w:val="-3"/>
                <w:highlight w:val="none"/>
              </w:rPr>
              <w:t>间≤</w:t>
            </w:r>
            <w:r>
              <w:rPr>
                <w:rFonts w:hint="eastAsia"/>
                <w:color w:val="auto"/>
                <w:spacing w:val="-3"/>
                <w:highlight w:val="none"/>
                <w:lang w:val="en-US" w:eastAsia="zh-CN"/>
              </w:rPr>
              <w:t>50</w:t>
            </w:r>
            <w:r>
              <w:rPr>
                <w:rFonts w:hint="default"/>
                <w:color w:val="auto"/>
                <w:highlight w:val="none"/>
              </w:rPr>
              <w:t>dB</w:t>
            </w:r>
            <w:r>
              <w:rPr>
                <w:rFonts w:hint="eastAsia"/>
                <w:color w:val="auto"/>
                <w:highlight w:val="none"/>
              </w:rPr>
              <w:t>（A）</w:t>
            </w:r>
            <w:r>
              <w:rPr>
                <w:rFonts w:hint="default"/>
                <w:color w:val="auto"/>
                <w:highlight w:val="none"/>
              </w:rPr>
              <w:t>，</w:t>
            </w:r>
            <w:r>
              <w:rPr>
                <w:rFonts w:hint="default"/>
                <w:color w:val="auto"/>
                <w:spacing w:val="-3"/>
                <w:highlight w:val="none"/>
              </w:rPr>
              <w:t>项目运营后对声环境质量影响较小。</w:t>
            </w:r>
          </w:p>
          <w:p w14:paraId="2C935FB6">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4</w:t>
            </w:r>
            <w:r>
              <w:rPr>
                <w:rFonts w:hint="default"/>
                <w:color w:val="auto"/>
                <w:highlight w:val="none"/>
              </w:rPr>
              <w:t>、噪声监测</w:t>
            </w:r>
            <w:r>
              <w:rPr>
                <w:rFonts w:hint="eastAsia"/>
                <w:color w:val="auto"/>
                <w:highlight w:val="none"/>
              </w:rPr>
              <w:t>计划</w:t>
            </w:r>
          </w:p>
          <w:p w14:paraId="14BAF67E">
            <w:pPr>
              <w:pStyle w:val="170"/>
              <w:keepNext w:val="0"/>
              <w:keepLines w:val="0"/>
              <w:suppressLineNumbers w:val="0"/>
              <w:spacing w:before="0" w:beforeAutospacing="0" w:after="0" w:afterAutospacing="0" w:line="360" w:lineRule="auto"/>
              <w:ind w:left="0" w:right="0"/>
              <w:rPr>
                <w:rFonts w:hint="eastAsia" w:eastAsia="宋体"/>
                <w:color w:val="auto"/>
                <w:szCs w:val="24"/>
                <w:highlight w:val="none"/>
                <w:lang w:eastAsia="zh-CN"/>
              </w:rPr>
            </w:pPr>
            <w:r>
              <w:rPr>
                <w:rFonts w:hint="eastAsia"/>
                <w:color w:val="auto"/>
                <w:szCs w:val="24"/>
                <w:highlight w:val="none"/>
              </w:rPr>
              <w:t>根据</w:t>
            </w:r>
            <w:r>
              <w:rPr>
                <w:rFonts w:hint="default" w:ascii="Times New Roman" w:hAnsi="Times New Roman" w:eastAsia="宋体" w:cs="Times New Roman"/>
                <w:color w:val="auto"/>
                <w:sz w:val="24"/>
                <w:szCs w:val="21"/>
              </w:rPr>
              <w:t>《排污单位自行监测技术指南 总则》（HJ19-2017）</w:t>
            </w:r>
            <w:r>
              <w:rPr>
                <w:rFonts w:hint="eastAsia" w:ascii="Times New Roman" w:hAnsi="Times New Roman" w:cs="Times New Roman"/>
                <w:color w:val="auto"/>
                <w:sz w:val="24"/>
                <w:szCs w:val="21"/>
                <w:lang w:eastAsia="zh-CN"/>
              </w:rPr>
              <w:t>、《排污单位自行监测技术指南 食品制造》（HJ1084-2020）</w:t>
            </w:r>
            <w:r>
              <w:rPr>
                <w:rFonts w:hint="default" w:ascii="Times New Roman" w:hAnsi="Times New Roman" w:eastAsia="宋体" w:cs="Times New Roman"/>
                <w:color w:val="auto"/>
                <w:sz w:val="24"/>
                <w:szCs w:val="21"/>
              </w:rPr>
              <w:t>要求</w:t>
            </w:r>
            <w:r>
              <w:rPr>
                <w:rFonts w:hint="eastAsia"/>
                <w:color w:val="auto"/>
                <w:szCs w:val="24"/>
                <w:highlight w:val="none"/>
              </w:rPr>
              <w:t>，噪声监测计划如下</w:t>
            </w:r>
            <w:r>
              <w:rPr>
                <w:rFonts w:hint="eastAsia"/>
                <w:color w:val="auto"/>
                <w:szCs w:val="24"/>
                <w:highlight w:val="none"/>
                <w:lang w:eastAsia="zh-CN"/>
              </w:rPr>
              <w:t>：</w:t>
            </w:r>
          </w:p>
          <w:p w14:paraId="2CF40908">
            <w:pPr>
              <w:pStyle w:val="77"/>
              <w:keepNext w:val="0"/>
              <w:keepLines w:val="0"/>
              <w:widowControl/>
              <w:suppressLineNumbers w:val="0"/>
              <w:spacing w:before="0" w:beforeLines="0" w:beforeAutospacing="0" w:after="0" w:afterAutospacing="0" w:line="240" w:lineRule="auto"/>
              <w:ind w:left="0" w:right="0"/>
              <w:rPr>
                <w:rFonts w:hint="default" w:eastAsia="宋体"/>
                <w:b/>
                <w:bCs/>
                <w:color w:val="auto"/>
                <w:highlight w:val="none"/>
              </w:rPr>
            </w:pPr>
            <w:r>
              <w:rPr>
                <w:rFonts w:hint="eastAsia" w:eastAsia="宋体"/>
                <w:b/>
                <w:bCs/>
                <w:color w:val="auto"/>
                <w:highlight w:val="none"/>
              </w:rPr>
              <w:t xml:space="preserve">表4-11  </w:t>
            </w:r>
            <w:r>
              <w:rPr>
                <w:rFonts w:hint="eastAsia" w:eastAsia="宋体"/>
                <w:b/>
                <w:bCs/>
                <w:color w:val="auto"/>
                <w:highlight w:val="none"/>
                <w:lang w:val="en-US" w:eastAsia="zh-CN"/>
              </w:rPr>
              <w:t xml:space="preserve"> </w:t>
            </w:r>
            <w:r>
              <w:rPr>
                <w:rFonts w:hint="eastAsia" w:eastAsia="宋体"/>
                <w:b/>
                <w:bCs/>
                <w:color w:val="auto"/>
                <w:highlight w:val="none"/>
              </w:rPr>
              <w:t xml:space="preserve"> 项目噪声监测计划</w:t>
            </w:r>
          </w:p>
          <w:tbl>
            <w:tblPr>
              <w:tblStyle w:val="37"/>
              <w:tblW w:w="8257"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878"/>
              <w:gridCol w:w="1040"/>
              <w:gridCol w:w="1356"/>
              <w:gridCol w:w="646"/>
              <w:gridCol w:w="1001"/>
              <w:gridCol w:w="3336"/>
            </w:tblGrid>
            <w:tr w14:paraId="052F85B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531" w:type="pct"/>
                  <w:vAlign w:val="center"/>
                </w:tcPr>
                <w:p w14:paraId="11CB28EE">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污染源名称</w:t>
                  </w:r>
                </w:p>
              </w:tc>
              <w:tc>
                <w:tcPr>
                  <w:tcW w:w="629" w:type="pct"/>
                  <w:vAlign w:val="center"/>
                </w:tcPr>
                <w:p w14:paraId="58074976">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监测项目</w:t>
                  </w:r>
                </w:p>
              </w:tc>
              <w:tc>
                <w:tcPr>
                  <w:tcW w:w="821" w:type="pct"/>
                  <w:vAlign w:val="center"/>
                </w:tcPr>
                <w:p w14:paraId="63621612">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监测地点</w:t>
                  </w:r>
                </w:p>
              </w:tc>
              <w:tc>
                <w:tcPr>
                  <w:tcW w:w="391" w:type="pct"/>
                  <w:vAlign w:val="center"/>
                </w:tcPr>
                <w:p w14:paraId="44D40767">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监测点数</w:t>
                  </w:r>
                </w:p>
              </w:tc>
              <w:tc>
                <w:tcPr>
                  <w:tcW w:w="606" w:type="pct"/>
                  <w:vAlign w:val="center"/>
                </w:tcPr>
                <w:p w14:paraId="4C8A15FA">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监测</w:t>
                  </w:r>
                </w:p>
                <w:p w14:paraId="7762AFDD">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频率</w:t>
                  </w:r>
                </w:p>
              </w:tc>
              <w:tc>
                <w:tcPr>
                  <w:tcW w:w="2019" w:type="pct"/>
                  <w:vAlign w:val="center"/>
                </w:tcPr>
                <w:p w14:paraId="1C40B89C">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控制指标</w:t>
                  </w:r>
                </w:p>
              </w:tc>
            </w:tr>
            <w:tr w14:paraId="3BF9435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531" w:type="pct"/>
                  <w:vAlign w:val="center"/>
                </w:tcPr>
                <w:p w14:paraId="67B78CD2">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厂界噪声</w:t>
                  </w:r>
                </w:p>
              </w:tc>
              <w:tc>
                <w:tcPr>
                  <w:tcW w:w="629" w:type="pct"/>
                  <w:vAlign w:val="center"/>
                </w:tcPr>
                <w:p w14:paraId="0BCC2D5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Leq（A）</w:t>
                  </w:r>
                </w:p>
              </w:tc>
              <w:tc>
                <w:tcPr>
                  <w:tcW w:w="821" w:type="pct"/>
                  <w:vAlign w:val="center"/>
                </w:tcPr>
                <w:p w14:paraId="375CAFCA">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厂界</w:t>
                  </w:r>
                  <w:r>
                    <w:rPr>
                      <w:rFonts w:hint="eastAsia"/>
                      <w:color w:val="auto"/>
                      <w:szCs w:val="20"/>
                      <w:highlight w:val="none"/>
                    </w:rPr>
                    <w:t>四周</w:t>
                  </w:r>
                </w:p>
              </w:tc>
              <w:tc>
                <w:tcPr>
                  <w:tcW w:w="391" w:type="pct"/>
                  <w:vAlign w:val="center"/>
                </w:tcPr>
                <w:p w14:paraId="695C41B1">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4</w:t>
                  </w:r>
                  <w:r>
                    <w:rPr>
                      <w:rFonts w:hint="default"/>
                      <w:color w:val="auto"/>
                      <w:szCs w:val="20"/>
                      <w:highlight w:val="none"/>
                    </w:rPr>
                    <w:t>个</w:t>
                  </w:r>
                </w:p>
              </w:tc>
              <w:tc>
                <w:tcPr>
                  <w:tcW w:w="606" w:type="pct"/>
                  <w:vAlign w:val="center"/>
                </w:tcPr>
                <w:p w14:paraId="65CE0D36">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1次</w:t>
                  </w:r>
                  <w:r>
                    <w:rPr>
                      <w:rFonts w:hint="eastAsia"/>
                      <w:color w:val="auto"/>
                      <w:szCs w:val="20"/>
                      <w:highlight w:val="none"/>
                    </w:rPr>
                    <w:t>/</w:t>
                  </w:r>
                  <w:r>
                    <w:rPr>
                      <w:rFonts w:hint="default"/>
                      <w:color w:val="auto"/>
                      <w:szCs w:val="20"/>
                      <w:highlight w:val="none"/>
                    </w:rPr>
                    <w:t>季度</w:t>
                  </w:r>
                </w:p>
              </w:tc>
              <w:tc>
                <w:tcPr>
                  <w:tcW w:w="2019" w:type="pct"/>
                  <w:vAlign w:val="center"/>
                </w:tcPr>
                <w:p w14:paraId="18E16B8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《工业企业厂界环境噪声排放标准》（GB12348-2008）</w:t>
                  </w:r>
                  <w:r>
                    <w:rPr>
                      <w:rFonts w:hint="eastAsia"/>
                      <w:color w:val="auto"/>
                      <w:szCs w:val="20"/>
                      <w:highlight w:val="none"/>
                      <w:lang w:val="en-US" w:eastAsia="zh-CN"/>
                    </w:rPr>
                    <w:t>2</w:t>
                  </w:r>
                  <w:r>
                    <w:rPr>
                      <w:rFonts w:hint="default"/>
                      <w:color w:val="auto"/>
                      <w:szCs w:val="20"/>
                      <w:highlight w:val="none"/>
                    </w:rPr>
                    <w:t>类标准</w:t>
                  </w:r>
                </w:p>
              </w:tc>
            </w:tr>
          </w:tbl>
          <w:p w14:paraId="77C7F215">
            <w:pPr>
              <w:keepNext w:val="0"/>
              <w:keepLines w:val="0"/>
              <w:suppressLineNumbers w:val="0"/>
              <w:spacing w:before="0" w:beforeAutospacing="0" w:after="0" w:afterAutospacing="0"/>
              <w:ind w:left="0" w:right="0" w:firstLine="482"/>
              <w:rPr>
                <w:rFonts w:hint="default"/>
                <w:b/>
                <w:bCs/>
                <w:color w:val="auto"/>
                <w:highlight w:val="none"/>
              </w:rPr>
            </w:pPr>
            <w:r>
              <w:rPr>
                <w:rFonts w:hint="default"/>
                <w:b/>
                <w:bCs/>
                <w:color w:val="auto"/>
                <w:highlight w:val="none"/>
              </w:rPr>
              <w:t>四、固体废物</w:t>
            </w:r>
          </w:p>
          <w:p w14:paraId="6512AE4C">
            <w:pPr>
              <w:keepNext w:val="0"/>
              <w:keepLines w:val="0"/>
              <w:suppressLineNumbers w:val="0"/>
              <w:spacing w:before="0" w:beforeAutospacing="0" w:after="0" w:afterAutospacing="0"/>
              <w:ind w:left="0" w:right="0" w:firstLine="480"/>
              <w:rPr>
                <w:rFonts w:hint="default"/>
                <w:color w:val="auto"/>
                <w:highlight w:val="none"/>
              </w:rPr>
            </w:pPr>
            <w:r>
              <w:rPr>
                <w:rFonts w:hint="default" w:ascii="Times New Roman" w:hAnsi="Times New Roman" w:cs="Times New Roman"/>
                <w:color w:val="auto"/>
                <w:sz w:val="24"/>
              </w:rPr>
              <w:t>项目产生的固废主要包括</w:t>
            </w:r>
            <w:r>
              <w:rPr>
                <w:rFonts w:hint="default" w:ascii="Times New Roman" w:hAnsi="Times New Roman" w:cs="Times New Roman"/>
                <w:color w:val="auto"/>
                <w:sz w:val="24"/>
                <w:lang w:eastAsia="zh-CN"/>
              </w:rPr>
              <w:t>餐厨垃圾、废油脂、废包</w:t>
            </w:r>
            <w:r>
              <w:rPr>
                <w:rFonts w:hint="eastAsia" w:ascii="Times New Roman" w:hAnsi="Times New Roman" w:cs="Times New Roman"/>
                <w:color w:val="auto"/>
                <w:sz w:val="24"/>
                <w:lang w:val="en-US" w:eastAsia="zh-CN"/>
              </w:rPr>
              <w:t>装</w:t>
            </w:r>
            <w:r>
              <w:rPr>
                <w:rFonts w:hint="default" w:ascii="Times New Roman" w:hAnsi="Times New Roman" w:cs="Times New Roman"/>
                <w:color w:val="auto"/>
                <w:sz w:val="24"/>
                <w:lang w:eastAsia="zh-CN"/>
              </w:rPr>
              <w:t>、污泥、</w:t>
            </w:r>
            <w:r>
              <w:rPr>
                <w:rFonts w:hint="default" w:ascii="Times New Roman" w:hAnsi="Times New Roman" w:cs="Times New Roman"/>
                <w:color w:val="auto"/>
                <w:sz w:val="24"/>
                <w:lang w:val="en-US" w:eastAsia="zh-CN"/>
              </w:rPr>
              <w:t>废</w:t>
            </w:r>
            <w:r>
              <w:rPr>
                <w:rFonts w:hint="eastAsia" w:cs="Times New Roman"/>
                <w:color w:val="auto"/>
                <w:sz w:val="24"/>
                <w:lang w:val="en-US" w:eastAsia="zh-CN"/>
              </w:rPr>
              <w:t>反渗透膜</w:t>
            </w:r>
            <w:r>
              <w:rPr>
                <w:rFonts w:hint="default" w:ascii="Times New Roman" w:hAnsi="Times New Roman" w:cs="Times New Roman"/>
                <w:color w:val="auto"/>
                <w:sz w:val="24"/>
                <w:lang w:eastAsia="zh-CN"/>
              </w:rPr>
              <w:t>、</w:t>
            </w:r>
            <w:r>
              <w:rPr>
                <w:rFonts w:hint="eastAsia"/>
                <w:color w:val="auto"/>
                <w:highlight w:val="none"/>
                <w:lang w:val="en-US" w:eastAsia="zh-CN"/>
              </w:rPr>
              <w:t>检验工序产生的废物料、废试剂瓶、废药品包装</w:t>
            </w:r>
            <w:r>
              <w:rPr>
                <w:rFonts w:hint="eastAsia" w:cs="Times New Roman"/>
                <w:color w:val="auto"/>
                <w:sz w:val="24"/>
                <w:lang w:val="en-US" w:eastAsia="zh-CN"/>
              </w:rPr>
              <w:t>以及</w:t>
            </w:r>
            <w:r>
              <w:rPr>
                <w:rFonts w:hint="default" w:ascii="Times New Roman" w:hAnsi="Times New Roman" w:cs="Times New Roman"/>
                <w:color w:val="auto"/>
                <w:sz w:val="24"/>
                <w:lang w:eastAsia="zh-CN"/>
              </w:rPr>
              <w:t>生活垃圾</w:t>
            </w:r>
            <w:r>
              <w:rPr>
                <w:rFonts w:hint="eastAsia" w:ascii="宋体" w:cs="宋体"/>
                <w:color w:val="auto"/>
                <w:kern w:val="0"/>
                <w:highlight w:val="none"/>
              </w:rPr>
              <w:t>。</w:t>
            </w:r>
          </w:p>
          <w:p w14:paraId="77E02CA1">
            <w:pPr>
              <w:keepNext w:val="0"/>
              <w:keepLines w:val="0"/>
              <w:suppressLineNumbers w:val="0"/>
              <w:spacing w:before="0" w:beforeAutospacing="0" w:after="0" w:afterAutospacing="0" w:line="360" w:lineRule="auto"/>
              <w:ind w:left="0" w:leftChars="0" w:right="0" w:firstLine="480" w:firstLineChars="200"/>
              <w:rPr>
                <w:rFonts w:hint="default" w:ascii="Times New Roman" w:hAnsi="Times New Roman" w:eastAsia="宋体" w:cs="Times New Roman"/>
                <w:color w:val="auto"/>
                <w:sz w:val="24"/>
                <w:szCs w:val="20"/>
                <w:lang w:val="en-US" w:eastAsia="zh-CN" w:bidi="en-US"/>
              </w:rPr>
            </w:pPr>
            <w:r>
              <w:rPr>
                <w:rFonts w:hint="eastAsia"/>
                <w:color w:val="auto"/>
                <w:highlight w:val="none"/>
              </w:rPr>
              <w:t>（1）</w:t>
            </w:r>
            <w:r>
              <w:rPr>
                <w:rFonts w:hint="default" w:ascii="Times New Roman" w:hAnsi="Times New Roman" w:eastAsia="宋体" w:cs="Times New Roman"/>
                <w:color w:val="auto"/>
                <w:sz w:val="24"/>
                <w:szCs w:val="20"/>
                <w:lang w:val="en-US" w:eastAsia="zh-CN" w:bidi="en-US"/>
              </w:rPr>
              <w:t>餐厨垃圾</w:t>
            </w:r>
          </w:p>
          <w:p w14:paraId="68C91B07">
            <w:pPr>
              <w:keepNext w:val="0"/>
              <w:keepLines w:val="0"/>
              <w:suppressLineNumbers w:val="0"/>
              <w:spacing w:before="0" w:beforeAutospacing="0" w:after="0" w:afterAutospacing="0"/>
              <w:ind w:left="0" w:right="0" w:firstLine="480"/>
              <w:rPr>
                <w:rFonts w:hint="default" w:eastAsia="宋体"/>
                <w:color w:val="auto"/>
                <w:highlight w:val="none"/>
                <w:lang w:val="en-US" w:eastAsia="zh-CN"/>
              </w:rPr>
            </w:pPr>
            <w:r>
              <w:rPr>
                <w:rFonts w:hint="eastAsia" w:ascii="Times New Roman" w:hAnsi="Times New Roman" w:cs="Times New Roman"/>
                <w:color w:val="auto"/>
                <w:sz w:val="24"/>
                <w:szCs w:val="20"/>
                <w:lang w:val="en-US" w:eastAsia="zh-CN" w:bidi="en-US"/>
              </w:rPr>
              <w:t>项目</w:t>
            </w:r>
            <w:r>
              <w:rPr>
                <w:rFonts w:hint="default" w:ascii="Times New Roman" w:hAnsi="Times New Roman" w:eastAsia="宋体" w:cs="Times New Roman"/>
                <w:color w:val="auto"/>
                <w:sz w:val="24"/>
                <w:szCs w:val="20"/>
                <w:lang w:val="en-US" w:eastAsia="zh-CN" w:bidi="en-US"/>
              </w:rPr>
              <w:t>餐厨垃圾产生量约为蔬菜、肉、蛋用量的1.5%，蔬菜、肉和鸡蛋年用量为</w:t>
            </w:r>
            <w:r>
              <w:rPr>
                <w:rFonts w:hint="eastAsia" w:ascii="Times New Roman" w:hAnsi="Times New Roman" w:cs="Times New Roman"/>
                <w:color w:val="auto"/>
                <w:sz w:val="24"/>
                <w:szCs w:val="20"/>
                <w:lang w:val="en-US" w:eastAsia="zh-CN" w:bidi="en-US"/>
              </w:rPr>
              <w:t>283</w:t>
            </w:r>
            <w:r>
              <w:rPr>
                <w:rFonts w:hint="default" w:ascii="Times New Roman" w:hAnsi="Times New Roman" w:eastAsia="宋体" w:cs="Times New Roman"/>
                <w:color w:val="auto"/>
                <w:sz w:val="24"/>
                <w:szCs w:val="20"/>
                <w:lang w:val="en-US" w:eastAsia="zh-CN" w:bidi="en-US"/>
              </w:rPr>
              <w:t>t/a，则餐厨垃圾产生量为4.25t/a</w:t>
            </w:r>
            <w:r>
              <w:rPr>
                <w:rFonts w:hint="eastAsia"/>
                <w:color w:val="auto"/>
                <w:highlight w:val="none"/>
              </w:rPr>
              <w:t>。</w:t>
            </w:r>
            <w:r>
              <w:rPr>
                <w:rFonts w:hint="eastAsia"/>
                <w:color w:val="auto"/>
                <w:highlight w:val="none"/>
                <w:lang w:val="en-US" w:eastAsia="zh-CN"/>
              </w:rPr>
              <w:t>与生活垃圾一并交环卫部门统一清运。</w:t>
            </w:r>
          </w:p>
          <w:p w14:paraId="5A423ADA">
            <w:pPr>
              <w:keepNext w:val="0"/>
              <w:keepLines w:val="0"/>
              <w:widowControl/>
              <w:suppressLineNumbers w:val="0"/>
              <w:autoSpaceDN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2"/>
                <w:lang w:eastAsia="zh-CN" w:bidi="en-US"/>
              </w:rPr>
            </w:pPr>
            <w:r>
              <w:rPr>
                <w:rFonts w:hint="eastAsia"/>
                <w:color w:val="auto"/>
                <w:highlight w:val="none"/>
              </w:rPr>
              <w:t>（</w:t>
            </w:r>
            <w:r>
              <w:rPr>
                <w:rFonts w:hint="eastAsia"/>
                <w:color w:val="auto"/>
                <w:highlight w:val="none"/>
                <w:lang w:val="en-US" w:eastAsia="zh-CN"/>
              </w:rPr>
              <w:t>2</w:t>
            </w:r>
            <w:r>
              <w:rPr>
                <w:rFonts w:hint="eastAsia"/>
                <w:color w:val="auto"/>
                <w:highlight w:val="none"/>
              </w:rPr>
              <w:t>）</w:t>
            </w:r>
            <w:r>
              <w:rPr>
                <w:rFonts w:hint="default" w:ascii="Times New Roman" w:hAnsi="Times New Roman" w:eastAsia="宋体" w:cs="Times New Roman"/>
                <w:color w:val="auto"/>
                <w:kern w:val="0"/>
                <w:sz w:val="24"/>
                <w:szCs w:val="22"/>
                <w:lang w:eastAsia="zh-CN" w:bidi="en-US"/>
              </w:rPr>
              <w:t>废油脂</w:t>
            </w:r>
          </w:p>
          <w:p w14:paraId="29DEB6D6">
            <w:pPr>
              <w:keepNext w:val="0"/>
              <w:keepLines w:val="0"/>
              <w:suppressLineNumbers w:val="0"/>
              <w:spacing w:before="0" w:beforeAutospacing="0" w:after="0" w:afterAutospacing="0"/>
              <w:ind w:left="0" w:right="0" w:firstLine="480"/>
              <w:rPr>
                <w:rFonts w:hint="default"/>
                <w:color w:val="auto"/>
                <w:highlight w:val="none"/>
              </w:rPr>
            </w:pPr>
            <w:r>
              <w:rPr>
                <w:rFonts w:hint="eastAsia" w:cs="Times New Roman"/>
                <w:color w:val="auto"/>
                <w:kern w:val="0"/>
                <w:sz w:val="24"/>
                <w:szCs w:val="22"/>
                <w:lang w:val="en-US" w:eastAsia="zh-CN" w:bidi="en-US"/>
              </w:rPr>
              <w:t>本项目</w:t>
            </w:r>
            <w:r>
              <w:rPr>
                <w:rFonts w:hint="default" w:ascii="Times New Roman" w:hAnsi="Times New Roman" w:eastAsia="宋体" w:cs="Times New Roman"/>
                <w:color w:val="auto"/>
                <w:kern w:val="0"/>
                <w:sz w:val="24"/>
                <w:szCs w:val="22"/>
                <w:lang w:eastAsia="zh-CN" w:bidi="en-US"/>
              </w:rPr>
              <w:t>废油脂</w:t>
            </w:r>
            <w:r>
              <w:rPr>
                <w:rFonts w:hint="eastAsia" w:cs="Times New Roman"/>
                <w:color w:val="auto"/>
                <w:kern w:val="0"/>
                <w:sz w:val="24"/>
                <w:szCs w:val="22"/>
                <w:lang w:val="en-US" w:eastAsia="zh-CN" w:bidi="en-US"/>
              </w:rPr>
              <w:t>主要来自生活生产废水中的废油脂（动植物油）及油烟净化过程中产生的废油脂。根据前文数据可知，废水中废油脂产生量为0.04</w:t>
            </w:r>
            <w:r>
              <w:rPr>
                <w:rFonts w:hint="default" w:ascii="Times New Roman" w:hAnsi="Times New Roman" w:eastAsia="宋体" w:cs="Times New Roman"/>
                <w:color w:val="auto"/>
                <w:kern w:val="0"/>
                <w:sz w:val="24"/>
                <w:szCs w:val="22"/>
                <w:lang w:eastAsia="zh-CN" w:bidi="en-US"/>
              </w:rPr>
              <w:t>t/a</w:t>
            </w:r>
            <w:r>
              <w:rPr>
                <w:rFonts w:hint="eastAsia" w:ascii="Times New Roman" w:hAnsi="Times New Roman" w:eastAsia="宋体" w:cs="Times New Roman"/>
                <w:color w:val="auto"/>
                <w:kern w:val="0"/>
                <w:sz w:val="24"/>
                <w:szCs w:val="22"/>
                <w:lang w:eastAsia="zh-CN" w:bidi="en-US"/>
              </w:rPr>
              <w:t>；</w:t>
            </w:r>
            <w:r>
              <w:rPr>
                <w:rFonts w:hint="eastAsia" w:ascii="Times New Roman" w:hAnsi="Times New Roman" w:eastAsia="宋体" w:cs="Times New Roman"/>
                <w:color w:val="auto"/>
                <w:kern w:val="0"/>
                <w:sz w:val="24"/>
                <w:szCs w:val="22"/>
                <w:lang w:val="en-US" w:eastAsia="zh-CN" w:bidi="en-US"/>
              </w:rPr>
              <w:t>项目食用油年消耗量为50t/a，根据类比调查，食堂废弃油脂的含量约为食用油用量的10%~20%，本环评以20%计，则废油脂总量为10.04t/a。</w:t>
            </w:r>
            <w:r>
              <w:rPr>
                <w:rFonts w:hint="default" w:ascii="Times New Roman" w:hAnsi="Times New Roman" w:eastAsia="宋体" w:cs="Times New Roman"/>
                <w:color w:val="auto"/>
                <w:kern w:val="0"/>
                <w:sz w:val="24"/>
                <w:szCs w:val="22"/>
                <w:lang w:eastAsia="zh-CN" w:bidi="en-US"/>
              </w:rPr>
              <w:t>采用桶装收集后，交由专业回收公司进行回收处理</w:t>
            </w:r>
            <w:r>
              <w:rPr>
                <w:rFonts w:hint="eastAsia"/>
                <w:color w:val="auto"/>
                <w:highlight w:val="none"/>
              </w:rPr>
              <w:t>。</w:t>
            </w:r>
          </w:p>
          <w:p w14:paraId="1C87F0BF">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w:t>
            </w:r>
            <w:r>
              <w:rPr>
                <w:rFonts w:hint="eastAsia"/>
                <w:color w:val="auto"/>
                <w:highlight w:val="none"/>
                <w:lang w:val="en-US" w:eastAsia="zh-CN"/>
              </w:rPr>
              <w:t>3</w:t>
            </w:r>
            <w:r>
              <w:rPr>
                <w:rFonts w:hint="eastAsia"/>
                <w:color w:val="auto"/>
                <w:highlight w:val="none"/>
              </w:rPr>
              <w:t>）废包装</w:t>
            </w:r>
          </w:p>
          <w:p w14:paraId="4E6CD0F9">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lang w:val="en-US" w:eastAsia="zh-CN"/>
              </w:rPr>
              <w:t>项目</w:t>
            </w:r>
            <w:r>
              <w:rPr>
                <w:rFonts w:hint="eastAsia"/>
                <w:color w:val="auto"/>
                <w:lang w:val="en-US" w:eastAsia="zh-CN"/>
              </w:rPr>
              <w:t>包装材料用量为20t/a，</w:t>
            </w:r>
            <w:r>
              <w:rPr>
                <w:rFonts w:hint="eastAsia"/>
                <w:color w:val="auto"/>
                <w:highlight w:val="none"/>
                <w:lang w:val="en-US" w:eastAsia="zh-CN"/>
              </w:rPr>
              <w:t>生产过程中包装工序会产生1%的</w:t>
            </w:r>
            <w:r>
              <w:rPr>
                <w:rFonts w:hint="eastAsia"/>
                <w:color w:val="auto"/>
                <w:highlight w:val="none"/>
              </w:rPr>
              <w:t>废包装</w:t>
            </w:r>
            <w:r>
              <w:rPr>
                <w:rFonts w:hint="eastAsia"/>
                <w:color w:val="auto"/>
                <w:highlight w:val="none"/>
                <w:lang w:eastAsia="zh-CN"/>
              </w:rPr>
              <w:t>，</w:t>
            </w:r>
            <w:r>
              <w:rPr>
                <w:rFonts w:hint="eastAsia"/>
                <w:color w:val="auto"/>
                <w:highlight w:val="none"/>
                <w:lang w:val="en-US" w:eastAsia="zh-CN"/>
              </w:rPr>
              <w:t>约0.2</w:t>
            </w:r>
            <w:r>
              <w:rPr>
                <w:rFonts w:hint="default"/>
                <w:color w:val="auto"/>
                <w:highlight w:val="none"/>
              </w:rPr>
              <w:t>t/a</w:t>
            </w:r>
            <w:r>
              <w:rPr>
                <w:rFonts w:hint="eastAsia"/>
                <w:color w:val="auto"/>
                <w:highlight w:val="none"/>
              </w:rPr>
              <w:t>，</w:t>
            </w:r>
            <w:r>
              <w:rPr>
                <w:rFonts w:hint="eastAsia"/>
                <w:color w:val="auto"/>
                <w:highlight w:val="none"/>
                <w:lang w:val="en-US" w:eastAsia="zh-CN"/>
              </w:rPr>
              <w:t>废包装收集暂存一般固废暂存间，</w:t>
            </w:r>
            <w:r>
              <w:rPr>
                <w:rFonts w:hint="eastAsia"/>
                <w:color w:val="auto"/>
                <w:highlight w:val="none"/>
              </w:rPr>
              <w:t>定期</w:t>
            </w:r>
            <w:r>
              <w:rPr>
                <w:rFonts w:hint="eastAsia" w:ascii="宋体" w:cs="宋体"/>
                <w:color w:val="auto"/>
                <w:szCs w:val="21"/>
                <w:highlight w:val="none"/>
              </w:rPr>
              <w:t>外售综合利用</w:t>
            </w:r>
            <w:r>
              <w:rPr>
                <w:rFonts w:hint="eastAsia"/>
                <w:color w:val="auto"/>
                <w:highlight w:val="none"/>
              </w:rPr>
              <w:t>。</w:t>
            </w:r>
          </w:p>
          <w:p w14:paraId="2EB1429C">
            <w:pPr>
              <w:keepNext w:val="0"/>
              <w:keepLines w:val="0"/>
              <w:widowControl/>
              <w:suppressLineNumbers w:val="0"/>
              <w:autoSpaceDN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szCs w:val="24"/>
                <w:lang w:eastAsia="zh-CN" w:bidi="en-US"/>
              </w:rPr>
            </w:pPr>
            <w:r>
              <w:rPr>
                <w:rFonts w:hint="default" w:ascii="Times New Roman" w:hAnsi="Times New Roman" w:eastAsia="宋体" w:cs="Times New Roman"/>
                <w:color w:val="auto"/>
                <w:kern w:val="0"/>
                <w:sz w:val="24"/>
                <w:szCs w:val="24"/>
                <w:lang w:eastAsia="zh-CN" w:bidi="en-US"/>
              </w:rPr>
              <w:t>（</w:t>
            </w:r>
            <w:r>
              <w:rPr>
                <w:rFonts w:hint="eastAsia" w:ascii="Times New Roman" w:hAnsi="Times New Roman" w:eastAsia="宋体" w:cs="Times New Roman"/>
                <w:color w:val="auto"/>
                <w:kern w:val="0"/>
                <w:sz w:val="24"/>
                <w:szCs w:val="24"/>
                <w:lang w:val="en-US" w:eastAsia="zh-CN" w:bidi="en-US"/>
              </w:rPr>
              <w:t>4</w:t>
            </w:r>
            <w:r>
              <w:rPr>
                <w:rFonts w:hint="default" w:ascii="Times New Roman" w:hAnsi="Times New Roman" w:eastAsia="宋体" w:cs="Times New Roman"/>
                <w:color w:val="auto"/>
                <w:kern w:val="0"/>
                <w:sz w:val="24"/>
                <w:szCs w:val="24"/>
                <w:lang w:eastAsia="zh-CN" w:bidi="en-US"/>
              </w:rPr>
              <w:t>）污泥</w:t>
            </w:r>
          </w:p>
          <w:p w14:paraId="1806888D">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highlight w:val="yellow"/>
                <w:lang w:eastAsia="zh-CN"/>
              </w:rPr>
            </w:pPr>
            <w:r>
              <w:rPr>
                <w:rFonts w:hint="default" w:ascii="Times New Roman" w:hAnsi="Times New Roman" w:cs="Times New Roman"/>
                <w:color w:val="auto"/>
                <w:sz w:val="24"/>
              </w:rPr>
              <w:t>项目污泥产生量</w:t>
            </w:r>
            <w:r>
              <w:rPr>
                <w:rFonts w:hint="eastAsia" w:cs="Times New Roman"/>
                <w:color w:val="auto"/>
                <w:sz w:val="24"/>
                <w:lang w:val="en-US" w:eastAsia="zh-CN"/>
              </w:rPr>
              <w:t>约为</w:t>
            </w:r>
            <w:r>
              <w:rPr>
                <w:rFonts w:hint="default" w:ascii="Times New Roman" w:hAnsi="Times New Roman" w:cs="Times New Roman"/>
                <w:color w:val="auto"/>
                <w:sz w:val="24"/>
              </w:rPr>
              <w:t>0.0</w:t>
            </w:r>
            <w:r>
              <w:rPr>
                <w:rFonts w:hint="default" w:ascii="Times New Roman" w:hAnsi="Times New Roman" w:cs="Times New Roman"/>
                <w:color w:val="auto"/>
                <w:sz w:val="24"/>
                <w:lang w:val="en-US" w:eastAsia="zh-CN"/>
              </w:rPr>
              <w:t>08</w:t>
            </w:r>
            <w:r>
              <w:rPr>
                <w:rFonts w:hint="default" w:ascii="Times New Roman" w:hAnsi="Times New Roman" w:cs="Times New Roman"/>
                <w:color w:val="auto"/>
                <w:sz w:val="24"/>
              </w:rPr>
              <w:t>t/d，</w:t>
            </w:r>
            <w:r>
              <w:rPr>
                <w:rFonts w:hint="default" w:ascii="Times New Roman" w:hAnsi="Times New Roman" w:cs="Times New Roman"/>
                <w:color w:val="auto"/>
                <w:sz w:val="24"/>
                <w:lang w:val="en-US" w:eastAsia="zh-CN"/>
              </w:rPr>
              <w:t>1.6</w:t>
            </w:r>
            <w:r>
              <w:rPr>
                <w:rFonts w:hint="default" w:ascii="Times New Roman" w:hAnsi="Times New Roman" w:cs="Times New Roman"/>
                <w:color w:val="auto"/>
                <w:sz w:val="24"/>
              </w:rPr>
              <w:t>t/a，属于一般固废。</w:t>
            </w:r>
            <w:r>
              <w:rPr>
                <w:rFonts w:hint="eastAsia" w:cs="Times New Roman"/>
                <w:color w:val="auto"/>
                <w:sz w:val="24"/>
                <w:lang w:val="en-US" w:eastAsia="zh-CN"/>
              </w:rPr>
              <w:t>定期由吸污车清理处置。</w:t>
            </w:r>
          </w:p>
          <w:p w14:paraId="2FBBCBFF">
            <w:pPr>
              <w:keepNext w:val="0"/>
              <w:keepLines w:val="0"/>
              <w:suppressLineNumbers w:val="0"/>
              <w:spacing w:before="0" w:beforeAutospacing="0" w:after="0" w:afterAutospacing="0"/>
              <w:ind w:left="0" w:right="0" w:firstLine="480"/>
              <w:rPr>
                <w:rFonts w:hint="default" w:eastAsia="宋体"/>
                <w:color w:val="auto"/>
                <w:highlight w:val="none"/>
                <w:lang w:val="en-US" w:eastAsia="zh-CN"/>
              </w:rPr>
            </w:pPr>
            <w:r>
              <w:rPr>
                <w:rFonts w:hint="eastAsia"/>
                <w:color w:val="auto"/>
                <w:highlight w:val="none"/>
              </w:rPr>
              <w:t>（</w:t>
            </w:r>
            <w:r>
              <w:rPr>
                <w:rFonts w:hint="eastAsia"/>
                <w:color w:val="auto"/>
                <w:highlight w:val="none"/>
                <w:lang w:val="en-US" w:eastAsia="zh-CN"/>
              </w:rPr>
              <w:t>5</w:t>
            </w:r>
            <w:r>
              <w:rPr>
                <w:rFonts w:hint="eastAsia"/>
                <w:color w:val="auto"/>
                <w:highlight w:val="none"/>
              </w:rPr>
              <w:t>）废</w:t>
            </w:r>
            <w:r>
              <w:rPr>
                <w:rFonts w:hint="eastAsia"/>
                <w:color w:val="auto"/>
                <w:highlight w:val="none"/>
                <w:lang w:val="en-US" w:eastAsia="zh-CN"/>
              </w:rPr>
              <w:t>反渗透膜</w:t>
            </w:r>
          </w:p>
          <w:p w14:paraId="474AD468">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szCs w:val="24"/>
                <w:lang w:eastAsia="zh-CN"/>
              </w:rPr>
              <w:t>反渗透膜</w:t>
            </w:r>
            <w:r>
              <w:rPr>
                <w:rFonts w:hint="eastAsia"/>
                <w:color w:val="auto"/>
                <w:szCs w:val="24"/>
              </w:rPr>
              <w:t>需定期更换，根据</w:t>
            </w:r>
            <w:r>
              <w:rPr>
                <w:rFonts w:hint="eastAsia"/>
                <w:color w:val="auto"/>
                <w:szCs w:val="24"/>
                <w:lang w:val="en-US" w:eastAsia="zh-CN"/>
              </w:rPr>
              <w:t>建设单位提供资料</w:t>
            </w:r>
            <w:r>
              <w:rPr>
                <w:rFonts w:hint="eastAsia"/>
                <w:color w:val="auto"/>
                <w:szCs w:val="24"/>
              </w:rPr>
              <w:t>，一般约</w:t>
            </w:r>
            <w:r>
              <w:rPr>
                <w:rFonts w:hint="eastAsia"/>
                <w:color w:val="auto"/>
                <w:szCs w:val="24"/>
                <w:lang w:val="en-US" w:eastAsia="zh-CN"/>
              </w:rPr>
              <w:t>1</w:t>
            </w:r>
            <w:r>
              <w:rPr>
                <w:rFonts w:hint="eastAsia"/>
                <w:color w:val="auto"/>
                <w:szCs w:val="24"/>
              </w:rPr>
              <w:t>年更换一次，一次更换量0.</w:t>
            </w:r>
            <w:r>
              <w:rPr>
                <w:rFonts w:hint="eastAsia"/>
                <w:color w:val="auto"/>
                <w:szCs w:val="24"/>
                <w:lang w:val="en-US" w:eastAsia="zh-CN"/>
              </w:rPr>
              <w:t>2</w:t>
            </w:r>
            <w:r>
              <w:rPr>
                <w:rFonts w:hint="eastAsia"/>
                <w:color w:val="auto"/>
                <w:szCs w:val="24"/>
              </w:rPr>
              <w:t>t，废弃的</w:t>
            </w:r>
            <w:r>
              <w:rPr>
                <w:rFonts w:hint="eastAsia"/>
                <w:color w:val="auto"/>
                <w:szCs w:val="24"/>
                <w:lang w:eastAsia="zh-CN"/>
              </w:rPr>
              <w:t>反渗透膜</w:t>
            </w:r>
            <w:r>
              <w:rPr>
                <w:rFonts w:hint="eastAsia"/>
                <w:color w:val="auto"/>
                <w:szCs w:val="24"/>
              </w:rPr>
              <w:t>为一般固废，由厂家更换后及时清运处理，不在厂内</w:t>
            </w:r>
            <w:r>
              <w:rPr>
                <w:rFonts w:hint="eastAsia"/>
                <w:color w:val="auto"/>
                <w:szCs w:val="24"/>
                <w:lang w:val="en-US" w:eastAsia="zh-CN"/>
              </w:rPr>
              <w:t>储存</w:t>
            </w:r>
            <w:r>
              <w:rPr>
                <w:rFonts w:hint="eastAsia"/>
                <w:color w:val="auto"/>
                <w:highlight w:val="none"/>
              </w:rPr>
              <w:t>。</w:t>
            </w:r>
          </w:p>
          <w:p w14:paraId="2E44C501">
            <w:pPr>
              <w:keepNext w:val="0"/>
              <w:keepLines w:val="0"/>
              <w:suppressLineNumbers w:val="0"/>
              <w:spacing w:before="0" w:beforeAutospacing="0" w:after="0" w:afterAutospacing="0"/>
              <w:ind w:left="0" w:right="0" w:firstLine="480"/>
              <w:rPr>
                <w:rFonts w:hint="default" w:eastAsia="宋体"/>
                <w:color w:val="auto"/>
                <w:highlight w:val="none"/>
                <w:lang w:val="en-US"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w:t>
            </w:r>
            <w:r>
              <w:rPr>
                <w:rFonts w:hint="eastAsia"/>
                <w:color w:val="auto"/>
                <w:highlight w:val="none"/>
                <w:lang w:val="en-US" w:eastAsia="zh-CN"/>
              </w:rPr>
              <w:t>废物料、废试剂瓶及废药品包装</w:t>
            </w:r>
          </w:p>
          <w:p w14:paraId="4F44A446">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lang w:val="en-US" w:eastAsia="zh-CN"/>
              </w:rPr>
              <w:t>项目生产中检验工序会产生废物料、废试剂瓶及废药品包装，产生量</w:t>
            </w:r>
            <w:r>
              <w:rPr>
                <w:rFonts w:hint="eastAsia"/>
                <w:color w:val="auto"/>
                <w:highlight w:val="none"/>
              </w:rPr>
              <w:t>约为</w:t>
            </w:r>
            <w:r>
              <w:rPr>
                <w:rFonts w:hint="eastAsia"/>
                <w:color w:val="auto"/>
                <w:highlight w:val="none"/>
                <w:lang w:val="en-US" w:eastAsia="zh-CN"/>
              </w:rPr>
              <w:t>0.002</w:t>
            </w:r>
            <w:r>
              <w:rPr>
                <w:rFonts w:hint="default"/>
                <w:color w:val="auto"/>
                <w:highlight w:val="none"/>
              </w:rPr>
              <w:t>t/a</w:t>
            </w:r>
            <w:r>
              <w:rPr>
                <w:rFonts w:hint="eastAsia"/>
                <w:color w:val="auto"/>
                <w:highlight w:val="none"/>
              </w:rPr>
              <w:t>，</w:t>
            </w:r>
            <w:r>
              <w:rPr>
                <w:rFonts w:hint="eastAsia"/>
                <w:color w:val="auto"/>
                <w:highlight w:val="none"/>
                <w:lang w:val="en-US" w:eastAsia="zh-CN"/>
              </w:rPr>
              <w:t>采用专用容器收集后交有资质单位处置</w:t>
            </w:r>
            <w:r>
              <w:rPr>
                <w:rFonts w:hint="eastAsia"/>
                <w:color w:val="auto"/>
                <w:highlight w:val="none"/>
              </w:rPr>
              <w:t>。</w:t>
            </w:r>
          </w:p>
          <w:p w14:paraId="3F38BEE8">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w:t>
            </w:r>
            <w:r>
              <w:rPr>
                <w:rFonts w:hint="eastAsia"/>
                <w:color w:val="auto"/>
                <w:highlight w:val="none"/>
                <w:lang w:val="en-US" w:eastAsia="zh-CN"/>
              </w:rPr>
              <w:t>7</w:t>
            </w:r>
            <w:r>
              <w:rPr>
                <w:rFonts w:hint="eastAsia"/>
                <w:color w:val="auto"/>
                <w:highlight w:val="none"/>
              </w:rPr>
              <w:t>）生活垃圾</w:t>
            </w:r>
          </w:p>
          <w:p w14:paraId="025CFDCD">
            <w:pPr>
              <w:keepNext w:val="0"/>
              <w:keepLines w:val="0"/>
              <w:suppressLineNumbers w:val="0"/>
              <w:spacing w:before="0" w:beforeAutospacing="0" w:after="0" w:afterAutospacing="0"/>
              <w:ind w:left="0" w:right="0" w:firstLine="480"/>
              <w:rPr>
                <w:rFonts w:hint="default"/>
                <w:color w:val="auto"/>
                <w:highlight w:val="none"/>
              </w:rPr>
            </w:pPr>
            <w:r>
              <w:rPr>
                <w:rFonts w:hint="eastAsia"/>
                <w:color w:val="auto"/>
                <w:highlight w:val="none"/>
              </w:rPr>
              <w:t>本项目劳动定员</w:t>
            </w:r>
            <w:r>
              <w:rPr>
                <w:rFonts w:hint="eastAsia"/>
                <w:color w:val="auto"/>
                <w:highlight w:val="none"/>
                <w:lang w:val="en-US" w:eastAsia="zh-CN"/>
              </w:rPr>
              <w:t>80</w:t>
            </w:r>
            <w:r>
              <w:rPr>
                <w:rFonts w:hint="eastAsia"/>
                <w:color w:val="auto"/>
                <w:highlight w:val="none"/>
              </w:rPr>
              <w:t>人，生活垃圾按每人产生0.5kg/d 计，则生活垃圾产生量为</w:t>
            </w:r>
            <w:r>
              <w:rPr>
                <w:rFonts w:hint="eastAsia"/>
                <w:color w:val="auto"/>
                <w:highlight w:val="none"/>
                <w:lang w:val="en-US" w:eastAsia="zh-CN"/>
              </w:rPr>
              <w:t>8</w:t>
            </w:r>
            <w:r>
              <w:rPr>
                <w:rFonts w:hint="eastAsia"/>
                <w:color w:val="auto"/>
                <w:highlight w:val="none"/>
              </w:rPr>
              <w:t>t/a，厂内设固定垃圾收集箱，做到日产日清，交由环卫部门统一清运。</w:t>
            </w:r>
          </w:p>
          <w:p w14:paraId="7E63898C">
            <w:pPr>
              <w:pStyle w:val="77"/>
              <w:keepNext w:val="0"/>
              <w:keepLines w:val="0"/>
              <w:widowControl/>
              <w:suppressLineNumbers w:val="0"/>
              <w:spacing w:before="0" w:beforeLines="0" w:beforeAutospacing="0" w:after="0" w:afterAutospacing="0" w:line="240" w:lineRule="auto"/>
              <w:ind w:left="0" w:right="0"/>
              <w:rPr>
                <w:rFonts w:hint="default" w:eastAsia="宋体"/>
                <w:b/>
                <w:bCs/>
                <w:color w:val="auto"/>
                <w:highlight w:val="none"/>
              </w:rPr>
            </w:pPr>
            <w:r>
              <w:rPr>
                <w:rFonts w:hint="default" w:eastAsia="宋体"/>
                <w:b/>
                <w:bCs/>
                <w:color w:val="auto"/>
                <w:highlight w:val="none"/>
              </w:rPr>
              <w:t>表</w:t>
            </w:r>
            <w:r>
              <w:rPr>
                <w:rFonts w:hint="eastAsia" w:eastAsia="宋体"/>
                <w:b/>
                <w:bCs/>
                <w:color w:val="auto"/>
                <w:highlight w:val="none"/>
              </w:rPr>
              <w:t>4-12</w:t>
            </w:r>
            <w:r>
              <w:rPr>
                <w:rFonts w:hint="default" w:eastAsia="宋体"/>
                <w:b/>
                <w:bCs/>
                <w:color w:val="auto"/>
                <w:highlight w:val="none"/>
              </w:rPr>
              <w:t xml:space="preserve"> </w:t>
            </w:r>
            <w:r>
              <w:rPr>
                <w:rFonts w:hint="eastAsia" w:eastAsia="宋体"/>
                <w:b/>
                <w:bCs/>
                <w:color w:val="auto"/>
                <w:highlight w:val="none"/>
                <w:lang w:val="en-US" w:eastAsia="zh-CN"/>
              </w:rPr>
              <w:t xml:space="preserve">  </w:t>
            </w:r>
            <w:r>
              <w:rPr>
                <w:rFonts w:hint="default" w:eastAsia="宋体"/>
                <w:b/>
                <w:bCs/>
                <w:color w:val="auto"/>
                <w:highlight w:val="none"/>
              </w:rPr>
              <w:t xml:space="preserve"> </w:t>
            </w:r>
            <w:r>
              <w:rPr>
                <w:rFonts w:hint="eastAsia" w:eastAsia="宋体"/>
                <w:b/>
                <w:bCs/>
                <w:color w:val="auto"/>
                <w:highlight w:val="none"/>
              </w:rPr>
              <w:t>一般固废产排情况表</w:t>
            </w:r>
          </w:p>
          <w:tbl>
            <w:tblPr>
              <w:tblStyle w:val="38"/>
              <w:tblW w:w="501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9"/>
              <w:gridCol w:w="1339"/>
              <w:gridCol w:w="1518"/>
              <w:gridCol w:w="1143"/>
              <w:gridCol w:w="927"/>
              <w:gridCol w:w="1601"/>
              <w:gridCol w:w="1019"/>
            </w:tblGrid>
            <w:tr w14:paraId="4FF2EB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tcBorders>
                    <w:tl2br w:val="nil"/>
                    <w:tr2bl w:val="nil"/>
                  </w:tcBorders>
                  <w:vAlign w:val="center"/>
                </w:tcPr>
                <w:p w14:paraId="07A7A9A5">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产生环节</w:t>
                  </w:r>
                </w:p>
              </w:tc>
              <w:tc>
                <w:tcPr>
                  <w:tcW w:w="807" w:type="pct"/>
                  <w:tcBorders>
                    <w:tl2br w:val="nil"/>
                    <w:tr2bl w:val="nil"/>
                  </w:tcBorders>
                  <w:vAlign w:val="center"/>
                </w:tcPr>
                <w:p w14:paraId="56C3B056">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名称</w:t>
                  </w:r>
                </w:p>
              </w:tc>
              <w:tc>
                <w:tcPr>
                  <w:tcW w:w="914" w:type="pct"/>
                  <w:tcBorders>
                    <w:tl2br w:val="nil"/>
                    <w:tr2bl w:val="nil"/>
                  </w:tcBorders>
                  <w:vAlign w:val="center"/>
                </w:tcPr>
                <w:p w14:paraId="2A1D49D7">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属性</w:t>
                  </w:r>
                </w:p>
              </w:tc>
              <w:tc>
                <w:tcPr>
                  <w:tcW w:w="688" w:type="pct"/>
                  <w:tcBorders>
                    <w:tl2br w:val="nil"/>
                    <w:tr2bl w:val="nil"/>
                  </w:tcBorders>
                  <w:vAlign w:val="center"/>
                </w:tcPr>
                <w:p w14:paraId="00F67B6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产生量</w:t>
                  </w:r>
                </w:p>
              </w:tc>
              <w:tc>
                <w:tcPr>
                  <w:tcW w:w="558" w:type="pct"/>
                  <w:tcBorders>
                    <w:tl2br w:val="nil"/>
                    <w:tr2bl w:val="nil"/>
                  </w:tcBorders>
                  <w:vAlign w:val="center"/>
                </w:tcPr>
                <w:p w14:paraId="40B6774C">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贮存方式</w:t>
                  </w:r>
                </w:p>
              </w:tc>
              <w:tc>
                <w:tcPr>
                  <w:tcW w:w="964" w:type="pct"/>
                  <w:tcBorders>
                    <w:tl2br w:val="nil"/>
                    <w:tr2bl w:val="nil"/>
                  </w:tcBorders>
                  <w:vAlign w:val="center"/>
                </w:tcPr>
                <w:p w14:paraId="22C588A2">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利用处置方式和去向</w:t>
                  </w:r>
                </w:p>
              </w:tc>
              <w:tc>
                <w:tcPr>
                  <w:tcW w:w="614" w:type="pct"/>
                  <w:tcBorders>
                    <w:tl2br w:val="nil"/>
                    <w:tr2bl w:val="nil"/>
                  </w:tcBorders>
                  <w:vAlign w:val="center"/>
                </w:tcPr>
                <w:p w14:paraId="047A2809">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利用或处置量</w:t>
                  </w:r>
                </w:p>
              </w:tc>
            </w:tr>
            <w:tr w14:paraId="2891CF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tcBorders>
                    <w:tl2br w:val="nil"/>
                    <w:tr2bl w:val="nil"/>
                  </w:tcBorders>
                  <w:vAlign w:val="center"/>
                </w:tcPr>
                <w:p w14:paraId="411ACBBF">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default"/>
                      <w:color w:val="auto"/>
                      <w:szCs w:val="21"/>
                      <w:highlight w:val="none"/>
                    </w:rPr>
                    <w:t>员工生活</w:t>
                  </w:r>
                </w:p>
              </w:tc>
              <w:tc>
                <w:tcPr>
                  <w:tcW w:w="807" w:type="pct"/>
                  <w:tcBorders>
                    <w:tl2br w:val="nil"/>
                    <w:tr2bl w:val="nil"/>
                  </w:tcBorders>
                  <w:vAlign w:val="center"/>
                </w:tcPr>
                <w:p w14:paraId="2C2BBDB5">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default"/>
                      <w:color w:val="auto"/>
                      <w:szCs w:val="21"/>
                      <w:highlight w:val="none"/>
                    </w:rPr>
                    <w:t>生活垃圾</w:t>
                  </w:r>
                </w:p>
              </w:tc>
              <w:tc>
                <w:tcPr>
                  <w:tcW w:w="914" w:type="pct"/>
                  <w:tcBorders>
                    <w:tl2br w:val="nil"/>
                    <w:tr2bl w:val="nil"/>
                  </w:tcBorders>
                  <w:vAlign w:val="center"/>
                </w:tcPr>
                <w:p w14:paraId="2D3868D4">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default"/>
                      <w:color w:val="auto"/>
                      <w:szCs w:val="21"/>
                      <w:highlight w:val="none"/>
                    </w:rPr>
                    <w:t>生活垃圾</w:t>
                  </w:r>
                </w:p>
              </w:tc>
              <w:tc>
                <w:tcPr>
                  <w:tcW w:w="688" w:type="pct"/>
                  <w:tcBorders>
                    <w:tl2br w:val="nil"/>
                    <w:tr2bl w:val="nil"/>
                  </w:tcBorders>
                  <w:vAlign w:val="center"/>
                </w:tcPr>
                <w:p w14:paraId="0511832E">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eastAsia"/>
                      <w:color w:val="auto"/>
                      <w:szCs w:val="21"/>
                      <w:highlight w:val="none"/>
                      <w:lang w:val="en-US" w:eastAsia="zh-CN"/>
                    </w:rPr>
                    <w:t>8</w:t>
                  </w:r>
                  <w:r>
                    <w:rPr>
                      <w:rFonts w:hint="default"/>
                      <w:color w:val="auto"/>
                      <w:szCs w:val="21"/>
                      <w:highlight w:val="none"/>
                    </w:rPr>
                    <w:t>t/a</w:t>
                  </w:r>
                </w:p>
              </w:tc>
              <w:tc>
                <w:tcPr>
                  <w:tcW w:w="558" w:type="pct"/>
                  <w:tcBorders>
                    <w:tl2br w:val="nil"/>
                    <w:tr2bl w:val="nil"/>
                  </w:tcBorders>
                  <w:vAlign w:val="center"/>
                </w:tcPr>
                <w:p w14:paraId="5802BD40">
                  <w:pPr>
                    <w:pStyle w:val="80"/>
                    <w:keepNext w:val="0"/>
                    <w:keepLines w:val="0"/>
                    <w:widowControl/>
                    <w:suppressLineNumbers w:val="0"/>
                    <w:spacing w:before="0" w:beforeAutospacing="0" w:after="0" w:afterAutospacing="0"/>
                    <w:ind w:left="0" w:right="0"/>
                    <w:rPr>
                      <w:rFonts w:hint="default"/>
                      <w:color w:val="auto"/>
                      <w:szCs w:val="21"/>
                      <w:highlight w:val="none"/>
                    </w:rPr>
                  </w:pPr>
                  <w:r>
                    <w:rPr>
                      <w:rFonts w:hint="default"/>
                      <w:color w:val="auto"/>
                      <w:szCs w:val="21"/>
                      <w:highlight w:val="none"/>
                    </w:rPr>
                    <w:t>垃圾桶收集</w:t>
                  </w:r>
                </w:p>
              </w:tc>
              <w:tc>
                <w:tcPr>
                  <w:tcW w:w="964" w:type="pct"/>
                  <w:vMerge w:val="restart"/>
                  <w:tcBorders>
                    <w:tl2br w:val="nil"/>
                    <w:tr2bl w:val="nil"/>
                  </w:tcBorders>
                  <w:vAlign w:val="center"/>
                </w:tcPr>
                <w:p w14:paraId="61C142FE">
                  <w:pPr>
                    <w:pStyle w:val="80"/>
                    <w:keepNext w:val="0"/>
                    <w:keepLines w:val="0"/>
                    <w:widowControl/>
                    <w:suppressLineNumbers w:val="0"/>
                    <w:spacing w:before="0" w:beforeAutospacing="0" w:after="0" w:afterAutospacing="0"/>
                    <w:ind w:left="0" w:right="0"/>
                    <w:rPr>
                      <w:rFonts w:hint="eastAsia" w:eastAsia="宋体"/>
                      <w:color w:val="auto"/>
                      <w:szCs w:val="21"/>
                      <w:highlight w:val="none"/>
                      <w:lang w:val="en-US" w:eastAsia="zh-CN"/>
                    </w:rPr>
                  </w:pPr>
                  <w:r>
                    <w:rPr>
                      <w:rFonts w:hint="eastAsia"/>
                      <w:color w:val="auto"/>
                      <w:szCs w:val="21"/>
                      <w:highlight w:val="none"/>
                      <w:lang w:val="en-US" w:eastAsia="zh-CN"/>
                    </w:rPr>
                    <w:t>分类收集统一交</w:t>
                  </w:r>
                  <w:r>
                    <w:rPr>
                      <w:rFonts w:hint="default"/>
                      <w:color w:val="auto"/>
                      <w:szCs w:val="21"/>
                      <w:highlight w:val="none"/>
                    </w:rPr>
                    <w:t>环卫部门清运</w:t>
                  </w:r>
                  <w:r>
                    <w:rPr>
                      <w:rFonts w:hint="eastAsia"/>
                      <w:color w:val="auto"/>
                      <w:szCs w:val="21"/>
                      <w:highlight w:val="none"/>
                      <w:lang w:val="en-US" w:eastAsia="zh-CN"/>
                    </w:rPr>
                    <w:t>处理</w:t>
                  </w:r>
                </w:p>
              </w:tc>
              <w:tc>
                <w:tcPr>
                  <w:tcW w:w="614" w:type="pct"/>
                  <w:tcBorders>
                    <w:tl2br w:val="nil"/>
                    <w:tr2bl w:val="nil"/>
                  </w:tcBorders>
                  <w:vAlign w:val="center"/>
                </w:tcPr>
                <w:p w14:paraId="7BC6CF6B">
                  <w:pPr>
                    <w:pStyle w:val="80"/>
                    <w:keepNext w:val="0"/>
                    <w:keepLines w:val="0"/>
                    <w:widowControl/>
                    <w:suppressLineNumbers w:val="0"/>
                    <w:spacing w:before="0" w:beforeAutospacing="0" w:after="0" w:afterAutospacing="0"/>
                    <w:ind w:left="0" w:leftChars="0" w:right="0" w:rightChars="0"/>
                    <w:rPr>
                      <w:rFonts w:hint="default"/>
                      <w:color w:val="auto"/>
                      <w:szCs w:val="21"/>
                      <w:highlight w:val="none"/>
                    </w:rPr>
                  </w:pPr>
                  <w:r>
                    <w:rPr>
                      <w:rFonts w:hint="eastAsia"/>
                      <w:color w:val="auto"/>
                      <w:szCs w:val="21"/>
                      <w:highlight w:val="none"/>
                      <w:lang w:val="en-US" w:eastAsia="zh-CN"/>
                    </w:rPr>
                    <w:t>8</w:t>
                  </w:r>
                  <w:r>
                    <w:rPr>
                      <w:rFonts w:hint="default"/>
                      <w:color w:val="auto"/>
                      <w:szCs w:val="21"/>
                      <w:highlight w:val="none"/>
                    </w:rPr>
                    <w:t>t/a</w:t>
                  </w:r>
                </w:p>
              </w:tc>
            </w:tr>
            <w:tr w14:paraId="265BC2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Merge w:val="restart"/>
                  <w:tcBorders>
                    <w:tl2br w:val="nil"/>
                    <w:tr2bl w:val="nil"/>
                  </w:tcBorders>
                  <w:vAlign w:val="center"/>
                </w:tcPr>
                <w:p w14:paraId="723DDFC2">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lang w:val="en-US" w:eastAsia="zh-CN"/>
                    </w:rPr>
                    <w:t>食品</w:t>
                  </w:r>
                  <w:r>
                    <w:rPr>
                      <w:rFonts w:hint="eastAsia"/>
                      <w:color w:val="auto"/>
                      <w:szCs w:val="20"/>
                      <w:highlight w:val="none"/>
                    </w:rPr>
                    <w:t>生产</w:t>
                  </w:r>
                </w:p>
              </w:tc>
              <w:tc>
                <w:tcPr>
                  <w:tcW w:w="807" w:type="pct"/>
                  <w:tcBorders>
                    <w:tl2br w:val="nil"/>
                    <w:tr2bl w:val="nil"/>
                  </w:tcBorders>
                  <w:vAlign w:val="center"/>
                </w:tcPr>
                <w:p w14:paraId="457B868F">
                  <w:pPr>
                    <w:pStyle w:val="80"/>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餐厨垃圾</w:t>
                  </w:r>
                </w:p>
              </w:tc>
              <w:tc>
                <w:tcPr>
                  <w:tcW w:w="914" w:type="pct"/>
                  <w:tcBorders>
                    <w:tl2br w:val="nil"/>
                    <w:tr2bl w:val="nil"/>
                  </w:tcBorders>
                  <w:vAlign w:val="center"/>
                </w:tcPr>
                <w:p w14:paraId="0A778710">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default"/>
                      <w:color w:val="auto"/>
                      <w:szCs w:val="20"/>
                      <w:highlight w:val="none"/>
                    </w:rPr>
                    <w:t>一般固废</w:t>
                  </w:r>
                  <w:r>
                    <w:rPr>
                      <w:rFonts w:hint="eastAsia"/>
                      <w:color w:val="auto"/>
                      <w:szCs w:val="20"/>
                      <w:highlight w:val="none"/>
                      <w:lang w:val="en-US" w:eastAsia="zh-CN"/>
                    </w:rPr>
                    <w:t>900-003-17</w:t>
                  </w:r>
                </w:p>
              </w:tc>
              <w:tc>
                <w:tcPr>
                  <w:tcW w:w="688" w:type="pct"/>
                  <w:tcBorders>
                    <w:tl2br w:val="nil"/>
                    <w:tr2bl w:val="nil"/>
                  </w:tcBorders>
                  <w:vAlign w:val="center"/>
                </w:tcPr>
                <w:p w14:paraId="474DCA28">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lang w:val="en-US" w:eastAsia="zh-CN"/>
                    </w:rPr>
                    <w:t>4.25t/a</w:t>
                  </w:r>
                </w:p>
              </w:tc>
              <w:tc>
                <w:tcPr>
                  <w:tcW w:w="558" w:type="pct"/>
                  <w:vMerge w:val="restart"/>
                  <w:tcBorders>
                    <w:tl2br w:val="nil"/>
                    <w:tr2bl w:val="nil"/>
                  </w:tcBorders>
                  <w:vAlign w:val="center"/>
                </w:tcPr>
                <w:p w14:paraId="33D2AF0A">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固废暂存间</w:t>
                  </w:r>
                </w:p>
              </w:tc>
              <w:tc>
                <w:tcPr>
                  <w:tcW w:w="964" w:type="pct"/>
                  <w:vMerge w:val="continue"/>
                  <w:tcBorders>
                    <w:tl2br w:val="nil"/>
                    <w:tr2bl w:val="nil"/>
                  </w:tcBorders>
                  <w:vAlign w:val="center"/>
                </w:tcPr>
                <w:p w14:paraId="089609F3">
                  <w:pPr>
                    <w:pStyle w:val="80"/>
                    <w:keepNext w:val="0"/>
                    <w:keepLines w:val="0"/>
                    <w:widowControl/>
                    <w:suppressLineNumbers w:val="0"/>
                    <w:spacing w:before="0" w:beforeAutospacing="0" w:after="0" w:afterAutospacing="0"/>
                    <w:ind w:left="0" w:right="0"/>
                    <w:rPr>
                      <w:rFonts w:hint="default" w:ascii="宋体" w:cs="宋体"/>
                      <w:color w:val="auto"/>
                      <w:szCs w:val="21"/>
                      <w:highlight w:val="none"/>
                    </w:rPr>
                  </w:pPr>
                </w:p>
              </w:tc>
              <w:tc>
                <w:tcPr>
                  <w:tcW w:w="614" w:type="pct"/>
                  <w:tcBorders>
                    <w:tl2br w:val="nil"/>
                    <w:tr2bl w:val="nil"/>
                  </w:tcBorders>
                  <w:vAlign w:val="center"/>
                </w:tcPr>
                <w:p w14:paraId="77EEF3A0">
                  <w:pPr>
                    <w:pStyle w:val="80"/>
                    <w:keepNext w:val="0"/>
                    <w:keepLines w:val="0"/>
                    <w:widowControl/>
                    <w:suppressLineNumbers w:val="0"/>
                    <w:spacing w:before="0" w:beforeAutospacing="0" w:after="0" w:afterAutospacing="0"/>
                    <w:ind w:left="0" w:leftChars="0" w:right="0" w:rightChars="0"/>
                    <w:rPr>
                      <w:rFonts w:hint="default"/>
                      <w:color w:val="auto"/>
                      <w:szCs w:val="20"/>
                      <w:highlight w:val="none"/>
                    </w:rPr>
                  </w:pPr>
                  <w:r>
                    <w:rPr>
                      <w:rFonts w:hint="eastAsia"/>
                      <w:color w:val="auto"/>
                      <w:szCs w:val="20"/>
                      <w:highlight w:val="none"/>
                      <w:lang w:val="en-US" w:eastAsia="zh-CN"/>
                    </w:rPr>
                    <w:t>4.25t/a</w:t>
                  </w:r>
                </w:p>
              </w:tc>
            </w:tr>
            <w:tr w14:paraId="765987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Merge w:val="continue"/>
                  <w:tcBorders>
                    <w:tl2br w:val="nil"/>
                    <w:tr2bl w:val="nil"/>
                  </w:tcBorders>
                  <w:vAlign w:val="center"/>
                </w:tcPr>
                <w:p w14:paraId="130C8042">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807" w:type="pct"/>
                  <w:tcBorders>
                    <w:tl2br w:val="nil"/>
                    <w:tr2bl w:val="nil"/>
                  </w:tcBorders>
                  <w:vAlign w:val="center"/>
                </w:tcPr>
                <w:p w14:paraId="2447D099">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废油脂</w:t>
                  </w:r>
                </w:p>
              </w:tc>
              <w:tc>
                <w:tcPr>
                  <w:tcW w:w="914" w:type="pct"/>
                  <w:tcBorders>
                    <w:tl2br w:val="nil"/>
                    <w:tr2bl w:val="nil"/>
                  </w:tcBorders>
                  <w:vAlign w:val="center"/>
                </w:tcPr>
                <w:p w14:paraId="3B1DEA79">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一般固废</w:t>
                  </w:r>
                  <w:r>
                    <w:rPr>
                      <w:rFonts w:hint="eastAsia"/>
                      <w:color w:val="auto"/>
                      <w:szCs w:val="20"/>
                      <w:highlight w:val="none"/>
                    </w:rPr>
                    <w:t>900-002-61</w:t>
                  </w:r>
                </w:p>
              </w:tc>
              <w:tc>
                <w:tcPr>
                  <w:tcW w:w="688" w:type="pct"/>
                  <w:tcBorders>
                    <w:tl2br w:val="nil"/>
                    <w:tr2bl w:val="nil"/>
                  </w:tcBorders>
                  <w:vAlign w:val="center"/>
                </w:tcPr>
                <w:p w14:paraId="2B76E7FD">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10.04t/a</w:t>
                  </w:r>
                </w:p>
              </w:tc>
              <w:tc>
                <w:tcPr>
                  <w:tcW w:w="558" w:type="pct"/>
                  <w:vMerge w:val="continue"/>
                  <w:tcBorders>
                    <w:tl2br w:val="nil"/>
                    <w:tr2bl w:val="nil"/>
                  </w:tcBorders>
                  <w:vAlign w:val="center"/>
                </w:tcPr>
                <w:p w14:paraId="1A76923E">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964" w:type="pct"/>
                  <w:tcBorders>
                    <w:tl2br w:val="nil"/>
                    <w:tr2bl w:val="nil"/>
                  </w:tcBorders>
                  <w:vAlign w:val="center"/>
                </w:tcPr>
                <w:p w14:paraId="7C440DE7">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r>
                    <w:rPr>
                      <w:rFonts w:hint="eastAsia"/>
                      <w:color w:val="auto"/>
                      <w:kern w:val="2"/>
                      <w:sz w:val="21"/>
                      <w:szCs w:val="21"/>
                      <w:highlight w:val="none"/>
                      <w:lang w:val="en-US" w:eastAsia="zh-CN"/>
                    </w:rPr>
                    <w:t>委托</w:t>
                  </w:r>
                  <w:r>
                    <w:rPr>
                      <w:rFonts w:hint="eastAsia" w:ascii="Times New Roman" w:hAnsi="Times New Roman"/>
                      <w:color w:val="auto"/>
                      <w:kern w:val="2"/>
                      <w:sz w:val="21"/>
                      <w:szCs w:val="21"/>
                      <w:highlight w:val="none"/>
                      <w:lang w:val="en-US" w:eastAsia="zh-CN"/>
                    </w:rPr>
                    <w:t>有资质单位</w:t>
                  </w:r>
                  <w:r>
                    <w:rPr>
                      <w:rFonts w:hint="eastAsia"/>
                      <w:color w:val="auto"/>
                      <w:kern w:val="2"/>
                      <w:sz w:val="21"/>
                      <w:szCs w:val="21"/>
                      <w:highlight w:val="none"/>
                      <w:lang w:val="en-US" w:eastAsia="zh-CN"/>
                    </w:rPr>
                    <w:t>定期清运</w:t>
                  </w:r>
                  <w:r>
                    <w:rPr>
                      <w:rFonts w:hint="eastAsia" w:ascii="Times New Roman" w:hAnsi="Times New Roman" w:cs="Times New Roman"/>
                      <w:color w:val="auto"/>
                      <w:kern w:val="2"/>
                      <w:sz w:val="21"/>
                      <w:szCs w:val="21"/>
                      <w:highlight w:val="none"/>
                      <w:lang w:val="en-US" w:eastAsia="zh-CN"/>
                    </w:rPr>
                    <w:t>处置</w:t>
                  </w:r>
                </w:p>
              </w:tc>
              <w:tc>
                <w:tcPr>
                  <w:tcW w:w="614" w:type="pct"/>
                  <w:tcBorders>
                    <w:tl2br w:val="nil"/>
                    <w:tr2bl w:val="nil"/>
                  </w:tcBorders>
                  <w:vAlign w:val="center"/>
                </w:tcPr>
                <w:p w14:paraId="0D24E40A">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lang w:val="en-US" w:eastAsia="zh-CN"/>
                    </w:rPr>
                  </w:pPr>
                  <w:r>
                    <w:rPr>
                      <w:rFonts w:hint="eastAsia"/>
                      <w:color w:val="auto"/>
                      <w:szCs w:val="20"/>
                      <w:highlight w:val="none"/>
                      <w:lang w:val="en-US" w:eastAsia="zh-CN"/>
                    </w:rPr>
                    <w:t>10.04t/a</w:t>
                  </w:r>
                </w:p>
              </w:tc>
            </w:tr>
            <w:tr w14:paraId="272017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Merge w:val="continue"/>
                  <w:tcBorders>
                    <w:tl2br w:val="nil"/>
                    <w:tr2bl w:val="nil"/>
                  </w:tcBorders>
                  <w:vAlign w:val="center"/>
                </w:tcPr>
                <w:p w14:paraId="653E35E8">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807" w:type="pct"/>
                  <w:tcBorders>
                    <w:tl2br w:val="nil"/>
                    <w:tr2bl w:val="nil"/>
                  </w:tcBorders>
                  <w:shd w:val="clear" w:color="auto" w:fill="auto"/>
                  <w:vAlign w:val="center"/>
                </w:tcPr>
                <w:p w14:paraId="685E30F0">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废包</w:t>
                  </w:r>
                  <w:r>
                    <w:rPr>
                      <w:rFonts w:hint="eastAsia"/>
                      <w:color w:val="auto"/>
                      <w:sz w:val="21"/>
                      <w:szCs w:val="21"/>
                      <w:highlight w:val="none"/>
                      <w:lang w:val="en-US" w:eastAsia="zh-CN"/>
                    </w:rPr>
                    <w:t>装</w:t>
                  </w:r>
                </w:p>
              </w:tc>
              <w:tc>
                <w:tcPr>
                  <w:tcW w:w="914" w:type="pct"/>
                  <w:tcBorders>
                    <w:tl2br w:val="nil"/>
                    <w:tr2bl w:val="nil"/>
                  </w:tcBorders>
                  <w:shd w:val="clear" w:color="auto" w:fill="auto"/>
                  <w:vAlign w:val="center"/>
                </w:tcPr>
                <w:p w14:paraId="21FDEB25">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default"/>
                      <w:color w:val="auto"/>
                      <w:szCs w:val="20"/>
                      <w:highlight w:val="none"/>
                    </w:rPr>
                    <w:t>一般固废</w:t>
                  </w:r>
                  <w:r>
                    <w:rPr>
                      <w:rFonts w:hint="eastAsia"/>
                      <w:color w:val="auto"/>
                      <w:szCs w:val="20"/>
                      <w:highlight w:val="none"/>
                      <w:lang w:val="en-US" w:eastAsia="zh-CN"/>
                    </w:rPr>
                    <w:t>900-003-17</w:t>
                  </w:r>
                </w:p>
              </w:tc>
              <w:tc>
                <w:tcPr>
                  <w:tcW w:w="688" w:type="pct"/>
                  <w:tcBorders>
                    <w:tl2br w:val="nil"/>
                    <w:tr2bl w:val="nil"/>
                  </w:tcBorders>
                  <w:vAlign w:val="center"/>
                </w:tcPr>
                <w:p w14:paraId="428A83D6">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0.2t/a</w:t>
                  </w:r>
                </w:p>
              </w:tc>
              <w:tc>
                <w:tcPr>
                  <w:tcW w:w="558" w:type="pct"/>
                  <w:vMerge w:val="continue"/>
                  <w:tcBorders>
                    <w:tl2br w:val="nil"/>
                    <w:tr2bl w:val="nil"/>
                  </w:tcBorders>
                  <w:vAlign w:val="center"/>
                </w:tcPr>
                <w:p w14:paraId="09694F0F">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964" w:type="pct"/>
                  <w:tcBorders>
                    <w:tl2br w:val="nil"/>
                    <w:tr2bl w:val="nil"/>
                  </w:tcBorders>
                  <w:vAlign w:val="center"/>
                </w:tcPr>
                <w:p w14:paraId="6E6953BB">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r>
                    <w:rPr>
                      <w:rFonts w:hint="eastAsia"/>
                      <w:color w:val="auto"/>
                      <w:sz w:val="21"/>
                      <w:szCs w:val="20"/>
                      <w:highlight w:val="none"/>
                      <w:lang w:val="en-US" w:eastAsia="zh-CN"/>
                    </w:rPr>
                    <w:t>定期外售废品收购站</w:t>
                  </w:r>
                </w:p>
              </w:tc>
              <w:tc>
                <w:tcPr>
                  <w:tcW w:w="614" w:type="pct"/>
                  <w:tcBorders>
                    <w:tl2br w:val="nil"/>
                    <w:tr2bl w:val="nil"/>
                  </w:tcBorders>
                  <w:vAlign w:val="center"/>
                </w:tcPr>
                <w:p w14:paraId="4A3131B9">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lang w:val="en-US" w:eastAsia="zh-CN"/>
                    </w:rPr>
                  </w:pPr>
                  <w:r>
                    <w:rPr>
                      <w:rFonts w:hint="eastAsia"/>
                      <w:color w:val="auto"/>
                      <w:szCs w:val="20"/>
                      <w:highlight w:val="none"/>
                      <w:lang w:val="en-US" w:eastAsia="zh-CN"/>
                    </w:rPr>
                    <w:t>0.2t/a</w:t>
                  </w:r>
                </w:p>
              </w:tc>
            </w:tr>
            <w:tr w14:paraId="647365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Merge w:val="continue"/>
                  <w:tcBorders>
                    <w:tl2br w:val="nil"/>
                    <w:tr2bl w:val="nil"/>
                  </w:tcBorders>
                  <w:vAlign w:val="center"/>
                </w:tcPr>
                <w:p w14:paraId="419C7939">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807" w:type="pct"/>
                  <w:tcBorders>
                    <w:tl2br w:val="nil"/>
                    <w:tr2bl w:val="nil"/>
                  </w:tcBorders>
                  <w:shd w:val="clear" w:color="auto" w:fill="auto"/>
                  <w:vAlign w:val="center"/>
                </w:tcPr>
                <w:p w14:paraId="10CF5A4C">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污泥</w:t>
                  </w:r>
                </w:p>
              </w:tc>
              <w:tc>
                <w:tcPr>
                  <w:tcW w:w="914" w:type="pct"/>
                  <w:tcBorders>
                    <w:tl2br w:val="nil"/>
                    <w:tr2bl w:val="nil"/>
                  </w:tcBorders>
                  <w:shd w:val="clear" w:color="auto" w:fill="auto"/>
                  <w:vAlign w:val="center"/>
                </w:tcPr>
                <w:p w14:paraId="75693091">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default"/>
                      <w:color w:val="auto"/>
                      <w:szCs w:val="20"/>
                      <w:highlight w:val="none"/>
                    </w:rPr>
                    <w:t>一般固废</w:t>
                  </w:r>
                  <w:r>
                    <w:rPr>
                      <w:rFonts w:hint="eastAsia"/>
                      <w:color w:val="auto"/>
                      <w:szCs w:val="20"/>
                      <w:highlight w:val="none"/>
                      <w:lang w:val="en-US" w:eastAsia="zh-CN"/>
                    </w:rPr>
                    <w:t>900-003-17</w:t>
                  </w:r>
                </w:p>
              </w:tc>
              <w:tc>
                <w:tcPr>
                  <w:tcW w:w="688" w:type="pct"/>
                  <w:tcBorders>
                    <w:tl2br w:val="nil"/>
                    <w:tr2bl w:val="nil"/>
                  </w:tcBorders>
                  <w:vAlign w:val="center"/>
                </w:tcPr>
                <w:p w14:paraId="5D0FDDBC">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1.6t/a</w:t>
                  </w:r>
                </w:p>
              </w:tc>
              <w:tc>
                <w:tcPr>
                  <w:tcW w:w="558" w:type="pct"/>
                  <w:vMerge w:val="continue"/>
                  <w:tcBorders>
                    <w:tl2br w:val="nil"/>
                    <w:tr2bl w:val="nil"/>
                  </w:tcBorders>
                  <w:vAlign w:val="center"/>
                </w:tcPr>
                <w:p w14:paraId="35B30FD8">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p>
              </w:tc>
              <w:tc>
                <w:tcPr>
                  <w:tcW w:w="964" w:type="pct"/>
                  <w:tcBorders>
                    <w:tl2br w:val="nil"/>
                    <w:tr2bl w:val="nil"/>
                  </w:tcBorders>
                  <w:vAlign w:val="center"/>
                </w:tcPr>
                <w:p w14:paraId="6D1DB65D">
                  <w:pPr>
                    <w:pStyle w:val="80"/>
                    <w:keepNext w:val="0"/>
                    <w:keepLines w:val="0"/>
                    <w:widowControl/>
                    <w:suppressLineNumbers w:val="0"/>
                    <w:spacing w:before="0" w:beforeAutospacing="0" w:after="0" w:afterAutospacing="0"/>
                    <w:ind w:left="0" w:leftChars="0" w:right="0" w:rightChars="0"/>
                    <w:rPr>
                      <w:rFonts w:hint="eastAsia" w:ascii="宋体" w:hAnsi="Times New Roman" w:eastAsia="宋体" w:cs="宋体"/>
                      <w:color w:val="auto"/>
                      <w:sz w:val="21"/>
                      <w:szCs w:val="21"/>
                      <w:highlight w:val="none"/>
                      <w:lang w:val="en-US" w:eastAsia="zh-CN" w:bidi="ar-SA"/>
                    </w:rPr>
                  </w:pPr>
                  <w:r>
                    <w:rPr>
                      <w:rFonts w:hint="eastAsia" w:cs="Times New Roman"/>
                      <w:color w:val="auto"/>
                      <w:kern w:val="2"/>
                      <w:sz w:val="21"/>
                      <w:szCs w:val="21"/>
                      <w:highlight w:val="none"/>
                      <w:lang w:val="en-US" w:eastAsia="zh-CN"/>
                    </w:rPr>
                    <w:t>定期由吸污车清理处置</w:t>
                  </w:r>
                </w:p>
              </w:tc>
              <w:tc>
                <w:tcPr>
                  <w:tcW w:w="614" w:type="pct"/>
                  <w:tcBorders>
                    <w:tl2br w:val="nil"/>
                    <w:tr2bl w:val="nil"/>
                  </w:tcBorders>
                  <w:vAlign w:val="center"/>
                </w:tcPr>
                <w:p w14:paraId="00395DB4">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1.6t/a</w:t>
                  </w:r>
                </w:p>
              </w:tc>
            </w:tr>
            <w:tr w14:paraId="6F5F4B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Merge w:val="continue"/>
                  <w:tcBorders>
                    <w:tl2br w:val="nil"/>
                    <w:tr2bl w:val="nil"/>
                  </w:tcBorders>
                  <w:vAlign w:val="center"/>
                </w:tcPr>
                <w:p w14:paraId="44940DD8">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807" w:type="pct"/>
                  <w:tcBorders>
                    <w:tl2br w:val="nil"/>
                    <w:tr2bl w:val="nil"/>
                  </w:tcBorders>
                  <w:shd w:val="clear" w:color="auto" w:fill="auto"/>
                  <w:vAlign w:val="center"/>
                </w:tcPr>
                <w:p w14:paraId="5DEFFBC6">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废反渗透膜</w:t>
                  </w:r>
                </w:p>
              </w:tc>
              <w:tc>
                <w:tcPr>
                  <w:tcW w:w="914" w:type="pct"/>
                  <w:tcBorders>
                    <w:tl2br w:val="nil"/>
                    <w:tr2bl w:val="nil"/>
                  </w:tcBorders>
                  <w:shd w:val="clear" w:color="auto" w:fill="auto"/>
                  <w:vAlign w:val="center"/>
                </w:tcPr>
                <w:p w14:paraId="52D2279E">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default"/>
                      <w:color w:val="auto"/>
                      <w:szCs w:val="20"/>
                      <w:highlight w:val="none"/>
                    </w:rPr>
                    <w:t>一般固废</w:t>
                  </w:r>
                  <w:r>
                    <w:rPr>
                      <w:rFonts w:hint="default" w:ascii="Times New Roman" w:hAnsi="Times New Roman" w:cs="Times New Roman"/>
                      <w:color w:val="auto"/>
                      <w:kern w:val="2"/>
                      <w:sz w:val="21"/>
                      <w:szCs w:val="21"/>
                      <w:highlight w:val="none"/>
                      <w:lang w:val="en-US" w:eastAsia="zh-CN" w:bidi="ar-SA"/>
                    </w:rPr>
                    <w:t>900-999-99</w:t>
                  </w:r>
                </w:p>
              </w:tc>
              <w:tc>
                <w:tcPr>
                  <w:tcW w:w="688" w:type="pct"/>
                  <w:tcBorders>
                    <w:tl2br w:val="nil"/>
                    <w:tr2bl w:val="nil"/>
                  </w:tcBorders>
                  <w:shd w:val="clear" w:color="auto" w:fill="auto"/>
                  <w:vAlign w:val="center"/>
                </w:tcPr>
                <w:p w14:paraId="7AC61E66">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0.2t/a</w:t>
                  </w:r>
                </w:p>
              </w:tc>
              <w:tc>
                <w:tcPr>
                  <w:tcW w:w="558" w:type="pct"/>
                  <w:vMerge w:val="continue"/>
                  <w:tcBorders>
                    <w:tl2br w:val="nil"/>
                    <w:tr2bl w:val="nil"/>
                  </w:tcBorders>
                  <w:shd w:val="clear" w:color="auto" w:fill="auto"/>
                  <w:vAlign w:val="center"/>
                </w:tcPr>
                <w:p w14:paraId="165B6322">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p>
              </w:tc>
              <w:tc>
                <w:tcPr>
                  <w:tcW w:w="964" w:type="pct"/>
                  <w:tcBorders>
                    <w:tl2br w:val="nil"/>
                    <w:tr2bl w:val="nil"/>
                  </w:tcBorders>
                  <w:shd w:val="clear" w:color="auto" w:fill="auto"/>
                  <w:vAlign w:val="center"/>
                </w:tcPr>
                <w:p w14:paraId="0E9F1986">
                  <w:pPr>
                    <w:pStyle w:val="80"/>
                    <w:keepNext w:val="0"/>
                    <w:keepLines w:val="0"/>
                    <w:widowControl/>
                    <w:suppressLineNumbers w:val="0"/>
                    <w:spacing w:before="0" w:beforeAutospacing="0" w:after="0" w:afterAutospacing="0"/>
                    <w:ind w:left="0" w:leftChars="0" w:right="0" w:rightChars="0"/>
                    <w:rPr>
                      <w:rFonts w:hint="eastAsia" w:ascii="宋体" w:hAnsi="Times New Roman" w:eastAsia="宋体" w:cs="宋体"/>
                      <w:color w:val="auto"/>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由厂家更换后及时清运处理</w:t>
                  </w:r>
                </w:p>
              </w:tc>
              <w:tc>
                <w:tcPr>
                  <w:tcW w:w="614" w:type="pct"/>
                  <w:tcBorders>
                    <w:tl2br w:val="nil"/>
                    <w:tr2bl w:val="nil"/>
                  </w:tcBorders>
                  <w:shd w:val="clear" w:color="auto" w:fill="auto"/>
                  <w:vAlign w:val="center"/>
                </w:tcPr>
                <w:p w14:paraId="58EE8A6C">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0.2t/a</w:t>
                  </w:r>
                </w:p>
              </w:tc>
            </w:tr>
            <w:tr w14:paraId="641918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Merge w:val="continue"/>
                  <w:tcBorders>
                    <w:tl2br w:val="nil"/>
                    <w:tr2bl w:val="nil"/>
                  </w:tcBorders>
                  <w:vAlign w:val="center"/>
                </w:tcPr>
                <w:p w14:paraId="290DF693">
                  <w:pPr>
                    <w:pStyle w:val="80"/>
                    <w:keepNext w:val="0"/>
                    <w:keepLines w:val="0"/>
                    <w:widowControl/>
                    <w:suppressLineNumbers w:val="0"/>
                    <w:spacing w:before="0" w:beforeAutospacing="0" w:after="0" w:afterAutospacing="0"/>
                    <w:ind w:left="0" w:right="0"/>
                    <w:rPr>
                      <w:rFonts w:hint="eastAsia"/>
                      <w:color w:val="auto"/>
                      <w:szCs w:val="20"/>
                      <w:highlight w:val="none"/>
                    </w:rPr>
                  </w:pPr>
                </w:p>
              </w:tc>
              <w:tc>
                <w:tcPr>
                  <w:tcW w:w="807" w:type="pct"/>
                  <w:tcBorders>
                    <w:tl2br w:val="nil"/>
                    <w:tr2bl w:val="nil"/>
                  </w:tcBorders>
                  <w:vAlign w:val="center"/>
                </w:tcPr>
                <w:p w14:paraId="1F92E68B">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废物料、废试剂瓶及废药品包装</w:t>
                  </w:r>
                </w:p>
              </w:tc>
              <w:tc>
                <w:tcPr>
                  <w:tcW w:w="914" w:type="pct"/>
                  <w:tcBorders>
                    <w:tl2br w:val="nil"/>
                    <w:tr2bl w:val="nil"/>
                  </w:tcBorders>
                  <w:vAlign w:val="center"/>
                </w:tcPr>
                <w:p w14:paraId="2EA29BAB">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1"/>
                    </w:rPr>
                    <w:t>危险废物HW49 900-04</w:t>
                  </w:r>
                  <w:r>
                    <w:rPr>
                      <w:rFonts w:hint="eastAsia"/>
                      <w:color w:val="auto"/>
                      <w:szCs w:val="21"/>
                    </w:rPr>
                    <w:t>7</w:t>
                  </w:r>
                  <w:r>
                    <w:rPr>
                      <w:rFonts w:hint="default"/>
                      <w:color w:val="auto"/>
                      <w:szCs w:val="21"/>
                    </w:rPr>
                    <w:t>-49</w:t>
                  </w:r>
                </w:p>
              </w:tc>
              <w:tc>
                <w:tcPr>
                  <w:tcW w:w="688" w:type="pct"/>
                  <w:tcBorders>
                    <w:tl2br w:val="nil"/>
                    <w:tr2bl w:val="nil"/>
                  </w:tcBorders>
                  <w:vAlign w:val="center"/>
                </w:tcPr>
                <w:p w14:paraId="34DCD522">
                  <w:pPr>
                    <w:pStyle w:val="80"/>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0.002t/a</w:t>
                  </w:r>
                </w:p>
              </w:tc>
              <w:tc>
                <w:tcPr>
                  <w:tcW w:w="558" w:type="pct"/>
                  <w:vMerge w:val="continue"/>
                  <w:tcBorders>
                    <w:tl2br w:val="nil"/>
                    <w:tr2bl w:val="nil"/>
                  </w:tcBorders>
                  <w:vAlign w:val="center"/>
                </w:tcPr>
                <w:p w14:paraId="13B036C7">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964" w:type="pct"/>
                  <w:tcBorders>
                    <w:tl2br w:val="nil"/>
                    <w:tr2bl w:val="nil"/>
                  </w:tcBorders>
                  <w:vAlign w:val="center"/>
                </w:tcPr>
                <w:p w14:paraId="4B0EE32E">
                  <w:pPr>
                    <w:pStyle w:val="80"/>
                    <w:keepNext w:val="0"/>
                    <w:keepLines w:val="0"/>
                    <w:widowControl/>
                    <w:suppressLineNumbers w:val="0"/>
                    <w:spacing w:before="0" w:beforeAutospacing="0" w:after="0" w:afterAutospacing="0"/>
                    <w:ind w:left="0" w:right="0"/>
                    <w:rPr>
                      <w:rFonts w:hint="default" w:ascii="宋体" w:eastAsia="宋体" w:cs="宋体"/>
                      <w:color w:val="auto"/>
                      <w:szCs w:val="21"/>
                      <w:highlight w:val="none"/>
                      <w:lang w:val="en-US" w:eastAsia="zh-CN"/>
                    </w:rPr>
                  </w:pPr>
                  <w:r>
                    <w:rPr>
                      <w:rFonts w:hint="eastAsia" w:ascii="宋体" w:cs="宋体"/>
                      <w:color w:val="auto"/>
                      <w:szCs w:val="21"/>
                      <w:highlight w:val="none"/>
                      <w:lang w:val="en-US" w:eastAsia="zh-CN"/>
                    </w:rPr>
                    <w:t>专用容器收集，定期交有资质单位处置</w:t>
                  </w:r>
                </w:p>
              </w:tc>
              <w:tc>
                <w:tcPr>
                  <w:tcW w:w="614" w:type="pct"/>
                  <w:tcBorders>
                    <w:tl2br w:val="nil"/>
                    <w:tr2bl w:val="nil"/>
                  </w:tcBorders>
                  <w:vAlign w:val="center"/>
                </w:tcPr>
                <w:p w14:paraId="55A23710">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lang w:val="en-US" w:eastAsia="zh-CN"/>
                    </w:rPr>
                  </w:pPr>
                  <w:r>
                    <w:rPr>
                      <w:rFonts w:hint="eastAsia"/>
                      <w:color w:val="auto"/>
                      <w:szCs w:val="20"/>
                      <w:highlight w:val="none"/>
                      <w:lang w:val="en-US" w:eastAsia="zh-CN"/>
                    </w:rPr>
                    <w:t>0.002t/a</w:t>
                  </w:r>
                </w:p>
              </w:tc>
            </w:tr>
          </w:tbl>
          <w:p w14:paraId="1C418A02">
            <w:pPr>
              <w:pStyle w:val="7"/>
              <w:keepNext w:val="0"/>
              <w:keepLines w:val="0"/>
              <w:suppressLineNumbers w:val="0"/>
              <w:spacing w:before="120" w:beforeLines="50" w:beforeAutospacing="0" w:after="0" w:afterAutospacing="0"/>
              <w:ind w:left="0" w:right="0" w:firstLine="482"/>
              <w:rPr>
                <w:rFonts w:hint="default"/>
                <w:color w:val="auto"/>
                <w:sz w:val="24"/>
                <w:szCs w:val="24"/>
                <w:highlight w:val="none"/>
              </w:rPr>
            </w:pPr>
            <w:r>
              <w:rPr>
                <w:rFonts w:hint="default"/>
                <w:b/>
                <w:bCs/>
                <w:color w:val="auto"/>
                <w:sz w:val="24"/>
                <w:szCs w:val="24"/>
                <w:highlight w:val="none"/>
              </w:rPr>
              <w:t>环境管理要求：</w:t>
            </w:r>
          </w:p>
          <w:p w14:paraId="37E4134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rPr>
            </w:pPr>
            <w:r>
              <w:rPr>
                <w:rFonts w:hint="default"/>
                <w:color w:val="auto"/>
                <w:highlight w:val="none"/>
              </w:rPr>
              <w:t>本环评要求，应做好厂内各固废分类收集，生活垃圾设置垃圾桶</w:t>
            </w:r>
            <w:r>
              <w:rPr>
                <w:rFonts w:hint="eastAsia"/>
                <w:color w:val="auto"/>
                <w:highlight w:val="none"/>
              </w:rPr>
              <w:t>。</w:t>
            </w:r>
            <w:r>
              <w:rPr>
                <w:rFonts w:hint="default"/>
                <w:color w:val="auto"/>
                <w:highlight w:val="none"/>
              </w:rPr>
              <w:t>严格按照《一般工业固体废物贮存、处置场污染控制标准》（GB18599-2020）要求</w:t>
            </w:r>
            <w:r>
              <w:rPr>
                <w:rFonts w:hint="eastAsia"/>
                <w:color w:val="auto"/>
                <w:highlight w:val="none"/>
              </w:rPr>
              <w:t>设置</w:t>
            </w:r>
            <w:r>
              <w:rPr>
                <w:rFonts w:hint="default"/>
                <w:color w:val="auto"/>
                <w:highlight w:val="none"/>
              </w:rPr>
              <w:t>一般固废暂存</w:t>
            </w:r>
            <w:r>
              <w:rPr>
                <w:rFonts w:hint="eastAsia"/>
                <w:color w:val="auto"/>
                <w:highlight w:val="none"/>
                <w:lang w:val="en-US" w:eastAsia="zh-CN"/>
              </w:rPr>
              <w:t>间</w:t>
            </w:r>
            <w:r>
              <w:rPr>
                <w:rFonts w:hint="default"/>
                <w:color w:val="auto"/>
                <w:highlight w:val="none"/>
              </w:rPr>
              <w:t>；</w:t>
            </w:r>
            <w:r>
              <w:rPr>
                <w:rFonts w:hint="default" w:ascii="Times New Roman" w:hAnsi="Times New Roman" w:cs="Times New Roman"/>
                <w:color w:val="auto"/>
                <w:sz w:val="24"/>
                <w:lang w:val="en-US" w:eastAsia="zh-CN"/>
              </w:rPr>
              <w:t>满足防风、防雨、防晒、防渗漏的要求。</w:t>
            </w:r>
            <w:r>
              <w:rPr>
                <w:rFonts w:hint="default" w:ascii="Times New Roman" w:hAnsi="Times New Roman" w:cs="Times New Roman"/>
                <w:color w:val="auto"/>
                <w:sz w:val="24"/>
              </w:rPr>
              <w:t>与本项目相关的重点内容如下：</w:t>
            </w:r>
          </w:p>
          <w:p w14:paraId="4DC31D2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①贮存、处置场应采取防止粉尘污染的措施。</w:t>
            </w:r>
          </w:p>
          <w:p w14:paraId="5ADBBCA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②贮存、处置场应按GB15562.2 设置环境保护图形标志。</w:t>
            </w:r>
          </w:p>
          <w:p w14:paraId="43787D58">
            <w:pPr>
              <w:keepNext w:val="0"/>
              <w:keepLines w:val="0"/>
              <w:widowControl/>
              <w:suppressLineNumbers w:val="0"/>
              <w:spacing w:before="0" w:beforeAutospacing="0" w:after="0" w:afterAutospacing="0"/>
              <w:ind w:left="0" w:right="0" w:firstLine="480"/>
              <w:rPr>
                <w:rFonts w:hint="default"/>
                <w:color w:val="auto"/>
                <w:highlight w:val="none"/>
              </w:rPr>
            </w:pPr>
            <w:r>
              <w:rPr>
                <w:rFonts w:hint="default" w:ascii="Times New Roman" w:hAnsi="Times New Roman" w:cs="Times New Roman"/>
                <w:color w:val="auto"/>
                <w:sz w:val="24"/>
              </w:rPr>
              <w:t>③建立一般固体废物台账记录，包括种类、产生量、去向等情况。有关记录应当分类装订成册，由专人管理，防止遗失，以备生态环境部门检查；</w:t>
            </w:r>
          </w:p>
          <w:p w14:paraId="3F1DBDF4">
            <w:pPr>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以上处置措施可保证项目产生的固</w:t>
            </w:r>
            <w:r>
              <w:rPr>
                <w:rFonts w:hint="eastAsia"/>
                <w:color w:val="auto"/>
                <w:highlight w:val="none"/>
                <w:lang w:val="en-US" w:eastAsia="zh-CN"/>
              </w:rPr>
              <w:t>体</w:t>
            </w:r>
            <w:r>
              <w:rPr>
                <w:rFonts w:hint="eastAsia"/>
                <w:color w:val="auto"/>
                <w:highlight w:val="none"/>
              </w:rPr>
              <w:t>废物</w:t>
            </w:r>
            <w:r>
              <w:rPr>
                <w:rFonts w:hint="default"/>
                <w:color w:val="auto"/>
                <w:highlight w:val="none"/>
              </w:rPr>
              <w:t>均能得到安全和妥善的处理，不会因长期堆放而对周围环境造成不利影响，固废处置措施有效可行，能够做到资源化、无害化，不对外随意排放</w:t>
            </w:r>
            <w:r>
              <w:rPr>
                <w:rFonts w:hint="eastAsia"/>
                <w:color w:val="auto"/>
                <w:highlight w:val="none"/>
              </w:rPr>
              <w:t>。</w:t>
            </w:r>
            <w:r>
              <w:rPr>
                <w:rFonts w:hint="default"/>
                <w:color w:val="auto"/>
                <w:highlight w:val="none"/>
              </w:rPr>
              <w:t>综上所述，固体废弃物均得到妥善处理，对环境产生的影响较小。</w:t>
            </w:r>
          </w:p>
          <w:p w14:paraId="5F602D34">
            <w:pPr>
              <w:keepNext w:val="0"/>
              <w:keepLines w:val="0"/>
              <w:suppressLineNumbers w:val="0"/>
              <w:spacing w:before="0" w:beforeAutospacing="0" w:after="0" w:afterAutospacing="0"/>
              <w:ind w:left="0" w:right="0" w:firstLine="482"/>
              <w:rPr>
                <w:rFonts w:hint="default"/>
                <w:b/>
                <w:bCs/>
                <w:color w:val="auto"/>
                <w:highlight w:val="none"/>
              </w:rPr>
            </w:pPr>
            <w:r>
              <w:rPr>
                <w:rFonts w:hint="default"/>
                <w:b/>
                <w:bCs/>
                <w:color w:val="auto"/>
                <w:highlight w:val="none"/>
              </w:rPr>
              <w:t>五、地下水</w:t>
            </w:r>
            <w:r>
              <w:rPr>
                <w:rFonts w:hint="eastAsia"/>
                <w:b/>
                <w:bCs/>
                <w:color w:val="auto"/>
                <w:highlight w:val="none"/>
              </w:rPr>
              <w:t>、土壤</w:t>
            </w:r>
          </w:p>
          <w:p w14:paraId="7BB4C91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（1）地下水、土壤污染源</w:t>
            </w:r>
          </w:p>
          <w:p w14:paraId="797DFE3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项目对地下水和土壤可能造成影响的污染源为污水处理设施及污水管线。在构筑物防渗措施不到位，可能会对区域土壤及地下水造成影响。污水管线及设备跑、冒、滴、漏造成污水泄漏时，可能会通过包气带污染地下水。</w:t>
            </w:r>
          </w:p>
          <w:p w14:paraId="43D69F6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（2）污染物类型和污染途径</w:t>
            </w:r>
          </w:p>
          <w:p w14:paraId="3A43A8E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污染物类型为污水处理设施内的混合废水，污染途径为垂直入渗。</w:t>
            </w:r>
          </w:p>
          <w:p w14:paraId="5ABE15A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（3）防控措施</w:t>
            </w:r>
          </w:p>
          <w:p w14:paraId="5309DA5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auto"/>
                <w:sz w:val="24"/>
                <w:lang w:val="en-US" w:eastAsia="zh-CN"/>
              </w:rPr>
            </w:pPr>
            <w:r>
              <w:rPr>
                <w:rFonts w:hint="default" w:ascii="Times New Roman" w:hAnsi="Times New Roman" w:cs="Times New Roman"/>
                <w:color w:val="auto"/>
                <w:sz w:val="24"/>
              </w:rPr>
              <w:t>①</w:t>
            </w:r>
            <w:r>
              <w:rPr>
                <w:rFonts w:hint="eastAsia" w:ascii="Times New Roman" w:hAnsi="Times New Roman" w:cs="Times New Roman"/>
                <w:color w:val="auto"/>
                <w:sz w:val="24"/>
                <w:lang w:val="en-US" w:eastAsia="zh-CN"/>
              </w:rPr>
              <w:t>防渗漏措施</w:t>
            </w:r>
          </w:p>
          <w:p w14:paraId="228E5E0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污水处理</w:t>
            </w:r>
            <w:r>
              <w:rPr>
                <w:rFonts w:hint="eastAsia" w:cs="Times New Roman"/>
                <w:color w:val="auto"/>
                <w:sz w:val="24"/>
                <w:lang w:val="en-US" w:eastAsia="zh-CN"/>
              </w:rPr>
              <w:t>设施</w:t>
            </w:r>
            <w:r>
              <w:rPr>
                <w:rFonts w:hint="default" w:ascii="Times New Roman" w:hAnsi="Times New Roman" w:cs="Times New Roman"/>
                <w:color w:val="auto"/>
                <w:sz w:val="24"/>
              </w:rPr>
              <w:t>为一体化设备，按照建筑防渗设计规范，严格按照施工规范施工。项目废水管道均置于管沟内，对地下敷设的管道、阀门设专用混凝土防渗管沟，管沟内壁涂防水涂料，确保达到等效黏土防渗层Mb≥1.5m，渗透系数≤10</w:t>
            </w:r>
            <w:r>
              <w:rPr>
                <w:rFonts w:hint="default" w:ascii="Times New Roman" w:hAnsi="Times New Roman" w:cs="Times New Roman"/>
                <w:color w:val="auto"/>
                <w:sz w:val="24"/>
                <w:vertAlign w:val="superscript"/>
              </w:rPr>
              <w:t>-7</w:t>
            </w:r>
            <w:r>
              <w:rPr>
                <w:rFonts w:hint="default" w:ascii="Times New Roman" w:hAnsi="Times New Roman" w:cs="Times New Roman"/>
                <w:color w:val="auto"/>
                <w:sz w:val="24"/>
              </w:rPr>
              <w:t>cm/s的要求，管沟上设活动观察顶盖，以便出现渗漏问题及时观察、解决。管沟与污水集水井相连，并设计不低于5‰的排水坡度，便于废水排至集水井，然后由污水处理</w:t>
            </w:r>
            <w:r>
              <w:rPr>
                <w:rFonts w:hint="eastAsia" w:cs="Times New Roman"/>
                <w:color w:val="auto"/>
                <w:sz w:val="24"/>
                <w:lang w:val="en-US" w:eastAsia="zh-CN"/>
              </w:rPr>
              <w:t>设备</w:t>
            </w:r>
            <w:r>
              <w:rPr>
                <w:rFonts w:hint="default" w:ascii="Times New Roman" w:hAnsi="Times New Roman" w:cs="Times New Roman"/>
                <w:color w:val="auto"/>
                <w:sz w:val="24"/>
              </w:rPr>
              <w:t>统一处理。</w:t>
            </w:r>
          </w:p>
          <w:p w14:paraId="64FFF073">
            <w:pPr>
              <w:keepNext w:val="0"/>
              <w:keepLines w:val="0"/>
              <w:suppressLineNumbers w:val="0"/>
              <w:spacing w:before="0" w:beforeAutospacing="0" w:after="0" w:afterAutospacing="0"/>
              <w:ind w:left="0" w:right="0" w:firstLine="480"/>
              <w:rPr>
                <w:rFonts w:hint="eastAsia" w:ascii="Times New Roman" w:hAnsi="Times New Roman" w:cs="Times New Roman"/>
                <w:color w:val="auto"/>
                <w:sz w:val="24"/>
                <w:lang w:val="en-US" w:eastAsia="zh-CN"/>
              </w:rPr>
            </w:pPr>
            <w:r>
              <w:rPr>
                <w:rFonts w:hint="default" w:ascii="Times New Roman" w:hAnsi="Times New Roman" w:cs="Times New Roman"/>
                <w:color w:val="auto"/>
                <w:sz w:val="24"/>
              </w:rPr>
              <w:t>②</w:t>
            </w:r>
            <w:r>
              <w:rPr>
                <w:rFonts w:hint="eastAsia" w:ascii="Times New Roman" w:hAnsi="Times New Roman" w:cs="Times New Roman"/>
                <w:color w:val="auto"/>
                <w:sz w:val="24"/>
                <w:lang w:val="en-US" w:eastAsia="zh-CN"/>
              </w:rPr>
              <w:t>分区防渗要求</w:t>
            </w:r>
          </w:p>
          <w:p w14:paraId="393071F6">
            <w:pPr>
              <w:keepNext w:val="0"/>
              <w:keepLines w:val="0"/>
              <w:suppressLineNumbers w:val="0"/>
              <w:spacing w:before="0" w:beforeAutospacing="0" w:after="0" w:afterAutospacing="0"/>
              <w:ind w:left="0" w:right="0" w:firstLine="480"/>
              <w:rPr>
                <w:rFonts w:hint="eastAsia"/>
                <w:color w:val="auto"/>
                <w:highlight w:val="none"/>
                <w:lang w:val="en-US" w:eastAsia="zh-CN"/>
              </w:rPr>
            </w:pPr>
            <w:r>
              <w:rPr>
                <w:rFonts w:hint="eastAsia"/>
                <w:color w:val="auto"/>
                <w:highlight w:val="none"/>
                <w:lang w:val="en-US" w:eastAsia="zh-CN"/>
              </w:rPr>
              <w:t>项目防渗分区划分见下表。</w:t>
            </w:r>
          </w:p>
          <w:p w14:paraId="3E741122">
            <w:pPr>
              <w:pStyle w:val="77"/>
              <w:keepNext w:val="0"/>
              <w:keepLines w:val="0"/>
              <w:widowControl/>
              <w:suppressLineNumbers w:val="0"/>
              <w:spacing w:before="0" w:beforeLines="0" w:beforeAutospacing="0" w:after="0" w:afterAutospacing="0" w:line="240" w:lineRule="auto"/>
              <w:ind w:left="0" w:right="0"/>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 xml:space="preserve">表4-13    </w:t>
            </w:r>
            <w:r>
              <w:rPr>
                <w:rFonts w:hint="eastAsia" w:eastAsia="宋体" w:cs="Times New Roman"/>
                <w:b/>
                <w:bCs/>
                <w:color w:val="auto"/>
                <w:highlight w:val="none"/>
                <w:lang w:val="en-US" w:eastAsia="zh-CN"/>
              </w:rPr>
              <w:t>项目</w:t>
            </w:r>
            <w:r>
              <w:rPr>
                <w:rFonts w:hint="eastAsia" w:ascii="Times New Roman" w:hAnsi="Times New Roman" w:eastAsia="宋体" w:cs="Times New Roman"/>
                <w:b/>
                <w:bCs/>
                <w:color w:val="auto"/>
                <w:highlight w:val="none"/>
                <w:lang w:val="en-US" w:eastAsia="zh-CN"/>
              </w:rPr>
              <w:t>防渗分区</w:t>
            </w:r>
            <w:r>
              <w:rPr>
                <w:rFonts w:hint="eastAsia" w:eastAsia="宋体" w:cs="Times New Roman"/>
                <w:b/>
                <w:bCs/>
                <w:color w:val="auto"/>
                <w:highlight w:val="none"/>
                <w:lang w:val="en-US" w:eastAsia="zh-CN"/>
              </w:rPr>
              <w:t>一览</w:t>
            </w:r>
            <w:r>
              <w:rPr>
                <w:rFonts w:hint="eastAsia" w:ascii="Times New Roman" w:hAnsi="Times New Roman" w:eastAsia="宋体" w:cs="Times New Roman"/>
                <w:b/>
                <w:bCs/>
                <w:color w:val="auto"/>
                <w:highlight w:val="none"/>
                <w:lang w:val="en-US" w:eastAsia="zh-CN"/>
              </w:rPr>
              <w:t>表</w:t>
            </w:r>
          </w:p>
          <w:tbl>
            <w:tblPr>
              <w:tblStyle w:val="37"/>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034"/>
              <w:gridCol w:w="1482"/>
              <w:gridCol w:w="3910"/>
              <w:gridCol w:w="1845"/>
            </w:tblGrid>
            <w:tr w14:paraId="4709DD9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034" w:type="dxa"/>
                  <w:noWrap w:val="0"/>
                  <w:vAlign w:val="center"/>
                </w:tcPr>
                <w:p w14:paraId="780743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eastAsia"/>
                      <w:color w:val="auto"/>
                      <w:sz w:val="21"/>
                      <w:szCs w:val="21"/>
                      <w:highlight w:val="none"/>
                    </w:rPr>
                    <w:t>名称</w:t>
                  </w:r>
                </w:p>
              </w:tc>
              <w:tc>
                <w:tcPr>
                  <w:tcW w:w="1482" w:type="dxa"/>
                  <w:noWrap w:val="0"/>
                  <w:vAlign w:val="center"/>
                </w:tcPr>
                <w:p w14:paraId="37D1E7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eastAsia"/>
                      <w:color w:val="auto"/>
                      <w:sz w:val="21"/>
                      <w:szCs w:val="21"/>
                      <w:highlight w:val="none"/>
                    </w:rPr>
                    <w:t>防渗区分区</w:t>
                  </w:r>
                </w:p>
              </w:tc>
              <w:tc>
                <w:tcPr>
                  <w:tcW w:w="3910" w:type="dxa"/>
                  <w:noWrap w:val="0"/>
                  <w:vAlign w:val="center"/>
                </w:tcPr>
                <w:p w14:paraId="413A6F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eastAsia"/>
                      <w:color w:val="auto"/>
                      <w:sz w:val="21"/>
                      <w:szCs w:val="21"/>
                      <w:highlight w:val="none"/>
                    </w:rPr>
                    <w:t>装置及设施名称</w:t>
                  </w:r>
                </w:p>
              </w:tc>
              <w:tc>
                <w:tcPr>
                  <w:tcW w:w="1845" w:type="dxa"/>
                  <w:noWrap w:val="0"/>
                  <w:vAlign w:val="center"/>
                </w:tcPr>
                <w:p w14:paraId="3EB13D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eastAsia"/>
                      <w:color w:val="auto"/>
                      <w:sz w:val="21"/>
                      <w:szCs w:val="21"/>
                      <w:highlight w:val="none"/>
                    </w:rPr>
                    <w:t>防渗区域</w:t>
                  </w:r>
                </w:p>
              </w:tc>
            </w:tr>
            <w:tr w14:paraId="58E71E5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034" w:type="dxa"/>
                  <w:vMerge w:val="restart"/>
                  <w:noWrap w:val="0"/>
                  <w:vAlign w:val="center"/>
                </w:tcPr>
                <w:p w14:paraId="237FE9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color w:val="auto"/>
                      <w:sz w:val="21"/>
                      <w:szCs w:val="21"/>
                      <w:highlight w:val="none"/>
                      <w:lang w:eastAsia="zh-CN"/>
                    </w:rPr>
                  </w:pPr>
                  <w:r>
                    <w:rPr>
                      <w:rFonts w:hint="eastAsia"/>
                      <w:color w:val="auto"/>
                      <w:sz w:val="21"/>
                      <w:szCs w:val="21"/>
                      <w:highlight w:val="none"/>
                    </w:rPr>
                    <w:t>污水处理</w:t>
                  </w:r>
                  <w:r>
                    <w:rPr>
                      <w:rFonts w:hint="eastAsia"/>
                      <w:color w:val="auto"/>
                      <w:sz w:val="21"/>
                      <w:szCs w:val="21"/>
                      <w:highlight w:val="none"/>
                      <w:lang w:val="en-US" w:eastAsia="zh-CN"/>
                    </w:rPr>
                    <w:t>设施</w:t>
                  </w:r>
                </w:p>
              </w:tc>
              <w:tc>
                <w:tcPr>
                  <w:tcW w:w="1482" w:type="dxa"/>
                  <w:noWrap w:val="0"/>
                  <w:vAlign w:val="center"/>
                </w:tcPr>
                <w:p w14:paraId="7435C6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eastAsia"/>
                      <w:color w:val="auto"/>
                      <w:sz w:val="21"/>
                      <w:szCs w:val="21"/>
                      <w:highlight w:val="none"/>
                    </w:rPr>
                    <w:t>重点防渗区</w:t>
                  </w:r>
                </w:p>
              </w:tc>
              <w:tc>
                <w:tcPr>
                  <w:tcW w:w="3910" w:type="dxa"/>
                  <w:noWrap w:val="0"/>
                  <w:vAlign w:val="center"/>
                </w:tcPr>
                <w:p w14:paraId="1B2FF3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eastAsia"/>
                      <w:color w:val="auto"/>
                      <w:sz w:val="21"/>
                      <w:szCs w:val="21"/>
                      <w:highlight w:val="none"/>
                      <w:lang w:val="en-US" w:eastAsia="zh-CN"/>
                    </w:rPr>
                    <w:t>地埋污水处理设备、</w:t>
                  </w:r>
                  <w:r>
                    <w:rPr>
                      <w:rFonts w:hint="eastAsia"/>
                      <w:color w:val="auto"/>
                      <w:sz w:val="21"/>
                      <w:szCs w:val="21"/>
                      <w:highlight w:val="none"/>
                    </w:rPr>
                    <w:t>厂区内污水埋地管道</w:t>
                  </w:r>
                </w:p>
              </w:tc>
              <w:tc>
                <w:tcPr>
                  <w:tcW w:w="1845" w:type="dxa"/>
                  <w:noWrap w:val="0"/>
                  <w:vAlign w:val="center"/>
                </w:tcPr>
                <w:p w14:paraId="624A9A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eastAsia"/>
                      <w:color w:val="auto"/>
                      <w:sz w:val="21"/>
                      <w:szCs w:val="21"/>
                      <w:highlight w:val="none"/>
                    </w:rPr>
                    <w:t>采用PE埋地波纹管</w:t>
                  </w:r>
                </w:p>
              </w:tc>
            </w:tr>
            <w:tr w14:paraId="60EE9EE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034" w:type="dxa"/>
                  <w:vMerge w:val="continue"/>
                  <w:noWrap w:val="0"/>
                  <w:vAlign w:val="center"/>
                </w:tcPr>
                <w:p w14:paraId="00B5D4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p>
              </w:tc>
              <w:tc>
                <w:tcPr>
                  <w:tcW w:w="1482" w:type="dxa"/>
                  <w:vMerge w:val="restart"/>
                  <w:noWrap w:val="0"/>
                  <w:vAlign w:val="center"/>
                </w:tcPr>
                <w:p w14:paraId="5AD1575C">
                  <w:pPr>
                    <w:keepNext w:val="0"/>
                    <w:keepLines w:val="0"/>
                    <w:pageBreakBefore w:val="0"/>
                    <w:widowControl w:val="0"/>
                    <w:suppressLineNumbers w:val="0"/>
                    <w:tabs>
                      <w:tab w:val="left" w:pos="1800"/>
                    </w:tabs>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ascii="Times New Roman" w:hAnsi="Times New Roman" w:cs="Times New Roman"/>
                      <w:color w:val="auto"/>
                      <w:sz w:val="21"/>
                      <w:szCs w:val="21"/>
                      <w:highlight w:val="none"/>
                    </w:rPr>
                    <w:t>简单防渗区</w:t>
                  </w:r>
                </w:p>
              </w:tc>
              <w:tc>
                <w:tcPr>
                  <w:tcW w:w="3910" w:type="dxa"/>
                  <w:noWrap w:val="0"/>
                  <w:vAlign w:val="center"/>
                </w:tcPr>
                <w:p w14:paraId="030FBD4B">
                  <w:pPr>
                    <w:keepNext w:val="0"/>
                    <w:keepLines w:val="0"/>
                    <w:pageBreakBefore w:val="0"/>
                    <w:widowControl w:val="0"/>
                    <w:suppressLineNumbers w:val="0"/>
                    <w:tabs>
                      <w:tab w:val="left" w:pos="1800"/>
                    </w:tabs>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生产车间</w:t>
                  </w:r>
                  <w:r>
                    <w:rPr>
                      <w:rFonts w:hint="eastAsia" w:cs="Times New Roman"/>
                      <w:color w:val="auto"/>
                      <w:sz w:val="21"/>
                      <w:szCs w:val="21"/>
                      <w:highlight w:val="none"/>
                      <w:lang w:val="en-US" w:eastAsia="zh-CN"/>
                    </w:rPr>
                    <w:t>、办公区等</w:t>
                  </w:r>
                </w:p>
              </w:tc>
              <w:tc>
                <w:tcPr>
                  <w:tcW w:w="1845" w:type="dxa"/>
                  <w:noWrap w:val="0"/>
                  <w:vAlign w:val="center"/>
                </w:tcPr>
                <w:p w14:paraId="413F7B9F">
                  <w:pPr>
                    <w:keepNext w:val="0"/>
                    <w:keepLines w:val="0"/>
                    <w:pageBreakBefore w:val="0"/>
                    <w:widowControl w:val="0"/>
                    <w:suppressLineNumbers w:val="0"/>
                    <w:tabs>
                      <w:tab w:val="left" w:pos="1800"/>
                    </w:tabs>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ascii="Times New Roman" w:hAnsi="Times New Roman" w:cs="Times New Roman"/>
                      <w:color w:val="auto"/>
                      <w:kern w:val="0"/>
                      <w:sz w:val="21"/>
                      <w:szCs w:val="21"/>
                      <w:highlight w:val="none"/>
                    </w:rPr>
                    <w:t>一般地面硬化</w:t>
                  </w:r>
                </w:p>
              </w:tc>
            </w:tr>
            <w:tr w14:paraId="40CCCDC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1034" w:type="dxa"/>
                  <w:vMerge w:val="continue"/>
                  <w:noWrap w:val="0"/>
                  <w:vAlign w:val="center"/>
                </w:tcPr>
                <w:p w14:paraId="48CD08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p>
              </w:tc>
              <w:tc>
                <w:tcPr>
                  <w:tcW w:w="1482" w:type="dxa"/>
                  <w:vMerge w:val="continue"/>
                  <w:noWrap w:val="0"/>
                  <w:vAlign w:val="center"/>
                </w:tcPr>
                <w:p w14:paraId="4A94F274">
                  <w:pPr>
                    <w:keepNext w:val="0"/>
                    <w:keepLines w:val="0"/>
                    <w:pageBreakBefore w:val="0"/>
                    <w:widowControl w:val="0"/>
                    <w:suppressLineNumbers w:val="0"/>
                    <w:tabs>
                      <w:tab w:val="left" w:pos="1800"/>
                    </w:tabs>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p>
              </w:tc>
              <w:tc>
                <w:tcPr>
                  <w:tcW w:w="3910" w:type="dxa"/>
                  <w:noWrap w:val="0"/>
                  <w:vAlign w:val="center"/>
                </w:tcPr>
                <w:p w14:paraId="3C7F3958">
                  <w:pPr>
                    <w:keepNext w:val="0"/>
                    <w:keepLines w:val="0"/>
                    <w:pageBreakBefore w:val="0"/>
                    <w:widowControl w:val="0"/>
                    <w:suppressLineNumbers w:val="0"/>
                    <w:tabs>
                      <w:tab w:val="left" w:pos="1800"/>
                    </w:tabs>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ascii="Times New Roman" w:hAnsi="Times New Roman" w:cs="Times New Roman"/>
                      <w:color w:val="auto"/>
                      <w:sz w:val="21"/>
                      <w:szCs w:val="21"/>
                      <w:highlight w:val="none"/>
                    </w:rPr>
                    <w:t>厂区内运输道路</w:t>
                  </w:r>
                </w:p>
              </w:tc>
              <w:tc>
                <w:tcPr>
                  <w:tcW w:w="1845" w:type="dxa"/>
                  <w:noWrap w:val="0"/>
                  <w:vAlign w:val="center"/>
                </w:tcPr>
                <w:p w14:paraId="51E97B22">
                  <w:pPr>
                    <w:keepNext w:val="0"/>
                    <w:keepLines w:val="0"/>
                    <w:pageBreakBefore w:val="0"/>
                    <w:widowControl w:val="0"/>
                    <w:suppressLineNumbers w:val="0"/>
                    <w:tabs>
                      <w:tab w:val="left" w:pos="1800"/>
                    </w:tabs>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ascii="Times New Roman" w:hAnsi="Times New Roman" w:cs="Times New Roman"/>
                      <w:color w:val="auto"/>
                      <w:sz w:val="21"/>
                      <w:szCs w:val="21"/>
                      <w:highlight w:val="none"/>
                    </w:rPr>
                    <w:t>硬化，周边设截排水沟</w:t>
                  </w:r>
                </w:p>
              </w:tc>
            </w:tr>
          </w:tbl>
          <w:p w14:paraId="13474273">
            <w:pPr>
              <w:keepNext w:val="0"/>
              <w:keepLines w:val="0"/>
              <w:suppressLineNumbers w:val="0"/>
              <w:spacing w:before="0" w:beforeAutospacing="0" w:after="0" w:afterAutospacing="0"/>
              <w:ind w:left="0" w:right="0" w:firstLine="480"/>
              <w:rPr>
                <w:rFonts w:hint="default"/>
                <w:color w:val="auto"/>
                <w:szCs w:val="21"/>
                <w:highlight w:val="none"/>
              </w:rPr>
            </w:pPr>
            <w:r>
              <w:rPr>
                <w:rFonts w:hint="default"/>
                <w:color w:val="auto"/>
                <w:szCs w:val="21"/>
                <w:highlight w:val="none"/>
              </w:rPr>
              <w:t>采取以上措施后，本项目不会对厂区土壤及地下水环境造成不利影响</w:t>
            </w:r>
            <w:r>
              <w:rPr>
                <w:rFonts w:hint="default"/>
                <w:color w:val="auto"/>
                <w:szCs w:val="21"/>
                <w:highlight w:val="none"/>
                <w:lang w:val="de-DE"/>
              </w:rPr>
              <w:t>。</w:t>
            </w:r>
          </w:p>
          <w:p w14:paraId="3B82ACE3">
            <w:pPr>
              <w:keepNext w:val="0"/>
              <w:keepLines w:val="0"/>
              <w:suppressLineNumbers w:val="0"/>
              <w:spacing w:before="0" w:beforeAutospacing="0" w:after="0" w:afterAutospacing="0"/>
              <w:ind w:left="0" w:right="0" w:firstLine="482"/>
              <w:rPr>
                <w:rFonts w:hint="default"/>
                <w:b/>
                <w:bCs/>
                <w:color w:val="auto"/>
                <w:highlight w:val="none"/>
              </w:rPr>
            </w:pPr>
            <w:r>
              <w:rPr>
                <w:rFonts w:hint="eastAsia"/>
                <w:b/>
                <w:bCs/>
                <w:color w:val="auto"/>
                <w:highlight w:val="none"/>
              </w:rPr>
              <w:t>六</w:t>
            </w:r>
            <w:r>
              <w:rPr>
                <w:rFonts w:hint="default"/>
                <w:b/>
                <w:bCs/>
                <w:color w:val="auto"/>
                <w:highlight w:val="none"/>
              </w:rPr>
              <w:t>、生态</w:t>
            </w:r>
          </w:p>
          <w:p w14:paraId="4D67CA68">
            <w:pPr>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本项目用地属于工业用地，占地范围内无生态环境保护目标，本次评价不做生态环境影响分析。</w:t>
            </w:r>
          </w:p>
          <w:p w14:paraId="7ECC1E2B">
            <w:pPr>
              <w:keepNext w:val="0"/>
              <w:keepLines w:val="0"/>
              <w:suppressLineNumbers w:val="0"/>
              <w:spacing w:before="0" w:beforeAutospacing="0" w:after="0" w:afterAutospacing="0"/>
              <w:ind w:left="0" w:right="0" w:firstLine="482"/>
              <w:rPr>
                <w:rFonts w:hint="default"/>
                <w:b/>
                <w:bCs/>
                <w:color w:val="auto"/>
                <w:highlight w:val="none"/>
              </w:rPr>
            </w:pPr>
            <w:r>
              <w:rPr>
                <w:rFonts w:hint="eastAsia"/>
                <w:b/>
                <w:bCs/>
                <w:color w:val="auto"/>
                <w:highlight w:val="none"/>
              </w:rPr>
              <w:t>七</w:t>
            </w:r>
            <w:r>
              <w:rPr>
                <w:rFonts w:hint="default"/>
                <w:b/>
                <w:bCs/>
                <w:color w:val="auto"/>
                <w:highlight w:val="none"/>
              </w:rPr>
              <w:t>、环境风险</w:t>
            </w:r>
          </w:p>
          <w:p w14:paraId="6E24DE2F">
            <w:pPr>
              <w:keepNext w:val="0"/>
              <w:keepLines w:val="0"/>
              <w:widowControl/>
              <w:suppressLineNumbers w:val="0"/>
              <w:spacing w:before="0" w:beforeAutospacing="0" w:after="0" w:afterAutospacing="0" w:line="360" w:lineRule="auto"/>
              <w:ind w:left="0" w:right="0" w:firstLine="480" w:firstLineChars="200"/>
              <w:rPr>
                <w:rFonts w:hint="eastAsia"/>
                <w:color w:val="auto"/>
                <w:sz w:val="24"/>
              </w:rPr>
            </w:pPr>
            <w:r>
              <w:rPr>
                <w:rFonts w:hint="eastAsia"/>
                <w:color w:val="auto"/>
                <w:sz w:val="24"/>
              </w:rPr>
              <w:t>1</w:t>
            </w:r>
            <w:r>
              <w:rPr>
                <w:rFonts w:hint="default"/>
                <w:color w:val="auto"/>
                <w:sz w:val="24"/>
              </w:rPr>
              <w:t>.</w:t>
            </w:r>
            <w:r>
              <w:rPr>
                <w:rFonts w:hint="eastAsia"/>
                <w:color w:val="auto"/>
                <w:sz w:val="24"/>
              </w:rPr>
              <w:t>风险源分布</w:t>
            </w:r>
          </w:p>
          <w:p w14:paraId="00D1CA44">
            <w:pPr>
              <w:keepNext w:val="0"/>
              <w:keepLines w:val="0"/>
              <w:widowControl/>
              <w:suppressLineNumbers w:val="0"/>
              <w:spacing w:before="0" w:beforeAutospacing="0" w:after="0" w:afterAutospacing="0" w:line="360" w:lineRule="auto"/>
              <w:ind w:left="0" w:right="0" w:firstLine="480" w:firstLineChars="200"/>
              <w:rPr>
                <w:rFonts w:hint="eastAsia"/>
                <w:color w:val="auto"/>
                <w:sz w:val="24"/>
              </w:rPr>
            </w:pPr>
            <w:r>
              <w:rPr>
                <w:rFonts w:hint="eastAsia"/>
                <w:color w:val="auto"/>
                <w:sz w:val="24"/>
              </w:rPr>
              <w:t>项目涉及的风险物质主要为供气管道内在线天然气。天然气的临界量为10</w:t>
            </w:r>
            <w:r>
              <w:rPr>
                <w:rFonts w:hint="default"/>
                <w:color w:val="auto"/>
                <w:sz w:val="24"/>
              </w:rPr>
              <w:t xml:space="preserve"> </w:t>
            </w:r>
            <w:r>
              <w:rPr>
                <w:rFonts w:hint="eastAsia"/>
                <w:color w:val="auto"/>
                <w:sz w:val="24"/>
              </w:rPr>
              <w:t>t，本项目使用的天然气为管道天然气，锅炉房内不储存，危险物质的量以管道内天然气的容量计，本项目涉及的天然气管道为锅炉设备与市政管网相接的管线，长度约为</w:t>
            </w:r>
            <w:r>
              <w:rPr>
                <w:rFonts w:hint="eastAsia"/>
                <w:color w:val="auto"/>
                <w:sz w:val="24"/>
                <w:lang w:val="en-US" w:eastAsia="zh-CN"/>
              </w:rPr>
              <w:t>10</w:t>
            </w:r>
            <w:r>
              <w:rPr>
                <w:rFonts w:hint="eastAsia"/>
                <w:color w:val="auto"/>
                <w:sz w:val="24"/>
              </w:rPr>
              <w:t>0m，管径为110mm，管线压力1.6Mpa，天然气密度0.74kg/m</w:t>
            </w:r>
            <w:r>
              <w:rPr>
                <w:rFonts w:hint="eastAsia"/>
                <w:color w:val="auto"/>
                <w:sz w:val="24"/>
                <w:vertAlign w:val="superscript"/>
              </w:rPr>
              <w:t>3</w:t>
            </w:r>
            <w:r>
              <w:rPr>
                <w:rFonts w:hint="eastAsia"/>
                <w:color w:val="auto"/>
                <w:sz w:val="24"/>
              </w:rPr>
              <w:t>。则项目涉及的厂区内天然气最大在线量约</w:t>
            </w:r>
            <w:r>
              <w:rPr>
                <w:rFonts w:hint="eastAsia"/>
                <w:color w:val="auto"/>
                <w:sz w:val="24"/>
                <w:lang w:val="en-US" w:eastAsia="zh-CN"/>
              </w:rPr>
              <w:t>11.25</w:t>
            </w:r>
            <w:r>
              <w:rPr>
                <w:rFonts w:hint="default"/>
                <w:color w:val="auto"/>
                <w:sz w:val="24"/>
              </w:rPr>
              <w:t xml:space="preserve"> </w:t>
            </w:r>
            <w:r>
              <w:rPr>
                <w:rFonts w:hint="eastAsia"/>
                <w:color w:val="auto"/>
                <w:sz w:val="24"/>
              </w:rPr>
              <w:t>kg，远小于临界量。</w:t>
            </w:r>
          </w:p>
          <w:p w14:paraId="1D105B4E">
            <w:pPr>
              <w:keepNext w:val="0"/>
              <w:keepLines w:val="0"/>
              <w:widowControl/>
              <w:suppressLineNumbers w:val="0"/>
              <w:autoSpaceDE w:val="0"/>
              <w:autoSpaceDN w:val="0"/>
              <w:adjustRightInd w:val="0"/>
              <w:spacing w:before="0" w:beforeAutospacing="0" w:after="0" w:afterAutospacing="0" w:line="360" w:lineRule="auto"/>
              <w:ind w:left="0" w:right="0" w:firstLine="480" w:firstLineChars="200"/>
              <w:rPr>
                <w:rFonts w:hint="default"/>
                <w:color w:val="auto"/>
                <w:sz w:val="24"/>
              </w:rPr>
            </w:pPr>
            <w:r>
              <w:rPr>
                <w:rFonts w:hint="eastAsia"/>
                <w:color w:val="auto"/>
                <w:sz w:val="24"/>
              </w:rPr>
              <w:t>2</w:t>
            </w:r>
            <w:r>
              <w:rPr>
                <w:rFonts w:hint="default"/>
                <w:color w:val="auto"/>
                <w:sz w:val="24"/>
              </w:rPr>
              <w:t>.环境风险潜势初判</w:t>
            </w:r>
          </w:p>
          <w:p w14:paraId="24DC6FEF">
            <w:pPr>
              <w:keepNext w:val="0"/>
              <w:keepLines w:val="0"/>
              <w:widowControl/>
              <w:suppressLineNumbers w:val="0"/>
              <w:autoSpaceDE w:val="0"/>
              <w:autoSpaceDN w:val="0"/>
              <w:adjustRightInd w:val="0"/>
              <w:spacing w:before="0" w:beforeAutospacing="0" w:after="0" w:afterAutospacing="0" w:line="360" w:lineRule="auto"/>
              <w:ind w:left="0" w:right="0" w:firstLine="480" w:firstLineChars="200"/>
              <w:rPr>
                <w:rFonts w:hint="default"/>
                <w:color w:val="auto"/>
                <w:sz w:val="24"/>
              </w:rPr>
            </w:pPr>
            <w:r>
              <w:rPr>
                <w:rFonts w:hint="default"/>
                <w:color w:val="auto"/>
                <w:sz w:val="24"/>
              </w:rPr>
              <w:t>当只涉及一种危险物质时，计算该物质的总量与其临界量比值，即为Q；当存在多种危险物质时，则按下式计算物质总量与其临界量比值Q：</w:t>
            </w:r>
          </w:p>
          <w:p w14:paraId="563DC212">
            <w:pPr>
              <w:keepNext w:val="0"/>
              <w:keepLines w:val="0"/>
              <w:suppressLineNumbers w:val="0"/>
              <w:spacing w:before="0" w:beforeAutospacing="0" w:after="0" w:afterAutospacing="0"/>
              <w:ind w:left="0" w:right="0"/>
              <w:jc w:val="center"/>
              <w:rPr>
                <w:rFonts w:hint="default"/>
                <w:color w:val="auto"/>
                <w:sz w:val="24"/>
              </w:rPr>
            </w:pPr>
            <w:r>
              <w:rPr>
                <w:rFonts w:hint="default"/>
                <w:color w:val="auto"/>
                <w:kern w:val="0"/>
                <w:sz w:val="24"/>
              </w:rPr>
              <w:object>
                <v:shape id="_x0000_i1032" o:spt="75" type="#_x0000_t75" style="height:34pt;width:111pt;" o:ole="t" filled="f" o:preferrelative="t" stroked="f" coordsize="21600,21600">
                  <v:path/>
                  <v:fill on="f" focussize="0,0"/>
                  <v:stroke on="f"/>
                  <v:imagedata r:id="rId34" o:title=""/>
                  <o:lock v:ext="edit" aspectratio="t"/>
                  <w10:wrap type="none"/>
                  <w10:anchorlock/>
                </v:shape>
                <o:OLEObject Type="Embed" ProgID="Equation.KSEE3" ShapeID="_x0000_i1032" DrawAspect="Content" ObjectID="_1468075732" r:id="rId33">
                  <o:LockedField>false</o:LockedField>
                </o:OLEObject>
              </w:object>
            </w:r>
          </w:p>
          <w:p w14:paraId="60F726AA">
            <w:pPr>
              <w:keepNext w:val="0"/>
              <w:keepLines w:val="0"/>
              <w:widowControl/>
              <w:suppressLineNumbers w:val="0"/>
              <w:autoSpaceDE w:val="0"/>
              <w:autoSpaceDN w:val="0"/>
              <w:adjustRightInd w:val="0"/>
              <w:spacing w:before="0" w:beforeAutospacing="0" w:after="0" w:afterAutospacing="0" w:line="360" w:lineRule="auto"/>
              <w:ind w:left="0" w:right="0" w:firstLine="480" w:firstLineChars="200"/>
              <w:rPr>
                <w:rFonts w:hint="default"/>
                <w:color w:val="auto"/>
                <w:sz w:val="24"/>
              </w:rPr>
            </w:pPr>
            <w:r>
              <w:rPr>
                <w:rFonts w:hint="default"/>
                <w:color w:val="auto"/>
                <w:sz w:val="24"/>
              </w:rPr>
              <w:t>式中：q</w:t>
            </w:r>
            <w:r>
              <w:rPr>
                <w:rFonts w:hint="default"/>
                <w:color w:val="auto"/>
                <w:sz w:val="24"/>
                <w:vertAlign w:val="subscript"/>
              </w:rPr>
              <w:t>1</w:t>
            </w:r>
            <w:r>
              <w:rPr>
                <w:rFonts w:hint="default"/>
                <w:color w:val="auto"/>
                <w:sz w:val="24"/>
              </w:rPr>
              <w:t>，q</w:t>
            </w:r>
            <w:r>
              <w:rPr>
                <w:rFonts w:hint="default"/>
                <w:color w:val="auto"/>
                <w:sz w:val="24"/>
                <w:vertAlign w:val="subscript"/>
              </w:rPr>
              <w:t>2</w:t>
            </w:r>
            <w:r>
              <w:rPr>
                <w:rFonts w:hint="default"/>
                <w:color w:val="auto"/>
                <w:sz w:val="24"/>
              </w:rPr>
              <w:t>……q</w:t>
            </w:r>
            <w:r>
              <w:rPr>
                <w:rFonts w:hint="default"/>
                <w:color w:val="auto"/>
                <w:sz w:val="24"/>
                <w:vertAlign w:val="subscript"/>
              </w:rPr>
              <w:t>n</w:t>
            </w:r>
            <w:r>
              <w:rPr>
                <w:rFonts w:hint="default"/>
                <w:color w:val="auto"/>
                <w:sz w:val="24"/>
              </w:rPr>
              <w:t>——每种危险物质的最大存在总量，t；</w:t>
            </w:r>
          </w:p>
          <w:p w14:paraId="1C3337EF">
            <w:pPr>
              <w:keepNext w:val="0"/>
              <w:keepLines w:val="0"/>
              <w:suppressLineNumbers w:val="0"/>
              <w:autoSpaceDE w:val="0"/>
              <w:autoSpaceDN w:val="0"/>
              <w:spacing w:before="0" w:beforeAutospacing="0" w:after="0" w:afterAutospacing="0" w:line="360" w:lineRule="auto"/>
              <w:ind w:left="720" w:leftChars="300" w:right="0" w:firstLine="480" w:firstLineChars="200"/>
              <w:jc w:val="left"/>
              <w:rPr>
                <w:rFonts w:hint="default"/>
                <w:color w:val="auto"/>
                <w:kern w:val="0"/>
                <w:sz w:val="24"/>
              </w:rPr>
            </w:pPr>
            <w:r>
              <w:rPr>
                <w:rFonts w:hint="default"/>
                <w:color w:val="auto"/>
                <w:kern w:val="0"/>
                <w:sz w:val="24"/>
              </w:rPr>
              <w:t>Q</w:t>
            </w:r>
            <w:r>
              <w:rPr>
                <w:rFonts w:hint="default"/>
                <w:color w:val="auto"/>
                <w:kern w:val="0"/>
                <w:sz w:val="24"/>
                <w:vertAlign w:val="subscript"/>
              </w:rPr>
              <w:t>1</w:t>
            </w:r>
            <w:r>
              <w:rPr>
                <w:rFonts w:hint="default"/>
                <w:color w:val="auto"/>
                <w:kern w:val="0"/>
                <w:sz w:val="24"/>
              </w:rPr>
              <w:t>，Q</w:t>
            </w:r>
            <w:r>
              <w:rPr>
                <w:rFonts w:hint="default"/>
                <w:color w:val="auto"/>
                <w:kern w:val="0"/>
                <w:sz w:val="24"/>
                <w:vertAlign w:val="subscript"/>
              </w:rPr>
              <w:t>2</w:t>
            </w:r>
            <w:r>
              <w:rPr>
                <w:rFonts w:hint="default"/>
                <w:color w:val="auto"/>
                <w:kern w:val="0"/>
                <w:sz w:val="24"/>
              </w:rPr>
              <w:t>……Q</w:t>
            </w:r>
            <w:r>
              <w:rPr>
                <w:rFonts w:hint="default"/>
                <w:color w:val="auto"/>
                <w:kern w:val="0"/>
                <w:sz w:val="24"/>
                <w:vertAlign w:val="subscript"/>
              </w:rPr>
              <w:t>n</w:t>
            </w:r>
            <w:r>
              <w:rPr>
                <w:rFonts w:hint="default"/>
                <w:color w:val="auto"/>
                <w:kern w:val="0"/>
                <w:sz w:val="24"/>
              </w:rPr>
              <w:t>——各种危险物质的临界量，t。</w:t>
            </w:r>
          </w:p>
          <w:p w14:paraId="3EE95764">
            <w:pPr>
              <w:keepNext w:val="0"/>
              <w:keepLines w:val="0"/>
              <w:suppressLineNumbers w:val="0"/>
              <w:autoSpaceDE w:val="0"/>
              <w:autoSpaceDN w:val="0"/>
              <w:spacing w:before="0" w:beforeAutospacing="0" w:after="0" w:afterAutospacing="0" w:line="360" w:lineRule="auto"/>
              <w:ind w:left="0" w:right="0" w:firstLine="480" w:firstLineChars="200"/>
              <w:rPr>
                <w:rFonts w:hint="default"/>
                <w:color w:val="auto"/>
                <w:kern w:val="0"/>
                <w:sz w:val="24"/>
              </w:rPr>
            </w:pPr>
            <w:r>
              <w:rPr>
                <w:rFonts w:hint="default"/>
                <w:color w:val="auto"/>
                <w:kern w:val="0"/>
                <w:sz w:val="24"/>
              </w:rPr>
              <w:t>当Q＜1时，该项目环境风险潜势为I。</w:t>
            </w:r>
          </w:p>
          <w:p w14:paraId="153670DB">
            <w:pPr>
              <w:keepNext w:val="0"/>
              <w:keepLines w:val="0"/>
              <w:suppressLineNumbers w:val="0"/>
              <w:autoSpaceDE w:val="0"/>
              <w:autoSpaceDN w:val="0"/>
              <w:spacing w:before="0" w:beforeAutospacing="0" w:after="0" w:afterAutospacing="0" w:line="360" w:lineRule="auto"/>
              <w:ind w:left="0" w:right="0" w:firstLine="480" w:firstLineChars="200"/>
              <w:rPr>
                <w:rFonts w:hint="default"/>
                <w:color w:val="auto"/>
                <w:sz w:val="24"/>
              </w:rPr>
            </w:pPr>
            <w:r>
              <w:rPr>
                <w:rFonts w:hint="default"/>
                <w:color w:val="auto"/>
                <w:kern w:val="0"/>
                <w:sz w:val="24"/>
              </w:rPr>
              <w:t>当Q≥1时，将Q值划分为：（1）1≤Q＜10；（2）10≤Q＜100；（3）Q≥100。</w:t>
            </w:r>
          </w:p>
          <w:p w14:paraId="1921D958">
            <w:pPr>
              <w:keepNext w:val="0"/>
              <w:keepLines w:val="0"/>
              <w:widowControl/>
              <w:suppressLineNumbers w:val="0"/>
              <w:autoSpaceDE w:val="0"/>
              <w:autoSpaceDN w:val="0"/>
              <w:adjustRightInd w:val="0"/>
              <w:spacing w:before="0" w:beforeAutospacing="0" w:after="0" w:afterAutospacing="0" w:line="360" w:lineRule="auto"/>
              <w:ind w:left="0" w:right="0" w:firstLine="480" w:firstLineChars="200"/>
              <w:rPr>
                <w:rFonts w:hint="default"/>
                <w:color w:val="auto"/>
                <w:sz w:val="24"/>
              </w:rPr>
            </w:pPr>
            <w:r>
              <w:rPr>
                <w:rFonts w:hint="default"/>
                <w:color w:val="auto"/>
                <w:sz w:val="24"/>
              </w:rPr>
              <w:t>项目主要风险源为天然气。若泄露会对地表水、土壤、地下水造成污染。项目Q值确定见</w:t>
            </w:r>
            <w:r>
              <w:rPr>
                <w:rFonts w:hint="eastAsia"/>
                <w:color w:val="auto"/>
                <w:sz w:val="24"/>
                <w:lang w:val="en-US" w:eastAsia="zh-CN"/>
              </w:rPr>
              <w:t>下</w:t>
            </w:r>
            <w:r>
              <w:rPr>
                <w:rFonts w:hint="default"/>
                <w:color w:val="auto"/>
                <w:sz w:val="24"/>
              </w:rPr>
              <w:t>表。</w:t>
            </w:r>
          </w:p>
          <w:p w14:paraId="40A87E7B">
            <w:pPr>
              <w:keepNext w:val="0"/>
              <w:keepLines w:val="0"/>
              <w:suppressLineNumbers w:val="0"/>
              <w:adjustRightInd w:val="0"/>
              <w:spacing w:before="0" w:beforeAutospacing="0" w:after="0" w:afterAutospacing="0"/>
              <w:ind w:left="0" w:right="0"/>
              <w:jc w:val="center"/>
              <w:rPr>
                <w:rFonts w:hint="default"/>
                <w:color w:val="auto"/>
              </w:rPr>
            </w:pPr>
            <w:r>
              <w:rPr>
                <w:rFonts w:hint="default"/>
                <w:b/>
                <w:color w:val="auto"/>
                <w:kern w:val="0"/>
                <w:sz w:val="24"/>
              </w:rPr>
              <w:t>表4-</w:t>
            </w:r>
            <w:r>
              <w:rPr>
                <w:rFonts w:hint="eastAsia"/>
                <w:b/>
                <w:color w:val="auto"/>
                <w:kern w:val="0"/>
                <w:sz w:val="24"/>
                <w:lang w:val="en-US" w:eastAsia="zh-CN"/>
              </w:rPr>
              <w:t>14</w:t>
            </w:r>
            <w:r>
              <w:rPr>
                <w:rFonts w:hint="default"/>
                <w:b/>
                <w:color w:val="auto"/>
                <w:kern w:val="0"/>
                <w:sz w:val="24"/>
              </w:rPr>
              <w:t xml:space="preserve"> </w:t>
            </w:r>
            <w:r>
              <w:rPr>
                <w:rFonts w:hint="eastAsia"/>
                <w:b/>
                <w:color w:val="auto"/>
                <w:kern w:val="0"/>
                <w:sz w:val="24"/>
              </w:rPr>
              <w:t xml:space="preserve"> </w:t>
            </w:r>
            <w:r>
              <w:rPr>
                <w:rFonts w:hint="default"/>
                <w:b/>
                <w:color w:val="auto"/>
                <w:kern w:val="0"/>
                <w:sz w:val="24"/>
              </w:rPr>
              <w:t>Q值计算一览表</w:t>
            </w:r>
          </w:p>
          <w:tbl>
            <w:tblPr>
              <w:tblStyle w:val="3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111"/>
              <w:gridCol w:w="2030"/>
              <w:gridCol w:w="2388"/>
              <w:gridCol w:w="1742"/>
            </w:tblGrid>
            <w:tr w14:paraId="6EA508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76" w:type="pct"/>
                  <w:noWrap w:val="0"/>
                  <w:vAlign w:val="center"/>
                </w:tcPr>
                <w:p w14:paraId="16D0521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bCs/>
                      <w:color w:val="auto"/>
                      <w:sz w:val="21"/>
                      <w:szCs w:val="21"/>
                    </w:rPr>
                  </w:pPr>
                  <w:r>
                    <w:rPr>
                      <w:rFonts w:hint="default"/>
                      <w:b/>
                      <w:bCs/>
                      <w:color w:val="auto"/>
                      <w:sz w:val="21"/>
                      <w:szCs w:val="21"/>
                    </w:rPr>
                    <w:t>危险物质名称</w:t>
                  </w:r>
                </w:p>
              </w:tc>
              <w:tc>
                <w:tcPr>
                  <w:tcW w:w="1227" w:type="pct"/>
                  <w:noWrap w:val="0"/>
                  <w:vAlign w:val="center"/>
                </w:tcPr>
                <w:p w14:paraId="4790FE7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bCs/>
                      <w:color w:val="auto"/>
                      <w:sz w:val="21"/>
                      <w:szCs w:val="21"/>
                    </w:rPr>
                  </w:pPr>
                  <w:r>
                    <w:rPr>
                      <w:rFonts w:hint="default"/>
                      <w:b/>
                      <w:bCs/>
                      <w:color w:val="auto"/>
                      <w:sz w:val="21"/>
                      <w:szCs w:val="21"/>
                    </w:rPr>
                    <w:t>临界量（t）</w:t>
                  </w:r>
                </w:p>
              </w:tc>
              <w:tc>
                <w:tcPr>
                  <w:tcW w:w="1443" w:type="pct"/>
                  <w:noWrap w:val="0"/>
                  <w:vAlign w:val="center"/>
                </w:tcPr>
                <w:p w14:paraId="24D0A3A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bCs/>
                      <w:color w:val="auto"/>
                      <w:sz w:val="21"/>
                      <w:szCs w:val="21"/>
                    </w:rPr>
                  </w:pPr>
                  <w:r>
                    <w:rPr>
                      <w:rFonts w:hint="default"/>
                      <w:b/>
                      <w:bCs/>
                      <w:color w:val="auto"/>
                      <w:sz w:val="21"/>
                      <w:szCs w:val="21"/>
                    </w:rPr>
                    <w:t>项目厂区存在量（t）</w:t>
                  </w:r>
                </w:p>
              </w:tc>
              <w:tc>
                <w:tcPr>
                  <w:tcW w:w="1053" w:type="pct"/>
                  <w:noWrap w:val="0"/>
                  <w:vAlign w:val="center"/>
                </w:tcPr>
                <w:p w14:paraId="4515044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bCs/>
                      <w:color w:val="auto"/>
                      <w:sz w:val="21"/>
                      <w:szCs w:val="21"/>
                    </w:rPr>
                  </w:pPr>
                  <w:r>
                    <w:rPr>
                      <w:rFonts w:hint="default"/>
                      <w:b/>
                      <w:bCs/>
                      <w:color w:val="auto"/>
                      <w:sz w:val="21"/>
                      <w:szCs w:val="21"/>
                    </w:rPr>
                    <w:t>Q</w:t>
                  </w:r>
                </w:p>
              </w:tc>
            </w:tr>
            <w:tr w14:paraId="4B9B01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276" w:type="pct"/>
                  <w:noWrap w:val="0"/>
                  <w:vAlign w:val="center"/>
                </w:tcPr>
                <w:p w14:paraId="04E8F669">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default"/>
                      <w:color w:val="auto"/>
                      <w:sz w:val="21"/>
                      <w:szCs w:val="21"/>
                    </w:rPr>
                  </w:pPr>
                  <w:r>
                    <w:rPr>
                      <w:rFonts w:hint="default"/>
                      <w:color w:val="auto"/>
                      <w:sz w:val="21"/>
                      <w:szCs w:val="21"/>
                    </w:rPr>
                    <w:t>天然气</w:t>
                  </w:r>
                </w:p>
              </w:tc>
              <w:tc>
                <w:tcPr>
                  <w:tcW w:w="1227" w:type="pct"/>
                  <w:noWrap w:val="0"/>
                  <w:vAlign w:val="center"/>
                </w:tcPr>
                <w:p w14:paraId="75CD670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rPr>
                  </w:pPr>
                  <w:r>
                    <w:rPr>
                      <w:rFonts w:hint="eastAsia"/>
                      <w:color w:val="auto"/>
                      <w:sz w:val="21"/>
                      <w:szCs w:val="21"/>
                    </w:rPr>
                    <w:t>10</w:t>
                  </w:r>
                </w:p>
              </w:tc>
              <w:tc>
                <w:tcPr>
                  <w:tcW w:w="1443" w:type="pct"/>
                  <w:noWrap w:val="0"/>
                  <w:vAlign w:val="center"/>
                </w:tcPr>
                <w:p w14:paraId="21A7990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eastAsia="宋体"/>
                      <w:color w:val="auto"/>
                      <w:sz w:val="21"/>
                      <w:szCs w:val="21"/>
                      <w:lang w:val="en-US" w:eastAsia="zh-CN"/>
                    </w:rPr>
                  </w:pPr>
                  <w:r>
                    <w:rPr>
                      <w:rFonts w:hint="eastAsia"/>
                      <w:color w:val="auto"/>
                      <w:sz w:val="21"/>
                      <w:szCs w:val="21"/>
                    </w:rPr>
                    <w:t>0.0</w:t>
                  </w:r>
                  <w:r>
                    <w:rPr>
                      <w:rFonts w:hint="eastAsia"/>
                      <w:color w:val="auto"/>
                      <w:sz w:val="21"/>
                      <w:szCs w:val="21"/>
                      <w:lang w:val="en-US" w:eastAsia="zh-CN"/>
                    </w:rPr>
                    <w:t>1125</w:t>
                  </w:r>
                </w:p>
              </w:tc>
              <w:tc>
                <w:tcPr>
                  <w:tcW w:w="1053" w:type="pct"/>
                  <w:noWrap w:val="0"/>
                  <w:vAlign w:val="center"/>
                </w:tcPr>
                <w:p w14:paraId="01EF169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eastAsia="宋体"/>
                      <w:color w:val="auto"/>
                      <w:sz w:val="21"/>
                      <w:szCs w:val="21"/>
                      <w:lang w:val="en-US" w:eastAsia="zh-CN"/>
                    </w:rPr>
                  </w:pPr>
                  <w:r>
                    <w:rPr>
                      <w:rFonts w:hint="eastAsia"/>
                      <w:color w:val="auto"/>
                      <w:sz w:val="21"/>
                      <w:szCs w:val="21"/>
                    </w:rPr>
                    <w:t>0.00</w:t>
                  </w:r>
                  <w:r>
                    <w:rPr>
                      <w:rFonts w:hint="eastAsia"/>
                      <w:color w:val="auto"/>
                      <w:sz w:val="21"/>
                      <w:szCs w:val="21"/>
                      <w:lang w:val="en-US" w:eastAsia="zh-CN"/>
                    </w:rPr>
                    <w:t>113</w:t>
                  </w:r>
                </w:p>
              </w:tc>
            </w:tr>
          </w:tbl>
          <w:p w14:paraId="74AD69B2">
            <w:pPr>
              <w:keepNext w:val="0"/>
              <w:keepLines w:val="0"/>
              <w:widowControl/>
              <w:suppressLineNumbers w:val="0"/>
              <w:autoSpaceDE w:val="0"/>
              <w:autoSpaceDN w:val="0"/>
              <w:adjustRightInd w:val="0"/>
              <w:spacing w:before="120" w:beforeLines="50" w:beforeAutospacing="0" w:after="0" w:afterAutospacing="0" w:line="360" w:lineRule="auto"/>
              <w:ind w:left="0" w:right="0" w:firstLine="480" w:firstLineChars="200"/>
              <w:rPr>
                <w:rFonts w:hint="default"/>
                <w:color w:val="auto"/>
                <w:sz w:val="24"/>
              </w:rPr>
            </w:pPr>
            <w:r>
              <w:rPr>
                <w:rFonts w:hint="default"/>
                <w:color w:val="auto"/>
                <w:sz w:val="24"/>
              </w:rPr>
              <w:t>由上表可知，本项目Q=0.0</w:t>
            </w:r>
            <w:r>
              <w:rPr>
                <w:rFonts w:hint="eastAsia"/>
                <w:color w:val="auto"/>
                <w:sz w:val="24"/>
                <w:lang w:val="en-US" w:eastAsia="zh-CN"/>
              </w:rPr>
              <w:t>0113</w:t>
            </w:r>
            <w:r>
              <w:rPr>
                <w:rFonts w:hint="default"/>
                <w:color w:val="auto"/>
                <w:sz w:val="24"/>
              </w:rPr>
              <w:t>＜1。</w:t>
            </w:r>
          </w:p>
          <w:p w14:paraId="46B04B56">
            <w:pPr>
              <w:pStyle w:val="47"/>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cs="Times New Roman"/>
                <w:color w:val="auto"/>
              </w:rPr>
            </w:pPr>
            <w:r>
              <w:rPr>
                <w:rFonts w:hint="eastAsia" w:ascii="Times New Roman" w:hAnsi="Times New Roman" w:cs="Times New Roman"/>
                <w:color w:val="auto"/>
              </w:rPr>
              <w:t>3</w:t>
            </w:r>
            <w:r>
              <w:rPr>
                <w:rFonts w:hint="default" w:ascii="Times New Roman" w:hAnsi="Times New Roman" w:cs="Times New Roman"/>
                <w:color w:val="auto"/>
              </w:rPr>
              <w:t>.</w:t>
            </w:r>
            <w:r>
              <w:rPr>
                <w:rFonts w:hint="eastAsia" w:ascii="Times New Roman" w:hAnsi="Times New Roman" w:cs="Times New Roman"/>
                <w:color w:val="auto"/>
              </w:rPr>
              <w:t>环境风险识别及分析</w:t>
            </w:r>
          </w:p>
          <w:p w14:paraId="0751FC0E">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sz w:val="24"/>
              </w:rPr>
            </w:pPr>
            <w:r>
              <w:rPr>
                <w:rFonts w:hint="eastAsia"/>
                <w:color w:val="auto"/>
                <w:sz w:val="24"/>
              </w:rPr>
              <w:t>项目锅炉使用的天然气属于可燃、易燃物品，发生事故的类型主要有泄漏、爆炸和爆燃。天然气泄漏后极易酿成火灾、爆炸事故，造成人员伤亡，并引起大气环境的污染，对环境及周围人群造成极大的危害。</w:t>
            </w:r>
          </w:p>
          <w:p w14:paraId="61D52BA7">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auto"/>
                <w:sz w:val="24"/>
              </w:rPr>
            </w:pPr>
            <w:r>
              <w:rPr>
                <w:rFonts w:hint="default"/>
                <w:color w:val="auto"/>
                <w:sz w:val="24"/>
              </w:rPr>
              <w:t>在天然气燃烧时，产生SO</w:t>
            </w:r>
            <w:r>
              <w:rPr>
                <w:rFonts w:hint="default"/>
                <w:color w:val="auto"/>
                <w:sz w:val="24"/>
                <w:vertAlign w:val="subscript"/>
              </w:rPr>
              <w:t>2</w:t>
            </w:r>
            <w:r>
              <w:rPr>
                <w:rFonts w:hint="default"/>
                <w:color w:val="auto"/>
                <w:sz w:val="24"/>
              </w:rPr>
              <w:t>、CO等大气污染物。身处火场的人员在SO</w:t>
            </w:r>
            <w:r>
              <w:rPr>
                <w:rFonts w:hint="default"/>
                <w:color w:val="auto"/>
                <w:sz w:val="24"/>
                <w:vertAlign w:val="subscript"/>
              </w:rPr>
              <w:t>2</w:t>
            </w:r>
            <w:r>
              <w:rPr>
                <w:rFonts w:hint="default"/>
                <w:color w:val="auto"/>
                <w:sz w:val="24"/>
              </w:rPr>
              <w:t>、CO等气态污染物的笼罩下，会因吸入SO</w:t>
            </w:r>
            <w:r>
              <w:rPr>
                <w:rFonts w:hint="default"/>
                <w:color w:val="auto"/>
                <w:sz w:val="24"/>
                <w:vertAlign w:val="subscript"/>
              </w:rPr>
              <w:t>2</w:t>
            </w:r>
            <w:r>
              <w:rPr>
                <w:rFonts w:hint="default"/>
                <w:color w:val="auto"/>
                <w:sz w:val="24"/>
              </w:rPr>
              <w:t>、CO，以及缺氧而失去判断能力，进而产生伤亡。在火灾瞬间会对生命安全以及环境有巨大影响，但经过扩散及</w:t>
            </w:r>
            <w:r>
              <w:rPr>
                <w:rFonts w:hint="eastAsia"/>
                <w:color w:val="auto"/>
                <w:sz w:val="24"/>
              </w:rPr>
              <w:t>火灾扑灭后，其影响也随之消失，经过扩散稀释，其对周边环境的影响较小。</w:t>
            </w:r>
          </w:p>
          <w:p w14:paraId="7177C2AD">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auto"/>
                <w:sz w:val="24"/>
              </w:rPr>
            </w:pPr>
            <w:r>
              <w:rPr>
                <w:rFonts w:hint="eastAsia"/>
                <w:color w:val="auto"/>
                <w:sz w:val="24"/>
              </w:rPr>
              <w:t>4</w:t>
            </w:r>
            <w:r>
              <w:rPr>
                <w:rFonts w:hint="default"/>
                <w:color w:val="auto"/>
                <w:sz w:val="24"/>
              </w:rPr>
              <w:t>.</w:t>
            </w:r>
            <w:r>
              <w:rPr>
                <w:rFonts w:hint="eastAsia"/>
                <w:color w:val="auto"/>
                <w:sz w:val="24"/>
              </w:rPr>
              <w:t>环境风险防范措施及应急要求</w:t>
            </w:r>
          </w:p>
          <w:p w14:paraId="49F8D267">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auto"/>
                <w:sz w:val="24"/>
              </w:rPr>
            </w:pPr>
            <w:r>
              <w:rPr>
                <w:rFonts w:hint="eastAsia"/>
                <w:color w:val="auto"/>
                <w:sz w:val="24"/>
              </w:rPr>
              <w:t>本次评价对风险识别及事故影响进行简要分析，提出防范和应急措施。风险管理措施如下：</w:t>
            </w:r>
          </w:p>
          <w:p w14:paraId="11461525">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auto"/>
                <w:sz w:val="24"/>
              </w:rPr>
            </w:pPr>
            <w:r>
              <w:rPr>
                <w:rFonts w:hint="eastAsia"/>
                <w:color w:val="auto"/>
                <w:sz w:val="24"/>
              </w:rPr>
              <w:t>（1）天然气管道、管件等采用可靠的密封技术并设置自控报警系统，一旦出现天然气泄漏现象及时报警，自动切断气源。</w:t>
            </w:r>
          </w:p>
          <w:p w14:paraId="2AF3202A">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auto"/>
                <w:sz w:val="24"/>
              </w:rPr>
            </w:pPr>
            <w:r>
              <w:rPr>
                <w:rFonts w:hint="eastAsia"/>
                <w:color w:val="auto"/>
                <w:sz w:val="24"/>
              </w:rPr>
              <w:t>（2）建立健全各项规章制度，应在锅炉房醒目位置设立“严禁烟火”、“禁火区”等警示标语和标牌。</w:t>
            </w:r>
          </w:p>
          <w:p w14:paraId="1748CA00">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auto"/>
                <w:sz w:val="24"/>
              </w:rPr>
            </w:pPr>
            <w:r>
              <w:rPr>
                <w:rFonts w:hint="eastAsia"/>
                <w:color w:val="auto"/>
                <w:sz w:val="24"/>
              </w:rPr>
              <w:t>（3）锅炉房内配置灭火器、灭火毯等器材，发生火灾时，防止火势蔓延。</w:t>
            </w:r>
          </w:p>
          <w:p w14:paraId="37BFF19E">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auto"/>
                <w:sz w:val="24"/>
              </w:rPr>
            </w:pPr>
            <w:r>
              <w:rPr>
                <w:rFonts w:hint="eastAsia"/>
                <w:color w:val="auto"/>
                <w:sz w:val="24"/>
              </w:rPr>
              <w:t>（4）锅炉房附近严禁堆放易燃易爆物质，严禁使用明火，定期检查，排除隐患。禁止任何人携带火种和易产生碰撞火花的钉鞋器等进入锅炉房内。操作和维修设备时，应采用不发火的工具。</w:t>
            </w:r>
          </w:p>
          <w:p w14:paraId="301021BF">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auto"/>
                <w:sz w:val="24"/>
              </w:rPr>
            </w:pPr>
            <w:r>
              <w:rPr>
                <w:rFonts w:hint="eastAsia"/>
                <w:color w:val="auto"/>
                <w:sz w:val="24"/>
              </w:rPr>
              <w:t>（5）消防器材应设置在明显和便于取用的地点，周围不准堆放物品和杂物。锅炉房的消防设施、器材应由专人管理，负责检查、维修、保养、更换和添置，保证完好有效，严禁圈占、埋压和挪用。对消火栓、灭火器等消防器材应当经常进行检查，保持完整好用。</w:t>
            </w:r>
          </w:p>
          <w:p w14:paraId="034869F4">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sz w:val="24"/>
              </w:rPr>
            </w:pPr>
            <w:r>
              <w:rPr>
                <w:rFonts w:hint="eastAsia"/>
                <w:color w:val="auto"/>
                <w:sz w:val="24"/>
              </w:rPr>
              <w:t>（6）编制突发环境事件应急预案，实行环境突发事件应急工作责任制，将责任明确落实到人，加强相关人员的</w:t>
            </w:r>
            <w:r>
              <w:rPr>
                <w:rFonts w:hint="eastAsia" w:ascii="宋体" w:hAnsi="宋体"/>
                <w:color w:val="auto"/>
                <w:sz w:val="24"/>
              </w:rPr>
              <w:t>责任感。</w:t>
            </w:r>
          </w:p>
          <w:p w14:paraId="33B2DED9">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auto"/>
                <w:sz w:val="24"/>
              </w:rPr>
            </w:pPr>
            <w:r>
              <w:rPr>
                <w:rFonts w:hint="eastAsia"/>
                <w:color w:val="auto"/>
                <w:sz w:val="24"/>
              </w:rPr>
              <w:t>5</w:t>
            </w:r>
            <w:r>
              <w:rPr>
                <w:rFonts w:hint="default"/>
                <w:color w:val="auto"/>
                <w:sz w:val="24"/>
              </w:rPr>
              <w:t>.</w:t>
            </w:r>
            <w:r>
              <w:rPr>
                <w:rFonts w:hint="eastAsia"/>
                <w:color w:val="auto"/>
                <w:sz w:val="24"/>
              </w:rPr>
              <w:t>风险应急措施</w:t>
            </w:r>
          </w:p>
          <w:p w14:paraId="4211D510">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auto"/>
                <w:sz w:val="24"/>
              </w:rPr>
            </w:pPr>
            <w:r>
              <w:rPr>
                <w:rFonts w:hint="eastAsia"/>
                <w:color w:val="auto"/>
                <w:sz w:val="24"/>
              </w:rPr>
              <w:t>（1）当发生火灾事故时，当事者应立即采取先行措施，如切断气源；在火势较小的情况下立即使用灭火器材扑灭，同时使用手机等通讯装备通知上级领导启动突发环境事件应急预案。</w:t>
            </w:r>
          </w:p>
          <w:p w14:paraId="24D4F341">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auto"/>
                <w:sz w:val="24"/>
              </w:rPr>
            </w:pPr>
            <w:r>
              <w:rPr>
                <w:rFonts w:hint="eastAsia"/>
                <w:color w:val="auto"/>
                <w:sz w:val="24"/>
              </w:rPr>
              <w:t>（2）对事故发生区域周边人群进行疏散，并转移周围可能受火灾影响发生燃爆的其他耗材。</w:t>
            </w:r>
          </w:p>
          <w:p w14:paraId="4B9525B0">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sz w:val="24"/>
              </w:rPr>
            </w:pPr>
            <w:r>
              <w:rPr>
                <w:rFonts w:hint="eastAsia"/>
                <w:color w:val="auto"/>
                <w:sz w:val="24"/>
              </w:rPr>
              <w:t>（3）通知应急监测单位对因火灾事故产生的废气、废水进行应急监测，了解风险事故对周边环境影响情况。</w:t>
            </w:r>
          </w:p>
          <w:p w14:paraId="3069C759">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sz w:val="24"/>
              </w:rPr>
            </w:pPr>
            <w:r>
              <w:rPr>
                <w:rFonts w:hint="eastAsia"/>
                <w:color w:val="auto"/>
                <w:sz w:val="24"/>
              </w:rPr>
              <w:t>6</w:t>
            </w:r>
            <w:r>
              <w:rPr>
                <w:rFonts w:hint="default"/>
                <w:color w:val="auto"/>
                <w:sz w:val="24"/>
              </w:rPr>
              <w:t>.</w:t>
            </w:r>
            <w:r>
              <w:rPr>
                <w:rFonts w:hint="eastAsia"/>
                <w:color w:val="auto"/>
                <w:sz w:val="24"/>
              </w:rPr>
              <w:t>分析结论</w:t>
            </w:r>
          </w:p>
          <w:p w14:paraId="6541AD0D">
            <w:pPr>
              <w:keepNext w:val="0"/>
              <w:keepLines w:val="0"/>
              <w:suppressLineNumbers w:val="0"/>
              <w:spacing w:before="0" w:beforeAutospacing="0" w:after="0" w:afterAutospacing="0"/>
              <w:ind w:left="0" w:right="0" w:firstLine="480"/>
              <w:rPr>
                <w:rFonts w:hint="default"/>
                <w:color w:val="auto"/>
                <w:highlight w:val="none"/>
              </w:rPr>
            </w:pPr>
            <w:r>
              <w:rPr>
                <w:rFonts w:hint="default"/>
                <w:color w:val="auto"/>
                <w:sz w:val="24"/>
              </w:rPr>
              <w:t>通过采取以上环境风险防范措施，本项目环境风险能够控制在可接受范围之内。</w:t>
            </w:r>
          </w:p>
        </w:tc>
      </w:tr>
    </w:tbl>
    <w:p w14:paraId="466F8D83">
      <w:pPr>
        <w:adjustRightInd w:val="0"/>
        <w:snapToGrid w:val="0"/>
        <w:ind w:firstLine="562"/>
        <w:rPr>
          <w:b/>
          <w:color w:val="auto"/>
          <w:kern w:val="0"/>
          <w:sz w:val="28"/>
          <w:szCs w:val="28"/>
          <w:highlight w:val="none"/>
        </w:rPr>
        <w:sectPr>
          <w:pgSz w:w="11907" w:h="16840"/>
          <w:pgMar w:top="1701" w:right="1531" w:bottom="2127" w:left="1531" w:header="851" w:footer="1134" w:gutter="0"/>
          <w:pgBorders>
            <w:top w:val="none" w:sz="0" w:space="0"/>
            <w:left w:val="none" w:sz="0" w:space="0"/>
            <w:bottom w:val="none" w:sz="0" w:space="0"/>
            <w:right w:val="none" w:sz="0" w:space="0"/>
          </w:pgBorders>
          <w:pgNumType w:fmt="numberInDash"/>
          <w:cols w:space="720" w:num="1"/>
          <w:docGrid w:linePitch="312" w:charSpace="0"/>
        </w:sectPr>
      </w:pPr>
    </w:p>
    <w:p w14:paraId="66DCF1CA">
      <w:pPr>
        <w:pStyle w:val="32"/>
        <w:ind w:firstLine="600"/>
        <w:jc w:val="center"/>
        <w:outlineLvl w:val="0"/>
        <w:rPr>
          <w:rFonts w:ascii="Times New Roman" w:hAnsi="Times New Roman" w:eastAsia="黑体"/>
          <w:snapToGrid w:val="0"/>
          <w:color w:val="auto"/>
          <w:sz w:val="30"/>
          <w:szCs w:val="30"/>
          <w:highlight w:val="none"/>
        </w:rPr>
      </w:pPr>
      <w:r>
        <w:rPr>
          <w:rFonts w:ascii="Times New Roman" w:hAnsi="Times New Roman" w:eastAsia="黑体"/>
          <w:snapToGrid w:val="0"/>
          <w:color w:val="auto"/>
          <w:sz w:val="30"/>
          <w:szCs w:val="30"/>
          <w:highlight w:val="none"/>
        </w:rPr>
        <w:t>五、</w:t>
      </w:r>
      <w:bookmarkStart w:id="2" w:name="_Hlk54167917"/>
      <w:r>
        <w:rPr>
          <w:rFonts w:ascii="Times New Roman" w:hAnsi="Times New Roman" w:eastAsia="黑体"/>
          <w:snapToGrid w:val="0"/>
          <w:color w:val="auto"/>
          <w:sz w:val="30"/>
          <w:szCs w:val="30"/>
          <w:highlight w:val="none"/>
        </w:rPr>
        <w:t>环境保护措施监督检查清单</w:t>
      </w:r>
      <w:bookmarkEnd w:id="2"/>
    </w:p>
    <w:tbl>
      <w:tblPr>
        <w:tblStyle w:val="37"/>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77"/>
        <w:gridCol w:w="1690"/>
        <w:gridCol w:w="1273"/>
        <w:gridCol w:w="1995"/>
        <w:gridCol w:w="2525"/>
      </w:tblGrid>
      <w:tr w14:paraId="50D32E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7" w:type="dxa"/>
            <w:tcBorders>
              <w:tl2br w:val="single" w:color="auto" w:sz="4" w:space="0"/>
            </w:tcBorders>
            <w:vAlign w:val="center"/>
          </w:tcPr>
          <w:p w14:paraId="50F7F7A7">
            <w:pPr>
              <w:pStyle w:val="80"/>
              <w:keepNext w:val="0"/>
              <w:keepLines w:val="0"/>
              <w:widowControl/>
              <w:suppressLineNumbers w:val="0"/>
              <w:spacing w:before="0" w:beforeAutospacing="0" w:after="0" w:afterAutospacing="0"/>
              <w:ind w:left="0" w:right="0"/>
              <w:jc w:val="right"/>
              <w:rPr>
                <w:rFonts w:hint="default"/>
                <w:color w:val="auto"/>
                <w:szCs w:val="20"/>
                <w:highlight w:val="none"/>
              </w:rPr>
            </w:pPr>
            <w:r>
              <w:rPr>
                <w:rFonts w:hint="default"/>
                <w:color w:val="auto"/>
                <w:szCs w:val="20"/>
                <w:highlight w:val="none"/>
              </w:rPr>
              <w:t>内容</w:t>
            </w:r>
          </w:p>
          <w:p w14:paraId="05DD0347">
            <w:pPr>
              <w:pStyle w:val="80"/>
              <w:keepNext w:val="0"/>
              <w:keepLines w:val="0"/>
              <w:widowControl/>
              <w:suppressLineNumbers w:val="0"/>
              <w:spacing w:before="0" w:beforeAutospacing="0" w:after="0" w:afterAutospacing="0"/>
              <w:ind w:left="0" w:right="0"/>
              <w:jc w:val="both"/>
              <w:rPr>
                <w:rFonts w:hint="default"/>
                <w:color w:val="auto"/>
                <w:szCs w:val="20"/>
                <w:highlight w:val="none"/>
              </w:rPr>
            </w:pPr>
            <w:r>
              <w:rPr>
                <w:rFonts w:hint="default"/>
                <w:color w:val="auto"/>
                <w:szCs w:val="20"/>
                <w:highlight w:val="none"/>
              </w:rPr>
              <w:t>要素</w:t>
            </w:r>
          </w:p>
        </w:tc>
        <w:tc>
          <w:tcPr>
            <w:tcW w:w="1690" w:type="dxa"/>
            <w:vAlign w:val="center"/>
          </w:tcPr>
          <w:p w14:paraId="73151E1A">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排放口</w:t>
            </w:r>
            <w:r>
              <w:rPr>
                <w:rFonts w:hint="eastAsia"/>
                <w:color w:val="auto"/>
                <w:szCs w:val="20"/>
                <w:highlight w:val="none"/>
              </w:rPr>
              <w:t>（</w:t>
            </w:r>
            <w:r>
              <w:rPr>
                <w:rFonts w:hint="default"/>
                <w:color w:val="auto"/>
                <w:szCs w:val="20"/>
                <w:highlight w:val="none"/>
              </w:rPr>
              <w:t>编号、</w:t>
            </w:r>
          </w:p>
          <w:p w14:paraId="62338EDA">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名称</w:t>
            </w:r>
            <w:r>
              <w:rPr>
                <w:rFonts w:hint="eastAsia"/>
                <w:color w:val="auto"/>
                <w:szCs w:val="20"/>
                <w:highlight w:val="none"/>
              </w:rPr>
              <w:t>）</w:t>
            </w:r>
            <w:r>
              <w:rPr>
                <w:rFonts w:hint="default"/>
                <w:color w:val="auto"/>
                <w:szCs w:val="20"/>
                <w:highlight w:val="none"/>
              </w:rPr>
              <w:t>/污染源</w:t>
            </w:r>
          </w:p>
        </w:tc>
        <w:tc>
          <w:tcPr>
            <w:tcW w:w="1273" w:type="dxa"/>
            <w:vAlign w:val="center"/>
          </w:tcPr>
          <w:p w14:paraId="2525C6C4">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污染物项目</w:t>
            </w:r>
          </w:p>
        </w:tc>
        <w:tc>
          <w:tcPr>
            <w:tcW w:w="1995" w:type="dxa"/>
            <w:vAlign w:val="center"/>
          </w:tcPr>
          <w:p w14:paraId="38C43515">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环境保护措施</w:t>
            </w:r>
          </w:p>
        </w:tc>
        <w:tc>
          <w:tcPr>
            <w:tcW w:w="2525" w:type="dxa"/>
            <w:vAlign w:val="center"/>
          </w:tcPr>
          <w:p w14:paraId="1EAB36AE">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执行标准</w:t>
            </w:r>
          </w:p>
        </w:tc>
      </w:tr>
      <w:tr w14:paraId="18C3E5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7" w:type="dxa"/>
            <w:vMerge w:val="restart"/>
            <w:vAlign w:val="center"/>
          </w:tcPr>
          <w:p w14:paraId="6F5022D9">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大气环境</w:t>
            </w:r>
          </w:p>
        </w:tc>
        <w:tc>
          <w:tcPr>
            <w:tcW w:w="1690" w:type="dxa"/>
            <w:vAlign w:val="center"/>
          </w:tcPr>
          <w:p w14:paraId="261EA57A">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锅炉废气（DA001）</w:t>
            </w:r>
          </w:p>
        </w:tc>
        <w:tc>
          <w:tcPr>
            <w:tcW w:w="1273" w:type="dxa"/>
            <w:vAlign w:val="center"/>
          </w:tcPr>
          <w:p w14:paraId="0340C7A0">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default" w:ascii="Times New Roman" w:hAnsi="Times New Roman" w:eastAsia="宋体" w:cs="Times New Roman"/>
                <w:color w:val="auto"/>
                <w:szCs w:val="20"/>
                <w:highlight w:val="none"/>
                <w:lang w:eastAsia="zh-CN"/>
              </w:rPr>
              <w:t>颗粒物</w:t>
            </w:r>
            <w:r>
              <w:rPr>
                <w:rFonts w:hint="eastAsia" w:ascii="Times New Roman" w:hAnsi="Times New Roman" w:eastAsia="宋体" w:cs="Times New Roman"/>
                <w:color w:val="auto"/>
                <w:szCs w:val="20"/>
                <w:highlight w:val="none"/>
                <w:lang w:eastAsia="zh-CN"/>
              </w:rPr>
              <w:t>、</w:t>
            </w:r>
            <w:r>
              <w:rPr>
                <w:rFonts w:hint="default" w:ascii="Times New Roman" w:hAnsi="Times New Roman" w:eastAsia="宋体" w:cs="Times New Roman"/>
                <w:color w:val="auto"/>
                <w:szCs w:val="20"/>
                <w:highlight w:val="none"/>
                <w:lang w:eastAsia="zh-CN"/>
              </w:rPr>
              <w:t>SO</w:t>
            </w:r>
            <w:r>
              <w:rPr>
                <w:rFonts w:hint="default" w:ascii="Times New Roman" w:hAnsi="Times New Roman" w:eastAsia="宋体" w:cs="Times New Roman"/>
                <w:color w:val="auto"/>
                <w:szCs w:val="20"/>
                <w:highlight w:val="none"/>
                <w:vertAlign w:val="subscript"/>
                <w:lang w:eastAsia="zh-CN"/>
              </w:rPr>
              <w:t>2</w:t>
            </w:r>
            <w:r>
              <w:rPr>
                <w:rFonts w:hint="eastAsia" w:ascii="Times New Roman" w:hAnsi="Times New Roman" w:eastAsia="宋体" w:cs="Times New Roman"/>
                <w:color w:val="auto"/>
                <w:szCs w:val="20"/>
                <w:highlight w:val="none"/>
                <w:lang w:eastAsia="zh-CN"/>
              </w:rPr>
              <w:t>、</w:t>
            </w:r>
            <w:r>
              <w:rPr>
                <w:rFonts w:hint="default" w:ascii="Times New Roman" w:hAnsi="Times New Roman" w:eastAsia="宋体" w:cs="Times New Roman"/>
                <w:color w:val="auto"/>
                <w:szCs w:val="20"/>
                <w:highlight w:val="none"/>
                <w:lang w:eastAsia="zh-CN"/>
              </w:rPr>
              <w:t>NOx</w:t>
            </w:r>
          </w:p>
        </w:tc>
        <w:tc>
          <w:tcPr>
            <w:tcW w:w="1995" w:type="dxa"/>
            <w:vAlign w:val="center"/>
          </w:tcPr>
          <w:p w14:paraId="7FEF1CD0">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低氮燃烧器</w:t>
            </w:r>
            <w:r>
              <w:rPr>
                <w:rFonts w:hint="eastAsia"/>
                <w:color w:val="auto"/>
                <w:szCs w:val="20"/>
                <w:highlight w:val="none"/>
              </w:rPr>
              <w:t>+</w:t>
            </w:r>
            <w:r>
              <w:rPr>
                <w:rFonts w:hint="eastAsia"/>
                <w:color w:val="auto"/>
                <w:szCs w:val="20"/>
                <w:highlight w:val="none"/>
                <w:lang w:val="en-US" w:eastAsia="zh-CN"/>
              </w:rPr>
              <w:t>8</w:t>
            </w:r>
            <w:r>
              <w:rPr>
                <w:rFonts w:hint="eastAsia"/>
                <w:color w:val="auto"/>
                <w:szCs w:val="20"/>
                <w:highlight w:val="none"/>
              </w:rPr>
              <w:t>m排气筒</w:t>
            </w:r>
          </w:p>
        </w:tc>
        <w:tc>
          <w:tcPr>
            <w:tcW w:w="2525" w:type="dxa"/>
            <w:vMerge w:val="restart"/>
            <w:vAlign w:val="center"/>
          </w:tcPr>
          <w:p w14:paraId="4947653C">
            <w:pPr>
              <w:pStyle w:val="80"/>
              <w:keepNext w:val="0"/>
              <w:keepLines w:val="0"/>
              <w:widowControl/>
              <w:suppressLineNumbers w:val="0"/>
              <w:snapToGrid w:val="0"/>
              <w:spacing w:before="0" w:beforeAutospacing="0" w:after="0" w:afterAutospacing="0"/>
              <w:ind w:left="0" w:right="0"/>
              <w:rPr>
                <w:rFonts w:hint="default"/>
                <w:color w:val="auto"/>
                <w:szCs w:val="20"/>
                <w:highlight w:val="yellow"/>
              </w:rPr>
            </w:pPr>
            <w:r>
              <w:rPr>
                <w:rFonts w:hint="default" w:ascii="Times New Roman" w:hAnsi="Times New Roman" w:cs="Times New Roman"/>
                <w:color w:val="auto"/>
                <w:sz w:val="21"/>
                <w:szCs w:val="21"/>
                <w:highlight w:val="none"/>
              </w:rPr>
              <w:t>《锅炉大气污染物排放标准》（DB61/1226-2018）</w:t>
            </w:r>
          </w:p>
        </w:tc>
      </w:tr>
      <w:tr w14:paraId="337B05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7" w:type="dxa"/>
            <w:vMerge w:val="continue"/>
            <w:vAlign w:val="center"/>
          </w:tcPr>
          <w:p w14:paraId="17ABAD6D">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690" w:type="dxa"/>
            <w:vAlign w:val="center"/>
          </w:tcPr>
          <w:p w14:paraId="24D7026D">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lang w:val="en-US" w:eastAsia="zh-CN"/>
              </w:rPr>
            </w:pPr>
            <w:r>
              <w:rPr>
                <w:rFonts w:hint="eastAsia"/>
                <w:color w:val="auto"/>
                <w:szCs w:val="20"/>
                <w:highlight w:val="none"/>
                <w:lang w:val="en-US" w:eastAsia="zh-CN"/>
              </w:rPr>
              <w:t>锅炉废气（DA002）</w:t>
            </w:r>
          </w:p>
        </w:tc>
        <w:tc>
          <w:tcPr>
            <w:tcW w:w="1273" w:type="dxa"/>
            <w:vAlign w:val="center"/>
          </w:tcPr>
          <w:p w14:paraId="024CA6D7">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rPr>
            </w:pPr>
            <w:r>
              <w:rPr>
                <w:rFonts w:hint="default" w:ascii="Times New Roman" w:hAnsi="Times New Roman" w:eastAsia="宋体" w:cs="Times New Roman"/>
                <w:color w:val="auto"/>
                <w:szCs w:val="20"/>
                <w:highlight w:val="none"/>
                <w:lang w:eastAsia="zh-CN"/>
              </w:rPr>
              <w:t>颗粒物</w:t>
            </w:r>
            <w:r>
              <w:rPr>
                <w:rFonts w:hint="eastAsia" w:ascii="Times New Roman" w:hAnsi="Times New Roman" w:eastAsia="宋体" w:cs="Times New Roman"/>
                <w:color w:val="auto"/>
                <w:szCs w:val="20"/>
                <w:highlight w:val="none"/>
                <w:lang w:eastAsia="zh-CN"/>
              </w:rPr>
              <w:t>、</w:t>
            </w:r>
            <w:r>
              <w:rPr>
                <w:rFonts w:hint="default" w:ascii="Times New Roman" w:hAnsi="Times New Roman" w:eastAsia="宋体" w:cs="Times New Roman"/>
                <w:color w:val="auto"/>
                <w:szCs w:val="20"/>
                <w:highlight w:val="none"/>
                <w:lang w:eastAsia="zh-CN"/>
              </w:rPr>
              <w:t>SO</w:t>
            </w:r>
            <w:r>
              <w:rPr>
                <w:rFonts w:hint="default" w:ascii="Times New Roman" w:hAnsi="Times New Roman" w:eastAsia="宋体" w:cs="Times New Roman"/>
                <w:color w:val="auto"/>
                <w:szCs w:val="20"/>
                <w:highlight w:val="none"/>
                <w:vertAlign w:val="subscript"/>
                <w:lang w:eastAsia="zh-CN"/>
              </w:rPr>
              <w:t>2</w:t>
            </w:r>
            <w:r>
              <w:rPr>
                <w:rFonts w:hint="eastAsia" w:ascii="Times New Roman" w:hAnsi="Times New Roman" w:eastAsia="宋体" w:cs="Times New Roman"/>
                <w:color w:val="auto"/>
                <w:szCs w:val="20"/>
                <w:highlight w:val="none"/>
                <w:lang w:eastAsia="zh-CN"/>
              </w:rPr>
              <w:t>、</w:t>
            </w:r>
            <w:r>
              <w:rPr>
                <w:rFonts w:hint="default" w:ascii="Times New Roman" w:hAnsi="Times New Roman" w:eastAsia="宋体" w:cs="Times New Roman"/>
                <w:color w:val="auto"/>
                <w:szCs w:val="20"/>
                <w:highlight w:val="none"/>
                <w:lang w:eastAsia="zh-CN"/>
              </w:rPr>
              <w:t>NOx</w:t>
            </w:r>
          </w:p>
        </w:tc>
        <w:tc>
          <w:tcPr>
            <w:tcW w:w="1995" w:type="dxa"/>
            <w:vAlign w:val="center"/>
          </w:tcPr>
          <w:p w14:paraId="442E243A">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rPr>
            </w:pPr>
            <w:r>
              <w:rPr>
                <w:rFonts w:hint="eastAsia"/>
                <w:color w:val="auto"/>
                <w:szCs w:val="20"/>
                <w:highlight w:val="none"/>
                <w:lang w:val="en-US" w:eastAsia="zh-CN"/>
              </w:rPr>
              <w:t>低氮燃烧器</w:t>
            </w:r>
            <w:r>
              <w:rPr>
                <w:rFonts w:hint="eastAsia"/>
                <w:color w:val="auto"/>
                <w:szCs w:val="20"/>
                <w:highlight w:val="none"/>
              </w:rPr>
              <w:t>+</w:t>
            </w:r>
            <w:r>
              <w:rPr>
                <w:rFonts w:hint="eastAsia"/>
                <w:color w:val="auto"/>
                <w:szCs w:val="20"/>
                <w:highlight w:val="none"/>
                <w:lang w:val="en-US" w:eastAsia="zh-CN"/>
              </w:rPr>
              <w:t>13</w:t>
            </w:r>
            <w:r>
              <w:rPr>
                <w:rFonts w:hint="eastAsia"/>
                <w:color w:val="auto"/>
                <w:szCs w:val="20"/>
                <w:highlight w:val="none"/>
              </w:rPr>
              <w:t>m排气筒</w:t>
            </w:r>
          </w:p>
        </w:tc>
        <w:tc>
          <w:tcPr>
            <w:tcW w:w="2525" w:type="dxa"/>
            <w:vMerge w:val="continue"/>
            <w:vAlign w:val="center"/>
          </w:tcPr>
          <w:p w14:paraId="42F830C8">
            <w:pPr>
              <w:pStyle w:val="80"/>
              <w:keepNext w:val="0"/>
              <w:keepLines w:val="0"/>
              <w:widowControl/>
              <w:suppressLineNumbers w:val="0"/>
              <w:snapToGrid w:val="0"/>
              <w:spacing w:before="0" w:beforeAutospacing="0" w:after="0" w:afterAutospacing="0"/>
              <w:ind w:left="0" w:right="0"/>
              <w:rPr>
                <w:rFonts w:hint="default"/>
                <w:color w:val="auto"/>
                <w:szCs w:val="20"/>
                <w:highlight w:val="yellow"/>
              </w:rPr>
            </w:pPr>
          </w:p>
        </w:tc>
      </w:tr>
      <w:tr w14:paraId="5A5EFB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7" w:type="dxa"/>
            <w:vMerge w:val="continue"/>
            <w:vAlign w:val="center"/>
          </w:tcPr>
          <w:p w14:paraId="2C4A1469">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690" w:type="dxa"/>
            <w:vAlign w:val="center"/>
          </w:tcPr>
          <w:p w14:paraId="7E0D957B">
            <w:pPr>
              <w:pStyle w:val="80"/>
              <w:keepNext w:val="0"/>
              <w:keepLines w:val="0"/>
              <w:widowControl/>
              <w:suppressLineNumbers w:val="0"/>
              <w:spacing w:before="0" w:beforeAutospacing="0" w:after="0" w:afterAutospacing="0"/>
              <w:ind w:left="0" w:leftChars="0" w:right="0" w:rightChars="0"/>
              <w:rPr>
                <w:rFonts w:hint="default"/>
                <w:color w:val="auto"/>
                <w:szCs w:val="20"/>
                <w:highlight w:val="none"/>
                <w:lang w:val="en-US" w:eastAsia="zh-CN"/>
              </w:rPr>
            </w:pPr>
            <w:r>
              <w:rPr>
                <w:rFonts w:hint="eastAsia"/>
                <w:color w:val="auto"/>
                <w:szCs w:val="20"/>
                <w:highlight w:val="none"/>
                <w:lang w:val="en-US" w:eastAsia="zh-CN"/>
              </w:rPr>
              <w:t>油烟（DA003）、异味</w:t>
            </w:r>
          </w:p>
        </w:tc>
        <w:tc>
          <w:tcPr>
            <w:tcW w:w="1273" w:type="dxa"/>
            <w:vAlign w:val="center"/>
          </w:tcPr>
          <w:p w14:paraId="1FB06B6C">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Cs w:val="20"/>
                <w:highlight w:val="none"/>
                <w:lang w:val="en-US" w:eastAsia="zh-CN"/>
              </w:rPr>
            </w:pPr>
            <w:r>
              <w:rPr>
                <w:rFonts w:hint="eastAsia" w:ascii="Times New Roman" w:hAnsi="Times New Roman" w:eastAsia="宋体" w:cs="Times New Roman"/>
                <w:color w:val="auto"/>
                <w:szCs w:val="20"/>
                <w:highlight w:val="none"/>
                <w:lang w:val="en-US" w:eastAsia="zh-CN"/>
              </w:rPr>
              <w:t>油烟</w:t>
            </w:r>
            <w:r>
              <w:rPr>
                <w:rFonts w:hint="eastAsia" w:cs="Times New Roman"/>
                <w:color w:val="auto"/>
                <w:szCs w:val="20"/>
                <w:highlight w:val="none"/>
                <w:lang w:val="en-US" w:eastAsia="zh-CN"/>
              </w:rPr>
              <w:t>、烘烤异味</w:t>
            </w:r>
          </w:p>
        </w:tc>
        <w:tc>
          <w:tcPr>
            <w:tcW w:w="1995" w:type="dxa"/>
            <w:vAlign w:val="center"/>
          </w:tcPr>
          <w:p w14:paraId="100C9EBB">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color w:val="auto"/>
                <w:szCs w:val="20"/>
                <w:highlight w:val="none"/>
                <w:lang w:val="en-US" w:eastAsia="zh-CN"/>
              </w:rPr>
            </w:pPr>
            <w:r>
              <w:rPr>
                <w:rFonts w:hint="default" w:ascii="Times New Roman" w:hAnsi="Times New Roman" w:eastAsia="宋体" w:cs="Times New Roman"/>
                <w:color w:val="auto"/>
                <w:szCs w:val="20"/>
                <w:highlight w:val="none"/>
                <w:lang w:val="en-US" w:eastAsia="zh-CN"/>
              </w:rPr>
              <w:t>2台高效型静电式油烟净化器</w:t>
            </w:r>
            <w:r>
              <w:rPr>
                <w:rFonts w:hint="eastAsia" w:ascii="Times New Roman" w:hAnsi="Times New Roman" w:eastAsia="宋体" w:cs="Times New Roman"/>
                <w:color w:val="auto"/>
                <w:szCs w:val="20"/>
                <w:highlight w:val="none"/>
                <w:lang w:val="en-US" w:eastAsia="zh-CN"/>
              </w:rPr>
              <w:t>+1个24m烟道</w:t>
            </w:r>
          </w:p>
        </w:tc>
        <w:tc>
          <w:tcPr>
            <w:tcW w:w="2525" w:type="dxa"/>
            <w:vAlign w:val="center"/>
          </w:tcPr>
          <w:p w14:paraId="35F08EEA">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val="en-US" w:eastAsia="zh-CN"/>
              </w:rPr>
            </w:pPr>
            <w:r>
              <w:rPr>
                <w:rFonts w:hint="default" w:ascii="Times New Roman" w:hAnsi="Times New Roman" w:eastAsia="宋体" w:cs="Times New Roman"/>
                <w:color w:val="auto"/>
                <w:szCs w:val="20"/>
                <w:highlight w:val="none"/>
                <w:lang w:val="en-US" w:eastAsia="zh-CN"/>
              </w:rPr>
              <w:t>《饮食业油烟排放标准（试行）》（GB18483-2001）</w:t>
            </w:r>
          </w:p>
        </w:tc>
      </w:tr>
      <w:tr w14:paraId="608FD3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7" w:type="dxa"/>
            <w:vMerge w:val="continue"/>
            <w:vAlign w:val="center"/>
          </w:tcPr>
          <w:p w14:paraId="52A0EF5A">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690" w:type="dxa"/>
            <w:vAlign w:val="center"/>
          </w:tcPr>
          <w:p w14:paraId="7CC44808">
            <w:pPr>
              <w:pStyle w:val="80"/>
              <w:keepNext w:val="0"/>
              <w:keepLines w:val="0"/>
              <w:widowControl/>
              <w:suppressLineNumbers w:val="0"/>
              <w:spacing w:before="0" w:beforeAutospacing="0" w:after="0" w:afterAutospacing="0"/>
              <w:ind w:left="0" w:leftChars="0" w:right="0" w:rightChars="0"/>
              <w:rPr>
                <w:rFonts w:hint="default"/>
                <w:color w:val="auto"/>
                <w:szCs w:val="20"/>
                <w:highlight w:val="none"/>
                <w:lang w:val="en-US" w:eastAsia="zh-CN"/>
              </w:rPr>
            </w:pPr>
            <w:r>
              <w:rPr>
                <w:rFonts w:hint="eastAsia"/>
                <w:color w:val="auto"/>
                <w:szCs w:val="20"/>
                <w:highlight w:val="none"/>
                <w:lang w:val="en-US" w:eastAsia="zh-CN"/>
              </w:rPr>
              <w:t>粉尘</w:t>
            </w:r>
          </w:p>
        </w:tc>
        <w:tc>
          <w:tcPr>
            <w:tcW w:w="1273" w:type="dxa"/>
            <w:vAlign w:val="center"/>
          </w:tcPr>
          <w:p w14:paraId="1BAF8A54">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Cs w:val="20"/>
                <w:highlight w:val="none"/>
                <w:lang w:val="en-US" w:eastAsia="zh-CN"/>
              </w:rPr>
            </w:pPr>
            <w:r>
              <w:rPr>
                <w:rFonts w:hint="eastAsia" w:cs="Times New Roman"/>
                <w:color w:val="auto"/>
                <w:szCs w:val="20"/>
                <w:highlight w:val="none"/>
                <w:lang w:val="en-US" w:eastAsia="zh-CN"/>
              </w:rPr>
              <w:t>颗粒物</w:t>
            </w:r>
          </w:p>
        </w:tc>
        <w:tc>
          <w:tcPr>
            <w:tcW w:w="1995" w:type="dxa"/>
            <w:vAlign w:val="center"/>
          </w:tcPr>
          <w:p w14:paraId="48E2A9D8">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val="en-US" w:eastAsia="zh-CN"/>
              </w:rPr>
            </w:pPr>
            <w:r>
              <w:rPr>
                <w:rFonts w:hint="eastAsia" w:cs="Times New Roman"/>
                <w:color w:val="auto"/>
                <w:szCs w:val="20"/>
                <w:highlight w:val="none"/>
                <w:lang w:val="en-US" w:eastAsia="zh-CN"/>
              </w:rPr>
              <w:t>车间通风换气</w:t>
            </w:r>
          </w:p>
        </w:tc>
        <w:tc>
          <w:tcPr>
            <w:tcW w:w="2525" w:type="dxa"/>
            <w:vAlign w:val="center"/>
          </w:tcPr>
          <w:p w14:paraId="1B2212E5">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val="en-US" w:eastAsia="zh-CN"/>
              </w:rPr>
            </w:pPr>
            <w:r>
              <w:rPr>
                <w:rFonts w:hint="default" w:ascii="Times New Roman" w:hAnsi="Times New Roman" w:eastAsia="宋体" w:cs="Times New Roman"/>
                <w:color w:val="auto"/>
                <w:szCs w:val="20"/>
                <w:highlight w:val="none"/>
                <w:lang w:val="en-US" w:eastAsia="zh-CN"/>
              </w:rPr>
              <w:t>《大气污染物综合排放标准》（GB16297-1996）</w:t>
            </w:r>
            <w:r>
              <w:rPr>
                <w:rFonts w:hint="eastAsia" w:ascii="Times New Roman" w:hAnsi="Times New Roman" w:eastAsia="宋体" w:cs="Times New Roman"/>
                <w:color w:val="auto"/>
                <w:szCs w:val="20"/>
                <w:highlight w:val="none"/>
                <w:lang w:val="en-US" w:eastAsia="zh-CN"/>
              </w:rPr>
              <w:t>中无组织排放限值要求</w:t>
            </w:r>
          </w:p>
        </w:tc>
      </w:tr>
      <w:tr w14:paraId="2C50C0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4" w:hRule="atLeast"/>
        </w:trPr>
        <w:tc>
          <w:tcPr>
            <w:tcW w:w="1577" w:type="dxa"/>
            <w:vMerge w:val="continue"/>
            <w:vAlign w:val="center"/>
          </w:tcPr>
          <w:p w14:paraId="2AF9256F">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690" w:type="dxa"/>
            <w:vAlign w:val="center"/>
          </w:tcPr>
          <w:p w14:paraId="4FFD0515">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val="en-US" w:eastAsia="zh-CN"/>
              </w:rPr>
            </w:pPr>
            <w:r>
              <w:rPr>
                <w:rFonts w:hint="eastAsia" w:ascii="Times New Roman" w:hAnsi="Times New Roman" w:eastAsia="宋体" w:cs="Times New Roman"/>
                <w:color w:val="auto"/>
                <w:szCs w:val="20"/>
                <w:highlight w:val="none"/>
                <w:lang w:val="en-US" w:eastAsia="zh-CN"/>
              </w:rPr>
              <w:t>地埋式</w:t>
            </w:r>
            <w:r>
              <w:rPr>
                <w:rFonts w:hint="default" w:ascii="Times New Roman" w:hAnsi="Times New Roman" w:eastAsia="宋体" w:cs="Times New Roman"/>
                <w:color w:val="auto"/>
                <w:szCs w:val="20"/>
                <w:highlight w:val="none"/>
                <w:lang w:val="en-US" w:eastAsia="zh-CN"/>
              </w:rPr>
              <w:t>污水处理</w:t>
            </w:r>
            <w:r>
              <w:rPr>
                <w:rFonts w:hint="eastAsia" w:ascii="Times New Roman" w:hAnsi="Times New Roman" w:eastAsia="宋体" w:cs="Times New Roman"/>
                <w:color w:val="auto"/>
                <w:szCs w:val="20"/>
                <w:highlight w:val="none"/>
                <w:lang w:val="en-US" w:eastAsia="zh-CN"/>
              </w:rPr>
              <w:t>设施</w:t>
            </w:r>
          </w:p>
        </w:tc>
        <w:tc>
          <w:tcPr>
            <w:tcW w:w="1273" w:type="dxa"/>
            <w:vAlign w:val="center"/>
          </w:tcPr>
          <w:p w14:paraId="04DF02FF">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val="en-US" w:eastAsia="zh-CN"/>
              </w:rPr>
            </w:pPr>
            <w:r>
              <w:rPr>
                <w:rFonts w:hint="default" w:ascii="Times New Roman" w:hAnsi="Times New Roman" w:eastAsia="宋体" w:cs="Times New Roman"/>
                <w:color w:val="auto"/>
                <w:szCs w:val="20"/>
                <w:highlight w:val="none"/>
                <w:lang w:val="en-US" w:eastAsia="zh-CN"/>
              </w:rPr>
              <w:t>NH</w:t>
            </w:r>
            <w:r>
              <w:rPr>
                <w:rFonts w:hint="default" w:ascii="Times New Roman" w:hAnsi="Times New Roman" w:eastAsia="宋体" w:cs="Times New Roman"/>
                <w:color w:val="auto"/>
                <w:szCs w:val="20"/>
                <w:highlight w:val="none"/>
                <w:vertAlign w:val="subscript"/>
                <w:lang w:val="en-US" w:eastAsia="zh-CN"/>
              </w:rPr>
              <w:t>3</w:t>
            </w:r>
            <w:r>
              <w:rPr>
                <w:rFonts w:hint="default" w:ascii="Times New Roman" w:hAnsi="Times New Roman" w:eastAsia="宋体" w:cs="Times New Roman"/>
                <w:color w:val="auto"/>
                <w:szCs w:val="20"/>
                <w:highlight w:val="none"/>
                <w:lang w:val="en-US" w:eastAsia="zh-CN"/>
              </w:rPr>
              <w:t>、H</w:t>
            </w:r>
            <w:r>
              <w:rPr>
                <w:rFonts w:hint="default" w:ascii="Times New Roman" w:hAnsi="Times New Roman" w:eastAsia="宋体" w:cs="Times New Roman"/>
                <w:color w:val="auto"/>
                <w:szCs w:val="20"/>
                <w:highlight w:val="none"/>
                <w:vertAlign w:val="subscript"/>
                <w:lang w:val="en-US" w:eastAsia="zh-CN"/>
              </w:rPr>
              <w:t>2</w:t>
            </w:r>
            <w:r>
              <w:rPr>
                <w:rFonts w:hint="default" w:ascii="Times New Roman" w:hAnsi="Times New Roman" w:eastAsia="宋体" w:cs="Times New Roman"/>
                <w:color w:val="auto"/>
                <w:szCs w:val="20"/>
                <w:highlight w:val="none"/>
                <w:lang w:val="en-US" w:eastAsia="zh-CN"/>
              </w:rPr>
              <w:t>S、臭气浓度</w:t>
            </w:r>
          </w:p>
        </w:tc>
        <w:tc>
          <w:tcPr>
            <w:tcW w:w="1995" w:type="dxa"/>
            <w:vAlign w:val="center"/>
          </w:tcPr>
          <w:p w14:paraId="40915053">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val="en-US" w:eastAsia="zh-CN"/>
              </w:rPr>
            </w:pPr>
            <w:r>
              <w:rPr>
                <w:rFonts w:hint="default" w:ascii="Times New Roman" w:hAnsi="Times New Roman" w:eastAsia="宋体" w:cs="Times New Roman"/>
                <w:color w:val="auto"/>
                <w:szCs w:val="20"/>
                <w:highlight w:val="none"/>
                <w:lang w:val="en-US" w:eastAsia="zh-CN"/>
              </w:rPr>
              <w:t>加盖密封、设置地下</w:t>
            </w:r>
          </w:p>
        </w:tc>
        <w:tc>
          <w:tcPr>
            <w:tcW w:w="2525" w:type="dxa"/>
            <w:vAlign w:val="center"/>
          </w:tcPr>
          <w:p w14:paraId="3B3A4E01">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0"/>
                <w:highlight w:val="none"/>
                <w:lang w:val="en-US" w:eastAsia="zh-CN"/>
              </w:rPr>
            </w:pPr>
            <w:r>
              <w:rPr>
                <w:rFonts w:hint="default" w:ascii="Times New Roman" w:hAnsi="Times New Roman" w:eastAsia="宋体" w:cs="Times New Roman"/>
                <w:color w:val="auto"/>
                <w:szCs w:val="20"/>
                <w:highlight w:val="none"/>
                <w:lang w:val="en-US" w:eastAsia="zh-CN"/>
              </w:rPr>
              <w:t>《恶臭污染物排放标准》（GB14554-93）</w:t>
            </w:r>
          </w:p>
        </w:tc>
      </w:tr>
      <w:tr w14:paraId="21CBAE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7" w:type="dxa"/>
            <w:vMerge w:val="restart"/>
            <w:vAlign w:val="center"/>
          </w:tcPr>
          <w:p w14:paraId="1B4F69BC">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水环境</w:t>
            </w:r>
          </w:p>
        </w:tc>
        <w:tc>
          <w:tcPr>
            <w:tcW w:w="1690" w:type="dxa"/>
            <w:vAlign w:val="center"/>
          </w:tcPr>
          <w:p w14:paraId="3E96A676">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生活污水</w:t>
            </w:r>
          </w:p>
        </w:tc>
        <w:tc>
          <w:tcPr>
            <w:tcW w:w="1273" w:type="dxa"/>
            <w:vAlign w:val="center"/>
          </w:tcPr>
          <w:p w14:paraId="00B3AE62">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COD、SS、BOD</w:t>
            </w:r>
            <w:r>
              <w:rPr>
                <w:rFonts w:hint="eastAsia"/>
                <w:color w:val="auto"/>
                <w:szCs w:val="20"/>
                <w:highlight w:val="none"/>
                <w:vertAlign w:val="subscript"/>
              </w:rPr>
              <w:t>5</w:t>
            </w:r>
            <w:r>
              <w:rPr>
                <w:rFonts w:hint="eastAsia"/>
                <w:color w:val="auto"/>
                <w:szCs w:val="20"/>
                <w:highlight w:val="none"/>
              </w:rPr>
              <w:t>、NH</w:t>
            </w:r>
            <w:r>
              <w:rPr>
                <w:rFonts w:hint="eastAsia"/>
                <w:color w:val="auto"/>
                <w:szCs w:val="20"/>
                <w:highlight w:val="none"/>
                <w:vertAlign w:val="subscript"/>
              </w:rPr>
              <w:t>3</w:t>
            </w:r>
            <w:r>
              <w:rPr>
                <w:rFonts w:hint="eastAsia"/>
                <w:color w:val="auto"/>
                <w:szCs w:val="20"/>
                <w:highlight w:val="none"/>
              </w:rPr>
              <w:t>-N</w:t>
            </w:r>
          </w:p>
        </w:tc>
        <w:tc>
          <w:tcPr>
            <w:tcW w:w="1995" w:type="dxa"/>
            <w:vAlign w:val="center"/>
          </w:tcPr>
          <w:p w14:paraId="2FCA1B50">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rPr>
              <w:t>化粪池</w:t>
            </w:r>
            <w:r>
              <w:rPr>
                <w:rFonts w:hint="eastAsia"/>
                <w:color w:val="auto"/>
                <w:szCs w:val="20"/>
                <w:highlight w:val="none"/>
                <w:lang w:eastAsia="zh-CN"/>
              </w:rPr>
              <w:t>、</w:t>
            </w:r>
            <w:r>
              <w:rPr>
                <w:rFonts w:hint="eastAsia"/>
                <w:color w:val="auto"/>
                <w:szCs w:val="20"/>
                <w:highlight w:val="none"/>
                <w:lang w:val="en-US" w:eastAsia="zh-CN"/>
              </w:rPr>
              <w:t>地埋式污水处理设施</w:t>
            </w:r>
          </w:p>
        </w:tc>
        <w:tc>
          <w:tcPr>
            <w:tcW w:w="2525" w:type="dxa"/>
            <w:vMerge w:val="restart"/>
            <w:vAlign w:val="center"/>
          </w:tcPr>
          <w:p w14:paraId="4033C5BF">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《污水综合排放标准》（GB 8978-1996）表4中三级标准、《污水排入城镇下水道水质标准》（GB/T 31962-2015）中B级标准</w:t>
            </w:r>
          </w:p>
        </w:tc>
      </w:tr>
      <w:tr w14:paraId="03AAD9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1577" w:type="dxa"/>
            <w:vMerge w:val="continue"/>
            <w:vAlign w:val="center"/>
          </w:tcPr>
          <w:p w14:paraId="6B0D0C63">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690" w:type="dxa"/>
            <w:shd w:val="clear" w:color="auto" w:fill="auto"/>
            <w:vAlign w:val="center"/>
          </w:tcPr>
          <w:p w14:paraId="36E76214">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清洗废水</w:t>
            </w:r>
          </w:p>
        </w:tc>
        <w:tc>
          <w:tcPr>
            <w:tcW w:w="1273" w:type="dxa"/>
            <w:shd w:val="clear" w:color="auto" w:fill="auto"/>
            <w:vAlign w:val="center"/>
          </w:tcPr>
          <w:p w14:paraId="1089A650">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default" w:ascii="Times New Roman" w:hAnsi="Times New Roman" w:cs="Times New Roman"/>
                <w:color w:val="auto"/>
                <w:sz w:val="21"/>
                <w:szCs w:val="21"/>
                <w:highlight w:val="none"/>
              </w:rPr>
              <w:t>SS、COD、BOD</w:t>
            </w:r>
            <w:r>
              <w:rPr>
                <w:rFonts w:hint="default" w:ascii="Times New Roman" w:hAnsi="Times New Roman" w:cs="Times New Roman"/>
                <w:color w:val="auto"/>
                <w:sz w:val="21"/>
                <w:szCs w:val="21"/>
                <w:highlight w:val="none"/>
                <w:vertAlign w:val="subscript"/>
              </w:rPr>
              <w:t>5</w:t>
            </w:r>
            <w:r>
              <w:rPr>
                <w:rFonts w:hint="default" w:ascii="Times New Roman" w:hAnsi="Times New Roman" w:cs="Times New Roman"/>
                <w:color w:val="auto"/>
                <w:sz w:val="21"/>
                <w:szCs w:val="21"/>
                <w:highlight w:val="none"/>
              </w:rPr>
              <w:t>、</w:t>
            </w:r>
            <w:r>
              <w:rPr>
                <w:rFonts w:hint="eastAsia"/>
                <w:color w:val="auto"/>
                <w:szCs w:val="20"/>
                <w:highlight w:val="none"/>
              </w:rPr>
              <w:t>NH</w:t>
            </w:r>
            <w:r>
              <w:rPr>
                <w:rFonts w:hint="eastAsia"/>
                <w:color w:val="auto"/>
                <w:szCs w:val="20"/>
                <w:highlight w:val="none"/>
                <w:vertAlign w:val="subscript"/>
              </w:rPr>
              <w:t>3</w:t>
            </w:r>
            <w:r>
              <w:rPr>
                <w:rFonts w:hint="eastAsia"/>
                <w:color w:val="auto"/>
                <w:szCs w:val="20"/>
                <w:highlight w:val="none"/>
              </w:rPr>
              <w:t>-N</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动植物油</w:t>
            </w:r>
            <w:r>
              <w:rPr>
                <w:rFonts w:hint="eastAsia" w:ascii="Times New Roman" w:hAnsi="Times New Roman" w:cs="Times New Roman"/>
                <w:color w:val="auto"/>
                <w:sz w:val="21"/>
                <w:szCs w:val="21"/>
                <w:highlight w:val="none"/>
                <w:lang w:val="en-US" w:eastAsia="zh-CN"/>
              </w:rPr>
              <w:t>、LAS</w:t>
            </w:r>
          </w:p>
        </w:tc>
        <w:tc>
          <w:tcPr>
            <w:tcW w:w="1995" w:type="dxa"/>
            <w:vMerge w:val="restart"/>
            <w:vAlign w:val="center"/>
          </w:tcPr>
          <w:p w14:paraId="19944A21">
            <w:pPr>
              <w:pStyle w:val="80"/>
              <w:keepNext w:val="0"/>
              <w:keepLines w:val="0"/>
              <w:widowControl/>
              <w:suppressLineNumbers w:val="0"/>
              <w:spacing w:before="0" w:beforeAutospacing="0" w:after="0" w:afterAutospacing="0"/>
              <w:ind w:left="0" w:right="0"/>
              <w:rPr>
                <w:rFonts w:hint="default" w:eastAsia="宋体"/>
                <w:color w:val="auto"/>
                <w:szCs w:val="20"/>
                <w:highlight w:val="yellow"/>
                <w:lang w:val="en-US" w:eastAsia="zh-CN"/>
              </w:rPr>
            </w:pPr>
            <w:r>
              <w:rPr>
                <w:rFonts w:hint="eastAsia"/>
                <w:color w:val="auto"/>
                <w:szCs w:val="20"/>
                <w:highlight w:val="none"/>
                <w:lang w:val="en-US" w:eastAsia="zh-CN"/>
              </w:rPr>
              <w:t>地埋式污水处理设施</w:t>
            </w:r>
          </w:p>
        </w:tc>
        <w:tc>
          <w:tcPr>
            <w:tcW w:w="2525" w:type="dxa"/>
            <w:vMerge w:val="continue"/>
            <w:vAlign w:val="center"/>
          </w:tcPr>
          <w:p w14:paraId="6C87216D">
            <w:pPr>
              <w:pStyle w:val="80"/>
              <w:keepNext w:val="0"/>
              <w:keepLines w:val="0"/>
              <w:widowControl/>
              <w:suppressLineNumbers w:val="0"/>
              <w:spacing w:before="0" w:beforeAutospacing="0" w:after="0" w:afterAutospacing="0"/>
              <w:ind w:left="0" w:right="0"/>
              <w:rPr>
                <w:rFonts w:hint="eastAsia" w:eastAsia="宋体"/>
                <w:color w:val="auto"/>
                <w:szCs w:val="20"/>
                <w:highlight w:val="yellow"/>
                <w:lang w:val="en-US" w:eastAsia="zh-CN"/>
              </w:rPr>
            </w:pPr>
          </w:p>
        </w:tc>
      </w:tr>
      <w:tr w14:paraId="61BCB1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577" w:type="dxa"/>
            <w:vMerge w:val="continue"/>
            <w:vAlign w:val="center"/>
          </w:tcPr>
          <w:p w14:paraId="3DE23AAF">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690" w:type="dxa"/>
            <w:shd w:val="clear" w:color="auto" w:fill="auto"/>
            <w:vAlign w:val="center"/>
          </w:tcPr>
          <w:p w14:paraId="22880A1F">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纯水制备浓水</w:t>
            </w:r>
          </w:p>
        </w:tc>
        <w:tc>
          <w:tcPr>
            <w:tcW w:w="1273" w:type="dxa"/>
            <w:shd w:val="clear" w:color="auto" w:fill="auto"/>
            <w:vAlign w:val="center"/>
          </w:tcPr>
          <w:p w14:paraId="7E5E614A">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SS</w:t>
            </w:r>
          </w:p>
        </w:tc>
        <w:tc>
          <w:tcPr>
            <w:tcW w:w="1995" w:type="dxa"/>
            <w:vMerge w:val="continue"/>
            <w:vAlign w:val="center"/>
          </w:tcPr>
          <w:p w14:paraId="33996798">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p>
        </w:tc>
        <w:tc>
          <w:tcPr>
            <w:tcW w:w="2525" w:type="dxa"/>
            <w:vMerge w:val="continue"/>
            <w:vAlign w:val="center"/>
          </w:tcPr>
          <w:p w14:paraId="5A900331">
            <w:pPr>
              <w:pStyle w:val="80"/>
              <w:keepNext w:val="0"/>
              <w:keepLines w:val="0"/>
              <w:widowControl/>
              <w:suppressLineNumbers w:val="0"/>
              <w:spacing w:before="0" w:beforeAutospacing="0" w:after="0" w:afterAutospacing="0"/>
              <w:ind w:left="0" w:right="0"/>
              <w:rPr>
                <w:rFonts w:hint="eastAsia" w:eastAsia="宋体"/>
                <w:color w:val="auto"/>
                <w:szCs w:val="20"/>
                <w:highlight w:val="yellow"/>
                <w:lang w:val="en-US" w:eastAsia="zh-CN"/>
              </w:rPr>
            </w:pPr>
          </w:p>
        </w:tc>
      </w:tr>
      <w:tr w14:paraId="207687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 w:hRule="atLeast"/>
        </w:trPr>
        <w:tc>
          <w:tcPr>
            <w:tcW w:w="1577" w:type="dxa"/>
            <w:vMerge w:val="continue"/>
            <w:vAlign w:val="center"/>
          </w:tcPr>
          <w:p w14:paraId="33B94542">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1690" w:type="dxa"/>
            <w:vAlign w:val="center"/>
          </w:tcPr>
          <w:p w14:paraId="1ABEC429">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锅炉排污</w:t>
            </w:r>
          </w:p>
        </w:tc>
        <w:tc>
          <w:tcPr>
            <w:tcW w:w="1273" w:type="dxa"/>
            <w:vAlign w:val="center"/>
          </w:tcPr>
          <w:p w14:paraId="6EA8F5D2">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SS、盐类</w:t>
            </w:r>
          </w:p>
        </w:tc>
        <w:tc>
          <w:tcPr>
            <w:tcW w:w="1995" w:type="dxa"/>
            <w:vAlign w:val="center"/>
          </w:tcPr>
          <w:p w14:paraId="6621BC6B">
            <w:pPr>
              <w:pStyle w:val="80"/>
              <w:keepNext w:val="0"/>
              <w:keepLines w:val="0"/>
              <w:widowControl/>
              <w:suppressLineNumbers w:val="0"/>
              <w:spacing w:before="0" w:beforeAutospacing="0" w:after="0" w:afterAutospacing="0"/>
              <w:ind w:left="0" w:right="0"/>
              <w:rPr>
                <w:rFonts w:hint="default" w:eastAsia="宋体"/>
                <w:color w:val="auto"/>
                <w:szCs w:val="20"/>
                <w:highlight w:val="yellow"/>
                <w:lang w:val="en-US" w:eastAsia="zh-CN"/>
              </w:rPr>
            </w:pPr>
            <w:r>
              <w:rPr>
                <w:rFonts w:hint="eastAsia"/>
                <w:color w:val="auto"/>
                <w:szCs w:val="20"/>
                <w:highlight w:val="none"/>
                <w:lang w:val="en-US" w:eastAsia="zh-CN"/>
              </w:rPr>
              <w:t>排入市政污水管网</w:t>
            </w:r>
          </w:p>
        </w:tc>
        <w:tc>
          <w:tcPr>
            <w:tcW w:w="2525" w:type="dxa"/>
            <w:vMerge w:val="continue"/>
            <w:vAlign w:val="center"/>
          </w:tcPr>
          <w:p w14:paraId="2884C3ED">
            <w:pPr>
              <w:pStyle w:val="80"/>
              <w:keepNext w:val="0"/>
              <w:keepLines w:val="0"/>
              <w:widowControl/>
              <w:suppressLineNumbers w:val="0"/>
              <w:spacing w:before="0" w:beforeAutospacing="0" w:after="0" w:afterAutospacing="0"/>
              <w:ind w:left="0" w:right="0"/>
              <w:rPr>
                <w:rFonts w:hint="eastAsia" w:eastAsia="宋体"/>
                <w:color w:val="auto"/>
                <w:szCs w:val="20"/>
                <w:highlight w:val="yellow"/>
                <w:lang w:val="en-US" w:eastAsia="zh-CN"/>
              </w:rPr>
            </w:pPr>
          </w:p>
        </w:tc>
      </w:tr>
      <w:tr w14:paraId="4D48D6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7" w:type="dxa"/>
            <w:vAlign w:val="center"/>
          </w:tcPr>
          <w:p w14:paraId="15FCB23B">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声环境</w:t>
            </w:r>
          </w:p>
        </w:tc>
        <w:tc>
          <w:tcPr>
            <w:tcW w:w="1690" w:type="dxa"/>
            <w:vAlign w:val="center"/>
          </w:tcPr>
          <w:p w14:paraId="771944C3">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rPr>
              <w:t>生产设备</w:t>
            </w:r>
            <w:r>
              <w:rPr>
                <w:rFonts w:hint="eastAsia"/>
                <w:color w:val="auto"/>
                <w:szCs w:val="20"/>
                <w:highlight w:val="none"/>
                <w:lang w:val="en-US" w:eastAsia="zh-CN"/>
              </w:rPr>
              <w:t>及辅助设备</w:t>
            </w:r>
          </w:p>
        </w:tc>
        <w:tc>
          <w:tcPr>
            <w:tcW w:w="1273" w:type="dxa"/>
            <w:vAlign w:val="center"/>
          </w:tcPr>
          <w:p w14:paraId="7FC0BBB0">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等效声级L</w:t>
            </w:r>
            <w:r>
              <w:rPr>
                <w:rFonts w:hint="default"/>
                <w:color w:val="auto"/>
                <w:szCs w:val="20"/>
                <w:highlight w:val="none"/>
                <w:vertAlign w:val="subscript"/>
              </w:rPr>
              <w:t>Aeq</w:t>
            </w:r>
          </w:p>
        </w:tc>
        <w:tc>
          <w:tcPr>
            <w:tcW w:w="1995" w:type="dxa"/>
            <w:vAlign w:val="center"/>
          </w:tcPr>
          <w:p w14:paraId="5EC1395B">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ascii="Times New Roman" w:hAnsi="Times New Roman" w:eastAsia="宋体" w:cs="Times New Roman"/>
                <w:color w:val="auto"/>
                <w:kern w:val="2"/>
                <w:sz w:val="21"/>
                <w:szCs w:val="21"/>
                <w:highlight w:val="none"/>
              </w:rPr>
              <w:t>低噪声设备、设备基础减振、厂房隔声</w:t>
            </w:r>
          </w:p>
        </w:tc>
        <w:tc>
          <w:tcPr>
            <w:tcW w:w="2525" w:type="dxa"/>
            <w:vAlign w:val="center"/>
          </w:tcPr>
          <w:p w14:paraId="36D3C8EC">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《工业企业厂界环境噪声排放标准》（GB12348-2008）</w:t>
            </w:r>
            <w:r>
              <w:rPr>
                <w:rFonts w:hint="eastAsia"/>
                <w:color w:val="auto"/>
                <w:szCs w:val="20"/>
                <w:highlight w:val="none"/>
                <w:lang w:val="en-US" w:eastAsia="zh-CN"/>
              </w:rPr>
              <w:t>2</w:t>
            </w:r>
            <w:r>
              <w:rPr>
                <w:rFonts w:hint="eastAsia"/>
                <w:color w:val="auto"/>
                <w:szCs w:val="20"/>
                <w:highlight w:val="none"/>
              </w:rPr>
              <w:t>类</w:t>
            </w:r>
          </w:p>
        </w:tc>
      </w:tr>
      <w:tr w14:paraId="73537C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7" w:type="dxa"/>
            <w:vAlign w:val="center"/>
          </w:tcPr>
          <w:p w14:paraId="2361D740">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电磁辐射</w:t>
            </w:r>
          </w:p>
        </w:tc>
        <w:tc>
          <w:tcPr>
            <w:tcW w:w="7483" w:type="dxa"/>
            <w:gridSpan w:val="4"/>
            <w:vAlign w:val="center"/>
          </w:tcPr>
          <w:p w14:paraId="3AD61AA1">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w:t>
            </w:r>
          </w:p>
        </w:tc>
      </w:tr>
      <w:tr w14:paraId="2E85CA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7" w:type="dxa"/>
            <w:vMerge w:val="restart"/>
            <w:vAlign w:val="center"/>
          </w:tcPr>
          <w:p w14:paraId="42B5139E">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固体废物</w:t>
            </w:r>
          </w:p>
        </w:tc>
        <w:tc>
          <w:tcPr>
            <w:tcW w:w="7483" w:type="dxa"/>
            <w:gridSpan w:val="4"/>
            <w:vAlign w:val="center"/>
          </w:tcPr>
          <w:p w14:paraId="6ABA44DA">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生活垃圾分类收集后交环卫部门统一处理</w:t>
            </w:r>
          </w:p>
        </w:tc>
      </w:tr>
      <w:tr w14:paraId="5758E5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7" w:type="dxa"/>
            <w:vMerge w:val="continue"/>
            <w:vAlign w:val="center"/>
          </w:tcPr>
          <w:p w14:paraId="0A21BEE1">
            <w:pPr>
              <w:pStyle w:val="80"/>
              <w:keepNext w:val="0"/>
              <w:keepLines w:val="0"/>
              <w:widowControl/>
              <w:suppressLineNumbers w:val="0"/>
              <w:spacing w:before="0" w:beforeAutospacing="0" w:after="0" w:afterAutospacing="0"/>
              <w:ind w:left="0" w:right="0"/>
              <w:rPr>
                <w:rFonts w:hint="default"/>
                <w:color w:val="auto"/>
                <w:szCs w:val="20"/>
                <w:highlight w:val="none"/>
              </w:rPr>
            </w:pPr>
          </w:p>
        </w:tc>
        <w:tc>
          <w:tcPr>
            <w:tcW w:w="7483" w:type="dxa"/>
            <w:gridSpan w:val="4"/>
            <w:vAlign w:val="center"/>
          </w:tcPr>
          <w:p w14:paraId="1753DC3F">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 w:val="21"/>
                <w:szCs w:val="20"/>
                <w:highlight w:val="none"/>
                <w:lang w:val="en-US" w:eastAsia="zh-CN"/>
              </w:rPr>
              <w:t>餐厨垃圾与生活垃圾一并交环卫部门统一清运处理；</w:t>
            </w:r>
            <w:r>
              <w:rPr>
                <w:rFonts w:hint="eastAsia" w:ascii="Times New Roman" w:hAnsi="Times New Roman"/>
                <w:color w:val="auto"/>
                <w:kern w:val="2"/>
                <w:sz w:val="21"/>
                <w:szCs w:val="21"/>
                <w:highlight w:val="none"/>
                <w:lang w:val="en-US" w:eastAsia="zh-CN"/>
              </w:rPr>
              <w:t>废油脂</w:t>
            </w:r>
            <w:r>
              <w:rPr>
                <w:rFonts w:hint="eastAsia"/>
                <w:color w:val="auto"/>
                <w:kern w:val="2"/>
                <w:sz w:val="21"/>
                <w:szCs w:val="21"/>
                <w:highlight w:val="none"/>
                <w:lang w:val="en-US" w:eastAsia="zh-CN"/>
              </w:rPr>
              <w:t>委托</w:t>
            </w:r>
            <w:r>
              <w:rPr>
                <w:rFonts w:hint="eastAsia" w:ascii="Times New Roman" w:hAnsi="Times New Roman"/>
                <w:color w:val="auto"/>
                <w:kern w:val="2"/>
                <w:sz w:val="21"/>
                <w:szCs w:val="21"/>
                <w:highlight w:val="none"/>
                <w:lang w:val="en-US" w:eastAsia="zh-CN"/>
              </w:rPr>
              <w:t>有资质单位</w:t>
            </w:r>
            <w:r>
              <w:rPr>
                <w:rFonts w:hint="eastAsia"/>
                <w:color w:val="auto"/>
                <w:kern w:val="2"/>
                <w:sz w:val="21"/>
                <w:szCs w:val="21"/>
                <w:highlight w:val="none"/>
                <w:lang w:val="en-US" w:eastAsia="zh-CN"/>
              </w:rPr>
              <w:t>定期清运</w:t>
            </w:r>
            <w:r>
              <w:rPr>
                <w:rFonts w:hint="eastAsia" w:ascii="Times New Roman" w:hAnsi="Times New Roman" w:cs="Times New Roman"/>
                <w:color w:val="auto"/>
                <w:kern w:val="2"/>
                <w:sz w:val="21"/>
                <w:szCs w:val="21"/>
                <w:highlight w:val="none"/>
                <w:lang w:val="en-US" w:eastAsia="zh-CN"/>
              </w:rPr>
              <w:t>处置；</w:t>
            </w:r>
            <w:r>
              <w:rPr>
                <w:rFonts w:hint="eastAsia"/>
                <w:color w:val="auto"/>
                <w:sz w:val="21"/>
                <w:szCs w:val="20"/>
                <w:highlight w:val="none"/>
                <w:lang w:eastAsia="zh-CN"/>
              </w:rPr>
              <w:t>废包装</w:t>
            </w:r>
            <w:r>
              <w:rPr>
                <w:rFonts w:hint="eastAsia"/>
                <w:color w:val="auto"/>
                <w:sz w:val="21"/>
                <w:szCs w:val="20"/>
                <w:highlight w:val="none"/>
                <w:lang w:val="en-US" w:eastAsia="zh-CN"/>
              </w:rPr>
              <w:t>收集后暂存，定期外售废品收购站；</w:t>
            </w:r>
            <w:r>
              <w:rPr>
                <w:rFonts w:hint="eastAsia" w:cs="Times New Roman"/>
                <w:color w:val="auto"/>
                <w:kern w:val="2"/>
                <w:sz w:val="21"/>
                <w:szCs w:val="21"/>
                <w:highlight w:val="none"/>
                <w:lang w:val="en-US" w:eastAsia="zh-CN"/>
              </w:rPr>
              <w:t>废交换树脂</w:t>
            </w:r>
            <w:r>
              <w:rPr>
                <w:rFonts w:hint="default" w:ascii="Times New Roman" w:hAnsi="Times New Roman" w:cs="Times New Roman"/>
                <w:color w:val="auto"/>
                <w:sz w:val="21"/>
                <w:szCs w:val="21"/>
                <w:highlight w:val="none"/>
                <w:lang w:val="en-US" w:eastAsia="zh-CN"/>
              </w:rPr>
              <w:t>由厂家更换后及时清运处理，不在厂内储存</w:t>
            </w:r>
            <w:r>
              <w:rPr>
                <w:rFonts w:hint="eastAsia" w:ascii="Times New Roman" w:hAnsi="Times New Roman" w:cs="Times New Roman"/>
                <w:color w:val="auto"/>
                <w:sz w:val="21"/>
                <w:szCs w:val="21"/>
                <w:highlight w:val="none"/>
                <w:lang w:val="en-US" w:eastAsia="zh-CN"/>
              </w:rPr>
              <w:t>；</w:t>
            </w:r>
            <w:r>
              <w:rPr>
                <w:rFonts w:hint="eastAsia" w:cs="Times New Roman"/>
                <w:color w:val="auto"/>
                <w:kern w:val="2"/>
                <w:sz w:val="21"/>
                <w:szCs w:val="21"/>
                <w:highlight w:val="none"/>
                <w:lang w:val="en-US" w:eastAsia="zh-CN"/>
              </w:rPr>
              <w:t>地埋式</w:t>
            </w:r>
            <w:r>
              <w:rPr>
                <w:rFonts w:hint="eastAsia" w:ascii="Times New Roman" w:hAnsi="Times New Roman" w:cs="Times New Roman"/>
                <w:color w:val="auto"/>
                <w:kern w:val="2"/>
                <w:sz w:val="21"/>
                <w:szCs w:val="21"/>
                <w:highlight w:val="none"/>
                <w:lang w:val="en-US" w:eastAsia="en-US"/>
              </w:rPr>
              <w:t>污水处理设施</w:t>
            </w:r>
            <w:r>
              <w:rPr>
                <w:rFonts w:hint="eastAsia" w:ascii="Times New Roman" w:hAnsi="Times New Roman" w:cs="Times New Roman"/>
                <w:color w:val="auto"/>
                <w:kern w:val="2"/>
                <w:sz w:val="21"/>
                <w:szCs w:val="21"/>
                <w:highlight w:val="none"/>
                <w:lang w:val="en-US" w:eastAsia="zh-CN"/>
              </w:rPr>
              <w:t>产生的污泥</w:t>
            </w:r>
            <w:r>
              <w:rPr>
                <w:rFonts w:hint="eastAsia" w:cs="Times New Roman"/>
                <w:color w:val="auto"/>
                <w:kern w:val="2"/>
                <w:sz w:val="21"/>
                <w:szCs w:val="21"/>
                <w:highlight w:val="none"/>
                <w:lang w:val="en-US" w:eastAsia="zh-CN"/>
              </w:rPr>
              <w:t>定期由吸污车清理处置</w:t>
            </w:r>
          </w:p>
        </w:tc>
      </w:tr>
      <w:tr w14:paraId="612A08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7" w:type="dxa"/>
            <w:vAlign w:val="center"/>
          </w:tcPr>
          <w:p w14:paraId="72C0509C">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土壤及地下水</w:t>
            </w:r>
          </w:p>
          <w:p w14:paraId="68FD6021">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污染防治措施</w:t>
            </w:r>
          </w:p>
        </w:tc>
        <w:tc>
          <w:tcPr>
            <w:tcW w:w="7483" w:type="dxa"/>
            <w:gridSpan w:val="4"/>
            <w:vAlign w:val="center"/>
          </w:tcPr>
          <w:p w14:paraId="5D0B4B16">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s="Times New Roman"/>
                <w:color w:val="auto"/>
                <w:sz w:val="21"/>
                <w:szCs w:val="21"/>
                <w:highlight w:val="none"/>
                <w:lang w:val="en-US" w:eastAsia="zh-CN"/>
              </w:rPr>
              <w:t>地埋式</w:t>
            </w:r>
            <w:r>
              <w:rPr>
                <w:rFonts w:hint="default" w:ascii="Times New Roman" w:hAnsi="Times New Roman" w:eastAsia="宋体" w:cs="Times New Roman"/>
                <w:color w:val="auto"/>
                <w:sz w:val="21"/>
                <w:szCs w:val="21"/>
                <w:highlight w:val="none"/>
                <w:lang w:val="en-US" w:eastAsia="zh-CN"/>
              </w:rPr>
              <w:t>污水处理</w:t>
            </w:r>
            <w:r>
              <w:rPr>
                <w:rFonts w:hint="eastAsia" w:cs="Times New Roman"/>
                <w:color w:val="auto"/>
                <w:sz w:val="21"/>
                <w:szCs w:val="21"/>
                <w:highlight w:val="none"/>
                <w:lang w:val="en-US" w:eastAsia="zh-CN"/>
              </w:rPr>
              <w:t>设施</w:t>
            </w:r>
            <w:r>
              <w:rPr>
                <w:rFonts w:hint="default" w:ascii="Times New Roman" w:hAnsi="Times New Roman" w:eastAsia="宋体" w:cs="Times New Roman"/>
                <w:color w:val="auto"/>
                <w:sz w:val="21"/>
                <w:szCs w:val="21"/>
                <w:highlight w:val="none"/>
                <w:lang w:val="en-US" w:eastAsia="zh-CN"/>
              </w:rPr>
              <w:t>应做好基础防渗，从而切断了废水进入土壤；同时对收集管道采用严格防渗措施，并做好定期检修工作，防止污水的跑、冒、滴、漏</w:t>
            </w:r>
          </w:p>
        </w:tc>
      </w:tr>
      <w:tr w14:paraId="1D575B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7" w:type="dxa"/>
            <w:vAlign w:val="center"/>
          </w:tcPr>
          <w:p w14:paraId="55E77C8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生态保护措施</w:t>
            </w:r>
          </w:p>
        </w:tc>
        <w:tc>
          <w:tcPr>
            <w:tcW w:w="7483" w:type="dxa"/>
            <w:gridSpan w:val="4"/>
            <w:vAlign w:val="center"/>
          </w:tcPr>
          <w:p w14:paraId="5AFB431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w:t>
            </w:r>
          </w:p>
        </w:tc>
      </w:tr>
      <w:tr w14:paraId="21F5A6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7" w:type="dxa"/>
            <w:vAlign w:val="center"/>
          </w:tcPr>
          <w:p w14:paraId="01B36A42">
            <w:pPr>
              <w:pStyle w:val="80"/>
              <w:keepNext w:val="0"/>
              <w:keepLines w:val="0"/>
              <w:widowControl/>
              <w:suppressLineNumbers w:val="0"/>
              <w:spacing w:before="0" w:beforeAutospacing="0" w:after="0" w:afterAutospacing="0"/>
              <w:ind w:left="0" w:right="0"/>
              <w:rPr>
                <w:rFonts w:hint="default"/>
                <w:color w:val="auto"/>
                <w:spacing w:val="-8"/>
                <w:szCs w:val="20"/>
                <w:highlight w:val="none"/>
              </w:rPr>
            </w:pPr>
            <w:r>
              <w:rPr>
                <w:rFonts w:hint="default"/>
                <w:color w:val="auto"/>
                <w:spacing w:val="-8"/>
                <w:szCs w:val="20"/>
                <w:highlight w:val="none"/>
              </w:rPr>
              <w:t>环境风险</w:t>
            </w:r>
          </w:p>
          <w:p w14:paraId="064212FE">
            <w:pPr>
              <w:pStyle w:val="80"/>
              <w:keepNext w:val="0"/>
              <w:keepLines w:val="0"/>
              <w:widowControl/>
              <w:suppressLineNumbers w:val="0"/>
              <w:spacing w:before="0" w:beforeAutospacing="0" w:after="0" w:afterAutospacing="0"/>
              <w:ind w:left="0" w:right="0"/>
              <w:rPr>
                <w:rFonts w:hint="default"/>
                <w:color w:val="auto"/>
                <w:spacing w:val="-8"/>
                <w:szCs w:val="20"/>
                <w:highlight w:val="none"/>
              </w:rPr>
            </w:pPr>
            <w:r>
              <w:rPr>
                <w:rFonts w:hint="default"/>
                <w:color w:val="auto"/>
                <w:spacing w:val="-8"/>
                <w:szCs w:val="20"/>
                <w:highlight w:val="none"/>
              </w:rPr>
              <w:t>防范措施</w:t>
            </w:r>
          </w:p>
        </w:tc>
        <w:tc>
          <w:tcPr>
            <w:tcW w:w="7483" w:type="dxa"/>
            <w:gridSpan w:val="4"/>
            <w:vAlign w:val="center"/>
          </w:tcPr>
          <w:p w14:paraId="05AB34F5">
            <w:pPr>
              <w:keepNext w:val="0"/>
              <w:keepLines w:val="0"/>
              <w:suppressLineNumbers w:val="0"/>
              <w:adjustRightInd w:val="0"/>
              <w:snapToGrid w:val="0"/>
              <w:spacing w:before="0" w:beforeAutospacing="0" w:after="0" w:afterAutospacing="0" w:line="360" w:lineRule="auto"/>
              <w:ind w:left="0" w:right="0" w:firstLine="420" w:firstLineChars="200"/>
              <w:jc w:val="both"/>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①应严格按照防火规范进行平面布置，电气设备及仪表按防爆等级的不同选用不同的设备；</w:t>
            </w:r>
          </w:p>
          <w:p w14:paraId="425B39F3">
            <w:pPr>
              <w:keepNext w:val="0"/>
              <w:keepLines w:val="0"/>
              <w:suppressLineNumbers w:val="0"/>
              <w:adjustRightInd w:val="0"/>
              <w:snapToGrid w:val="0"/>
              <w:spacing w:before="0" w:beforeAutospacing="0" w:after="0" w:afterAutospacing="0" w:line="360" w:lineRule="auto"/>
              <w:ind w:left="0" w:right="0" w:firstLine="420" w:firstLineChars="200"/>
              <w:jc w:val="both"/>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②天然气管线均做防雷击、防静电接地；安装火灾设备检测仪表、消防自控设施；</w:t>
            </w:r>
          </w:p>
          <w:p w14:paraId="29CC1BF5">
            <w:pPr>
              <w:keepNext w:val="0"/>
              <w:keepLines w:val="0"/>
              <w:suppressLineNumbers w:val="0"/>
              <w:adjustRightInd w:val="0"/>
              <w:snapToGrid w:val="0"/>
              <w:spacing w:before="0" w:beforeAutospacing="0" w:after="0" w:afterAutospacing="0" w:line="360" w:lineRule="auto"/>
              <w:ind w:left="0" w:right="0" w:firstLine="420" w:firstLineChars="200"/>
              <w:jc w:val="both"/>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③在可能发生天然气泄漏或积聚的场所设置可燃气体连续检测的报警装置；</w:t>
            </w:r>
          </w:p>
          <w:p w14:paraId="3B5E97D7">
            <w:pPr>
              <w:keepNext w:val="0"/>
              <w:keepLines w:val="0"/>
              <w:suppressLineNumbers w:val="0"/>
              <w:adjustRightInd w:val="0"/>
              <w:snapToGrid w:val="0"/>
              <w:spacing w:before="0" w:beforeAutospacing="0" w:after="0" w:afterAutospacing="0" w:line="360" w:lineRule="auto"/>
              <w:ind w:left="0" w:right="0" w:firstLine="420" w:firstLineChars="200"/>
              <w:jc w:val="both"/>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③在进入厂区天然气管道等处设置紧急切断阀，对明显故障实施直接切断，定期检查安全保护系统；</w:t>
            </w:r>
          </w:p>
          <w:p w14:paraId="2652944B">
            <w:pPr>
              <w:keepNext w:val="0"/>
              <w:keepLines w:val="0"/>
              <w:suppressLineNumbers w:val="0"/>
              <w:adjustRightInd w:val="0"/>
              <w:snapToGrid w:val="0"/>
              <w:spacing w:before="0" w:beforeAutospacing="0" w:after="0" w:afterAutospacing="0" w:line="360" w:lineRule="auto"/>
              <w:ind w:left="0" w:right="0" w:firstLine="420" w:firstLineChars="200"/>
              <w:jc w:val="both"/>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④设明显的警示标志，并建立严格的值班保卫制度，防止人为蓄意破坏；锅炉房配备相应的灭火器；</w:t>
            </w:r>
          </w:p>
          <w:p w14:paraId="769D660D">
            <w:pPr>
              <w:keepNext w:val="0"/>
              <w:keepLines w:val="0"/>
              <w:suppressLineNumbers w:val="0"/>
              <w:spacing w:before="0" w:beforeAutospacing="0" w:after="0" w:afterAutospacing="0"/>
              <w:ind w:left="0" w:right="0" w:firstLine="420"/>
              <w:rPr>
                <w:rFonts w:hint="default"/>
                <w:color w:val="auto"/>
                <w:sz w:val="21"/>
                <w:szCs w:val="21"/>
                <w:highlight w:val="none"/>
              </w:rPr>
            </w:pPr>
            <w:r>
              <w:rPr>
                <w:rFonts w:hint="default" w:ascii="Times New Roman" w:hAnsi="Times New Roman" w:eastAsia="宋体" w:cs="Times New Roman"/>
                <w:color w:val="auto"/>
                <w:sz w:val="21"/>
                <w:szCs w:val="21"/>
                <w:highlight w:val="none"/>
                <w:lang w:val="en-US" w:eastAsia="zh-CN"/>
              </w:rPr>
              <w:t>⑤制定应急操作规程，详细说明发生事故时应采取的操作步骤，规定抢修进度，限制事故影响。对重要的仪器设备有完善的检查和维护记录；对操作和维修人员进行岗前培训，避免因严重操作失误而造成人为事故；对操作人员定期进行防火安全教育或应急演习，提高职工的安全意识，提高识别异常状态的能力。</w:t>
            </w:r>
          </w:p>
        </w:tc>
      </w:tr>
      <w:tr w14:paraId="10F1C3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77" w:type="dxa"/>
            <w:vAlign w:val="center"/>
          </w:tcPr>
          <w:p w14:paraId="13EE6AE0">
            <w:pPr>
              <w:pStyle w:val="80"/>
              <w:keepNext w:val="0"/>
              <w:keepLines w:val="0"/>
              <w:widowControl/>
              <w:suppressLineNumbers w:val="0"/>
              <w:spacing w:before="0" w:beforeAutospacing="0" w:after="0" w:afterAutospacing="0"/>
              <w:ind w:left="0" w:right="0"/>
              <w:rPr>
                <w:rFonts w:hint="default"/>
                <w:color w:val="auto"/>
                <w:spacing w:val="-8"/>
                <w:szCs w:val="20"/>
                <w:highlight w:val="none"/>
              </w:rPr>
            </w:pPr>
            <w:r>
              <w:rPr>
                <w:rFonts w:hint="default"/>
                <w:color w:val="auto"/>
                <w:spacing w:val="-8"/>
                <w:szCs w:val="20"/>
                <w:highlight w:val="none"/>
              </w:rPr>
              <w:t>其他环境</w:t>
            </w:r>
          </w:p>
          <w:p w14:paraId="60135CFC">
            <w:pPr>
              <w:pStyle w:val="80"/>
              <w:keepNext w:val="0"/>
              <w:keepLines w:val="0"/>
              <w:widowControl/>
              <w:suppressLineNumbers w:val="0"/>
              <w:spacing w:before="0" w:beforeAutospacing="0" w:after="0" w:afterAutospacing="0"/>
              <w:ind w:left="0" w:right="0"/>
              <w:rPr>
                <w:rFonts w:hint="default"/>
                <w:color w:val="auto"/>
                <w:spacing w:val="-8"/>
                <w:szCs w:val="20"/>
                <w:highlight w:val="yellow"/>
              </w:rPr>
            </w:pPr>
            <w:r>
              <w:rPr>
                <w:rFonts w:hint="default"/>
                <w:color w:val="auto"/>
                <w:spacing w:val="-8"/>
                <w:szCs w:val="20"/>
                <w:highlight w:val="none"/>
              </w:rPr>
              <w:t>管理要求</w:t>
            </w:r>
          </w:p>
        </w:tc>
        <w:tc>
          <w:tcPr>
            <w:tcW w:w="7483" w:type="dxa"/>
            <w:gridSpan w:val="4"/>
            <w:vAlign w:val="center"/>
          </w:tcPr>
          <w:p w14:paraId="6848B938">
            <w:pPr>
              <w:keepNext w:val="0"/>
              <w:keepLines w:val="0"/>
              <w:suppressLineNumbers w:val="0"/>
              <w:spacing w:before="0" w:beforeAutospacing="0" w:after="0" w:afterAutospacing="0"/>
              <w:ind w:left="0" w:right="0" w:firstLine="420"/>
              <w:rPr>
                <w:rFonts w:hint="default"/>
                <w:color w:val="auto"/>
                <w:sz w:val="21"/>
                <w:szCs w:val="21"/>
                <w:highlight w:val="none"/>
              </w:rPr>
            </w:pPr>
            <w:r>
              <w:rPr>
                <w:rFonts w:hint="eastAsia"/>
                <w:color w:val="auto"/>
                <w:sz w:val="21"/>
                <w:szCs w:val="21"/>
                <w:highlight w:val="none"/>
              </w:rPr>
              <w:t>1.环境管理</w:t>
            </w:r>
          </w:p>
          <w:p w14:paraId="4CAD7164">
            <w:pPr>
              <w:keepNext w:val="0"/>
              <w:keepLines w:val="0"/>
              <w:suppressLineNumbers w:val="0"/>
              <w:spacing w:before="0" w:beforeAutospacing="0" w:after="0" w:afterAutospacing="0"/>
              <w:ind w:left="0" w:right="0" w:firstLine="420"/>
              <w:rPr>
                <w:rFonts w:hint="default"/>
                <w:color w:val="auto"/>
                <w:sz w:val="21"/>
                <w:szCs w:val="21"/>
                <w:highlight w:val="none"/>
              </w:rPr>
            </w:pPr>
            <w:r>
              <w:rPr>
                <w:rFonts w:hint="eastAsia"/>
                <w:color w:val="auto"/>
                <w:sz w:val="21"/>
                <w:szCs w:val="21"/>
                <w:highlight w:val="none"/>
              </w:rPr>
              <w:t>①严格执行建设项目“三同时”制度，监督项目环保“三同时”落实情况；</w:t>
            </w:r>
          </w:p>
          <w:p w14:paraId="1BD7F213">
            <w:pPr>
              <w:keepNext w:val="0"/>
              <w:keepLines w:val="0"/>
              <w:suppressLineNumbers w:val="0"/>
              <w:spacing w:before="0" w:beforeAutospacing="0" w:after="0" w:afterAutospacing="0"/>
              <w:ind w:left="0" w:right="0" w:firstLine="420"/>
              <w:rPr>
                <w:rFonts w:hint="default"/>
                <w:color w:val="auto"/>
                <w:sz w:val="21"/>
                <w:szCs w:val="21"/>
                <w:highlight w:val="none"/>
              </w:rPr>
            </w:pPr>
            <w:r>
              <w:rPr>
                <w:rFonts w:hint="eastAsia"/>
                <w:color w:val="auto"/>
                <w:sz w:val="21"/>
                <w:szCs w:val="21"/>
                <w:highlight w:val="none"/>
              </w:rPr>
              <w:t>②建立环境管理制度，设置专职环保人员，负责日常环保安全，定期检查环保管理和环境监测工作。</w:t>
            </w:r>
          </w:p>
          <w:p w14:paraId="0C9384C9">
            <w:pPr>
              <w:keepNext w:val="0"/>
              <w:keepLines w:val="0"/>
              <w:suppressLineNumbers w:val="0"/>
              <w:spacing w:before="0" w:beforeAutospacing="0" w:after="0" w:afterAutospacing="0"/>
              <w:ind w:left="0" w:right="0" w:firstLine="420"/>
              <w:rPr>
                <w:rFonts w:hint="default"/>
                <w:color w:val="auto"/>
                <w:sz w:val="21"/>
                <w:szCs w:val="21"/>
                <w:highlight w:val="none"/>
              </w:rPr>
            </w:pPr>
            <w:r>
              <w:rPr>
                <w:rFonts w:hint="eastAsia"/>
                <w:color w:val="auto"/>
                <w:sz w:val="21"/>
                <w:szCs w:val="21"/>
                <w:highlight w:val="none"/>
              </w:rPr>
              <w:t>③项目建成后应根据固定污染源排污许可分类管理名录和相关要求，及时办理排污许可证相关手续。</w:t>
            </w:r>
          </w:p>
          <w:p w14:paraId="29B1D2C3">
            <w:pPr>
              <w:keepNext w:val="0"/>
              <w:keepLines w:val="0"/>
              <w:suppressLineNumbers w:val="0"/>
              <w:spacing w:before="0" w:beforeAutospacing="0" w:after="0" w:afterAutospacing="0"/>
              <w:ind w:left="0" w:right="0" w:firstLine="420"/>
              <w:rPr>
                <w:rFonts w:hint="default"/>
                <w:color w:val="auto"/>
                <w:sz w:val="21"/>
                <w:szCs w:val="21"/>
                <w:highlight w:val="none"/>
              </w:rPr>
            </w:pPr>
            <w:r>
              <w:rPr>
                <w:rFonts w:hint="eastAsia"/>
                <w:color w:val="auto"/>
                <w:sz w:val="21"/>
                <w:szCs w:val="21"/>
                <w:highlight w:val="none"/>
              </w:rPr>
              <w:t>④严格执行国家环境保护有关政策和法规，取得环评手续后尽快完成竣工环境保护验收工作。</w:t>
            </w:r>
          </w:p>
          <w:p w14:paraId="2035908C">
            <w:pPr>
              <w:keepNext w:val="0"/>
              <w:keepLines w:val="0"/>
              <w:suppressLineNumbers w:val="0"/>
              <w:spacing w:before="0" w:beforeAutospacing="0" w:after="0" w:afterAutospacing="0"/>
              <w:ind w:left="0" w:right="0" w:firstLine="420"/>
              <w:rPr>
                <w:rFonts w:hint="default"/>
                <w:color w:val="auto"/>
                <w:sz w:val="21"/>
                <w:szCs w:val="21"/>
                <w:highlight w:val="none"/>
              </w:rPr>
            </w:pPr>
            <w:r>
              <w:rPr>
                <w:rFonts w:hint="eastAsia"/>
                <w:color w:val="auto"/>
                <w:sz w:val="21"/>
                <w:szCs w:val="21"/>
                <w:highlight w:val="none"/>
              </w:rPr>
              <w:t>2.环保投资</w:t>
            </w:r>
          </w:p>
          <w:p w14:paraId="6FCE5E1F">
            <w:pPr>
              <w:keepNext w:val="0"/>
              <w:keepLines w:val="0"/>
              <w:suppressLineNumbers w:val="0"/>
              <w:spacing w:before="0" w:beforeAutospacing="0" w:after="0" w:afterAutospacing="0"/>
              <w:ind w:left="0" w:right="0" w:firstLine="420"/>
              <w:rPr>
                <w:rFonts w:hint="default"/>
                <w:color w:val="auto"/>
                <w:sz w:val="21"/>
                <w:szCs w:val="21"/>
                <w:highlight w:val="none"/>
              </w:rPr>
            </w:pPr>
            <w:r>
              <w:rPr>
                <w:rFonts w:hint="default"/>
                <w:color w:val="auto"/>
                <w:sz w:val="21"/>
                <w:szCs w:val="21"/>
                <w:highlight w:val="none"/>
              </w:rPr>
              <w:t>项目总投资</w:t>
            </w:r>
            <w:r>
              <w:rPr>
                <w:rFonts w:hint="eastAsia"/>
                <w:color w:val="auto"/>
                <w:sz w:val="21"/>
                <w:szCs w:val="21"/>
                <w:highlight w:val="none"/>
                <w:lang w:val="en-US" w:eastAsia="zh-CN"/>
              </w:rPr>
              <w:t>2622</w:t>
            </w:r>
            <w:r>
              <w:rPr>
                <w:rFonts w:hint="eastAsia"/>
                <w:color w:val="auto"/>
                <w:sz w:val="21"/>
                <w:szCs w:val="21"/>
                <w:highlight w:val="none"/>
                <w:lang w:eastAsia="zh-CN"/>
              </w:rPr>
              <w:t>万元</w:t>
            </w:r>
            <w:r>
              <w:rPr>
                <w:rFonts w:hint="default"/>
                <w:color w:val="auto"/>
                <w:sz w:val="21"/>
                <w:szCs w:val="21"/>
                <w:highlight w:val="none"/>
              </w:rPr>
              <w:t>，经初步核算，环保投资为</w:t>
            </w:r>
            <w:r>
              <w:rPr>
                <w:rFonts w:hint="eastAsia"/>
                <w:color w:val="auto"/>
                <w:sz w:val="21"/>
                <w:szCs w:val="21"/>
                <w:highlight w:val="none"/>
                <w:lang w:val="en-US" w:eastAsia="zh-CN"/>
              </w:rPr>
              <w:t>48</w:t>
            </w:r>
            <w:r>
              <w:rPr>
                <w:rFonts w:hint="eastAsia"/>
                <w:color w:val="auto"/>
                <w:sz w:val="21"/>
                <w:szCs w:val="21"/>
                <w:highlight w:val="none"/>
                <w:lang w:eastAsia="zh-CN"/>
              </w:rPr>
              <w:t>.2</w:t>
            </w:r>
            <w:r>
              <w:rPr>
                <w:rFonts w:hint="default"/>
                <w:color w:val="auto"/>
                <w:sz w:val="21"/>
                <w:szCs w:val="21"/>
                <w:highlight w:val="none"/>
              </w:rPr>
              <w:t>万元，占总投资的</w:t>
            </w:r>
            <w:r>
              <w:rPr>
                <w:rFonts w:hint="eastAsia"/>
                <w:color w:val="auto"/>
                <w:sz w:val="21"/>
                <w:szCs w:val="21"/>
                <w:highlight w:val="none"/>
                <w:lang w:val="en-US" w:eastAsia="zh-CN"/>
              </w:rPr>
              <w:t>1.84</w:t>
            </w:r>
            <w:r>
              <w:rPr>
                <w:rFonts w:hint="eastAsia"/>
                <w:color w:val="auto"/>
                <w:sz w:val="21"/>
                <w:szCs w:val="21"/>
                <w:highlight w:val="none"/>
                <w:lang w:eastAsia="zh-CN"/>
              </w:rPr>
              <w:t>%</w:t>
            </w:r>
            <w:r>
              <w:rPr>
                <w:rFonts w:hint="default"/>
                <w:color w:val="auto"/>
                <w:sz w:val="21"/>
                <w:szCs w:val="21"/>
                <w:highlight w:val="none"/>
              </w:rPr>
              <w:t>。</w:t>
            </w:r>
            <w:r>
              <w:rPr>
                <w:rFonts w:hint="eastAsia"/>
                <w:color w:val="auto"/>
                <w:sz w:val="21"/>
                <w:szCs w:val="21"/>
                <w:highlight w:val="none"/>
              </w:rPr>
              <w:t>环保投资一览表见下</w:t>
            </w:r>
            <w:r>
              <w:rPr>
                <w:rFonts w:hint="default"/>
                <w:color w:val="auto"/>
                <w:sz w:val="21"/>
                <w:szCs w:val="21"/>
                <w:highlight w:val="none"/>
              </w:rPr>
              <w:t>表。</w:t>
            </w:r>
          </w:p>
          <w:p w14:paraId="118EFA5A">
            <w:pPr>
              <w:pStyle w:val="77"/>
              <w:keepNext w:val="0"/>
              <w:keepLines w:val="0"/>
              <w:widowControl/>
              <w:suppressLineNumbers w:val="0"/>
              <w:spacing w:before="0" w:beforeLines="0" w:beforeAutospacing="0" w:after="0" w:afterAutospacing="0" w:line="240" w:lineRule="auto"/>
              <w:ind w:left="0" w:right="0"/>
              <w:rPr>
                <w:rFonts w:hint="default" w:eastAsia="宋体"/>
                <w:b/>
                <w:bCs/>
                <w:color w:val="auto"/>
                <w:highlight w:val="none"/>
              </w:rPr>
            </w:pPr>
            <w:r>
              <w:rPr>
                <w:rFonts w:hint="eastAsia" w:eastAsia="宋体"/>
                <w:b/>
                <w:bCs/>
                <w:color w:val="auto"/>
                <w:highlight w:val="none"/>
              </w:rPr>
              <w:t>表5-1   环保投资一览表   单位：万元</w:t>
            </w:r>
          </w:p>
          <w:tbl>
            <w:tblPr>
              <w:tblStyle w:val="3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03"/>
              <w:gridCol w:w="2692"/>
              <w:gridCol w:w="1278"/>
              <w:gridCol w:w="1490"/>
            </w:tblGrid>
            <w:tr w14:paraId="539ED7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41" w:type="pct"/>
                  <w:noWrap w:val="0"/>
                  <w:vAlign w:val="center"/>
                </w:tcPr>
                <w:p w14:paraId="7387A0F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color w:val="auto"/>
                      <w:kern w:val="0"/>
                      <w:sz w:val="21"/>
                      <w:szCs w:val="21"/>
                      <w:highlight w:val="none"/>
                    </w:rPr>
                  </w:pPr>
                  <w:r>
                    <w:rPr>
                      <w:rFonts w:hint="default"/>
                      <w:color w:val="auto"/>
                      <w:sz w:val="21"/>
                      <w:szCs w:val="21"/>
                      <w:highlight w:val="none"/>
                    </w:rPr>
                    <w:t>项目</w:t>
                  </w:r>
                </w:p>
              </w:tc>
              <w:tc>
                <w:tcPr>
                  <w:tcW w:w="1853" w:type="pct"/>
                  <w:noWrap w:val="0"/>
                  <w:vAlign w:val="center"/>
                </w:tcPr>
                <w:p w14:paraId="5997DB1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color w:val="auto"/>
                      <w:kern w:val="0"/>
                      <w:sz w:val="21"/>
                      <w:szCs w:val="21"/>
                      <w:highlight w:val="none"/>
                    </w:rPr>
                  </w:pPr>
                  <w:r>
                    <w:rPr>
                      <w:rFonts w:hint="default"/>
                      <w:color w:val="auto"/>
                      <w:sz w:val="21"/>
                      <w:szCs w:val="21"/>
                      <w:highlight w:val="none"/>
                    </w:rPr>
                    <w:t>环保设施或措施</w:t>
                  </w:r>
                </w:p>
              </w:tc>
              <w:tc>
                <w:tcPr>
                  <w:tcW w:w="879" w:type="pct"/>
                  <w:noWrap w:val="0"/>
                  <w:vAlign w:val="center"/>
                </w:tcPr>
                <w:p w14:paraId="65419D6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color w:val="auto"/>
                      <w:kern w:val="0"/>
                      <w:sz w:val="21"/>
                      <w:szCs w:val="21"/>
                      <w:highlight w:val="none"/>
                    </w:rPr>
                  </w:pPr>
                  <w:r>
                    <w:rPr>
                      <w:rFonts w:hint="default"/>
                      <w:color w:val="auto"/>
                      <w:sz w:val="21"/>
                      <w:szCs w:val="21"/>
                      <w:highlight w:val="none"/>
                    </w:rPr>
                    <w:t>数量</w:t>
                  </w:r>
                </w:p>
              </w:tc>
              <w:tc>
                <w:tcPr>
                  <w:tcW w:w="1025" w:type="pct"/>
                  <w:noWrap w:val="0"/>
                  <w:vAlign w:val="center"/>
                </w:tcPr>
                <w:p w14:paraId="36C8E83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eastAsia"/>
                      <w:color w:val="auto"/>
                      <w:sz w:val="21"/>
                      <w:szCs w:val="21"/>
                      <w:highlight w:val="none"/>
                    </w:rPr>
                  </w:pPr>
                  <w:r>
                    <w:rPr>
                      <w:rFonts w:hint="default"/>
                      <w:color w:val="auto"/>
                      <w:sz w:val="21"/>
                      <w:szCs w:val="21"/>
                      <w:highlight w:val="none"/>
                    </w:rPr>
                    <w:t>投资</w:t>
                  </w:r>
                </w:p>
                <w:p w14:paraId="47955DD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eastAsia"/>
                      <w:color w:val="auto"/>
                      <w:kern w:val="0"/>
                      <w:sz w:val="21"/>
                      <w:szCs w:val="21"/>
                      <w:highlight w:val="none"/>
                    </w:rPr>
                  </w:pPr>
                  <w:r>
                    <w:rPr>
                      <w:rFonts w:hint="eastAsia"/>
                      <w:color w:val="auto"/>
                      <w:sz w:val="21"/>
                      <w:szCs w:val="21"/>
                      <w:highlight w:val="none"/>
                    </w:rPr>
                    <w:t>（万元）</w:t>
                  </w:r>
                </w:p>
              </w:tc>
            </w:tr>
            <w:tr w14:paraId="160DCF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1241" w:type="pct"/>
                  <w:vMerge w:val="restart"/>
                  <w:noWrap w:val="0"/>
                  <w:vAlign w:val="center"/>
                </w:tcPr>
                <w:p w14:paraId="3BB11BA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color w:val="auto"/>
                      <w:kern w:val="0"/>
                      <w:sz w:val="21"/>
                      <w:szCs w:val="21"/>
                      <w:highlight w:val="none"/>
                    </w:rPr>
                  </w:pPr>
                  <w:r>
                    <w:rPr>
                      <w:rFonts w:hint="eastAsia"/>
                      <w:color w:val="auto"/>
                      <w:sz w:val="21"/>
                      <w:szCs w:val="21"/>
                      <w:highlight w:val="none"/>
                      <w:lang w:val="en-US" w:eastAsia="zh-CN"/>
                    </w:rPr>
                    <w:t>锅炉</w:t>
                  </w:r>
                  <w:r>
                    <w:rPr>
                      <w:rFonts w:hint="default"/>
                      <w:color w:val="auto"/>
                      <w:sz w:val="21"/>
                      <w:szCs w:val="21"/>
                      <w:highlight w:val="none"/>
                    </w:rPr>
                    <w:t>废气处理</w:t>
                  </w:r>
                </w:p>
              </w:tc>
              <w:tc>
                <w:tcPr>
                  <w:tcW w:w="1853" w:type="pct"/>
                  <w:noWrap w:val="0"/>
                  <w:vAlign w:val="center"/>
                </w:tcPr>
                <w:p w14:paraId="504B6A1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eastAsia="宋体"/>
                      <w:color w:val="auto"/>
                      <w:kern w:val="0"/>
                      <w:sz w:val="21"/>
                      <w:szCs w:val="21"/>
                      <w:highlight w:val="none"/>
                      <w:lang w:val="en-US" w:eastAsia="zh-CN"/>
                    </w:rPr>
                  </w:pPr>
                  <w:r>
                    <w:rPr>
                      <w:rFonts w:hint="eastAsia"/>
                      <w:color w:val="auto"/>
                      <w:sz w:val="21"/>
                      <w:szCs w:val="21"/>
                      <w:highlight w:val="none"/>
                      <w:lang w:val="en-US" w:eastAsia="zh-CN"/>
                    </w:rPr>
                    <w:t>低氮燃烧器+8m排气筒</w:t>
                  </w:r>
                </w:p>
              </w:tc>
              <w:tc>
                <w:tcPr>
                  <w:tcW w:w="879" w:type="pct"/>
                  <w:noWrap w:val="0"/>
                  <w:vAlign w:val="center"/>
                </w:tcPr>
                <w:p w14:paraId="3FDB16D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eastAsia="”“Times New Roman”“"/>
                      <w:color w:val="auto"/>
                      <w:sz w:val="21"/>
                      <w:szCs w:val="21"/>
                      <w:highlight w:val="none"/>
                      <w:lang w:val="en-US"/>
                    </w:rPr>
                  </w:pPr>
                  <w:r>
                    <w:rPr>
                      <w:rFonts w:hint="eastAsia"/>
                      <w:color w:val="auto"/>
                      <w:sz w:val="21"/>
                      <w:szCs w:val="21"/>
                      <w:highlight w:val="none"/>
                      <w:lang w:val="en-US" w:eastAsia="zh-CN"/>
                    </w:rPr>
                    <w:t>1套</w:t>
                  </w:r>
                </w:p>
              </w:tc>
              <w:tc>
                <w:tcPr>
                  <w:tcW w:w="1025" w:type="pct"/>
                  <w:noWrap w:val="0"/>
                  <w:vAlign w:val="center"/>
                </w:tcPr>
                <w:p w14:paraId="4FCB120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eastAsia="宋体"/>
                      <w:snapToGrid w:val="0"/>
                      <w:color w:val="auto"/>
                      <w:kern w:val="0"/>
                      <w:sz w:val="21"/>
                      <w:szCs w:val="21"/>
                      <w:highlight w:val="none"/>
                      <w:lang w:val="en-US" w:eastAsia="zh-CN"/>
                    </w:rPr>
                  </w:pPr>
                  <w:r>
                    <w:rPr>
                      <w:rFonts w:hint="eastAsia"/>
                      <w:snapToGrid w:val="0"/>
                      <w:color w:val="auto"/>
                      <w:kern w:val="0"/>
                      <w:sz w:val="21"/>
                      <w:szCs w:val="21"/>
                      <w:highlight w:val="none"/>
                      <w:lang w:val="en-US" w:eastAsia="zh-CN"/>
                    </w:rPr>
                    <w:t>4</w:t>
                  </w:r>
                </w:p>
              </w:tc>
            </w:tr>
            <w:tr w14:paraId="2F1580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53" w:hRule="atLeast"/>
                <w:jc w:val="center"/>
              </w:trPr>
              <w:tc>
                <w:tcPr>
                  <w:tcW w:w="1241" w:type="pct"/>
                  <w:vMerge w:val="continue"/>
                  <w:noWrap w:val="0"/>
                  <w:vAlign w:val="center"/>
                </w:tcPr>
                <w:p w14:paraId="446C619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color w:val="auto"/>
                      <w:sz w:val="21"/>
                      <w:szCs w:val="21"/>
                      <w:highlight w:val="none"/>
                    </w:rPr>
                  </w:pPr>
                </w:p>
              </w:tc>
              <w:tc>
                <w:tcPr>
                  <w:tcW w:w="1853" w:type="pct"/>
                  <w:noWrap w:val="0"/>
                  <w:vAlign w:val="center"/>
                </w:tcPr>
                <w:p w14:paraId="356BFB0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color w:val="auto"/>
                      <w:sz w:val="21"/>
                      <w:szCs w:val="21"/>
                      <w:highlight w:val="none"/>
                      <w:lang w:val="en-US" w:eastAsia="zh-CN"/>
                    </w:rPr>
                  </w:pPr>
                  <w:r>
                    <w:rPr>
                      <w:rFonts w:hint="eastAsia"/>
                      <w:color w:val="auto"/>
                      <w:sz w:val="21"/>
                      <w:szCs w:val="21"/>
                      <w:highlight w:val="none"/>
                      <w:lang w:val="en-US" w:eastAsia="zh-CN"/>
                    </w:rPr>
                    <w:t>低氮燃烧器+13m排气筒</w:t>
                  </w:r>
                </w:p>
              </w:tc>
              <w:tc>
                <w:tcPr>
                  <w:tcW w:w="879" w:type="pct"/>
                  <w:noWrap w:val="0"/>
                  <w:vAlign w:val="center"/>
                </w:tcPr>
                <w:p w14:paraId="58477D8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color w:val="auto"/>
                      <w:sz w:val="21"/>
                      <w:szCs w:val="21"/>
                      <w:highlight w:val="none"/>
                      <w:lang w:val="en-US" w:eastAsia="zh-CN"/>
                    </w:rPr>
                  </w:pPr>
                  <w:r>
                    <w:rPr>
                      <w:rFonts w:hint="eastAsia"/>
                      <w:color w:val="auto"/>
                      <w:sz w:val="21"/>
                      <w:szCs w:val="21"/>
                      <w:highlight w:val="none"/>
                      <w:lang w:val="en-US" w:eastAsia="zh-CN"/>
                    </w:rPr>
                    <w:t>1套</w:t>
                  </w:r>
                </w:p>
              </w:tc>
              <w:tc>
                <w:tcPr>
                  <w:tcW w:w="1025" w:type="pct"/>
                  <w:noWrap w:val="0"/>
                  <w:vAlign w:val="center"/>
                </w:tcPr>
                <w:p w14:paraId="6CE42CD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eastAsia"/>
                      <w:snapToGrid w:val="0"/>
                      <w:color w:val="auto"/>
                      <w:kern w:val="0"/>
                      <w:sz w:val="21"/>
                      <w:szCs w:val="21"/>
                      <w:highlight w:val="none"/>
                      <w:lang w:val="en-US" w:eastAsia="zh-CN"/>
                    </w:rPr>
                  </w:pPr>
                  <w:r>
                    <w:rPr>
                      <w:rFonts w:hint="eastAsia"/>
                      <w:snapToGrid w:val="0"/>
                      <w:color w:val="auto"/>
                      <w:kern w:val="0"/>
                      <w:sz w:val="21"/>
                      <w:szCs w:val="21"/>
                      <w:highlight w:val="none"/>
                      <w:lang w:val="en-US" w:eastAsia="zh-CN"/>
                    </w:rPr>
                    <w:t>4</w:t>
                  </w:r>
                </w:p>
              </w:tc>
            </w:tr>
            <w:tr w14:paraId="21ABDA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1" w:hRule="atLeast"/>
                <w:jc w:val="center"/>
              </w:trPr>
              <w:tc>
                <w:tcPr>
                  <w:tcW w:w="1241" w:type="pct"/>
                  <w:vMerge w:val="restart"/>
                  <w:noWrap w:val="0"/>
                  <w:vAlign w:val="center"/>
                </w:tcPr>
                <w:p w14:paraId="67D4A25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eastAsia="宋体"/>
                      <w:color w:val="auto"/>
                      <w:sz w:val="21"/>
                      <w:szCs w:val="21"/>
                      <w:highlight w:val="none"/>
                      <w:lang w:val="en-US" w:eastAsia="zh-CN"/>
                    </w:rPr>
                  </w:pPr>
                  <w:r>
                    <w:rPr>
                      <w:rFonts w:hint="eastAsia"/>
                      <w:color w:val="auto"/>
                      <w:sz w:val="21"/>
                      <w:szCs w:val="21"/>
                      <w:highlight w:val="none"/>
                      <w:lang w:val="en-US" w:eastAsia="zh-CN"/>
                    </w:rPr>
                    <w:t>油烟废气处理</w:t>
                  </w:r>
                </w:p>
              </w:tc>
              <w:tc>
                <w:tcPr>
                  <w:tcW w:w="1853" w:type="pct"/>
                  <w:noWrap w:val="0"/>
                  <w:vAlign w:val="center"/>
                </w:tcPr>
                <w:p w14:paraId="40E4732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hAnsi="宋体"/>
                      <w:color w:val="auto"/>
                      <w:sz w:val="21"/>
                      <w:szCs w:val="21"/>
                      <w:highlight w:val="none"/>
                      <w:lang w:val="en-US" w:eastAsia="zh-CN"/>
                    </w:rPr>
                    <w:t>静电式油烟净化器（去除效率≥85%）</w:t>
                  </w:r>
                </w:p>
              </w:tc>
              <w:tc>
                <w:tcPr>
                  <w:tcW w:w="879" w:type="pct"/>
                  <w:noWrap w:val="0"/>
                  <w:vAlign w:val="center"/>
                </w:tcPr>
                <w:p w14:paraId="563E540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eastAsia="”“Times New Roman”“"/>
                      <w:color w:val="auto"/>
                      <w:sz w:val="21"/>
                      <w:szCs w:val="21"/>
                      <w:highlight w:val="none"/>
                    </w:rPr>
                  </w:pPr>
                  <w:r>
                    <w:rPr>
                      <w:rFonts w:hint="eastAsia"/>
                      <w:color w:val="auto"/>
                      <w:sz w:val="21"/>
                      <w:szCs w:val="21"/>
                      <w:highlight w:val="none"/>
                      <w:lang w:val="en-US" w:eastAsia="zh-CN"/>
                    </w:rPr>
                    <w:t>1套</w:t>
                  </w:r>
                </w:p>
              </w:tc>
              <w:tc>
                <w:tcPr>
                  <w:tcW w:w="1025" w:type="pct"/>
                  <w:noWrap w:val="0"/>
                  <w:vAlign w:val="center"/>
                </w:tcPr>
                <w:p w14:paraId="7D16E7C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eastAsia="宋体"/>
                      <w:snapToGrid w:val="0"/>
                      <w:color w:val="auto"/>
                      <w:kern w:val="0"/>
                      <w:sz w:val="21"/>
                      <w:szCs w:val="21"/>
                      <w:highlight w:val="none"/>
                      <w:lang w:val="en-US" w:eastAsia="zh-CN"/>
                    </w:rPr>
                  </w:pPr>
                  <w:r>
                    <w:rPr>
                      <w:rFonts w:hint="eastAsia"/>
                      <w:snapToGrid w:val="0"/>
                      <w:color w:val="auto"/>
                      <w:kern w:val="0"/>
                      <w:sz w:val="21"/>
                      <w:szCs w:val="21"/>
                      <w:highlight w:val="none"/>
                      <w:lang w:val="en-US" w:eastAsia="zh-CN"/>
                    </w:rPr>
                    <w:t>3</w:t>
                  </w:r>
                </w:p>
              </w:tc>
            </w:tr>
            <w:tr w14:paraId="45F784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3" w:hRule="atLeast"/>
                <w:jc w:val="center"/>
              </w:trPr>
              <w:tc>
                <w:tcPr>
                  <w:tcW w:w="1241" w:type="pct"/>
                  <w:vMerge w:val="continue"/>
                  <w:noWrap w:val="0"/>
                  <w:vAlign w:val="center"/>
                </w:tcPr>
                <w:p w14:paraId="6EEE81F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color w:val="auto"/>
                      <w:sz w:val="21"/>
                      <w:szCs w:val="21"/>
                      <w:highlight w:val="none"/>
                    </w:rPr>
                  </w:pPr>
                </w:p>
              </w:tc>
              <w:tc>
                <w:tcPr>
                  <w:tcW w:w="1853" w:type="pct"/>
                  <w:noWrap w:val="0"/>
                  <w:vAlign w:val="center"/>
                </w:tcPr>
                <w:p w14:paraId="296AA76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eastAsia" w:hAnsi="宋体"/>
                      <w:color w:val="auto"/>
                      <w:sz w:val="21"/>
                      <w:szCs w:val="21"/>
                      <w:highlight w:val="none"/>
                      <w:lang w:val="en-US" w:eastAsia="zh-CN"/>
                    </w:rPr>
                  </w:pPr>
                  <w:r>
                    <w:rPr>
                      <w:rFonts w:hint="eastAsia" w:hAnsi="宋体"/>
                      <w:color w:val="auto"/>
                      <w:sz w:val="21"/>
                      <w:szCs w:val="21"/>
                      <w:highlight w:val="none"/>
                      <w:lang w:val="en-US" w:eastAsia="zh-CN"/>
                    </w:rPr>
                    <w:t>排气筒</w:t>
                  </w:r>
                </w:p>
              </w:tc>
              <w:tc>
                <w:tcPr>
                  <w:tcW w:w="879" w:type="pct"/>
                  <w:noWrap w:val="0"/>
                  <w:vAlign w:val="center"/>
                </w:tcPr>
                <w:p w14:paraId="636529F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lang w:val="en-US" w:eastAsia="zh-CN"/>
                    </w:rPr>
                  </w:pPr>
                  <w:r>
                    <w:rPr>
                      <w:rFonts w:hint="eastAsia"/>
                      <w:color w:val="auto"/>
                      <w:sz w:val="21"/>
                      <w:szCs w:val="21"/>
                      <w:highlight w:val="none"/>
                      <w:lang w:val="en-US" w:eastAsia="zh-CN"/>
                    </w:rPr>
                    <w:t>1根</w:t>
                  </w:r>
                </w:p>
              </w:tc>
              <w:tc>
                <w:tcPr>
                  <w:tcW w:w="1025" w:type="pct"/>
                  <w:noWrap w:val="0"/>
                  <w:vAlign w:val="center"/>
                </w:tcPr>
                <w:p w14:paraId="593BFF4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snapToGrid w:val="0"/>
                      <w:color w:val="auto"/>
                      <w:kern w:val="0"/>
                      <w:sz w:val="21"/>
                      <w:szCs w:val="21"/>
                      <w:highlight w:val="none"/>
                      <w:lang w:val="en-US" w:eastAsia="zh-CN"/>
                    </w:rPr>
                  </w:pPr>
                  <w:r>
                    <w:rPr>
                      <w:rFonts w:hint="eastAsia"/>
                      <w:snapToGrid w:val="0"/>
                      <w:color w:val="auto"/>
                      <w:kern w:val="0"/>
                      <w:sz w:val="21"/>
                      <w:szCs w:val="21"/>
                      <w:highlight w:val="none"/>
                      <w:lang w:val="en-US" w:eastAsia="zh-CN"/>
                    </w:rPr>
                    <w:t>2</w:t>
                  </w:r>
                </w:p>
              </w:tc>
            </w:tr>
            <w:tr w14:paraId="5B9C6D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41" w:type="pct"/>
                  <w:vMerge w:val="restart"/>
                  <w:noWrap w:val="0"/>
                  <w:vAlign w:val="center"/>
                </w:tcPr>
                <w:p w14:paraId="52BC5E9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color w:val="auto"/>
                      <w:kern w:val="0"/>
                      <w:sz w:val="21"/>
                      <w:szCs w:val="21"/>
                      <w:highlight w:val="none"/>
                    </w:rPr>
                  </w:pPr>
                  <w:r>
                    <w:rPr>
                      <w:rFonts w:hint="default"/>
                      <w:color w:val="auto"/>
                      <w:sz w:val="21"/>
                      <w:szCs w:val="21"/>
                      <w:highlight w:val="none"/>
                    </w:rPr>
                    <w:t>废水处理</w:t>
                  </w:r>
                </w:p>
              </w:tc>
              <w:tc>
                <w:tcPr>
                  <w:tcW w:w="1853" w:type="pct"/>
                  <w:noWrap w:val="0"/>
                  <w:vAlign w:val="center"/>
                </w:tcPr>
                <w:p w14:paraId="20C1B07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r>
                    <w:rPr>
                      <w:rFonts w:hint="eastAsia"/>
                      <w:color w:val="auto"/>
                      <w:sz w:val="21"/>
                      <w:szCs w:val="21"/>
                      <w:highlight w:val="none"/>
                    </w:rPr>
                    <w:t>化粪池（</w:t>
                  </w:r>
                  <w:r>
                    <w:rPr>
                      <w:rFonts w:hint="eastAsia"/>
                      <w:color w:val="auto"/>
                      <w:sz w:val="21"/>
                      <w:szCs w:val="21"/>
                      <w:highlight w:val="none"/>
                      <w:lang w:val="en-US" w:eastAsia="zh-CN"/>
                    </w:rPr>
                    <w:t>30m</w:t>
                  </w:r>
                  <w:r>
                    <w:rPr>
                      <w:rFonts w:hint="eastAsia"/>
                      <w:color w:val="auto"/>
                      <w:sz w:val="21"/>
                      <w:szCs w:val="21"/>
                      <w:highlight w:val="none"/>
                      <w:vertAlign w:val="superscript"/>
                      <w:lang w:val="en-US" w:eastAsia="zh-CN"/>
                    </w:rPr>
                    <w:t>3</w:t>
                  </w:r>
                  <w:r>
                    <w:rPr>
                      <w:rFonts w:hint="eastAsia"/>
                      <w:color w:val="auto"/>
                      <w:sz w:val="21"/>
                      <w:szCs w:val="21"/>
                      <w:highlight w:val="none"/>
                    </w:rPr>
                    <w:t>）</w:t>
                  </w:r>
                  <w:r>
                    <w:rPr>
                      <w:rFonts w:hint="default"/>
                      <w:color w:val="auto"/>
                      <w:sz w:val="21"/>
                      <w:szCs w:val="21"/>
                      <w:highlight w:val="none"/>
                    </w:rPr>
                    <w:t xml:space="preserve"> </w:t>
                  </w:r>
                </w:p>
              </w:tc>
              <w:tc>
                <w:tcPr>
                  <w:tcW w:w="879" w:type="pct"/>
                  <w:noWrap w:val="0"/>
                  <w:vAlign w:val="center"/>
                </w:tcPr>
                <w:p w14:paraId="06F3246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eastAsia"/>
                      <w:color w:val="auto"/>
                      <w:sz w:val="21"/>
                      <w:szCs w:val="21"/>
                      <w:highlight w:val="none"/>
                    </w:rPr>
                  </w:pPr>
                  <w:r>
                    <w:rPr>
                      <w:rFonts w:hint="default" w:eastAsia="”“Times New Roman”“"/>
                      <w:color w:val="auto"/>
                      <w:sz w:val="21"/>
                      <w:szCs w:val="21"/>
                      <w:highlight w:val="none"/>
                    </w:rPr>
                    <w:t>1</w:t>
                  </w:r>
                  <w:r>
                    <w:rPr>
                      <w:rFonts w:hint="eastAsia" w:eastAsia="”“Times New Roman”“"/>
                      <w:color w:val="auto"/>
                      <w:sz w:val="21"/>
                      <w:szCs w:val="21"/>
                      <w:highlight w:val="none"/>
                    </w:rPr>
                    <w:t>个</w:t>
                  </w:r>
                </w:p>
              </w:tc>
              <w:tc>
                <w:tcPr>
                  <w:tcW w:w="1025" w:type="pct"/>
                  <w:noWrap w:val="0"/>
                  <w:vAlign w:val="center"/>
                </w:tcPr>
                <w:p w14:paraId="4F71648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1</w:t>
                  </w:r>
                </w:p>
              </w:tc>
            </w:tr>
            <w:tr w14:paraId="15EDC0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41" w:type="pct"/>
                  <w:vMerge w:val="continue"/>
                  <w:noWrap w:val="0"/>
                  <w:vAlign w:val="center"/>
                </w:tcPr>
                <w:p w14:paraId="2DD6180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color w:val="auto"/>
                      <w:sz w:val="21"/>
                      <w:szCs w:val="21"/>
                      <w:highlight w:val="none"/>
                    </w:rPr>
                  </w:pPr>
                </w:p>
              </w:tc>
              <w:tc>
                <w:tcPr>
                  <w:tcW w:w="1853" w:type="pct"/>
                  <w:noWrap w:val="0"/>
                  <w:vAlign w:val="center"/>
                </w:tcPr>
                <w:p w14:paraId="6148BC3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地埋式一体化污水处理设施（50m</w:t>
                  </w:r>
                  <w:r>
                    <w:rPr>
                      <w:rFonts w:hint="eastAsia"/>
                      <w:color w:val="auto"/>
                      <w:sz w:val="21"/>
                      <w:szCs w:val="21"/>
                      <w:highlight w:val="none"/>
                      <w:vertAlign w:val="superscript"/>
                      <w:lang w:val="en-US" w:eastAsia="zh-CN"/>
                    </w:rPr>
                    <w:t>3</w:t>
                  </w:r>
                  <w:r>
                    <w:rPr>
                      <w:rFonts w:hint="eastAsia"/>
                      <w:color w:val="auto"/>
                      <w:sz w:val="21"/>
                      <w:szCs w:val="21"/>
                      <w:highlight w:val="none"/>
                      <w:lang w:val="en-US" w:eastAsia="zh-CN"/>
                    </w:rPr>
                    <w:t>/d）</w:t>
                  </w:r>
                </w:p>
              </w:tc>
              <w:tc>
                <w:tcPr>
                  <w:tcW w:w="879" w:type="pct"/>
                  <w:noWrap w:val="0"/>
                  <w:vAlign w:val="center"/>
                </w:tcPr>
                <w:p w14:paraId="53D8FC1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eastAsia" w:eastAsia="”“Times New Roman”“"/>
                      <w:color w:val="auto"/>
                      <w:sz w:val="21"/>
                      <w:szCs w:val="21"/>
                      <w:highlight w:val="none"/>
                      <w:lang w:val="en-US" w:eastAsia="zh-CN"/>
                    </w:rPr>
                  </w:pPr>
                  <w:r>
                    <w:rPr>
                      <w:rFonts w:hint="default" w:eastAsia="”“Times New Roman”“"/>
                      <w:color w:val="auto"/>
                      <w:sz w:val="21"/>
                      <w:szCs w:val="21"/>
                      <w:highlight w:val="none"/>
                    </w:rPr>
                    <w:t>1</w:t>
                  </w:r>
                  <w:r>
                    <w:rPr>
                      <w:rFonts w:hint="eastAsia" w:eastAsia="”“Times New Roman”“"/>
                      <w:color w:val="auto"/>
                      <w:sz w:val="21"/>
                      <w:szCs w:val="21"/>
                      <w:highlight w:val="none"/>
                      <w:lang w:val="en-US" w:eastAsia="zh-CN"/>
                    </w:rPr>
                    <w:t>座</w:t>
                  </w:r>
                </w:p>
              </w:tc>
              <w:tc>
                <w:tcPr>
                  <w:tcW w:w="1025" w:type="pct"/>
                  <w:noWrap w:val="0"/>
                  <w:vAlign w:val="center"/>
                </w:tcPr>
                <w:p w14:paraId="02CF3DD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20</w:t>
                  </w:r>
                </w:p>
              </w:tc>
            </w:tr>
            <w:tr w14:paraId="0E96B7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41" w:type="pct"/>
                  <w:noWrap w:val="0"/>
                  <w:vAlign w:val="center"/>
                </w:tcPr>
                <w:p w14:paraId="534F445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color w:val="auto"/>
                      <w:kern w:val="0"/>
                      <w:sz w:val="21"/>
                      <w:szCs w:val="21"/>
                      <w:highlight w:val="none"/>
                    </w:rPr>
                  </w:pPr>
                  <w:r>
                    <w:rPr>
                      <w:rFonts w:hint="default"/>
                      <w:color w:val="auto"/>
                      <w:sz w:val="21"/>
                      <w:szCs w:val="21"/>
                      <w:highlight w:val="none"/>
                    </w:rPr>
                    <w:t>噪声污染治理</w:t>
                  </w:r>
                </w:p>
              </w:tc>
              <w:tc>
                <w:tcPr>
                  <w:tcW w:w="1853" w:type="pct"/>
                  <w:noWrap w:val="0"/>
                  <w:vAlign w:val="center"/>
                </w:tcPr>
                <w:p w14:paraId="13E26A8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color w:val="auto"/>
                      <w:kern w:val="0"/>
                      <w:sz w:val="21"/>
                      <w:szCs w:val="21"/>
                      <w:highlight w:val="none"/>
                    </w:rPr>
                  </w:pPr>
                  <w:r>
                    <w:rPr>
                      <w:rFonts w:hint="default"/>
                      <w:bCs/>
                      <w:color w:val="auto"/>
                      <w:sz w:val="21"/>
                      <w:szCs w:val="21"/>
                      <w:highlight w:val="none"/>
                    </w:rPr>
                    <w:t>采取隔声、</w:t>
                  </w:r>
                  <w:r>
                    <w:rPr>
                      <w:rFonts w:hint="eastAsia"/>
                      <w:bCs/>
                      <w:color w:val="auto"/>
                      <w:sz w:val="21"/>
                      <w:szCs w:val="21"/>
                      <w:highlight w:val="none"/>
                      <w:lang w:val="en-US" w:eastAsia="zh-CN"/>
                    </w:rPr>
                    <w:t>基础</w:t>
                  </w:r>
                  <w:r>
                    <w:rPr>
                      <w:rFonts w:hint="default"/>
                      <w:bCs/>
                      <w:color w:val="auto"/>
                      <w:sz w:val="21"/>
                      <w:szCs w:val="21"/>
                      <w:highlight w:val="none"/>
                    </w:rPr>
                    <w:t>减振措施</w:t>
                  </w:r>
                </w:p>
              </w:tc>
              <w:tc>
                <w:tcPr>
                  <w:tcW w:w="879" w:type="pct"/>
                  <w:noWrap w:val="0"/>
                  <w:vAlign w:val="center"/>
                </w:tcPr>
                <w:p w14:paraId="49B8DE0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color w:val="auto"/>
                      <w:kern w:val="0"/>
                      <w:sz w:val="21"/>
                      <w:szCs w:val="21"/>
                      <w:highlight w:val="none"/>
                    </w:rPr>
                  </w:pPr>
                  <w:r>
                    <w:rPr>
                      <w:rFonts w:hint="default"/>
                      <w:color w:val="auto"/>
                      <w:sz w:val="21"/>
                      <w:szCs w:val="21"/>
                      <w:highlight w:val="none"/>
                    </w:rPr>
                    <w:t>配套</w:t>
                  </w:r>
                </w:p>
              </w:tc>
              <w:tc>
                <w:tcPr>
                  <w:tcW w:w="1025" w:type="pct"/>
                  <w:noWrap w:val="0"/>
                  <w:vAlign w:val="center"/>
                </w:tcPr>
                <w:p w14:paraId="3CB1E28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eastAsia="宋体"/>
                      <w:color w:val="auto"/>
                      <w:kern w:val="0"/>
                      <w:sz w:val="21"/>
                      <w:szCs w:val="21"/>
                      <w:highlight w:val="none"/>
                      <w:lang w:val="en-US" w:eastAsia="zh-CN"/>
                    </w:rPr>
                  </w:pPr>
                  <w:r>
                    <w:rPr>
                      <w:rFonts w:hint="eastAsia"/>
                      <w:color w:val="auto"/>
                      <w:kern w:val="0"/>
                      <w:sz w:val="21"/>
                      <w:szCs w:val="21"/>
                      <w:highlight w:val="none"/>
                    </w:rPr>
                    <w:t>2</w:t>
                  </w:r>
                </w:p>
              </w:tc>
            </w:tr>
            <w:tr w14:paraId="73070F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41" w:type="pct"/>
                  <w:vMerge w:val="restart"/>
                  <w:noWrap w:val="0"/>
                  <w:vAlign w:val="center"/>
                </w:tcPr>
                <w:p w14:paraId="682D2B5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color w:val="auto"/>
                      <w:kern w:val="0"/>
                      <w:sz w:val="21"/>
                      <w:szCs w:val="21"/>
                      <w:highlight w:val="none"/>
                    </w:rPr>
                  </w:pPr>
                  <w:r>
                    <w:rPr>
                      <w:rFonts w:hint="default"/>
                      <w:color w:val="auto"/>
                      <w:sz w:val="21"/>
                      <w:szCs w:val="21"/>
                      <w:highlight w:val="none"/>
                    </w:rPr>
                    <w:t>固体废物治理</w:t>
                  </w:r>
                </w:p>
              </w:tc>
              <w:tc>
                <w:tcPr>
                  <w:tcW w:w="1853" w:type="pct"/>
                  <w:noWrap w:val="0"/>
                  <w:vAlign w:val="center"/>
                </w:tcPr>
                <w:p w14:paraId="1264659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color w:val="auto"/>
                      <w:kern w:val="0"/>
                      <w:sz w:val="21"/>
                      <w:szCs w:val="21"/>
                      <w:highlight w:val="none"/>
                    </w:rPr>
                  </w:pPr>
                  <w:r>
                    <w:rPr>
                      <w:rFonts w:hint="eastAsia"/>
                      <w:color w:val="auto"/>
                      <w:sz w:val="21"/>
                      <w:szCs w:val="21"/>
                      <w:highlight w:val="none"/>
                      <w:lang w:val="en-US" w:eastAsia="zh-CN"/>
                    </w:rPr>
                    <w:t>分类</w:t>
                  </w:r>
                  <w:r>
                    <w:rPr>
                      <w:rFonts w:hint="default"/>
                      <w:color w:val="auto"/>
                      <w:sz w:val="21"/>
                      <w:szCs w:val="21"/>
                      <w:highlight w:val="none"/>
                    </w:rPr>
                    <w:t>垃圾箱</w:t>
                  </w:r>
                </w:p>
              </w:tc>
              <w:tc>
                <w:tcPr>
                  <w:tcW w:w="879" w:type="pct"/>
                  <w:noWrap w:val="0"/>
                  <w:vAlign w:val="center"/>
                </w:tcPr>
                <w:p w14:paraId="1E5D63F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color w:val="auto"/>
                      <w:kern w:val="0"/>
                      <w:sz w:val="21"/>
                      <w:szCs w:val="21"/>
                      <w:highlight w:val="none"/>
                    </w:rPr>
                  </w:pPr>
                  <w:r>
                    <w:rPr>
                      <w:rFonts w:hint="eastAsia"/>
                      <w:bCs/>
                      <w:color w:val="auto"/>
                      <w:sz w:val="21"/>
                      <w:szCs w:val="21"/>
                      <w:highlight w:val="none"/>
                      <w:lang w:val="en-US" w:eastAsia="zh-CN"/>
                    </w:rPr>
                    <w:t>若干</w:t>
                  </w:r>
                </w:p>
              </w:tc>
              <w:tc>
                <w:tcPr>
                  <w:tcW w:w="1025" w:type="pct"/>
                  <w:noWrap w:val="0"/>
                  <w:vAlign w:val="center"/>
                </w:tcPr>
                <w:p w14:paraId="18C1BE3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eastAsia" w:eastAsia="宋体"/>
                      <w:color w:val="auto"/>
                      <w:kern w:val="0"/>
                      <w:sz w:val="21"/>
                      <w:szCs w:val="21"/>
                      <w:highlight w:val="none"/>
                      <w:lang w:val="en-US" w:eastAsia="zh-CN"/>
                    </w:rPr>
                  </w:pPr>
                  <w:r>
                    <w:rPr>
                      <w:rFonts w:hint="default"/>
                      <w:color w:val="auto"/>
                      <w:kern w:val="0"/>
                      <w:sz w:val="21"/>
                      <w:szCs w:val="21"/>
                      <w:highlight w:val="none"/>
                    </w:rPr>
                    <w:t>0.</w:t>
                  </w:r>
                  <w:r>
                    <w:rPr>
                      <w:rFonts w:hint="eastAsia"/>
                      <w:color w:val="auto"/>
                      <w:kern w:val="0"/>
                      <w:sz w:val="21"/>
                      <w:szCs w:val="21"/>
                      <w:highlight w:val="none"/>
                      <w:lang w:val="en-US" w:eastAsia="zh-CN"/>
                    </w:rPr>
                    <w:t>1</w:t>
                  </w:r>
                </w:p>
              </w:tc>
            </w:tr>
            <w:tr w14:paraId="386C77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41" w:type="pct"/>
                  <w:vMerge w:val="continue"/>
                  <w:noWrap w:val="0"/>
                  <w:vAlign w:val="center"/>
                </w:tcPr>
                <w:p w14:paraId="712E7F2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rPr>
                      <w:rFonts w:hint="default"/>
                      <w:color w:val="auto"/>
                      <w:kern w:val="0"/>
                      <w:sz w:val="21"/>
                      <w:szCs w:val="21"/>
                      <w:highlight w:val="none"/>
                    </w:rPr>
                  </w:pPr>
                </w:p>
              </w:tc>
              <w:tc>
                <w:tcPr>
                  <w:tcW w:w="1853" w:type="pct"/>
                  <w:noWrap w:val="0"/>
                  <w:vAlign w:val="center"/>
                </w:tcPr>
                <w:p w14:paraId="4E3CE9D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eastAsia"/>
                      <w:color w:val="auto"/>
                      <w:kern w:val="0"/>
                      <w:sz w:val="21"/>
                      <w:szCs w:val="21"/>
                      <w:highlight w:val="none"/>
                    </w:rPr>
                  </w:pPr>
                  <w:r>
                    <w:rPr>
                      <w:rFonts w:hint="default"/>
                      <w:color w:val="auto"/>
                      <w:sz w:val="21"/>
                      <w:szCs w:val="21"/>
                      <w:highlight w:val="none"/>
                    </w:rPr>
                    <w:t>一般固废</w:t>
                  </w:r>
                  <w:r>
                    <w:rPr>
                      <w:rFonts w:hint="eastAsia"/>
                      <w:color w:val="auto"/>
                      <w:sz w:val="21"/>
                      <w:szCs w:val="21"/>
                      <w:highlight w:val="none"/>
                    </w:rPr>
                    <w:t>收集桶</w:t>
                  </w:r>
                </w:p>
              </w:tc>
              <w:tc>
                <w:tcPr>
                  <w:tcW w:w="879" w:type="pct"/>
                  <w:noWrap w:val="0"/>
                  <w:vAlign w:val="center"/>
                </w:tcPr>
                <w:p w14:paraId="1EC2908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eastAsia"/>
                      <w:color w:val="auto"/>
                      <w:kern w:val="0"/>
                      <w:sz w:val="21"/>
                      <w:szCs w:val="21"/>
                      <w:highlight w:val="none"/>
                    </w:rPr>
                  </w:pPr>
                  <w:r>
                    <w:rPr>
                      <w:rFonts w:hint="eastAsia"/>
                      <w:bCs/>
                      <w:color w:val="auto"/>
                      <w:sz w:val="21"/>
                      <w:szCs w:val="21"/>
                      <w:highlight w:val="none"/>
                      <w:lang w:val="en-US" w:eastAsia="zh-CN"/>
                    </w:rPr>
                    <w:t>若干</w:t>
                  </w:r>
                </w:p>
              </w:tc>
              <w:tc>
                <w:tcPr>
                  <w:tcW w:w="1025" w:type="pct"/>
                  <w:noWrap w:val="0"/>
                  <w:vAlign w:val="center"/>
                </w:tcPr>
                <w:p w14:paraId="02D9FA1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eastAsia" w:eastAsia="宋体"/>
                      <w:color w:val="auto"/>
                      <w:kern w:val="0"/>
                      <w:sz w:val="21"/>
                      <w:szCs w:val="21"/>
                      <w:highlight w:val="none"/>
                      <w:lang w:val="en-US" w:eastAsia="zh-CN"/>
                    </w:rPr>
                  </w:pPr>
                  <w:r>
                    <w:rPr>
                      <w:rFonts w:hint="eastAsia"/>
                      <w:color w:val="auto"/>
                      <w:kern w:val="0"/>
                      <w:sz w:val="21"/>
                      <w:szCs w:val="21"/>
                      <w:highlight w:val="none"/>
                    </w:rPr>
                    <w:t>0.</w:t>
                  </w:r>
                  <w:r>
                    <w:rPr>
                      <w:rFonts w:hint="eastAsia"/>
                      <w:color w:val="auto"/>
                      <w:kern w:val="0"/>
                      <w:sz w:val="21"/>
                      <w:szCs w:val="21"/>
                      <w:highlight w:val="none"/>
                      <w:lang w:val="en-US" w:eastAsia="zh-CN"/>
                    </w:rPr>
                    <w:t>1</w:t>
                  </w:r>
                </w:p>
              </w:tc>
            </w:tr>
            <w:tr w14:paraId="784DF9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41" w:type="pct"/>
                  <w:noWrap w:val="0"/>
                  <w:vAlign w:val="center"/>
                </w:tcPr>
                <w:p w14:paraId="0BC252A2">
                  <w:pPr>
                    <w:keepNext/>
                    <w:keepLines w:val="0"/>
                    <w:suppressLineNumbers w:val="0"/>
                    <w:overflowPunct w:val="0"/>
                    <w:spacing w:before="0" w:beforeAutospacing="0" w:after="0" w:afterAutospacing="0" w:line="240" w:lineRule="auto"/>
                    <w:ind w:left="0" w:leftChars="0" w:right="0" w:rightChars="0" w:firstLine="0" w:firstLineChars="0"/>
                    <w:jc w:val="center"/>
                    <w:rPr>
                      <w:rFonts w:hint="eastAsia"/>
                      <w:color w:val="auto"/>
                      <w:kern w:val="0"/>
                      <w:sz w:val="21"/>
                      <w:szCs w:val="21"/>
                      <w:highlight w:val="none"/>
                      <w:lang w:val="en-US" w:eastAsia="zh-CN"/>
                    </w:rPr>
                  </w:pPr>
                  <w:r>
                    <w:rPr>
                      <w:rFonts w:hint="eastAsia"/>
                      <w:color w:val="auto"/>
                      <w:sz w:val="21"/>
                      <w:szCs w:val="21"/>
                      <w:highlight w:val="none"/>
                    </w:rPr>
                    <w:t>运行维护费用</w:t>
                  </w:r>
                </w:p>
              </w:tc>
              <w:tc>
                <w:tcPr>
                  <w:tcW w:w="1853" w:type="pct"/>
                  <w:noWrap w:val="0"/>
                  <w:vAlign w:val="center"/>
                </w:tcPr>
                <w:p w14:paraId="22629D7F">
                  <w:pPr>
                    <w:pStyle w:val="80"/>
                    <w:keepNext w:val="0"/>
                    <w:keepLines w:val="0"/>
                    <w:widowControl/>
                    <w:suppressLineNumbers w:val="0"/>
                    <w:spacing w:before="0" w:beforeAutospacing="0" w:after="0" w:afterAutospacing="0"/>
                    <w:ind w:left="0" w:leftChars="0" w:right="0" w:rightChars="0"/>
                    <w:rPr>
                      <w:rFonts w:hint="eastAsia"/>
                      <w:color w:val="auto"/>
                      <w:sz w:val="21"/>
                      <w:szCs w:val="21"/>
                      <w:highlight w:val="none"/>
                      <w:lang w:val="en-US" w:eastAsia="zh-CN"/>
                    </w:rPr>
                  </w:pPr>
                  <w:r>
                    <w:rPr>
                      <w:rFonts w:hint="eastAsia"/>
                      <w:color w:val="auto"/>
                      <w:szCs w:val="20"/>
                      <w:highlight w:val="none"/>
                    </w:rPr>
                    <w:t>/</w:t>
                  </w:r>
                </w:p>
              </w:tc>
              <w:tc>
                <w:tcPr>
                  <w:tcW w:w="879" w:type="pct"/>
                  <w:noWrap w:val="0"/>
                  <w:vAlign w:val="center"/>
                </w:tcPr>
                <w:p w14:paraId="0444CC34">
                  <w:pPr>
                    <w:pStyle w:val="80"/>
                    <w:keepNext w:val="0"/>
                    <w:keepLines w:val="0"/>
                    <w:widowControl/>
                    <w:suppressLineNumbers w:val="0"/>
                    <w:spacing w:before="0" w:beforeAutospacing="0" w:after="0" w:afterAutospacing="0"/>
                    <w:ind w:left="0" w:leftChars="0" w:right="0" w:rightChars="0"/>
                    <w:rPr>
                      <w:rFonts w:hint="eastAsia"/>
                      <w:bCs/>
                      <w:color w:val="auto"/>
                      <w:sz w:val="21"/>
                      <w:szCs w:val="21"/>
                      <w:highlight w:val="none"/>
                      <w:lang w:val="en-US" w:eastAsia="zh-CN"/>
                    </w:rPr>
                  </w:pPr>
                  <w:r>
                    <w:rPr>
                      <w:rFonts w:hint="eastAsia"/>
                      <w:color w:val="auto"/>
                      <w:szCs w:val="20"/>
                      <w:highlight w:val="none"/>
                    </w:rPr>
                    <w:t>/</w:t>
                  </w:r>
                </w:p>
              </w:tc>
              <w:tc>
                <w:tcPr>
                  <w:tcW w:w="1025" w:type="pct"/>
                  <w:noWrap w:val="0"/>
                  <w:vAlign w:val="center"/>
                </w:tcPr>
                <w:p w14:paraId="0C82832E">
                  <w:pPr>
                    <w:pStyle w:val="80"/>
                    <w:keepNext w:val="0"/>
                    <w:keepLines w:val="0"/>
                    <w:widowControl/>
                    <w:suppressLineNumbers w:val="0"/>
                    <w:spacing w:before="0" w:beforeAutospacing="0" w:after="0" w:afterAutospacing="0"/>
                    <w:ind w:left="0" w:leftChars="0" w:right="0" w:rightChars="0"/>
                    <w:rPr>
                      <w:rFonts w:hint="eastAsia"/>
                      <w:color w:val="auto"/>
                      <w:kern w:val="0"/>
                      <w:sz w:val="21"/>
                      <w:szCs w:val="21"/>
                      <w:highlight w:val="none"/>
                      <w:lang w:val="en-US" w:eastAsia="zh-CN"/>
                    </w:rPr>
                  </w:pPr>
                  <w:r>
                    <w:rPr>
                      <w:rFonts w:hint="eastAsia"/>
                      <w:color w:val="auto"/>
                      <w:szCs w:val="20"/>
                      <w:highlight w:val="none"/>
                      <w:lang w:val="en-US" w:eastAsia="zh-CN"/>
                    </w:rPr>
                    <w:t>4</w:t>
                  </w:r>
                </w:p>
              </w:tc>
            </w:tr>
            <w:tr w14:paraId="312209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41" w:type="pct"/>
                  <w:noWrap w:val="0"/>
                  <w:vAlign w:val="center"/>
                </w:tcPr>
                <w:p w14:paraId="0F6ECD4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环境管理与监测费用</w:t>
                  </w:r>
                </w:p>
              </w:tc>
              <w:tc>
                <w:tcPr>
                  <w:tcW w:w="1853" w:type="pct"/>
                  <w:noWrap w:val="0"/>
                  <w:vAlign w:val="center"/>
                </w:tcPr>
                <w:p w14:paraId="5FA6097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c>
                <w:tcPr>
                  <w:tcW w:w="879" w:type="pct"/>
                  <w:noWrap w:val="0"/>
                  <w:vAlign w:val="center"/>
                </w:tcPr>
                <w:p w14:paraId="5177B72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bCs/>
                      <w:color w:val="auto"/>
                      <w:sz w:val="21"/>
                      <w:szCs w:val="21"/>
                      <w:highlight w:val="none"/>
                      <w:lang w:val="en-US" w:eastAsia="zh-CN"/>
                    </w:rPr>
                  </w:pPr>
                  <w:r>
                    <w:rPr>
                      <w:rFonts w:hint="eastAsia"/>
                      <w:bCs/>
                      <w:color w:val="auto"/>
                      <w:sz w:val="21"/>
                      <w:szCs w:val="21"/>
                      <w:highlight w:val="none"/>
                      <w:lang w:val="en-US" w:eastAsia="zh-CN"/>
                    </w:rPr>
                    <w:t>/</w:t>
                  </w:r>
                </w:p>
              </w:tc>
              <w:tc>
                <w:tcPr>
                  <w:tcW w:w="1025" w:type="pct"/>
                  <w:noWrap w:val="0"/>
                  <w:vAlign w:val="center"/>
                </w:tcPr>
                <w:p w14:paraId="690334D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baseline"/>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8</w:t>
                  </w:r>
                </w:p>
              </w:tc>
            </w:tr>
            <w:tr w14:paraId="638EED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3974" w:type="pct"/>
                  <w:gridSpan w:val="3"/>
                  <w:noWrap w:val="0"/>
                  <w:vAlign w:val="center"/>
                </w:tcPr>
                <w:p w14:paraId="4EA6F2F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color w:val="auto"/>
                      <w:sz w:val="21"/>
                      <w:szCs w:val="21"/>
                      <w:highlight w:val="none"/>
                    </w:rPr>
                  </w:pPr>
                  <w:r>
                    <w:rPr>
                      <w:rFonts w:hint="default"/>
                      <w:color w:val="auto"/>
                      <w:kern w:val="0"/>
                      <w:sz w:val="21"/>
                      <w:szCs w:val="21"/>
                      <w:highlight w:val="none"/>
                    </w:rPr>
                    <w:t>合计</w:t>
                  </w:r>
                </w:p>
              </w:tc>
              <w:tc>
                <w:tcPr>
                  <w:tcW w:w="1025" w:type="pct"/>
                  <w:noWrap w:val="0"/>
                  <w:vAlign w:val="center"/>
                </w:tcPr>
                <w:p w14:paraId="4D419FA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48.2</w:t>
                  </w:r>
                </w:p>
              </w:tc>
            </w:tr>
          </w:tbl>
          <w:p w14:paraId="07D493EB">
            <w:pPr>
              <w:pStyle w:val="80"/>
              <w:keepNext w:val="0"/>
              <w:keepLines w:val="0"/>
              <w:widowControl/>
              <w:suppressLineNumbers w:val="0"/>
              <w:spacing w:before="0" w:beforeAutospacing="0" w:after="0" w:afterAutospacing="0"/>
              <w:ind w:left="0" w:right="0"/>
              <w:rPr>
                <w:rFonts w:hint="default"/>
                <w:color w:val="auto"/>
                <w:szCs w:val="20"/>
                <w:highlight w:val="yellow"/>
              </w:rPr>
            </w:pPr>
          </w:p>
          <w:p w14:paraId="31CCCF3C">
            <w:pPr>
              <w:pStyle w:val="80"/>
              <w:keepNext w:val="0"/>
              <w:keepLines w:val="0"/>
              <w:widowControl/>
              <w:suppressLineNumbers w:val="0"/>
              <w:spacing w:before="0" w:beforeAutospacing="0" w:after="0" w:afterAutospacing="0"/>
              <w:ind w:left="0" w:right="0"/>
              <w:rPr>
                <w:rFonts w:hint="default"/>
                <w:color w:val="auto"/>
                <w:szCs w:val="20"/>
                <w:highlight w:val="yellow"/>
              </w:rPr>
            </w:pPr>
          </w:p>
        </w:tc>
      </w:tr>
    </w:tbl>
    <w:p w14:paraId="6D4A2B82">
      <w:pPr>
        <w:pStyle w:val="32"/>
        <w:ind w:firstLine="0" w:firstLineChars="0"/>
        <w:jc w:val="center"/>
        <w:outlineLvl w:val="0"/>
        <w:rPr>
          <w:rFonts w:ascii="Times New Roman" w:hAnsi="Times New Roman" w:eastAsia="黑体"/>
          <w:snapToGrid w:val="0"/>
          <w:color w:val="auto"/>
          <w:sz w:val="30"/>
          <w:szCs w:val="30"/>
          <w:highlight w:val="none"/>
        </w:rPr>
      </w:pPr>
      <w:r>
        <w:rPr>
          <w:rFonts w:ascii="Times New Roman" w:hAnsi="Times New Roman"/>
          <w:snapToGrid w:val="0"/>
          <w:color w:val="auto"/>
          <w:highlight w:val="none"/>
        </w:rPr>
        <w:br w:type="page"/>
      </w:r>
      <w:r>
        <w:rPr>
          <w:rFonts w:ascii="Times New Roman" w:hAnsi="Times New Roman" w:eastAsia="黑体"/>
          <w:snapToGrid w:val="0"/>
          <w:color w:val="auto"/>
          <w:sz w:val="30"/>
          <w:szCs w:val="30"/>
          <w:highlight w:val="none"/>
        </w:rPr>
        <w:t>六、结论</w:t>
      </w:r>
    </w:p>
    <w:tbl>
      <w:tblPr>
        <w:tblStyle w:val="3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6A7FAF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563AEFBF">
            <w:pPr>
              <w:keepNext w:val="0"/>
              <w:keepLines w:val="0"/>
              <w:suppressLineNumbers w:val="0"/>
              <w:spacing w:before="0" w:beforeAutospacing="0" w:after="0" w:afterAutospacing="0"/>
              <w:ind w:left="0" w:right="0" w:firstLine="480"/>
              <w:rPr>
                <w:rFonts w:hint="default"/>
                <w:b/>
                <w:color w:val="auto"/>
                <w:szCs w:val="20"/>
                <w:highlight w:val="none"/>
              </w:rPr>
            </w:pPr>
            <w:r>
              <w:rPr>
                <w:rFonts w:hint="eastAsia"/>
                <w:color w:val="auto"/>
                <w:highlight w:val="none"/>
              </w:rPr>
              <w:t>从环境保护角度</w:t>
            </w:r>
            <w:r>
              <w:rPr>
                <w:rFonts w:hint="eastAsia"/>
                <w:color w:val="auto"/>
                <w:highlight w:val="none"/>
                <w:lang w:val="en-US" w:eastAsia="zh-CN"/>
              </w:rPr>
              <w:t>分析</w:t>
            </w:r>
            <w:r>
              <w:rPr>
                <w:rFonts w:hint="eastAsia"/>
                <w:color w:val="auto"/>
                <w:highlight w:val="none"/>
              </w:rPr>
              <w:t>，建设项目环境影响可接受。</w:t>
            </w:r>
          </w:p>
        </w:tc>
      </w:tr>
    </w:tbl>
    <w:p w14:paraId="4FC82F7B">
      <w:pPr>
        <w:ind w:firstLine="480"/>
        <w:rPr>
          <w:color w:val="auto"/>
          <w:highlight w:val="none"/>
        </w:rPr>
        <w:sectPr>
          <w:pgSz w:w="11906" w:h="16838"/>
          <w:pgMar w:top="1701" w:right="1531" w:bottom="1701" w:left="1531"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0C930C67">
      <w:pPr>
        <w:pStyle w:val="32"/>
        <w:adjustRightInd w:val="0"/>
        <w:snapToGrid w:val="0"/>
        <w:spacing w:before="0" w:beforeAutospacing="0" w:after="0" w:afterAutospacing="0" w:line="240" w:lineRule="auto"/>
        <w:ind w:firstLine="560"/>
        <w:jc w:val="center"/>
        <w:rPr>
          <w:rFonts w:ascii="Times New Roman" w:hAnsi="Times New Roman" w:eastAsia="方正小标宋_GBK"/>
          <w:snapToGrid w:val="0"/>
          <w:color w:val="auto"/>
          <w:sz w:val="38"/>
          <w:szCs w:val="38"/>
          <w:highlight w:val="none"/>
        </w:rPr>
      </w:pPr>
      <w:r>
        <w:rPr>
          <w:rFonts w:ascii="Times New Roman" w:hAnsi="Times New Roman" w:eastAsia="方正小标宋_GBK"/>
          <w:snapToGrid w:val="0"/>
          <w:color w:val="auto"/>
          <w:sz w:val="28"/>
          <w:szCs w:val="28"/>
          <w:highlight w:val="none"/>
        </w:rPr>
        <w:t>建设项目污染物排放量汇总表</w:t>
      </w:r>
    </w:p>
    <w:tbl>
      <w:tblPr>
        <w:tblStyle w:val="37"/>
        <w:tblW w:w="1403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1688"/>
        <w:gridCol w:w="1702"/>
        <w:gridCol w:w="1276"/>
        <w:gridCol w:w="1702"/>
        <w:gridCol w:w="1560"/>
        <w:gridCol w:w="1762"/>
        <w:gridCol w:w="1641"/>
        <w:gridCol w:w="1388"/>
      </w:tblGrid>
      <w:tr w14:paraId="08F749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tcBorders>
              <w:tl2br w:val="nil"/>
              <w:tr2bl w:val="nil"/>
            </w:tcBorders>
            <w:tcMar>
              <w:left w:w="28" w:type="dxa"/>
              <w:right w:w="28" w:type="dxa"/>
            </w:tcMar>
            <w:vAlign w:val="center"/>
            <mc:AlternateContent>
              <mc:Choice Requires="wpsCustomData">
                <wpsCustomData:diagonals>
                  <wpsCustomData:diagonal from="10000" to="30000">
                    <wpsCustomData:border w:val="single" w:color="auto" w:sz="8" w:space="0"/>
                  </wpsCustomData:diagonal>
                </wpsCustomData:diagonals>
              </mc:Choice>
            </mc:AlternateContent>
          </w:tcPr>
          <w:p w14:paraId="2F67F7F3">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p w14:paraId="37A9028D">
            <w:pPr>
              <w:pStyle w:val="80"/>
              <w:keepNext w:val="0"/>
              <w:keepLines w:val="0"/>
              <w:widowControl/>
              <w:suppressLineNumbers w:val="0"/>
              <w:snapToGrid w:val="0"/>
              <w:spacing w:before="0" w:beforeAutospacing="0" w:after="0" w:afterAutospacing="0" w:line="240" w:lineRule="auto"/>
              <w:ind w:left="0" w:right="0"/>
              <mc:AlternateContent>
                <mc:Choice Requires="wpsCustomData">
                  <wpsCustomData:diagonalParaType/>
                </mc:Choice>
              </mc:AlternateContent>
              <w:rPr>
                <w:rFonts w:hint="default"/>
                <w:snapToGrid w:val="0"/>
                <w:color w:val="auto"/>
                <w:szCs w:val="20"/>
                <w:highlight w:val="none"/>
              </w:rPr>
            </w:pPr>
            <w:r>
              <w:rPr>
                <w:rFonts w:hint="default"/>
                <w:snapToGrid w:val="0"/>
                <w:color w:val="auto"/>
                <w:szCs w:val="20"/>
                <w:highlight w:val="none"/>
              </w:rPr>
              <w:t>分类</w:t>
            </w:r>
          </w:p>
          <w:p w14:paraId="41F7F6EE">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项目</w:t>
            </w:r>
          </w:p>
          <w:p w14:paraId="4481461D">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tcMar>
              <w:left w:w="28" w:type="dxa"/>
              <w:right w:w="28" w:type="dxa"/>
            </w:tcMar>
            <w:vAlign w:val="center"/>
          </w:tcPr>
          <w:p w14:paraId="3CD2A2FA">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污染物名称</w:t>
            </w:r>
          </w:p>
        </w:tc>
        <w:tc>
          <w:tcPr>
            <w:tcW w:w="1702" w:type="dxa"/>
            <w:tcBorders>
              <w:tl2br w:val="nil"/>
              <w:tr2bl w:val="nil"/>
            </w:tcBorders>
            <w:tcMar>
              <w:left w:w="28" w:type="dxa"/>
              <w:right w:w="28" w:type="dxa"/>
            </w:tcMar>
            <w:vAlign w:val="center"/>
          </w:tcPr>
          <w:p w14:paraId="7731545A">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现有工程</w:t>
            </w:r>
          </w:p>
          <w:p w14:paraId="037CD1A1">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排放量（固体废物产生量）</w:t>
            </w:r>
            <w:r>
              <w:rPr>
                <w:rFonts w:hint="default"/>
                <w:snapToGrid w:val="0"/>
                <w:color w:val="auto"/>
                <w:szCs w:val="20"/>
                <w:highlight w:val="none"/>
              </w:rPr>
              <w:fldChar w:fldCharType="begin"/>
            </w:r>
            <w:r>
              <w:rPr>
                <w:rFonts w:hint="default"/>
                <w:snapToGrid w:val="0"/>
                <w:color w:val="auto"/>
                <w:szCs w:val="20"/>
                <w:highlight w:val="none"/>
              </w:rPr>
              <w:instrText xml:space="preserve"> = 1 \* GB3 \* MERGEFORMAT </w:instrText>
            </w:r>
            <w:r>
              <w:rPr>
                <w:rFonts w:hint="default"/>
                <w:snapToGrid w:val="0"/>
                <w:color w:val="auto"/>
                <w:szCs w:val="20"/>
                <w:highlight w:val="none"/>
              </w:rPr>
              <w:fldChar w:fldCharType="separate"/>
            </w:r>
            <w:r>
              <w:rPr>
                <w:rFonts w:hint="eastAsia" w:ascii="宋体" w:hAnsi="宋体" w:cs="宋体"/>
                <w:color w:val="auto"/>
                <w:kern w:val="2"/>
                <w:szCs w:val="20"/>
                <w:highlight w:val="none"/>
              </w:rPr>
              <w:t>①</w:t>
            </w:r>
            <w:r>
              <w:rPr>
                <w:rFonts w:hint="default"/>
                <w:snapToGrid w:val="0"/>
                <w:color w:val="auto"/>
                <w:szCs w:val="20"/>
                <w:highlight w:val="none"/>
              </w:rPr>
              <w:fldChar w:fldCharType="end"/>
            </w:r>
          </w:p>
        </w:tc>
        <w:tc>
          <w:tcPr>
            <w:tcW w:w="1276" w:type="dxa"/>
            <w:tcBorders>
              <w:tl2br w:val="nil"/>
              <w:tr2bl w:val="nil"/>
            </w:tcBorders>
            <w:tcMar>
              <w:left w:w="28" w:type="dxa"/>
              <w:right w:w="28" w:type="dxa"/>
            </w:tcMar>
            <w:vAlign w:val="center"/>
          </w:tcPr>
          <w:p w14:paraId="3823A4AE">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现有工程</w:t>
            </w:r>
          </w:p>
          <w:p w14:paraId="38F7D93E">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许可排放量</w:t>
            </w:r>
          </w:p>
          <w:p w14:paraId="67631883">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fldChar w:fldCharType="begin"/>
            </w:r>
            <w:r>
              <w:rPr>
                <w:rFonts w:hint="default"/>
                <w:snapToGrid w:val="0"/>
                <w:color w:val="auto"/>
                <w:szCs w:val="20"/>
                <w:highlight w:val="none"/>
              </w:rPr>
              <w:instrText xml:space="preserve"> = 2 \* GB3 \* MERGEFORMAT </w:instrText>
            </w:r>
            <w:r>
              <w:rPr>
                <w:rFonts w:hint="default"/>
                <w:snapToGrid w:val="0"/>
                <w:color w:val="auto"/>
                <w:szCs w:val="20"/>
                <w:highlight w:val="none"/>
              </w:rPr>
              <w:fldChar w:fldCharType="separate"/>
            </w:r>
            <w:r>
              <w:rPr>
                <w:rFonts w:hint="eastAsia" w:ascii="宋体" w:hAnsi="宋体" w:cs="宋体"/>
                <w:snapToGrid w:val="0"/>
                <w:color w:val="auto"/>
                <w:szCs w:val="20"/>
                <w:highlight w:val="none"/>
              </w:rPr>
              <w:t>②</w:t>
            </w:r>
            <w:r>
              <w:rPr>
                <w:rFonts w:hint="default"/>
                <w:snapToGrid w:val="0"/>
                <w:color w:val="auto"/>
                <w:szCs w:val="20"/>
                <w:highlight w:val="none"/>
              </w:rPr>
              <w:fldChar w:fldCharType="end"/>
            </w:r>
          </w:p>
        </w:tc>
        <w:tc>
          <w:tcPr>
            <w:tcW w:w="1702" w:type="dxa"/>
            <w:tcBorders>
              <w:tl2br w:val="nil"/>
              <w:tr2bl w:val="nil"/>
            </w:tcBorders>
            <w:tcMar>
              <w:left w:w="28" w:type="dxa"/>
              <w:right w:w="28" w:type="dxa"/>
            </w:tcMar>
            <w:vAlign w:val="center"/>
          </w:tcPr>
          <w:p w14:paraId="1B8D04C5">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在建工程</w:t>
            </w:r>
          </w:p>
          <w:p w14:paraId="57F99140">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排放量（固体废物产生量）</w:t>
            </w:r>
            <w:r>
              <w:rPr>
                <w:rFonts w:hint="default"/>
                <w:snapToGrid w:val="0"/>
                <w:color w:val="auto"/>
                <w:szCs w:val="20"/>
                <w:highlight w:val="none"/>
              </w:rPr>
              <w:fldChar w:fldCharType="begin"/>
            </w:r>
            <w:r>
              <w:rPr>
                <w:rFonts w:hint="default"/>
                <w:snapToGrid w:val="0"/>
                <w:color w:val="auto"/>
                <w:szCs w:val="20"/>
                <w:highlight w:val="none"/>
              </w:rPr>
              <w:instrText xml:space="preserve"> = 3 \* GB3 \* MERGEFORMAT </w:instrText>
            </w:r>
            <w:r>
              <w:rPr>
                <w:rFonts w:hint="default"/>
                <w:snapToGrid w:val="0"/>
                <w:color w:val="auto"/>
                <w:szCs w:val="20"/>
                <w:highlight w:val="none"/>
              </w:rPr>
              <w:fldChar w:fldCharType="separate"/>
            </w:r>
            <w:r>
              <w:rPr>
                <w:rFonts w:hint="eastAsia" w:ascii="宋体" w:hAnsi="宋体" w:cs="宋体"/>
                <w:color w:val="auto"/>
                <w:kern w:val="2"/>
                <w:szCs w:val="20"/>
                <w:highlight w:val="none"/>
              </w:rPr>
              <w:t>③</w:t>
            </w:r>
            <w:r>
              <w:rPr>
                <w:rFonts w:hint="default"/>
                <w:snapToGrid w:val="0"/>
                <w:color w:val="auto"/>
                <w:szCs w:val="20"/>
                <w:highlight w:val="none"/>
              </w:rPr>
              <w:fldChar w:fldCharType="end"/>
            </w:r>
          </w:p>
        </w:tc>
        <w:tc>
          <w:tcPr>
            <w:tcW w:w="1560" w:type="dxa"/>
            <w:tcBorders>
              <w:tl2br w:val="nil"/>
              <w:tr2bl w:val="nil"/>
            </w:tcBorders>
            <w:tcMar>
              <w:left w:w="28" w:type="dxa"/>
              <w:right w:w="28" w:type="dxa"/>
            </w:tcMar>
            <w:vAlign w:val="center"/>
          </w:tcPr>
          <w:p w14:paraId="62A49675">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本项目</w:t>
            </w:r>
          </w:p>
          <w:p w14:paraId="1742FE6B">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排放量（固体废物产生量）</w:t>
            </w:r>
            <w:r>
              <w:rPr>
                <w:rFonts w:hint="default"/>
                <w:snapToGrid w:val="0"/>
                <w:color w:val="auto"/>
                <w:szCs w:val="20"/>
                <w:highlight w:val="none"/>
              </w:rPr>
              <w:fldChar w:fldCharType="begin"/>
            </w:r>
            <w:r>
              <w:rPr>
                <w:rFonts w:hint="default"/>
                <w:snapToGrid w:val="0"/>
                <w:color w:val="auto"/>
                <w:szCs w:val="20"/>
                <w:highlight w:val="none"/>
              </w:rPr>
              <w:instrText xml:space="preserve"> = 4 \* GB3 \* MERGEFORMAT </w:instrText>
            </w:r>
            <w:r>
              <w:rPr>
                <w:rFonts w:hint="default"/>
                <w:snapToGrid w:val="0"/>
                <w:color w:val="auto"/>
                <w:szCs w:val="20"/>
                <w:highlight w:val="none"/>
              </w:rPr>
              <w:fldChar w:fldCharType="separate"/>
            </w:r>
            <w:r>
              <w:rPr>
                <w:rFonts w:hint="eastAsia" w:ascii="宋体" w:hAnsi="宋体" w:cs="宋体"/>
                <w:color w:val="auto"/>
                <w:kern w:val="2"/>
                <w:szCs w:val="20"/>
                <w:highlight w:val="none"/>
              </w:rPr>
              <w:t>④</w:t>
            </w:r>
            <w:r>
              <w:rPr>
                <w:rFonts w:hint="default"/>
                <w:snapToGrid w:val="0"/>
                <w:color w:val="auto"/>
                <w:szCs w:val="20"/>
                <w:highlight w:val="none"/>
              </w:rPr>
              <w:fldChar w:fldCharType="end"/>
            </w:r>
          </w:p>
        </w:tc>
        <w:tc>
          <w:tcPr>
            <w:tcW w:w="1762" w:type="dxa"/>
            <w:tcBorders>
              <w:tl2br w:val="nil"/>
              <w:tr2bl w:val="nil"/>
            </w:tcBorders>
            <w:tcMar>
              <w:left w:w="28" w:type="dxa"/>
              <w:right w:w="28" w:type="dxa"/>
            </w:tcMar>
            <w:vAlign w:val="center"/>
          </w:tcPr>
          <w:p w14:paraId="39185E47">
            <w:pPr>
              <w:pStyle w:val="80"/>
              <w:keepNext w:val="0"/>
              <w:keepLines w:val="0"/>
              <w:widowControl/>
              <w:suppressLineNumbers w:val="0"/>
              <w:spacing w:before="0" w:beforeAutospacing="0" w:after="0" w:afterAutospacing="0"/>
              <w:ind w:left="0" w:right="0"/>
              <w:rPr>
                <w:rFonts w:hint="default"/>
                <w:snapToGrid w:val="0"/>
                <w:color w:val="auto"/>
                <w:spacing w:val="-16"/>
                <w:szCs w:val="20"/>
                <w:highlight w:val="none"/>
              </w:rPr>
            </w:pPr>
            <w:r>
              <w:rPr>
                <w:rFonts w:hint="default"/>
                <w:snapToGrid w:val="0"/>
                <w:color w:val="auto"/>
                <w:spacing w:val="-16"/>
                <w:szCs w:val="20"/>
                <w:highlight w:val="none"/>
              </w:rPr>
              <w:t>以新带老削减量</w:t>
            </w:r>
          </w:p>
          <w:p w14:paraId="05EDFE0E">
            <w:pPr>
              <w:pStyle w:val="80"/>
              <w:keepNext w:val="0"/>
              <w:keepLines w:val="0"/>
              <w:widowControl/>
              <w:suppressLineNumbers w:val="0"/>
              <w:spacing w:before="0" w:beforeAutospacing="0" w:after="0" w:afterAutospacing="0"/>
              <w:ind w:left="0" w:right="0"/>
              <w:rPr>
                <w:rFonts w:hint="default"/>
                <w:snapToGrid w:val="0"/>
                <w:color w:val="auto"/>
                <w:spacing w:val="-16"/>
                <w:szCs w:val="20"/>
                <w:highlight w:val="none"/>
              </w:rPr>
            </w:pPr>
            <w:r>
              <w:rPr>
                <w:rFonts w:hint="default"/>
                <w:snapToGrid w:val="0"/>
                <w:color w:val="auto"/>
                <w:spacing w:val="-16"/>
                <w:szCs w:val="20"/>
                <w:highlight w:val="none"/>
              </w:rPr>
              <w:t>（新建项目不填）</w:t>
            </w:r>
            <w:r>
              <w:rPr>
                <w:rFonts w:hint="default"/>
                <w:snapToGrid w:val="0"/>
                <w:color w:val="auto"/>
                <w:spacing w:val="-16"/>
                <w:szCs w:val="20"/>
                <w:highlight w:val="none"/>
              </w:rPr>
              <w:fldChar w:fldCharType="begin"/>
            </w:r>
            <w:r>
              <w:rPr>
                <w:rFonts w:hint="default"/>
                <w:snapToGrid w:val="0"/>
                <w:color w:val="auto"/>
                <w:spacing w:val="-16"/>
                <w:szCs w:val="20"/>
                <w:highlight w:val="none"/>
              </w:rPr>
              <w:instrText xml:space="preserve"> = 5 \* GB3 \* MERGEFORMAT </w:instrText>
            </w:r>
            <w:r>
              <w:rPr>
                <w:rFonts w:hint="default"/>
                <w:snapToGrid w:val="0"/>
                <w:color w:val="auto"/>
                <w:spacing w:val="-16"/>
                <w:szCs w:val="20"/>
                <w:highlight w:val="none"/>
              </w:rPr>
              <w:fldChar w:fldCharType="separate"/>
            </w:r>
            <w:r>
              <w:rPr>
                <w:rFonts w:hint="eastAsia" w:ascii="宋体" w:hAnsi="宋体" w:cs="宋体"/>
                <w:color w:val="auto"/>
                <w:kern w:val="2"/>
                <w:szCs w:val="20"/>
                <w:highlight w:val="none"/>
              </w:rPr>
              <w:t>⑤</w:t>
            </w:r>
            <w:r>
              <w:rPr>
                <w:rFonts w:hint="default"/>
                <w:snapToGrid w:val="0"/>
                <w:color w:val="auto"/>
                <w:spacing w:val="-16"/>
                <w:szCs w:val="20"/>
                <w:highlight w:val="none"/>
              </w:rPr>
              <w:fldChar w:fldCharType="end"/>
            </w:r>
          </w:p>
        </w:tc>
        <w:tc>
          <w:tcPr>
            <w:tcW w:w="1641" w:type="dxa"/>
            <w:tcBorders>
              <w:tl2br w:val="nil"/>
              <w:tr2bl w:val="nil"/>
            </w:tcBorders>
            <w:tcMar>
              <w:left w:w="28" w:type="dxa"/>
              <w:right w:w="28" w:type="dxa"/>
            </w:tcMar>
            <w:vAlign w:val="center"/>
          </w:tcPr>
          <w:p w14:paraId="4E799396">
            <w:pPr>
              <w:pStyle w:val="80"/>
              <w:keepNext w:val="0"/>
              <w:keepLines w:val="0"/>
              <w:widowControl/>
              <w:suppressLineNumbers w:val="0"/>
              <w:spacing w:before="0" w:beforeAutospacing="0" w:after="0" w:afterAutospacing="0"/>
              <w:ind w:left="0" w:right="0"/>
              <w:rPr>
                <w:rFonts w:hint="default"/>
                <w:snapToGrid w:val="0"/>
                <w:color w:val="auto"/>
                <w:spacing w:val="-16"/>
                <w:szCs w:val="20"/>
                <w:highlight w:val="none"/>
              </w:rPr>
            </w:pPr>
            <w:r>
              <w:rPr>
                <w:rFonts w:hint="default"/>
                <w:snapToGrid w:val="0"/>
                <w:color w:val="auto"/>
                <w:spacing w:val="-16"/>
                <w:szCs w:val="20"/>
                <w:highlight w:val="none"/>
              </w:rPr>
              <w:t>本项目建成后</w:t>
            </w:r>
          </w:p>
          <w:p w14:paraId="6C583C6A">
            <w:pPr>
              <w:pStyle w:val="80"/>
              <w:keepNext w:val="0"/>
              <w:keepLines w:val="0"/>
              <w:widowControl/>
              <w:suppressLineNumbers w:val="0"/>
              <w:spacing w:before="0" w:beforeAutospacing="0" w:after="0" w:afterAutospacing="0"/>
              <w:ind w:left="0" w:right="0"/>
              <w:rPr>
                <w:rFonts w:hint="default"/>
                <w:snapToGrid w:val="0"/>
                <w:color w:val="auto"/>
                <w:spacing w:val="-16"/>
                <w:szCs w:val="20"/>
                <w:highlight w:val="none"/>
              </w:rPr>
            </w:pPr>
            <w:r>
              <w:rPr>
                <w:rFonts w:hint="default"/>
                <w:snapToGrid w:val="0"/>
                <w:color w:val="auto"/>
                <w:spacing w:val="-16"/>
                <w:szCs w:val="20"/>
                <w:highlight w:val="none"/>
              </w:rPr>
              <w:t>全厂排放量（固体废物产生量）</w:t>
            </w:r>
            <w:r>
              <w:rPr>
                <w:rFonts w:hint="default"/>
                <w:snapToGrid w:val="0"/>
                <w:color w:val="auto"/>
                <w:spacing w:val="-16"/>
                <w:szCs w:val="20"/>
                <w:highlight w:val="none"/>
              </w:rPr>
              <w:fldChar w:fldCharType="begin"/>
            </w:r>
            <w:r>
              <w:rPr>
                <w:rFonts w:hint="default"/>
                <w:snapToGrid w:val="0"/>
                <w:color w:val="auto"/>
                <w:spacing w:val="-16"/>
                <w:szCs w:val="20"/>
                <w:highlight w:val="none"/>
              </w:rPr>
              <w:instrText xml:space="preserve"> = 6 \* GB3 \* MERGEFORMAT </w:instrText>
            </w:r>
            <w:r>
              <w:rPr>
                <w:rFonts w:hint="default"/>
                <w:snapToGrid w:val="0"/>
                <w:color w:val="auto"/>
                <w:spacing w:val="-16"/>
                <w:szCs w:val="20"/>
                <w:highlight w:val="none"/>
              </w:rPr>
              <w:fldChar w:fldCharType="separate"/>
            </w:r>
            <w:r>
              <w:rPr>
                <w:rFonts w:hint="eastAsia" w:ascii="宋体" w:hAnsi="宋体" w:cs="宋体"/>
                <w:color w:val="auto"/>
                <w:kern w:val="2"/>
                <w:szCs w:val="20"/>
                <w:highlight w:val="none"/>
              </w:rPr>
              <w:t>⑥</w:t>
            </w:r>
            <w:r>
              <w:rPr>
                <w:rFonts w:hint="default"/>
                <w:snapToGrid w:val="0"/>
                <w:color w:val="auto"/>
                <w:spacing w:val="-16"/>
                <w:szCs w:val="20"/>
                <w:highlight w:val="none"/>
              </w:rPr>
              <w:fldChar w:fldCharType="end"/>
            </w:r>
          </w:p>
        </w:tc>
        <w:tc>
          <w:tcPr>
            <w:tcW w:w="1388" w:type="dxa"/>
            <w:tcBorders>
              <w:tl2br w:val="nil"/>
              <w:tr2bl w:val="nil"/>
            </w:tcBorders>
            <w:tcMar>
              <w:left w:w="28" w:type="dxa"/>
              <w:right w:w="28" w:type="dxa"/>
            </w:tcMar>
            <w:vAlign w:val="center"/>
          </w:tcPr>
          <w:p w14:paraId="605AA763">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变化量</w:t>
            </w:r>
          </w:p>
          <w:p w14:paraId="5A72F6AE">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fldChar w:fldCharType="begin"/>
            </w:r>
            <w:r>
              <w:rPr>
                <w:rFonts w:hint="default"/>
                <w:snapToGrid w:val="0"/>
                <w:color w:val="auto"/>
                <w:szCs w:val="20"/>
                <w:highlight w:val="none"/>
              </w:rPr>
              <w:instrText xml:space="preserve"> = 7 \* GB3 \* MERGEFORMAT </w:instrText>
            </w:r>
            <w:r>
              <w:rPr>
                <w:rFonts w:hint="default"/>
                <w:snapToGrid w:val="0"/>
                <w:color w:val="auto"/>
                <w:szCs w:val="20"/>
                <w:highlight w:val="none"/>
              </w:rPr>
              <w:fldChar w:fldCharType="separate"/>
            </w:r>
            <w:r>
              <w:rPr>
                <w:rFonts w:hint="eastAsia" w:ascii="宋体" w:hAnsi="宋体" w:cs="宋体"/>
                <w:color w:val="auto"/>
                <w:kern w:val="2"/>
                <w:szCs w:val="20"/>
                <w:highlight w:val="none"/>
              </w:rPr>
              <w:t>⑦</w:t>
            </w:r>
            <w:r>
              <w:rPr>
                <w:rFonts w:hint="default"/>
                <w:snapToGrid w:val="0"/>
                <w:color w:val="auto"/>
                <w:szCs w:val="20"/>
                <w:highlight w:val="none"/>
              </w:rPr>
              <w:fldChar w:fldCharType="end"/>
            </w:r>
          </w:p>
        </w:tc>
      </w:tr>
      <w:tr w14:paraId="27C426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restart"/>
            <w:tcBorders>
              <w:tl2br w:val="nil"/>
              <w:tr2bl w:val="nil"/>
            </w:tcBorders>
            <w:vAlign w:val="center"/>
          </w:tcPr>
          <w:p w14:paraId="209C07C8">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废气</w:t>
            </w:r>
          </w:p>
        </w:tc>
        <w:tc>
          <w:tcPr>
            <w:tcW w:w="1688" w:type="dxa"/>
            <w:tcBorders>
              <w:tl2br w:val="nil"/>
              <w:tr2bl w:val="nil"/>
            </w:tcBorders>
            <w:vAlign w:val="center"/>
          </w:tcPr>
          <w:p w14:paraId="0951775F">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eastAsia="宋体" w:cs="Times New Roman"/>
                <w:color w:val="auto"/>
                <w:spacing w:val="-1"/>
                <w:sz w:val="21"/>
                <w:szCs w:val="21"/>
                <w:highlight w:val="none"/>
                <w:lang w:eastAsia="zh-CN"/>
              </w:rPr>
              <w:t>颗粒物</w:t>
            </w:r>
          </w:p>
        </w:tc>
        <w:tc>
          <w:tcPr>
            <w:tcW w:w="1702" w:type="dxa"/>
            <w:tcBorders>
              <w:tl2br w:val="nil"/>
              <w:tr2bl w:val="nil"/>
            </w:tcBorders>
            <w:vAlign w:val="center"/>
          </w:tcPr>
          <w:p w14:paraId="1DF7AF7B">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c>
          <w:tcPr>
            <w:tcW w:w="1276" w:type="dxa"/>
            <w:tcBorders>
              <w:tl2br w:val="nil"/>
              <w:tr2bl w:val="nil"/>
            </w:tcBorders>
            <w:vAlign w:val="center"/>
          </w:tcPr>
          <w:p w14:paraId="2179FA67">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c>
          <w:tcPr>
            <w:tcW w:w="1702" w:type="dxa"/>
            <w:tcBorders>
              <w:tl2br w:val="nil"/>
              <w:tr2bl w:val="nil"/>
            </w:tcBorders>
            <w:vAlign w:val="center"/>
          </w:tcPr>
          <w:p w14:paraId="718099CB">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pacing w:val="-1"/>
                <w:kern w:val="2"/>
                <w:sz w:val="21"/>
                <w:szCs w:val="20"/>
                <w:highlight w:val="none"/>
                <w:lang w:val="en-US" w:eastAsia="zh-CN" w:bidi="ar-SA"/>
              </w:rPr>
            </w:pPr>
            <w:r>
              <w:rPr>
                <w:rFonts w:hint="eastAsia"/>
                <w:color w:val="auto"/>
                <w:spacing w:val="-1"/>
                <w:kern w:val="2"/>
                <w:szCs w:val="20"/>
                <w:highlight w:val="none"/>
              </w:rPr>
              <w:t>/</w:t>
            </w:r>
          </w:p>
        </w:tc>
        <w:tc>
          <w:tcPr>
            <w:tcW w:w="1560" w:type="dxa"/>
            <w:tcBorders>
              <w:tl2br w:val="nil"/>
              <w:tr2bl w:val="nil"/>
            </w:tcBorders>
            <w:vAlign w:val="center"/>
          </w:tcPr>
          <w:p w14:paraId="67F75BC2">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42kg</w:t>
            </w:r>
            <w:r>
              <w:rPr>
                <w:rFonts w:hint="default"/>
                <w:color w:val="auto"/>
                <w:spacing w:val="-1"/>
                <w:szCs w:val="20"/>
                <w:highlight w:val="none"/>
              </w:rPr>
              <w:t>/a</w:t>
            </w:r>
          </w:p>
        </w:tc>
        <w:tc>
          <w:tcPr>
            <w:tcW w:w="1762" w:type="dxa"/>
            <w:tcBorders>
              <w:tl2br w:val="nil"/>
              <w:tr2bl w:val="nil"/>
            </w:tcBorders>
            <w:vAlign w:val="center"/>
          </w:tcPr>
          <w:p w14:paraId="208EF111">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bCs/>
                <w:color w:val="auto"/>
                <w:sz w:val="21"/>
                <w:szCs w:val="20"/>
                <w:highlight w:val="none"/>
                <w:lang w:val="en-US" w:eastAsia="zh-CN" w:bidi="ar-SA"/>
              </w:rPr>
            </w:pPr>
            <w:r>
              <w:rPr>
                <w:rFonts w:hint="eastAsia"/>
                <w:bCs/>
                <w:color w:val="auto"/>
                <w:szCs w:val="20"/>
                <w:highlight w:val="none"/>
              </w:rPr>
              <w:t>/</w:t>
            </w:r>
          </w:p>
        </w:tc>
        <w:tc>
          <w:tcPr>
            <w:tcW w:w="1641" w:type="dxa"/>
            <w:tcBorders>
              <w:tl2br w:val="nil"/>
              <w:tr2bl w:val="nil"/>
            </w:tcBorders>
            <w:vAlign w:val="center"/>
          </w:tcPr>
          <w:p w14:paraId="18E512CE">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auto"/>
                <w:sz w:val="21"/>
                <w:szCs w:val="20"/>
                <w:highlight w:val="none"/>
                <w:lang w:val="en-US" w:eastAsia="zh-CN" w:bidi="ar-SA"/>
              </w:rPr>
            </w:pPr>
            <w:r>
              <w:rPr>
                <w:rFonts w:hint="eastAsia"/>
                <w:color w:val="auto"/>
                <w:szCs w:val="20"/>
                <w:highlight w:val="none"/>
                <w:lang w:val="en-US" w:eastAsia="zh-CN"/>
              </w:rPr>
              <w:t>42kg</w:t>
            </w:r>
            <w:r>
              <w:rPr>
                <w:rFonts w:hint="default"/>
                <w:color w:val="auto"/>
                <w:spacing w:val="-1"/>
                <w:szCs w:val="20"/>
                <w:highlight w:val="none"/>
              </w:rPr>
              <w:t>/a</w:t>
            </w:r>
          </w:p>
        </w:tc>
        <w:tc>
          <w:tcPr>
            <w:tcW w:w="1388" w:type="dxa"/>
            <w:tcBorders>
              <w:tl2br w:val="nil"/>
              <w:tr2bl w:val="nil"/>
            </w:tcBorders>
            <w:vAlign w:val="center"/>
          </w:tcPr>
          <w:p w14:paraId="702942AA">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0"/>
                <w:highlight w:val="none"/>
                <w:lang w:val="en-US" w:eastAsia="zh-CN" w:bidi="ar-SA"/>
              </w:rPr>
            </w:pPr>
            <w:r>
              <w:rPr>
                <w:rFonts w:hint="eastAsia"/>
                <w:bCs/>
                <w:color w:val="auto"/>
                <w:szCs w:val="20"/>
                <w:highlight w:val="none"/>
              </w:rPr>
              <w:t>/</w:t>
            </w:r>
          </w:p>
        </w:tc>
      </w:tr>
      <w:tr w14:paraId="75A82F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continue"/>
            <w:tcBorders>
              <w:tl2br w:val="nil"/>
              <w:tr2bl w:val="nil"/>
            </w:tcBorders>
            <w:vAlign w:val="center"/>
          </w:tcPr>
          <w:p w14:paraId="07603767">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vAlign w:val="center"/>
          </w:tcPr>
          <w:p w14:paraId="105A6A6A">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color w:val="auto"/>
                <w:spacing w:val="-1"/>
                <w:sz w:val="21"/>
                <w:szCs w:val="21"/>
                <w:highlight w:val="none"/>
                <w:lang w:eastAsia="zh-CN"/>
              </w:rPr>
            </w:pPr>
            <w:r>
              <w:rPr>
                <w:rFonts w:hint="default" w:ascii="Times New Roman" w:hAnsi="Times New Roman" w:eastAsia="宋体" w:cs="Times New Roman"/>
                <w:color w:val="auto"/>
                <w:spacing w:val="-1"/>
                <w:sz w:val="21"/>
                <w:szCs w:val="21"/>
                <w:highlight w:val="none"/>
                <w:lang w:eastAsia="zh-CN"/>
              </w:rPr>
              <w:t>SO</w:t>
            </w:r>
            <w:r>
              <w:rPr>
                <w:rFonts w:hint="default" w:ascii="Times New Roman" w:hAnsi="Times New Roman" w:eastAsia="宋体" w:cs="Times New Roman"/>
                <w:color w:val="auto"/>
                <w:spacing w:val="-1"/>
                <w:sz w:val="21"/>
                <w:szCs w:val="21"/>
                <w:highlight w:val="none"/>
                <w:vertAlign w:val="subscript"/>
                <w:lang w:eastAsia="zh-CN"/>
              </w:rPr>
              <w:t>2</w:t>
            </w:r>
          </w:p>
        </w:tc>
        <w:tc>
          <w:tcPr>
            <w:tcW w:w="1702" w:type="dxa"/>
            <w:tcBorders>
              <w:tl2br w:val="nil"/>
              <w:tr2bl w:val="nil"/>
            </w:tcBorders>
            <w:vAlign w:val="center"/>
          </w:tcPr>
          <w:p w14:paraId="553C96AD">
            <w:pPr>
              <w:pStyle w:val="80"/>
              <w:keepNext w:val="0"/>
              <w:keepLines w:val="0"/>
              <w:widowControl/>
              <w:suppressLineNumbers w:val="0"/>
              <w:spacing w:before="0" w:beforeAutospacing="0" w:after="0" w:afterAutospacing="0"/>
              <w:ind w:left="0" w:leftChars="0" w:right="0" w:rightChars="0"/>
              <w:rPr>
                <w:rFonts w:hint="eastAsia"/>
                <w:snapToGrid w:val="0"/>
                <w:color w:val="auto"/>
                <w:szCs w:val="20"/>
                <w:highlight w:val="none"/>
              </w:rPr>
            </w:pPr>
            <w:r>
              <w:rPr>
                <w:rFonts w:hint="eastAsia"/>
                <w:snapToGrid w:val="0"/>
                <w:color w:val="auto"/>
                <w:szCs w:val="20"/>
                <w:highlight w:val="none"/>
              </w:rPr>
              <w:t>/</w:t>
            </w:r>
          </w:p>
        </w:tc>
        <w:tc>
          <w:tcPr>
            <w:tcW w:w="1276" w:type="dxa"/>
            <w:tcBorders>
              <w:tl2br w:val="nil"/>
              <w:tr2bl w:val="nil"/>
            </w:tcBorders>
            <w:vAlign w:val="center"/>
          </w:tcPr>
          <w:p w14:paraId="429B896C">
            <w:pPr>
              <w:pStyle w:val="80"/>
              <w:keepNext w:val="0"/>
              <w:keepLines w:val="0"/>
              <w:widowControl/>
              <w:suppressLineNumbers w:val="0"/>
              <w:spacing w:before="0" w:beforeAutospacing="0" w:after="0" w:afterAutospacing="0"/>
              <w:ind w:left="0" w:leftChars="0" w:right="0" w:rightChars="0"/>
              <w:rPr>
                <w:rFonts w:hint="eastAsia"/>
                <w:snapToGrid w:val="0"/>
                <w:color w:val="auto"/>
                <w:szCs w:val="20"/>
                <w:highlight w:val="none"/>
              </w:rPr>
            </w:pPr>
            <w:r>
              <w:rPr>
                <w:rFonts w:hint="eastAsia"/>
                <w:snapToGrid w:val="0"/>
                <w:color w:val="auto"/>
                <w:szCs w:val="20"/>
                <w:highlight w:val="none"/>
              </w:rPr>
              <w:t>/</w:t>
            </w:r>
          </w:p>
        </w:tc>
        <w:tc>
          <w:tcPr>
            <w:tcW w:w="1702" w:type="dxa"/>
            <w:tcBorders>
              <w:tl2br w:val="nil"/>
              <w:tr2bl w:val="nil"/>
            </w:tcBorders>
            <w:vAlign w:val="center"/>
          </w:tcPr>
          <w:p w14:paraId="5426BF65">
            <w:pPr>
              <w:pStyle w:val="80"/>
              <w:keepNext w:val="0"/>
              <w:keepLines w:val="0"/>
              <w:widowControl/>
              <w:suppressLineNumbers w:val="0"/>
              <w:spacing w:before="0" w:beforeAutospacing="0" w:after="0" w:afterAutospacing="0"/>
              <w:ind w:left="0" w:leftChars="0" w:right="0" w:rightChars="0"/>
              <w:rPr>
                <w:rFonts w:hint="eastAsia"/>
                <w:color w:val="auto"/>
                <w:spacing w:val="-1"/>
                <w:kern w:val="2"/>
                <w:szCs w:val="20"/>
                <w:highlight w:val="none"/>
              </w:rPr>
            </w:pPr>
            <w:r>
              <w:rPr>
                <w:rFonts w:hint="eastAsia"/>
                <w:snapToGrid w:val="0"/>
                <w:color w:val="auto"/>
                <w:szCs w:val="20"/>
                <w:highlight w:val="none"/>
              </w:rPr>
              <w:t>/</w:t>
            </w:r>
          </w:p>
        </w:tc>
        <w:tc>
          <w:tcPr>
            <w:tcW w:w="1560" w:type="dxa"/>
            <w:tcBorders>
              <w:tl2br w:val="nil"/>
              <w:tr2bl w:val="nil"/>
            </w:tcBorders>
            <w:vAlign w:val="center"/>
          </w:tcPr>
          <w:p w14:paraId="69049252">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r>
              <w:rPr>
                <w:rFonts w:hint="eastAsia"/>
                <w:color w:val="auto"/>
                <w:szCs w:val="20"/>
                <w:highlight w:val="none"/>
                <w:lang w:val="en-US" w:eastAsia="zh-CN"/>
              </w:rPr>
              <w:t>21kg</w:t>
            </w:r>
            <w:r>
              <w:rPr>
                <w:rFonts w:hint="default"/>
                <w:color w:val="auto"/>
                <w:szCs w:val="20"/>
                <w:highlight w:val="none"/>
              </w:rPr>
              <w:t>/a</w:t>
            </w:r>
          </w:p>
        </w:tc>
        <w:tc>
          <w:tcPr>
            <w:tcW w:w="1762" w:type="dxa"/>
            <w:tcBorders>
              <w:tl2br w:val="nil"/>
              <w:tr2bl w:val="nil"/>
            </w:tcBorders>
            <w:vAlign w:val="center"/>
          </w:tcPr>
          <w:p w14:paraId="30EAAFFF">
            <w:pPr>
              <w:pStyle w:val="80"/>
              <w:keepNext w:val="0"/>
              <w:keepLines w:val="0"/>
              <w:widowControl/>
              <w:suppressLineNumbers w:val="0"/>
              <w:spacing w:before="0" w:beforeAutospacing="0" w:after="0" w:afterAutospacing="0"/>
              <w:ind w:left="0" w:leftChars="0" w:right="0" w:rightChars="0"/>
              <w:rPr>
                <w:rFonts w:hint="eastAsia"/>
                <w:bCs/>
                <w:color w:val="auto"/>
                <w:szCs w:val="20"/>
                <w:highlight w:val="none"/>
              </w:rPr>
            </w:pPr>
            <w:r>
              <w:rPr>
                <w:rFonts w:hint="eastAsia"/>
                <w:snapToGrid w:val="0"/>
                <w:color w:val="auto"/>
                <w:szCs w:val="20"/>
                <w:highlight w:val="none"/>
              </w:rPr>
              <w:t>/</w:t>
            </w:r>
          </w:p>
        </w:tc>
        <w:tc>
          <w:tcPr>
            <w:tcW w:w="1641" w:type="dxa"/>
            <w:tcBorders>
              <w:tl2br w:val="nil"/>
              <w:tr2bl w:val="nil"/>
            </w:tcBorders>
            <w:vAlign w:val="center"/>
          </w:tcPr>
          <w:p w14:paraId="6C31A345">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lang w:val="en-US" w:eastAsia="zh-CN"/>
              </w:rPr>
            </w:pPr>
            <w:r>
              <w:rPr>
                <w:rFonts w:hint="eastAsia"/>
                <w:color w:val="auto"/>
                <w:szCs w:val="20"/>
                <w:highlight w:val="none"/>
                <w:lang w:val="en-US" w:eastAsia="zh-CN"/>
              </w:rPr>
              <w:t>21kg</w:t>
            </w:r>
            <w:r>
              <w:rPr>
                <w:rFonts w:hint="default"/>
                <w:color w:val="auto"/>
                <w:szCs w:val="20"/>
                <w:highlight w:val="none"/>
              </w:rPr>
              <w:t>/a</w:t>
            </w:r>
          </w:p>
        </w:tc>
        <w:tc>
          <w:tcPr>
            <w:tcW w:w="1388" w:type="dxa"/>
            <w:tcBorders>
              <w:tl2br w:val="nil"/>
              <w:tr2bl w:val="nil"/>
            </w:tcBorders>
            <w:vAlign w:val="center"/>
          </w:tcPr>
          <w:p w14:paraId="4F65A59B">
            <w:pPr>
              <w:pStyle w:val="80"/>
              <w:keepNext w:val="0"/>
              <w:keepLines w:val="0"/>
              <w:widowControl/>
              <w:suppressLineNumbers w:val="0"/>
              <w:spacing w:before="0" w:beforeAutospacing="0" w:after="0" w:afterAutospacing="0"/>
              <w:ind w:left="0" w:leftChars="0" w:right="0" w:rightChars="0"/>
              <w:rPr>
                <w:rFonts w:hint="eastAsia"/>
                <w:bCs/>
                <w:color w:val="auto"/>
                <w:szCs w:val="20"/>
                <w:highlight w:val="none"/>
              </w:rPr>
            </w:pPr>
            <w:r>
              <w:rPr>
                <w:rFonts w:hint="eastAsia"/>
                <w:snapToGrid w:val="0"/>
                <w:color w:val="auto"/>
                <w:szCs w:val="20"/>
                <w:highlight w:val="none"/>
              </w:rPr>
              <w:t>/</w:t>
            </w:r>
          </w:p>
        </w:tc>
      </w:tr>
      <w:tr w14:paraId="3244B5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continue"/>
            <w:tcBorders>
              <w:tl2br w:val="nil"/>
              <w:tr2bl w:val="nil"/>
            </w:tcBorders>
            <w:vAlign w:val="center"/>
          </w:tcPr>
          <w:p w14:paraId="61CC102B">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vAlign w:val="center"/>
          </w:tcPr>
          <w:p w14:paraId="48169697">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color w:val="auto"/>
                <w:spacing w:val="-1"/>
                <w:sz w:val="21"/>
                <w:szCs w:val="21"/>
                <w:highlight w:val="none"/>
                <w:lang w:eastAsia="zh-CN"/>
              </w:rPr>
            </w:pPr>
            <w:r>
              <w:rPr>
                <w:rFonts w:hint="default" w:ascii="Times New Roman" w:hAnsi="Times New Roman" w:eastAsia="宋体" w:cs="Times New Roman"/>
                <w:color w:val="auto"/>
                <w:spacing w:val="-1"/>
                <w:sz w:val="21"/>
                <w:szCs w:val="21"/>
                <w:highlight w:val="none"/>
                <w:lang w:eastAsia="zh-CN"/>
              </w:rPr>
              <w:t>NOx</w:t>
            </w:r>
          </w:p>
        </w:tc>
        <w:tc>
          <w:tcPr>
            <w:tcW w:w="1702" w:type="dxa"/>
            <w:tcBorders>
              <w:tl2br w:val="nil"/>
              <w:tr2bl w:val="nil"/>
            </w:tcBorders>
            <w:vAlign w:val="center"/>
          </w:tcPr>
          <w:p w14:paraId="1008329D">
            <w:pPr>
              <w:pStyle w:val="80"/>
              <w:keepNext w:val="0"/>
              <w:keepLines w:val="0"/>
              <w:widowControl/>
              <w:suppressLineNumbers w:val="0"/>
              <w:spacing w:before="0" w:beforeAutospacing="0" w:after="0" w:afterAutospacing="0"/>
              <w:ind w:left="0" w:leftChars="0" w:right="0" w:rightChars="0"/>
              <w:rPr>
                <w:rFonts w:hint="eastAsia"/>
                <w:snapToGrid w:val="0"/>
                <w:color w:val="auto"/>
                <w:szCs w:val="20"/>
                <w:highlight w:val="none"/>
              </w:rPr>
            </w:pPr>
            <w:r>
              <w:rPr>
                <w:rFonts w:hint="eastAsia"/>
                <w:snapToGrid w:val="0"/>
                <w:color w:val="auto"/>
                <w:szCs w:val="20"/>
                <w:highlight w:val="none"/>
              </w:rPr>
              <w:t>/</w:t>
            </w:r>
          </w:p>
        </w:tc>
        <w:tc>
          <w:tcPr>
            <w:tcW w:w="1276" w:type="dxa"/>
            <w:tcBorders>
              <w:tl2br w:val="nil"/>
              <w:tr2bl w:val="nil"/>
            </w:tcBorders>
            <w:vAlign w:val="center"/>
          </w:tcPr>
          <w:p w14:paraId="187B49E5">
            <w:pPr>
              <w:pStyle w:val="80"/>
              <w:keepNext w:val="0"/>
              <w:keepLines w:val="0"/>
              <w:widowControl/>
              <w:suppressLineNumbers w:val="0"/>
              <w:spacing w:before="0" w:beforeAutospacing="0" w:after="0" w:afterAutospacing="0"/>
              <w:ind w:left="0" w:leftChars="0" w:right="0" w:rightChars="0"/>
              <w:rPr>
                <w:rFonts w:hint="eastAsia"/>
                <w:snapToGrid w:val="0"/>
                <w:color w:val="auto"/>
                <w:szCs w:val="20"/>
                <w:highlight w:val="none"/>
              </w:rPr>
            </w:pPr>
            <w:r>
              <w:rPr>
                <w:rFonts w:hint="eastAsia"/>
                <w:snapToGrid w:val="0"/>
                <w:color w:val="auto"/>
                <w:szCs w:val="20"/>
                <w:highlight w:val="none"/>
              </w:rPr>
              <w:t>/</w:t>
            </w:r>
          </w:p>
        </w:tc>
        <w:tc>
          <w:tcPr>
            <w:tcW w:w="1702" w:type="dxa"/>
            <w:tcBorders>
              <w:tl2br w:val="nil"/>
              <w:tr2bl w:val="nil"/>
            </w:tcBorders>
            <w:vAlign w:val="center"/>
          </w:tcPr>
          <w:p w14:paraId="784BE4D5">
            <w:pPr>
              <w:pStyle w:val="80"/>
              <w:keepNext w:val="0"/>
              <w:keepLines w:val="0"/>
              <w:widowControl/>
              <w:suppressLineNumbers w:val="0"/>
              <w:spacing w:before="0" w:beforeAutospacing="0" w:after="0" w:afterAutospacing="0"/>
              <w:ind w:left="0" w:leftChars="0" w:right="0" w:rightChars="0"/>
              <w:rPr>
                <w:rFonts w:hint="eastAsia"/>
                <w:color w:val="auto"/>
                <w:spacing w:val="-1"/>
                <w:kern w:val="2"/>
                <w:szCs w:val="20"/>
                <w:highlight w:val="none"/>
              </w:rPr>
            </w:pPr>
            <w:r>
              <w:rPr>
                <w:rFonts w:hint="eastAsia"/>
                <w:snapToGrid w:val="0"/>
                <w:color w:val="auto"/>
                <w:szCs w:val="20"/>
                <w:highlight w:val="none"/>
              </w:rPr>
              <w:t>/</w:t>
            </w:r>
          </w:p>
        </w:tc>
        <w:tc>
          <w:tcPr>
            <w:tcW w:w="1560" w:type="dxa"/>
            <w:tcBorders>
              <w:tl2br w:val="nil"/>
              <w:tr2bl w:val="nil"/>
            </w:tcBorders>
            <w:vAlign w:val="center"/>
          </w:tcPr>
          <w:p w14:paraId="0F0B35F8">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r>
              <w:rPr>
                <w:rFonts w:hint="eastAsia"/>
                <w:color w:val="auto"/>
                <w:szCs w:val="20"/>
                <w:highlight w:val="none"/>
                <w:lang w:val="en-US" w:eastAsia="zh-CN"/>
              </w:rPr>
              <w:t>169kg</w:t>
            </w:r>
            <w:r>
              <w:rPr>
                <w:rFonts w:hint="default"/>
                <w:color w:val="auto"/>
                <w:szCs w:val="20"/>
                <w:highlight w:val="none"/>
              </w:rPr>
              <w:t>/a</w:t>
            </w:r>
          </w:p>
        </w:tc>
        <w:tc>
          <w:tcPr>
            <w:tcW w:w="1762" w:type="dxa"/>
            <w:tcBorders>
              <w:tl2br w:val="nil"/>
              <w:tr2bl w:val="nil"/>
            </w:tcBorders>
            <w:vAlign w:val="center"/>
          </w:tcPr>
          <w:p w14:paraId="433DDBA5">
            <w:pPr>
              <w:pStyle w:val="80"/>
              <w:keepNext w:val="0"/>
              <w:keepLines w:val="0"/>
              <w:widowControl/>
              <w:suppressLineNumbers w:val="0"/>
              <w:spacing w:before="0" w:beforeAutospacing="0" w:after="0" w:afterAutospacing="0"/>
              <w:ind w:left="0" w:leftChars="0" w:right="0" w:rightChars="0"/>
              <w:rPr>
                <w:rFonts w:hint="eastAsia"/>
                <w:bCs/>
                <w:color w:val="auto"/>
                <w:szCs w:val="20"/>
                <w:highlight w:val="none"/>
              </w:rPr>
            </w:pPr>
            <w:r>
              <w:rPr>
                <w:rFonts w:hint="eastAsia"/>
                <w:snapToGrid w:val="0"/>
                <w:color w:val="auto"/>
                <w:szCs w:val="20"/>
                <w:highlight w:val="none"/>
              </w:rPr>
              <w:t>/</w:t>
            </w:r>
          </w:p>
        </w:tc>
        <w:tc>
          <w:tcPr>
            <w:tcW w:w="1641" w:type="dxa"/>
            <w:tcBorders>
              <w:tl2br w:val="nil"/>
              <w:tr2bl w:val="nil"/>
            </w:tcBorders>
            <w:vAlign w:val="center"/>
          </w:tcPr>
          <w:p w14:paraId="59375DB8">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lang w:val="en-US" w:eastAsia="zh-CN"/>
              </w:rPr>
            </w:pPr>
            <w:r>
              <w:rPr>
                <w:rFonts w:hint="eastAsia"/>
                <w:color w:val="auto"/>
                <w:szCs w:val="20"/>
                <w:highlight w:val="none"/>
                <w:lang w:val="en-US" w:eastAsia="zh-CN"/>
              </w:rPr>
              <w:t>169kg</w:t>
            </w:r>
            <w:r>
              <w:rPr>
                <w:rFonts w:hint="default"/>
                <w:color w:val="auto"/>
                <w:szCs w:val="20"/>
                <w:highlight w:val="none"/>
              </w:rPr>
              <w:t>/a</w:t>
            </w:r>
          </w:p>
        </w:tc>
        <w:tc>
          <w:tcPr>
            <w:tcW w:w="1388" w:type="dxa"/>
            <w:tcBorders>
              <w:tl2br w:val="nil"/>
              <w:tr2bl w:val="nil"/>
            </w:tcBorders>
            <w:vAlign w:val="center"/>
          </w:tcPr>
          <w:p w14:paraId="3A04036E">
            <w:pPr>
              <w:pStyle w:val="80"/>
              <w:keepNext w:val="0"/>
              <w:keepLines w:val="0"/>
              <w:widowControl/>
              <w:suppressLineNumbers w:val="0"/>
              <w:spacing w:before="0" w:beforeAutospacing="0" w:after="0" w:afterAutospacing="0"/>
              <w:ind w:left="0" w:leftChars="0" w:right="0" w:rightChars="0"/>
              <w:rPr>
                <w:rFonts w:hint="eastAsia"/>
                <w:bCs/>
                <w:color w:val="auto"/>
                <w:szCs w:val="20"/>
                <w:highlight w:val="none"/>
              </w:rPr>
            </w:pPr>
            <w:r>
              <w:rPr>
                <w:rFonts w:hint="eastAsia"/>
                <w:snapToGrid w:val="0"/>
                <w:color w:val="auto"/>
                <w:szCs w:val="20"/>
                <w:highlight w:val="none"/>
              </w:rPr>
              <w:t>/</w:t>
            </w:r>
          </w:p>
        </w:tc>
      </w:tr>
      <w:tr w14:paraId="7C5750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continue"/>
            <w:tcBorders>
              <w:tl2br w:val="nil"/>
              <w:tr2bl w:val="nil"/>
            </w:tcBorders>
            <w:vAlign w:val="center"/>
          </w:tcPr>
          <w:p w14:paraId="713A1250">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vAlign w:val="center"/>
          </w:tcPr>
          <w:p w14:paraId="07FD8BB9">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color w:val="auto"/>
                <w:spacing w:val="-1"/>
                <w:sz w:val="21"/>
                <w:szCs w:val="21"/>
                <w:highlight w:val="none"/>
                <w:lang w:eastAsia="zh-CN"/>
              </w:rPr>
            </w:pPr>
            <w:r>
              <w:rPr>
                <w:rFonts w:hint="default" w:ascii="Times New Roman" w:hAnsi="Times New Roman" w:eastAsia="宋体" w:cs="Times New Roman"/>
                <w:color w:val="auto"/>
                <w:spacing w:val="-1"/>
                <w:sz w:val="21"/>
                <w:szCs w:val="21"/>
                <w:highlight w:val="none"/>
                <w:lang w:val="en-US" w:eastAsia="zh-CN"/>
              </w:rPr>
              <w:t>油烟废气</w:t>
            </w:r>
          </w:p>
        </w:tc>
        <w:tc>
          <w:tcPr>
            <w:tcW w:w="1702" w:type="dxa"/>
            <w:tcBorders>
              <w:tl2br w:val="nil"/>
              <w:tr2bl w:val="nil"/>
            </w:tcBorders>
            <w:vAlign w:val="center"/>
          </w:tcPr>
          <w:p w14:paraId="0C44C094">
            <w:pPr>
              <w:pStyle w:val="80"/>
              <w:keepNext w:val="0"/>
              <w:keepLines w:val="0"/>
              <w:widowControl/>
              <w:suppressLineNumbers w:val="0"/>
              <w:spacing w:before="0" w:beforeAutospacing="0" w:after="0" w:afterAutospacing="0"/>
              <w:ind w:left="0" w:leftChars="0" w:right="0" w:rightChars="0"/>
              <w:rPr>
                <w:rFonts w:hint="eastAsia"/>
                <w:snapToGrid w:val="0"/>
                <w:color w:val="auto"/>
                <w:szCs w:val="20"/>
                <w:highlight w:val="none"/>
              </w:rPr>
            </w:pPr>
            <w:r>
              <w:rPr>
                <w:rFonts w:hint="eastAsia"/>
                <w:snapToGrid w:val="0"/>
                <w:color w:val="auto"/>
                <w:szCs w:val="20"/>
                <w:highlight w:val="none"/>
              </w:rPr>
              <w:t>/</w:t>
            </w:r>
          </w:p>
        </w:tc>
        <w:tc>
          <w:tcPr>
            <w:tcW w:w="1276" w:type="dxa"/>
            <w:tcBorders>
              <w:tl2br w:val="nil"/>
              <w:tr2bl w:val="nil"/>
            </w:tcBorders>
            <w:vAlign w:val="center"/>
          </w:tcPr>
          <w:p w14:paraId="755B25D9">
            <w:pPr>
              <w:pStyle w:val="80"/>
              <w:keepNext w:val="0"/>
              <w:keepLines w:val="0"/>
              <w:widowControl/>
              <w:suppressLineNumbers w:val="0"/>
              <w:spacing w:before="0" w:beforeAutospacing="0" w:after="0" w:afterAutospacing="0"/>
              <w:ind w:left="0" w:leftChars="0" w:right="0" w:rightChars="0"/>
              <w:rPr>
                <w:rFonts w:hint="eastAsia"/>
                <w:snapToGrid w:val="0"/>
                <w:color w:val="auto"/>
                <w:szCs w:val="20"/>
                <w:highlight w:val="none"/>
              </w:rPr>
            </w:pPr>
            <w:r>
              <w:rPr>
                <w:rFonts w:hint="eastAsia"/>
                <w:snapToGrid w:val="0"/>
                <w:color w:val="auto"/>
                <w:szCs w:val="20"/>
                <w:highlight w:val="none"/>
              </w:rPr>
              <w:t>/</w:t>
            </w:r>
          </w:p>
        </w:tc>
        <w:tc>
          <w:tcPr>
            <w:tcW w:w="1702" w:type="dxa"/>
            <w:tcBorders>
              <w:tl2br w:val="nil"/>
              <w:tr2bl w:val="nil"/>
            </w:tcBorders>
            <w:vAlign w:val="center"/>
          </w:tcPr>
          <w:p w14:paraId="2F996571">
            <w:pPr>
              <w:pStyle w:val="80"/>
              <w:keepNext w:val="0"/>
              <w:keepLines w:val="0"/>
              <w:widowControl/>
              <w:suppressLineNumbers w:val="0"/>
              <w:spacing w:before="0" w:beforeAutospacing="0" w:after="0" w:afterAutospacing="0"/>
              <w:ind w:left="0" w:leftChars="0" w:right="0" w:rightChars="0"/>
              <w:rPr>
                <w:rFonts w:hint="eastAsia"/>
                <w:color w:val="auto"/>
                <w:spacing w:val="-1"/>
                <w:kern w:val="2"/>
                <w:szCs w:val="20"/>
                <w:highlight w:val="none"/>
              </w:rPr>
            </w:pPr>
            <w:r>
              <w:rPr>
                <w:rFonts w:hint="eastAsia"/>
                <w:snapToGrid w:val="0"/>
                <w:color w:val="auto"/>
                <w:szCs w:val="20"/>
                <w:highlight w:val="none"/>
              </w:rPr>
              <w:t>/</w:t>
            </w:r>
          </w:p>
        </w:tc>
        <w:tc>
          <w:tcPr>
            <w:tcW w:w="1560" w:type="dxa"/>
            <w:tcBorders>
              <w:tl2br w:val="nil"/>
              <w:tr2bl w:val="nil"/>
            </w:tcBorders>
            <w:vAlign w:val="center"/>
          </w:tcPr>
          <w:p w14:paraId="460A61FB">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r>
              <w:rPr>
                <w:rFonts w:hint="eastAsia"/>
                <w:color w:val="auto"/>
                <w:szCs w:val="20"/>
                <w:highlight w:val="none"/>
                <w:lang w:val="en-US" w:eastAsia="zh-CN"/>
              </w:rPr>
              <w:t>0.212t</w:t>
            </w:r>
            <w:r>
              <w:rPr>
                <w:rFonts w:hint="default"/>
                <w:color w:val="auto"/>
                <w:szCs w:val="20"/>
                <w:highlight w:val="none"/>
              </w:rPr>
              <w:t>/a</w:t>
            </w:r>
          </w:p>
        </w:tc>
        <w:tc>
          <w:tcPr>
            <w:tcW w:w="1762" w:type="dxa"/>
            <w:tcBorders>
              <w:tl2br w:val="nil"/>
              <w:tr2bl w:val="nil"/>
            </w:tcBorders>
            <w:vAlign w:val="center"/>
          </w:tcPr>
          <w:p w14:paraId="1B29D96D">
            <w:pPr>
              <w:pStyle w:val="80"/>
              <w:keepNext w:val="0"/>
              <w:keepLines w:val="0"/>
              <w:widowControl/>
              <w:suppressLineNumbers w:val="0"/>
              <w:spacing w:before="0" w:beforeAutospacing="0" w:after="0" w:afterAutospacing="0"/>
              <w:ind w:left="0" w:leftChars="0" w:right="0" w:rightChars="0"/>
              <w:rPr>
                <w:rFonts w:hint="eastAsia"/>
                <w:bCs/>
                <w:color w:val="auto"/>
                <w:szCs w:val="20"/>
                <w:highlight w:val="none"/>
              </w:rPr>
            </w:pPr>
            <w:r>
              <w:rPr>
                <w:rFonts w:hint="eastAsia"/>
                <w:snapToGrid w:val="0"/>
                <w:color w:val="auto"/>
                <w:szCs w:val="20"/>
                <w:highlight w:val="none"/>
              </w:rPr>
              <w:t>/</w:t>
            </w:r>
          </w:p>
        </w:tc>
        <w:tc>
          <w:tcPr>
            <w:tcW w:w="1641" w:type="dxa"/>
            <w:tcBorders>
              <w:tl2br w:val="nil"/>
              <w:tr2bl w:val="nil"/>
            </w:tcBorders>
            <w:vAlign w:val="center"/>
          </w:tcPr>
          <w:p w14:paraId="76CB368A">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lang w:val="en-US" w:eastAsia="zh-CN"/>
              </w:rPr>
            </w:pPr>
            <w:r>
              <w:rPr>
                <w:rFonts w:hint="eastAsia"/>
                <w:color w:val="auto"/>
                <w:szCs w:val="20"/>
                <w:highlight w:val="none"/>
                <w:lang w:val="en-US" w:eastAsia="zh-CN"/>
              </w:rPr>
              <w:t>0.212t</w:t>
            </w:r>
            <w:r>
              <w:rPr>
                <w:rFonts w:hint="default"/>
                <w:color w:val="auto"/>
                <w:szCs w:val="20"/>
                <w:highlight w:val="none"/>
              </w:rPr>
              <w:t>/a</w:t>
            </w:r>
          </w:p>
        </w:tc>
        <w:tc>
          <w:tcPr>
            <w:tcW w:w="1388" w:type="dxa"/>
            <w:tcBorders>
              <w:tl2br w:val="nil"/>
              <w:tr2bl w:val="nil"/>
            </w:tcBorders>
            <w:vAlign w:val="center"/>
          </w:tcPr>
          <w:p w14:paraId="7E8E586F">
            <w:pPr>
              <w:pStyle w:val="80"/>
              <w:keepNext w:val="0"/>
              <w:keepLines w:val="0"/>
              <w:widowControl/>
              <w:suppressLineNumbers w:val="0"/>
              <w:spacing w:before="0" w:beforeAutospacing="0" w:after="0" w:afterAutospacing="0"/>
              <w:ind w:left="0" w:leftChars="0" w:right="0" w:rightChars="0"/>
              <w:rPr>
                <w:rFonts w:hint="eastAsia"/>
                <w:bCs/>
                <w:color w:val="auto"/>
                <w:szCs w:val="20"/>
                <w:highlight w:val="none"/>
              </w:rPr>
            </w:pPr>
            <w:r>
              <w:rPr>
                <w:rFonts w:hint="eastAsia"/>
                <w:snapToGrid w:val="0"/>
                <w:color w:val="auto"/>
                <w:szCs w:val="20"/>
                <w:highlight w:val="none"/>
              </w:rPr>
              <w:t>/</w:t>
            </w:r>
          </w:p>
        </w:tc>
      </w:tr>
      <w:tr w14:paraId="53DC92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continue"/>
            <w:tcBorders>
              <w:tl2br w:val="nil"/>
              <w:tr2bl w:val="nil"/>
            </w:tcBorders>
            <w:vAlign w:val="center"/>
          </w:tcPr>
          <w:p w14:paraId="3E3C20E7">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vAlign w:val="center"/>
          </w:tcPr>
          <w:p w14:paraId="529E0EE0">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color w:val="auto"/>
                <w:spacing w:val="-1"/>
                <w:sz w:val="21"/>
                <w:szCs w:val="21"/>
                <w:highlight w:val="none"/>
                <w:lang w:eastAsia="zh-CN"/>
              </w:rPr>
            </w:pPr>
            <w:r>
              <w:rPr>
                <w:rFonts w:hint="default" w:ascii="Times New Roman" w:hAnsi="Times New Roman" w:eastAsia="宋体" w:cs="Times New Roman"/>
                <w:color w:val="auto"/>
                <w:spacing w:val="-1"/>
                <w:sz w:val="21"/>
                <w:szCs w:val="21"/>
                <w:highlight w:val="none"/>
                <w:lang w:eastAsia="zh-CN"/>
              </w:rPr>
              <w:t>NH</w:t>
            </w:r>
            <w:r>
              <w:rPr>
                <w:rFonts w:hint="default" w:ascii="Times New Roman" w:hAnsi="Times New Roman" w:eastAsia="宋体" w:cs="Times New Roman"/>
                <w:color w:val="auto"/>
                <w:spacing w:val="-1"/>
                <w:sz w:val="21"/>
                <w:szCs w:val="21"/>
                <w:highlight w:val="none"/>
                <w:vertAlign w:val="subscript"/>
                <w:lang w:val="en-US" w:eastAsia="zh-CN"/>
              </w:rPr>
              <w:t>3</w:t>
            </w:r>
          </w:p>
        </w:tc>
        <w:tc>
          <w:tcPr>
            <w:tcW w:w="1702" w:type="dxa"/>
            <w:tcBorders>
              <w:tl2br w:val="nil"/>
              <w:tr2bl w:val="nil"/>
            </w:tcBorders>
            <w:vAlign w:val="center"/>
          </w:tcPr>
          <w:p w14:paraId="492FE926">
            <w:pPr>
              <w:pStyle w:val="80"/>
              <w:keepNext w:val="0"/>
              <w:keepLines w:val="0"/>
              <w:widowControl/>
              <w:suppressLineNumbers w:val="0"/>
              <w:spacing w:before="0" w:beforeAutospacing="0" w:after="0" w:afterAutospacing="0"/>
              <w:ind w:left="0" w:leftChars="0" w:right="0" w:rightChars="0"/>
              <w:rPr>
                <w:rFonts w:hint="eastAsia"/>
                <w:snapToGrid w:val="0"/>
                <w:color w:val="auto"/>
                <w:szCs w:val="20"/>
                <w:highlight w:val="none"/>
              </w:rPr>
            </w:pPr>
            <w:r>
              <w:rPr>
                <w:rFonts w:hint="eastAsia"/>
                <w:snapToGrid w:val="0"/>
                <w:color w:val="auto"/>
                <w:szCs w:val="20"/>
                <w:highlight w:val="none"/>
              </w:rPr>
              <w:t>/</w:t>
            </w:r>
          </w:p>
        </w:tc>
        <w:tc>
          <w:tcPr>
            <w:tcW w:w="1276" w:type="dxa"/>
            <w:tcBorders>
              <w:tl2br w:val="nil"/>
              <w:tr2bl w:val="nil"/>
            </w:tcBorders>
            <w:vAlign w:val="center"/>
          </w:tcPr>
          <w:p w14:paraId="08A9C2BE">
            <w:pPr>
              <w:pStyle w:val="80"/>
              <w:keepNext w:val="0"/>
              <w:keepLines w:val="0"/>
              <w:widowControl/>
              <w:suppressLineNumbers w:val="0"/>
              <w:spacing w:before="0" w:beforeAutospacing="0" w:after="0" w:afterAutospacing="0"/>
              <w:ind w:left="0" w:leftChars="0" w:right="0" w:rightChars="0"/>
              <w:rPr>
                <w:rFonts w:hint="eastAsia"/>
                <w:snapToGrid w:val="0"/>
                <w:color w:val="auto"/>
                <w:szCs w:val="20"/>
                <w:highlight w:val="none"/>
              </w:rPr>
            </w:pPr>
            <w:r>
              <w:rPr>
                <w:rFonts w:hint="eastAsia"/>
                <w:snapToGrid w:val="0"/>
                <w:color w:val="auto"/>
                <w:szCs w:val="20"/>
                <w:highlight w:val="none"/>
              </w:rPr>
              <w:t>/</w:t>
            </w:r>
          </w:p>
        </w:tc>
        <w:tc>
          <w:tcPr>
            <w:tcW w:w="1702" w:type="dxa"/>
            <w:tcBorders>
              <w:tl2br w:val="nil"/>
              <w:tr2bl w:val="nil"/>
            </w:tcBorders>
            <w:vAlign w:val="center"/>
          </w:tcPr>
          <w:p w14:paraId="5DE78406">
            <w:pPr>
              <w:pStyle w:val="80"/>
              <w:keepNext w:val="0"/>
              <w:keepLines w:val="0"/>
              <w:widowControl/>
              <w:suppressLineNumbers w:val="0"/>
              <w:spacing w:before="0" w:beforeAutospacing="0" w:after="0" w:afterAutospacing="0"/>
              <w:ind w:left="0" w:leftChars="0" w:right="0" w:rightChars="0"/>
              <w:rPr>
                <w:rFonts w:hint="eastAsia"/>
                <w:color w:val="auto"/>
                <w:spacing w:val="-1"/>
                <w:kern w:val="2"/>
                <w:szCs w:val="20"/>
                <w:highlight w:val="none"/>
              </w:rPr>
            </w:pPr>
            <w:r>
              <w:rPr>
                <w:rFonts w:hint="eastAsia"/>
                <w:snapToGrid w:val="0"/>
                <w:color w:val="auto"/>
                <w:szCs w:val="20"/>
                <w:highlight w:val="none"/>
              </w:rPr>
              <w:t>/</w:t>
            </w:r>
          </w:p>
        </w:tc>
        <w:tc>
          <w:tcPr>
            <w:tcW w:w="1560" w:type="dxa"/>
            <w:tcBorders>
              <w:tl2br w:val="nil"/>
              <w:tr2bl w:val="nil"/>
            </w:tcBorders>
            <w:vAlign w:val="center"/>
          </w:tcPr>
          <w:p w14:paraId="4B4353EE">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r>
              <w:rPr>
                <w:rFonts w:hint="eastAsia"/>
                <w:color w:val="auto"/>
                <w:szCs w:val="20"/>
                <w:highlight w:val="none"/>
                <w:lang w:val="en-US" w:eastAsia="zh-CN"/>
              </w:rPr>
              <w:t>0.003t</w:t>
            </w:r>
            <w:r>
              <w:rPr>
                <w:rFonts w:hint="default"/>
                <w:color w:val="auto"/>
                <w:szCs w:val="20"/>
                <w:highlight w:val="none"/>
              </w:rPr>
              <w:t>/a</w:t>
            </w:r>
          </w:p>
        </w:tc>
        <w:tc>
          <w:tcPr>
            <w:tcW w:w="1762" w:type="dxa"/>
            <w:tcBorders>
              <w:tl2br w:val="nil"/>
              <w:tr2bl w:val="nil"/>
            </w:tcBorders>
            <w:vAlign w:val="center"/>
          </w:tcPr>
          <w:p w14:paraId="53FBC0F7">
            <w:pPr>
              <w:pStyle w:val="80"/>
              <w:keepNext w:val="0"/>
              <w:keepLines w:val="0"/>
              <w:widowControl/>
              <w:suppressLineNumbers w:val="0"/>
              <w:spacing w:before="0" w:beforeAutospacing="0" w:after="0" w:afterAutospacing="0"/>
              <w:ind w:left="0" w:leftChars="0" w:right="0" w:rightChars="0"/>
              <w:rPr>
                <w:rFonts w:hint="eastAsia"/>
                <w:bCs/>
                <w:color w:val="auto"/>
                <w:szCs w:val="20"/>
                <w:highlight w:val="none"/>
              </w:rPr>
            </w:pPr>
            <w:r>
              <w:rPr>
                <w:rFonts w:hint="eastAsia"/>
                <w:snapToGrid w:val="0"/>
                <w:color w:val="auto"/>
                <w:szCs w:val="20"/>
                <w:highlight w:val="none"/>
              </w:rPr>
              <w:t>/</w:t>
            </w:r>
          </w:p>
        </w:tc>
        <w:tc>
          <w:tcPr>
            <w:tcW w:w="1641" w:type="dxa"/>
            <w:tcBorders>
              <w:tl2br w:val="nil"/>
              <w:tr2bl w:val="nil"/>
            </w:tcBorders>
            <w:vAlign w:val="center"/>
          </w:tcPr>
          <w:p w14:paraId="268C51A2">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lang w:val="en-US" w:eastAsia="zh-CN"/>
              </w:rPr>
            </w:pPr>
            <w:r>
              <w:rPr>
                <w:rFonts w:hint="eastAsia"/>
                <w:color w:val="auto"/>
                <w:szCs w:val="20"/>
                <w:highlight w:val="none"/>
                <w:lang w:val="en-US" w:eastAsia="zh-CN"/>
              </w:rPr>
              <w:t>0.003t</w:t>
            </w:r>
            <w:r>
              <w:rPr>
                <w:rFonts w:hint="default"/>
                <w:color w:val="auto"/>
                <w:szCs w:val="20"/>
                <w:highlight w:val="none"/>
              </w:rPr>
              <w:t>/a</w:t>
            </w:r>
          </w:p>
        </w:tc>
        <w:tc>
          <w:tcPr>
            <w:tcW w:w="1388" w:type="dxa"/>
            <w:tcBorders>
              <w:tl2br w:val="nil"/>
              <w:tr2bl w:val="nil"/>
            </w:tcBorders>
            <w:vAlign w:val="center"/>
          </w:tcPr>
          <w:p w14:paraId="72F6D26D">
            <w:pPr>
              <w:pStyle w:val="80"/>
              <w:keepNext w:val="0"/>
              <w:keepLines w:val="0"/>
              <w:widowControl/>
              <w:suppressLineNumbers w:val="0"/>
              <w:spacing w:before="0" w:beforeAutospacing="0" w:after="0" w:afterAutospacing="0"/>
              <w:ind w:left="0" w:leftChars="0" w:right="0" w:rightChars="0"/>
              <w:rPr>
                <w:rFonts w:hint="eastAsia"/>
                <w:bCs/>
                <w:color w:val="auto"/>
                <w:szCs w:val="20"/>
                <w:highlight w:val="none"/>
              </w:rPr>
            </w:pPr>
            <w:r>
              <w:rPr>
                <w:rFonts w:hint="eastAsia"/>
                <w:snapToGrid w:val="0"/>
                <w:color w:val="auto"/>
                <w:szCs w:val="20"/>
                <w:highlight w:val="none"/>
              </w:rPr>
              <w:t>/</w:t>
            </w:r>
          </w:p>
        </w:tc>
      </w:tr>
      <w:tr w14:paraId="475832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continue"/>
            <w:tcBorders>
              <w:tl2br w:val="nil"/>
              <w:tr2bl w:val="nil"/>
            </w:tcBorders>
            <w:vAlign w:val="center"/>
          </w:tcPr>
          <w:p w14:paraId="4029EDC9">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vAlign w:val="center"/>
          </w:tcPr>
          <w:p w14:paraId="3F1D1C65">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color w:val="auto"/>
                <w:spacing w:val="-1"/>
                <w:sz w:val="21"/>
                <w:szCs w:val="21"/>
                <w:highlight w:val="none"/>
                <w:lang w:eastAsia="zh-CN"/>
              </w:rPr>
            </w:pPr>
            <w:r>
              <w:rPr>
                <w:rFonts w:hint="default" w:ascii="Times New Roman" w:hAnsi="Times New Roman" w:eastAsia="宋体" w:cs="Times New Roman"/>
                <w:color w:val="auto"/>
                <w:spacing w:val="-1"/>
                <w:sz w:val="21"/>
                <w:szCs w:val="21"/>
                <w:highlight w:val="none"/>
                <w:lang w:val="en-US" w:eastAsia="zh-CN"/>
              </w:rPr>
              <w:t>H</w:t>
            </w:r>
            <w:r>
              <w:rPr>
                <w:rFonts w:hint="default" w:ascii="Times New Roman" w:hAnsi="Times New Roman" w:eastAsia="宋体" w:cs="Times New Roman"/>
                <w:color w:val="auto"/>
                <w:spacing w:val="-1"/>
                <w:sz w:val="21"/>
                <w:szCs w:val="21"/>
                <w:highlight w:val="none"/>
                <w:vertAlign w:val="subscript"/>
                <w:lang w:val="en-US" w:eastAsia="zh-CN"/>
              </w:rPr>
              <w:t>2</w:t>
            </w:r>
            <w:r>
              <w:rPr>
                <w:rFonts w:hint="default" w:ascii="Times New Roman" w:hAnsi="Times New Roman" w:eastAsia="宋体" w:cs="Times New Roman"/>
                <w:color w:val="auto"/>
                <w:spacing w:val="-1"/>
                <w:sz w:val="21"/>
                <w:szCs w:val="21"/>
                <w:highlight w:val="none"/>
                <w:lang w:val="en-US" w:eastAsia="zh-CN"/>
              </w:rPr>
              <w:t>S</w:t>
            </w:r>
          </w:p>
        </w:tc>
        <w:tc>
          <w:tcPr>
            <w:tcW w:w="1702" w:type="dxa"/>
            <w:tcBorders>
              <w:tl2br w:val="nil"/>
              <w:tr2bl w:val="nil"/>
            </w:tcBorders>
            <w:vAlign w:val="center"/>
          </w:tcPr>
          <w:p w14:paraId="19FEED3B">
            <w:pPr>
              <w:pStyle w:val="80"/>
              <w:keepNext w:val="0"/>
              <w:keepLines w:val="0"/>
              <w:widowControl/>
              <w:suppressLineNumbers w:val="0"/>
              <w:spacing w:before="0" w:beforeAutospacing="0" w:after="0" w:afterAutospacing="0"/>
              <w:ind w:left="0" w:leftChars="0" w:right="0" w:rightChars="0"/>
              <w:rPr>
                <w:rFonts w:hint="eastAsia"/>
                <w:snapToGrid w:val="0"/>
                <w:color w:val="auto"/>
                <w:szCs w:val="20"/>
                <w:highlight w:val="none"/>
              </w:rPr>
            </w:pPr>
            <w:r>
              <w:rPr>
                <w:rFonts w:hint="eastAsia"/>
                <w:snapToGrid w:val="0"/>
                <w:color w:val="auto"/>
                <w:szCs w:val="20"/>
                <w:highlight w:val="none"/>
              </w:rPr>
              <w:t>/</w:t>
            </w:r>
          </w:p>
        </w:tc>
        <w:tc>
          <w:tcPr>
            <w:tcW w:w="1276" w:type="dxa"/>
            <w:tcBorders>
              <w:tl2br w:val="nil"/>
              <w:tr2bl w:val="nil"/>
            </w:tcBorders>
            <w:vAlign w:val="center"/>
          </w:tcPr>
          <w:p w14:paraId="56BF2926">
            <w:pPr>
              <w:pStyle w:val="80"/>
              <w:keepNext w:val="0"/>
              <w:keepLines w:val="0"/>
              <w:widowControl/>
              <w:suppressLineNumbers w:val="0"/>
              <w:spacing w:before="0" w:beforeAutospacing="0" w:after="0" w:afterAutospacing="0"/>
              <w:ind w:left="0" w:leftChars="0" w:right="0" w:rightChars="0"/>
              <w:rPr>
                <w:rFonts w:hint="eastAsia"/>
                <w:snapToGrid w:val="0"/>
                <w:color w:val="auto"/>
                <w:szCs w:val="20"/>
                <w:highlight w:val="none"/>
              </w:rPr>
            </w:pPr>
            <w:r>
              <w:rPr>
                <w:rFonts w:hint="eastAsia"/>
                <w:snapToGrid w:val="0"/>
                <w:color w:val="auto"/>
                <w:szCs w:val="20"/>
                <w:highlight w:val="none"/>
              </w:rPr>
              <w:t>/</w:t>
            </w:r>
          </w:p>
        </w:tc>
        <w:tc>
          <w:tcPr>
            <w:tcW w:w="1702" w:type="dxa"/>
            <w:tcBorders>
              <w:tl2br w:val="nil"/>
              <w:tr2bl w:val="nil"/>
            </w:tcBorders>
            <w:vAlign w:val="center"/>
          </w:tcPr>
          <w:p w14:paraId="1FBB1D21">
            <w:pPr>
              <w:pStyle w:val="80"/>
              <w:keepNext w:val="0"/>
              <w:keepLines w:val="0"/>
              <w:widowControl/>
              <w:suppressLineNumbers w:val="0"/>
              <w:spacing w:before="0" w:beforeAutospacing="0" w:after="0" w:afterAutospacing="0"/>
              <w:ind w:left="0" w:leftChars="0" w:right="0" w:rightChars="0"/>
              <w:rPr>
                <w:rFonts w:hint="eastAsia"/>
                <w:color w:val="auto"/>
                <w:spacing w:val="-1"/>
                <w:kern w:val="2"/>
                <w:szCs w:val="20"/>
                <w:highlight w:val="none"/>
              </w:rPr>
            </w:pPr>
            <w:r>
              <w:rPr>
                <w:rFonts w:hint="eastAsia"/>
                <w:snapToGrid w:val="0"/>
                <w:color w:val="auto"/>
                <w:szCs w:val="20"/>
                <w:highlight w:val="none"/>
              </w:rPr>
              <w:t>/</w:t>
            </w:r>
          </w:p>
        </w:tc>
        <w:tc>
          <w:tcPr>
            <w:tcW w:w="1560" w:type="dxa"/>
            <w:tcBorders>
              <w:tl2br w:val="nil"/>
              <w:tr2bl w:val="nil"/>
            </w:tcBorders>
            <w:vAlign w:val="center"/>
          </w:tcPr>
          <w:p w14:paraId="1DEAA891">
            <w:pPr>
              <w:pStyle w:val="80"/>
              <w:keepNext w:val="0"/>
              <w:keepLines w:val="0"/>
              <w:widowControl/>
              <w:suppressLineNumbers w:val="0"/>
              <w:spacing w:before="0" w:beforeAutospacing="0" w:after="0" w:afterAutospacing="0"/>
              <w:ind w:left="0" w:right="0"/>
              <w:rPr>
                <w:rFonts w:hint="eastAsia"/>
                <w:color w:val="auto"/>
                <w:szCs w:val="20"/>
                <w:highlight w:val="none"/>
                <w:lang w:val="en-US" w:eastAsia="zh-CN"/>
              </w:rPr>
            </w:pPr>
            <w:r>
              <w:rPr>
                <w:rFonts w:hint="eastAsia"/>
                <w:color w:val="auto"/>
                <w:szCs w:val="20"/>
                <w:highlight w:val="none"/>
                <w:lang w:val="en-US" w:eastAsia="zh-CN"/>
              </w:rPr>
              <w:t>0.0001t</w:t>
            </w:r>
            <w:r>
              <w:rPr>
                <w:rFonts w:hint="default"/>
                <w:color w:val="auto"/>
                <w:szCs w:val="20"/>
                <w:highlight w:val="none"/>
              </w:rPr>
              <w:t>/a</w:t>
            </w:r>
          </w:p>
        </w:tc>
        <w:tc>
          <w:tcPr>
            <w:tcW w:w="1762" w:type="dxa"/>
            <w:tcBorders>
              <w:tl2br w:val="nil"/>
              <w:tr2bl w:val="nil"/>
            </w:tcBorders>
            <w:vAlign w:val="center"/>
          </w:tcPr>
          <w:p w14:paraId="24FF5309">
            <w:pPr>
              <w:pStyle w:val="80"/>
              <w:keepNext w:val="0"/>
              <w:keepLines w:val="0"/>
              <w:widowControl/>
              <w:suppressLineNumbers w:val="0"/>
              <w:spacing w:before="0" w:beforeAutospacing="0" w:after="0" w:afterAutospacing="0"/>
              <w:ind w:left="0" w:leftChars="0" w:right="0" w:rightChars="0"/>
              <w:rPr>
                <w:rFonts w:hint="eastAsia"/>
                <w:bCs/>
                <w:color w:val="auto"/>
                <w:szCs w:val="20"/>
                <w:highlight w:val="none"/>
              </w:rPr>
            </w:pPr>
            <w:r>
              <w:rPr>
                <w:rFonts w:hint="eastAsia"/>
                <w:snapToGrid w:val="0"/>
                <w:color w:val="auto"/>
                <w:szCs w:val="20"/>
                <w:highlight w:val="none"/>
              </w:rPr>
              <w:t>/</w:t>
            </w:r>
          </w:p>
        </w:tc>
        <w:tc>
          <w:tcPr>
            <w:tcW w:w="1641" w:type="dxa"/>
            <w:tcBorders>
              <w:tl2br w:val="nil"/>
              <w:tr2bl w:val="nil"/>
            </w:tcBorders>
            <w:vAlign w:val="center"/>
          </w:tcPr>
          <w:p w14:paraId="19B6BBA5">
            <w:pPr>
              <w:pStyle w:val="80"/>
              <w:keepNext w:val="0"/>
              <w:keepLines w:val="0"/>
              <w:widowControl/>
              <w:suppressLineNumbers w:val="0"/>
              <w:spacing w:before="0" w:beforeAutospacing="0" w:after="0" w:afterAutospacing="0"/>
              <w:ind w:left="0" w:leftChars="0" w:right="0" w:rightChars="0"/>
              <w:rPr>
                <w:rFonts w:hint="eastAsia"/>
                <w:color w:val="auto"/>
                <w:szCs w:val="20"/>
                <w:highlight w:val="none"/>
                <w:lang w:val="en-US" w:eastAsia="zh-CN"/>
              </w:rPr>
            </w:pPr>
            <w:r>
              <w:rPr>
                <w:rFonts w:hint="eastAsia"/>
                <w:color w:val="auto"/>
                <w:szCs w:val="20"/>
                <w:highlight w:val="none"/>
                <w:lang w:val="en-US" w:eastAsia="zh-CN"/>
              </w:rPr>
              <w:t>0.0001t</w:t>
            </w:r>
            <w:r>
              <w:rPr>
                <w:rFonts w:hint="default"/>
                <w:color w:val="auto"/>
                <w:szCs w:val="20"/>
                <w:highlight w:val="none"/>
              </w:rPr>
              <w:t>/a</w:t>
            </w:r>
          </w:p>
        </w:tc>
        <w:tc>
          <w:tcPr>
            <w:tcW w:w="1388" w:type="dxa"/>
            <w:tcBorders>
              <w:tl2br w:val="nil"/>
              <w:tr2bl w:val="nil"/>
            </w:tcBorders>
            <w:vAlign w:val="center"/>
          </w:tcPr>
          <w:p w14:paraId="36CEF8C3">
            <w:pPr>
              <w:pStyle w:val="80"/>
              <w:keepNext w:val="0"/>
              <w:keepLines w:val="0"/>
              <w:widowControl/>
              <w:suppressLineNumbers w:val="0"/>
              <w:spacing w:before="0" w:beforeAutospacing="0" w:after="0" w:afterAutospacing="0"/>
              <w:ind w:left="0" w:leftChars="0" w:right="0" w:rightChars="0"/>
              <w:rPr>
                <w:rFonts w:hint="eastAsia"/>
                <w:bCs/>
                <w:color w:val="auto"/>
                <w:szCs w:val="20"/>
                <w:highlight w:val="none"/>
              </w:rPr>
            </w:pPr>
            <w:r>
              <w:rPr>
                <w:rFonts w:hint="eastAsia"/>
                <w:snapToGrid w:val="0"/>
                <w:color w:val="auto"/>
                <w:szCs w:val="20"/>
                <w:highlight w:val="none"/>
              </w:rPr>
              <w:t>/</w:t>
            </w:r>
          </w:p>
        </w:tc>
      </w:tr>
      <w:tr w14:paraId="47216D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restart"/>
            <w:tcBorders>
              <w:tl2br w:val="nil"/>
              <w:tr2bl w:val="nil"/>
            </w:tcBorders>
            <w:vAlign w:val="center"/>
          </w:tcPr>
          <w:p w14:paraId="67647D08">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废水</w:t>
            </w:r>
          </w:p>
        </w:tc>
        <w:tc>
          <w:tcPr>
            <w:tcW w:w="1688" w:type="dxa"/>
            <w:tcBorders>
              <w:tl2br w:val="nil"/>
              <w:tr2bl w:val="nil"/>
            </w:tcBorders>
            <w:vAlign w:val="center"/>
          </w:tcPr>
          <w:p w14:paraId="3B5CADCB">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COD</w:t>
            </w:r>
          </w:p>
        </w:tc>
        <w:tc>
          <w:tcPr>
            <w:tcW w:w="1702" w:type="dxa"/>
            <w:tcBorders>
              <w:tl2br w:val="nil"/>
              <w:tr2bl w:val="nil"/>
            </w:tcBorders>
            <w:vAlign w:val="center"/>
          </w:tcPr>
          <w:p w14:paraId="316B4D61">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276" w:type="dxa"/>
            <w:tcBorders>
              <w:tl2br w:val="nil"/>
              <w:tr2bl w:val="nil"/>
            </w:tcBorders>
            <w:vAlign w:val="center"/>
          </w:tcPr>
          <w:p w14:paraId="76238938">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702" w:type="dxa"/>
            <w:tcBorders>
              <w:tl2br w:val="nil"/>
              <w:tr2bl w:val="nil"/>
            </w:tcBorders>
            <w:vAlign w:val="center"/>
          </w:tcPr>
          <w:p w14:paraId="63517A49">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560" w:type="dxa"/>
            <w:tcBorders>
              <w:tl2br w:val="nil"/>
              <w:tr2bl w:val="nil"/>
            </w:tcBorders>
            <w:vAlign w:val="center"/>
          </w:tcPr>
          <w:p w14:paraId="4A46D465">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0.</w:t>
            </w:r>
            <w:r>
              <w:rPr>
                <w:rFonts w:hint="eastAsia"/>
                <w:color w:val="auto"/>
                <w:szCs w:val="20"/>
                <w:highlight w:val="none"/>
                <w:lang w:val="en-US" w:eastAsia="zh-CN"/>
              </w:rPr>
              <w:t>386</w:t>
            </w:r>
            <w:r>
              <w:rPr>
                <w:rFonts w:hint="default"/>
                <w:color w:val="auto"/>
                <w:spacing w:val="-1"/>
                <w:szCs w:val="20"/>
                <w:highlight w:val="none"/>
              </w:rPr>
              <w:t>t/a</w:t>
            </w:r>
          </w:p>
        </w:tc>
        <w:tc>
          <w:tcPr>
            <w:tcW w:w="1762" w:type="dxa"/>
            <w:tcBorders>
              <w:tl2br w:val="nil"/>
              <w:tr2bl w:val="nil"/>
            </w:tcBorders>
            <w:vAlign w:val="center"/>
          </w:tcPr>
          <w:p w14:paraId="6AEA9EBC">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641" w:type="dxa"/>
            <w:tcBorders>
              <w:tl2br w:val="nil"/>
              <w:tr2bl w:val="nil"/>
            </w:tcBorders>
            <w:vAlign w:val="center"/>
          </w:tcPr>
          <w:p w14:paraId="45C1BC71">
            <w:pPr>
              <w:pStyle w:val="80"/>
              <w:keepNext w:val="0"/>
              <w:keepLines w:val="0"/>
              <w:widowControl/>
              <w:suppressLineNumbers w:val="0"/>
              <w:spacing w:before="0" w:beforeAutospacing="0" w:after="0" w:afterAutospacing="0"/>
              <w:ind w:left="0" w:leftChars="0" w:right="0" w:rightChars="0"/>
              <w:rPr>
                <w:rFonts w:hint="default"/>
                <w:color w:val="auto"/>
                <w:szCs w:val="20"/>
                <w:highlight w:val="none"/>
              </w:rPr>
            </w:pPr>
            <w:r>
              <w:rPr>
                <w:rFonts w:hint="eastAsia"/>
                <w:color w:val="auto"/>
                <w:szCs w:val="20"/>
                <w:highlight w:val="none"/>
              </w:rPr>
              <w:t>0.</w:t>
            </w:r>
            <w:r>
              <w:rPr>
                <w:rFonts w:hint="eastAsia"/>
                <w:color w:val="auto"/>
                <w:szCs w:val="20"/>
                <w:highlight w:val="none"/>
                <w:lang w:val="en-US" w:eastAsia="zh-CN"/>
              </w:rPr>
              <w:t>386</w:t>
            </w:r>
            <w:r>
              <w:rPr>
                <w:rFonts w:hint="default"/>
                <w:color w:val="auto"/>
                <w:spacing w:val="-1"/>
                <w:szCs w:val="20"/>
                <w:highlight w:val="none"/>
              </w:rPr>
              <w:t>t/a</w:t>
            </w:r>
          </w:p>
        </w:tc>
        <w:tc>
          <w:tcPr>
            <w:tcW w:w="1388" w:type="dxa"/>
            <w:tcBorders>
              <w:tl2br w:val="nil"/>
              <w:tr2bl w:val="nil"/>
            </w:tcBorders>
            <w:vAlign w:val="center"/>
          </w:tcPr>
          <w:p w14:paraId="4877AA00">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snapToGrid w:val="0"/>
                <w:color w:val="auto"/>
                <w:szCs w:val="20"/>
                <w:highlight w:val="none"/>
              </w:rPr>
              <w:t>/</w:t>
            </w:r>
          </w:p>
        </w:tc>
      </w:tr>
      <w:tr w14:paraId="1625A4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continue"/>
            <w:tcBorders>
              <w:tl2br w:val="nil"/>
              <w:tr2bl w:val="nil"/>
            </w:tcBorders>
            <w:vAlign w:val="center"/>
          </w:tcPr>
          <w:p w14:paraId="43405A07">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vAlign w:val="center"/>
          </w:tcPr>
          <w:p w14:paraId="53FFBFE9">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BOD</w:t>
            </w:r>
            <w:r>
              <w:rPr>
                <w:rFonts w:hint="default" w:ascii="Times New Roman" w:hAnsi="Times New Roman" w:eastAsia="宋体" w:cs="Times New Roman"/>
                <w:color w:val="auto"/>
                <w:spacing w:val="-1"/>
                <w:sz w:val="21"/>
                <w:szCs w:val="21"/>
                <w:highlight w:val="none"/>
                <w:vertAlign w:val="subscript"/>
                <w:lang w:val="en-US" w:eastAsia="zh-CN"/>
              </w:rPr>
              <w:t>5</w:t>
            </w:r>
          </w:p>
        </w:tc>
        <w:tc>
          <w:tcPr>
            <w:tcW w:w="1702" w:type="dxa"/>
            <w:tcBorders>
              <w:tl2br w:val="nil"/>
              <w:tr2bl w:val="nil"/>
            </w:tcBorders>
            <w:vAlign w:val="center"/>
          </w:tcPr>
          <w:p w14:paraId="41125A01">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276" w:type="dxa"/>
            <w:tcBorders>
              <w:tl2br w:val="nil"/>
              <w:tr2bl w:val="nil"/>
            </w:tcBorders>
            <w:vAlign w:val="center"/>
          </w:tcPr>
          <w:p w14:paraId="55648F6D">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702" w:type="dxa"/>
            <w:tcBorders>
              <w:tl2br w:val="nil"/>
              <w:tr2bl w:val="nil"/>
            </w:tcBorders>
            <w:vAlign w:val="center"/>
          </w:tcPr>
          <w:p w14:paraId="7364EB81">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560" w:type="dxa"/>
            <w:tcBorders>
              <w:tl2br w:val="nil"/>
              <w:tr2bl w:val="nil"/>
            </w:tcBorders>
            <w:vAlign w:val="center"/>
          </w:tcPr>
          <w:p w14:paraId="756BBCB6">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0.</w:t>
            </w:r>
            <w:r>
              <w:rPr>
                <w:rFonts w:hint="eastAsia"/>
                <w:color w:val="auto"/>
                <w:szCs w:val="20"/>
                <w:highlight w:val="none"/>
                <w:lang w:val="en-US" w:eastAsia="zh-CN"/>
              </w:rPr>
              <w:t>115</w:t>
            </w:r>
            <w:r>
              <w:rPr>
                <w:rFonts w:hint="default"/>
                <w:color w:val="auto"/>
                <w:spacing w:val="-1"/>
                <w:szCs w:val="20"/>
                <w:highlight w:val="none"/>
              </w:rPr>
              <w:t>t/a</w:t>
            </w:r>
          </w:p>
        </w:tc>
        <w:tc>
          <w:tcPr>
            <w:tcW w:w="1762" w:type="dxa"/>
            <w:tcBorders>
              <w:tl2br w:val="nil"/>
              <w:tr2bl w:val="nil"/>
            </w:tcBorders>
            <w:vAlign w:val="center"/>
          </w:tcPr>
          <w:p w14:paraId="082A2C9D">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641" w:type="dxa"/>
            <w:tcBorders>
              <w:tl2br w:val="nil"/>
              <w:tr2bl w:val="nil"/>
            </w:tcBorders>
            <w:vAlign w:val="center"/>
          </w:tcPr>
          <w:p w14:paraId="0D899AC0">
            <w:pPr>
              <w:pStyle w:val="80"/>
              <w:keepNext w:val="0"/>
              <w:keepLines w:val="0"/>
              <w:widowControl/>
              <w:suppressLineNumbers w:val="0"/>
              <w:spacing w:before="0" w:beforeAutospacing="0" w:after="0" w:afterAutospacing="0"/>
              <w:ind w:left="0" w:leftChars="0" w:right="0" w:rightChars="0"/>
              <w:rPr>
                <w:rFonts w:hint="default"/>
                <w:color w:val="auto"/>
                <w:szCs w:val="20"/>
                <w:highlight w:val="none"/>
              </w:rPr>
            </w:pPr>
            <w:r>
              <w:rPr>
                <w:rFonts w:hint="eastAsia"/>
                <w:color w:val="auto"/>
                <w:szCs w:val="20"/>
                <w:highlight w:val="none"/>
              </w:rPr>
              <w:t>0.</w:t>
            </w:r>
            <w:r>
              <w:rPr>
                <w:rFonts w:hint="eastAsia"/>
                <w:color w:val="auto"/>
                <w:szCs w:val="20"/>
                <w:highlight w:val="none"/>
                <w:lang w:val="en-US" w:eastAsia="zh-CN"/>
              </w:rPr>
              <w:t>115</w:t>
            </w:r>
            <w:r>
              <w:rPr>
                <w:rFonts w:hint="default"/>
                <w:color w:val="auto"/>
                <w:spacing w:val="-1"/>
                <w:szCs w:val="20"/>
                <w:highlight w:val="none"/>
              </w:rPr>
              <w:t>t/a</w:t>
            </w:r>
          </w:p>
        </w:tc>
        <w:tc>
          <w:tcPr>
            <w:tcW w:w="1388" w:type="dxa"/>
            <w:tcBorders>
              <w:tl2br w:val="nil"/>
              <w:tr2bl w:val="nil"/>
            </w:tcBorders>
            <w:vAlign w:val="center"/>
          </w:tcPr>
          <w:p w14:paraId="7B877047">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snapToGrid w:val="0"/>
                <w:color w:val="auto"/>
                <w:szCs w:val="20"/>
                <w:highlight w:val="none"/>
              </w:rPr>
              <w:t>/</w:t>
            </w:r>
          </w:p>
        </w:tc>
      </w:tr>
      <w:tr w14:paraId="4F8F2B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continue"/>
            <w:tcBorders>
              <w:tl2br w:val="nil"/>
              <w:tr2bl w:val="nil"/>
            </w:tcBorders>
            <w:vAlign w:val="center"/>
          </w:tcPr>
          <w:p w14:paraId="52B872ED">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vAlign w:val="center"/>
          </w:tcPr>
          <w:p w14:paraId="73228DCB">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SS</w:t>
            </w:r>
          </w:p>
        </w:tc>
        <w:tc>
          <w:tcPr>
            <w:tcW w:w="1702" w:type="dxa"/>
            <w:tcBorders>
              <w:tl2br w:val="nil"/>
              <w:tr2bl w:val="nil"/>
            </w:tcBorders>
            <w:vAlign w:val="center"/>
          </w:tcPr>
          <w:p w14:paraId="09D7ACD6">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276" w:type="dxa"/>
            <w:tcBorders>
              <w:tl2br w:val="nil"/>
              <w:tr2bl w:val="nil"/>
            </w:tcBorders>
            <w:vAlign w:val="center"/>
          </w:tcPr>
          <w:p w14:paraId="5F45072C">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702" w:type="dxa"/>
            <w:tcBorders>
              <w:tl2br w:val="nil"/>
              <w:tr2bl w:val="nil"/>
            </w:tcBorders>
            <w:vAlign w:val="center"/>
          </w:tcPr>
          <w:p w14:paraId="1474E7F5">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560" w:type="dxa"/>
            <w:tcBorders>
              <w:tl2br w:val="nil"/>
              <w:tr2bl w:val="nil"/>
            </w:tcBorders>
            <w:vAlign w:val="center"/>
          </w:tcPr>
          <w:p w14:paraId="5F3BCE7F">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0.</w:t>
            </w:r>
            <w:r>
              <w:rPr>
                <w:rFonts w:hint="eastAsia"/>
                <w:color w:val="auto"/>
                <w:szCs w:val="20"/>
                <w:highlight w:val="none"/>
                <w:lang w:val="en-US" w:eastAsia="zh-CN"/>
              </w:rPr>
              <w:t>12</w:t>
            </w:r>
            <w:r>
              <w:rPr>
                <w:rFonts w:hint="default"/>
                <w:color w:val="auto"/>
                <w:spacing w:val="-1"/>
                <w:szCs w:val="20"/>
                <w:highlight w:val="none"/>
              </w:rPr>
              <w:t>t/a</w:t>
            </w:r>
          </w:p>
        </w:tc>
        <w:tc>
          <w:tcPr>
            <w:tcW w:w="1762" w:type="dxa"/>
            <w:tcBorders>
              <w:tl2br w:val="nil"/>
              <w:tr2bl w:val="nil"/>
            </w:tcBorders>
            <w:vAlign w:val="center"/>
          </w:tcPr>
          <w:p w14:paraId="76490ACA">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641" w:type="dxa"/>
            <w:tcBorders>
              <w:tl2br w:val="nil"/>
              <w:tr2bl w:val="nil"/>
            </w:tcBorders>
            <w:vAlign w:val="center"/>
          </w:tcPr>
          <w:p w14:paraId="0104FD55">
            <w:pPr>
              <w:pStyle w:val="80"/>
              <w:keepNext w:val="0"/>
              <w:keepLines w:val="0"/>
              <w:widowControl/>
              <w:suppressLineNumbers w:val="0"/>
              <w:spacing w:before="0" w:beforeAutospacing="0" w:after="0" w:afterAutospacing="0"/>
              <w:ind w:left="0" w:leftChars="0" w:right="0" w:rightChars="0"/>
              <w:rPr>
                <w:rFonts w:hint="default"/>
                <w:color w:val="auto"/>
                <w:szCs w:val="20"/>
                <w:highlight w:val="none"/>
              </w:rPr>
            </w:pPr>
            <w:r>
              <w:rPr>
                <w:rFonts w:hint="eastAsia"/>
                <w:color w:val="auto"/>
                <w:szCs w:val="20"/>
                <w:highlight w:val="none"/>
              </w:rPr>
              <w:t>0.</w:t>
            </w:r>
            <w:r>
              <w:rPr>
                <w:rFonts w:hint="eastAsia"/>
                <w:color w:val="auto"/>
                <w:szCs w:val="20"/>
                <w:highlight w:val="none"/>
                <w:lang w:val="en-US" w:eastAsia="zh-CN"/>
              </w:rPr>
              <w:t>12</w:t>
            </w:r>
            <w:r>
              <w:rPr>
                <w:rFonts w:hint="default"/>
                <w:color w:val="auto"/>
                <w:spacing w:val="-1"/>
                <w:szCs w:val="20"/>
                <w:highlight w:val="none"/>
              </w:rPr>
              <w:t>t/a</w:t>
            </w:r>
          </w:p>
        </w:tc>
        <w:tc>
          <w:tcPr>
            <w:tcW w:w="1388" w:type="dxa"/>
            <w:tcBorders>
              <w:tl2br w:val="nil"/>
              <w:tr2bl w:val="nil"/>
            </w:tcBorders>
            <w:vAlign w:val="center"/>
          </w:tcPr>
          <w:p w14:paraId="66FFF988">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snapToGrid w:val="0"/>
                <w:color w:val="auto"/>
                <w:szCs w:val="20"/>
                <w:highlight w:val="none"/>
              </w:rPr>
              <w:t>/</w:t>
            </w:r>
          </w:p>
        </w:tc>
      </w:tr>
      <w:tr w14:paraId="3D651C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continue"/>
            <w:tcBorders>
              <w:tl2br w:val="nil"/>
              <w:tr2bl w:val="nil"/>
            </w:tcBorders>
            <w:vAlign w:val="center"/>
          </w:tcPr>
          <w:p w14:paraId="3A3E5E8B">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vAlign w:val="center"/>
          </w:tcPr>
          <w:p w14:paraId="6BA2030D">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NH</w:t>
            </w:r>
            <w:r>
              <w:rPr>
                <w:rFonts w:hint="default" w:ascii="Times New Roman" w:hAnsi="Times New Roman" w:eastAsia="宋体" w:cs="Times New Roman"/>
                <w:color w:val="auto"/>
                <w:spacing w:val="-1"/>
                <w:sz w:val="21"/>
                <w:szCs w:val="21"/>
                <w:highlight w:val="none"/>
                <w:vertAlign w:val="subscript"/>
                <w:lang w:val="en-US" w:eastAsia="zh-CN"/>
              </w:rPr>
              <w:t>3</w:t>
            </w:r>
            <w:r>
              <w:rPr>
                <w:rFonts w:hint="default" w:ascii="Times New Roman" w:hAnsi="Times New Roman" w:eastAsia="宋体" w:cs="Times New Roman"/>
                <w:color w:val="auto"/>
                <w:spacing w:val="-1"/>
                <w:sz w:val="21"/>
                <w:szCs w:val="21"/>
                <w:highlight w:val="none"/>
                <w:lang w:val="en-US" w:eastAsia="zh-CN"/>
              </w:rPr>
              <w:t>-N</w:t>
            </w:r>
          </w:p>
        </w:tc>
        <w:tc>
          <w:tcPr>
            <w:tcW w:w="1702" w:type="dxa"/>
            <w:tcBorders>
              <w:tl2br w:val="nil"/>
              <w:tr2bl w:val="nil"/>
            </w:tcBorders>
            <w:vAlign w:val="center"/>
          </w:tcPr>
          <w:p w14:paraId="48CA01AE">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276" w:type="dxa"/>
            <w:tcBorders>
              <w:tl2br w:val="nil"/>
              <w:tr2bl w:val="nil"/>
            </w:tcBorders>
            <w:vAlign w:val="center"/>
          </w:tcPr>
          <w:p w14:paraId="441B3AFE">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702" w:type="dxa"/>
            <w:tcBorders>
              <w:tl2br w:val="nil"/>
              <w:tr2bl w:val="nil"/>
            </w:tcBorders>
            <w:vAlign w:val="center"/>
          </w:tcPr>
          <w:p w14:paraId="41C39215">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560" w:type="dxa"/>
            <w:tcBorders>
              <w:tl2br w:val="nil"/>
              <w:tr2bl w:val="nil"/>
            </w:tcBorders>
            <w:vAlign w:val="center"/>
          </w:tcPr>
          <w:p w14:paraId="566A33E7">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0.0</w:t>
            </w:r>
            <w:r>
              <w:rPr>
                <w:rFonts w:hint="eastAsia"/>
                <w:color w:val="auto"/>
                <w:szCs w:val="20"/>
                <w:highlight w:val="none"/>
                <w:lang w:val="en-US" w:eastAsia="zh-CN"/>
              </w:rPr>
              <w:t>72</w:t>
            </w:r>
            <w:r>
              <w:rPr>
                <w:rFonts w:hint="default"/>
                <w:color w:val="auto"/>
                <w:spacing w:val="-1"/>
                <w:szCs w:val="20"/>
                <w:highlight w:val="none"/>
              </w:rPr>
              <w:t>t/a</w:t>
            </w:r>
          </w:p>
        </w:tc>
        <w:tc>
          <w:tcPr>
            <w:tcW w:w="1762" w:type="dxa"/>
            <w:tcBorders>
              <w:tl2br w:val="nil"/>
              <w:tr2bl w:val="nil"/>
            </w:tcBorders>
            <w:vAlign w:val="center"/>
          </w:tcPr>
          <w:p w14:paraId="00B1FEFE">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641" w:type="dxa"/>
            <w:tcBorders>
              <w:tl2br w:val="nil"/>
              <w:tr2bl w:val="nil"/>
            </w:tcBorders>
            <w:vAlign w:val="center"/>
          </w:tcPr>
          <w:p w14:paraId="64F69412">
            <w:pPr>
              <w:pStyle w:val="80"/>
              <w:keepNext w:val="0"/>
              <w:keepLines w:val="0"/>
              <w:widowControl/>
              <w:suppressLineNumbers w:val="0"/>
              <w:spacing w:before="0" w:beforeAutospacing="0" w:after="0" w:afterAutospacing="0"/>
              <w:ind w:left="0" w:leftChars="0" w:right="0" w:rightChars="0"/>
              <w:rPr>
                <w:rFonts w:hint="default"/>
                <w:color w:val="auto"/>
                <w:szCs w:val="20"/>
                <w:highlight w:val="none"/>
              </w:rPr>
            </w:pPr>
            <w:r>
              <w:rPr>
                <w:rFonts w:hint="eastAsia"/>
                <w:color w:val="auto"/>
                <w:szCs w:val="20"/>
                <w:highlight w:val="none"/>
              </w:rPr>
              <w:t>0.0</w:t>
            </w:r>
            <w:r>
              <w:rPr>
                <w:rFonts w:hint="eastAsia"/>
                <w:color w:val="auto"/>
                <w:szCs w:val="20"/>
                <w:highlight w:val="none"/>
                <w:lang w:val="en-US" w:eastAsia="zh-CN"/>
              </w:rPr>
              <w:t>72</w:t>
            </w:r>
            <w:r>
              <w:rPr>
                <w:rFonts w:hint="default"/>
                <w:color w:val="auto"/>
                <w:spacing w:val="-1"/>
                <w:szCs w:val="20"/>
                <w:highlight w:val="none"/>
              </w:rPr>
              <w:t>t/a</w:t>
            </w:r>
          </w:p>
        </w:tc>
        <w:tc>
          <w:tcPr>
            <w:tcW w:w="1388" w:type="dxa"/>
            <w:tcBorders>
              <w:tl2br w:val="nil"/>
              <w:tr2bl w:val="nil"/>
            </w:tcBorders>
            <w:vAlign w:val="center"/>
          </w:tcPr>
          <w:p w14:paraId="552C3326">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snapToGrid w:val="0"/>
                <w:color w:val="auto"/>
                <w:szCs w:val="20"/>
                <w:highlight w:val="none"/>
              </w:rPr>
              <w:t>/</w:t>
            </w:r>
          </w:p>
        </w:tc>
      </w:tr>
      <w:tr w14:paraId="6C9F4C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continue"/>
            <w:tcBorders>
              <w:tl2br w:val="nil"/>
              <w:tr2bl w:val="nil"/>
            </w:tcBorders>
            <w:vAlign w:val="center"/>
          </w:tcPr>
          <w:p w14:paraId="7B5F341A">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vAlign w:val="center"/>
          </w:tcPr>
          <w:p w14:paraId="118D4DE8">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pacing w:val="-1"/>
                <w:sz w:val="21"/>
                <w:szCs w:val="21"/>
                <w:highlight w:val="none"/>
                <w:lang w:val="en-US" w:eastAsia="zh-CN"/>
              </w:rPr>
            </w:pPr>
            <w:r>
              <w:rPr>
                <w:rFonts w:hint="eastAsia" w:cs="Times New Roman"/>
                <w:color w:val="auto"/>
                <w:spacing w:val="-1"/>
                <w:sz w:val="21"/>
                <w:szCs w:val="21"/>
                <w:highlight w:val="none"/>
                <w:lang w:val="en-US" w:eastAsia="zh-CN"/>
              </w:rPr>
              <w:t>总磷</w:t>
            </w:r>
          </w:p>
        </w:tc>
        <w:tc>
          <w:tcPr>
            <w:tcW w:w="1702" w:type="dxa"/>
            <w:tcBorders>
              <w:tl2br w:val="nil"/>
              <w:tr2bl w:val="nil"/>
            </w:tcBorders>
            <w:shd w:val="clear" w:color="auto" w:fill="auto"/>
            <w:vAlign w:val="center"/>
          </w:tcPr>
          <w:p w14:paraId="23B049FE">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c>
          <w:tcPr>
            <w:tcW w:w="1276" w:type="dxa"/>
            <w:tcBorders>
              <w:tl2br w:val="nil"/>
              <w:tr2bl w:val="nil"/>
            </w:tcBorders>
            <w:shd w:val="clear" w:color="auto" w:fill="auto"/>
            <w:vAlign w:val="center"/>
          </w:tcPr>
          <w:p w14:paraId="3D653E06">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c>
          <w:tcPr>
            <w:tcW w:w="1702" w:type="dxa"/>
            <w:tcBorders>
              <w:tl2br w:val="nil"/>
              <w:tr2bl w:val="nil"/>
            </w:tcBorders>
            <w:shd w:val="clear" w:color="auto" w:fill="auto"/>
            <w:vAlign w:val="center"/>
          </w:tcPr>
          <w:p w14:paraId="11484188">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c>
          <w:tcPr>
            <w:tcW w:w="1560" w:type="dxa"/>
            <w:tcBorders>
              <w:tl2br w:val="nil"/>
              <w:tr2bl w:val="nil"/>
            </w:tcBorders>
            <w:vAlign w:val="center"/>
          </w:tcPr>
          <w:p w14:paraId="6CC5343D">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0.008</w:t>
            </w:r>
            <w:r>
              <w:rPr>
                <w:rFonts w:hint="default"/>
                <w:color w:val="auto"/>
                <w:spacing w:val="-1"/>
                <w:szCs w:val="20"/>
                <w:highlight w:val="none"/>
              </w:rPr>
              <w:t>t/a</w:t>
            </w:r>
          </w:p>
        </w:tc>
        <w:tc>
          <w:tcPr>
            <w:tcW w:w="1762" w:type="dxa"/>
            <w:tcBorders>
              <w:tl2br w:val="nil"/>
              <w:tr2bl w:val="nil"/>
            </w:tcBorders>
            <w:shd w:val="clear" w:color="auto" w:fill="auto"/>
            <w:vAlign w:val="center"/>
          </w:tcPr>
          <w:p w14:paraId="08C13413">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c>
          <w:tcPr>
            <w:tcW w:w="1641" w:type="dxa"/>
            <w:tcBorders>
              <w:tl2br w:val="nil"/>
              <w:tr2bl w:val="nil"/>
            </w:tcBorders>
            <w:shd w:val="clear" w:color="auto" w:fill="auto"/>
            <w:vAlign w:val="center"/>
          </w:tcPr>
          <w:p w14:paraId="159A93BE">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snapToGrid w:val="0"/>
                <w:color w:val="auto"/>
                <w:sz w:val="21"/>
                <w:szCs w:val="20"/>
                <w:highlight w:val="none"/>
                <w:lang w:val="en-US" w:eastAsia="zh-CN" w:bidi="ar-SA"/>
              </w:rPr>
            </w:pPr>
            <w:r>
              <w:rPr>
                <w:rFonts w:hint="eastAsia"/>
                <w:color w:val="auto"/>
                <w:szCs w:val="20"/>
                <w:highlight w:val="none"/>
                <w:lang w:val="en-US" w:eastAsia="zh-CN"/>
              </w:rPr>
              <w:t>0.008</w:t>
            </w:r>
            <w:r>
              <w:rPr>
                <w:rFonts w:hint="default"/>
                <w:color w:val="auto"/>
                <w:spacing w:val="-1"/>
                <w:szCs w:val="20"/>
                <w:highlight w:val="none"/>
              </w:rPr>
              <w:t>t/a</w:t>
            </w:r>
          </w:p>
        </w:tc>
        <w:tc>
          <w:tcPr>
            <w:tcW w:w="1388" w:type="dxa"/>
            <w:tcBorders>
              <w:tl2br w:val="nil"/>
              <w:tr2bl w:val="nil"/>
            </w:tcBorders>
            <w:shd w:val="clear" w:color="auto" w:fill="auto"/>
            <w:vAlign w:val="center"/>
          </w:tcPr>
          <w:p w14:paraId="3307C7E1">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r>
      <w:tr w14:paraId="5B239B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continue"/>
            <w:tcBorders>
              <w:tl2br w:val="nil"/>
              <w:tr2bl w:val="nil"/>
            </w:tcBorders>
            <w:vAlign w:val="center"/>
          </w:tcPr>
          <w:p w14:paraId="6276D5DD">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vAlign w:val="center"/>
          </w:tcPr>
          <w:p w14:paraId="701A8A32">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pacing w:val="-1"/>
                <w:sz w:val="21"/>
                <w:szCs w:val="21"/>
                <w:highlight w:val="none"/>
                <w:lang w:val="en-US" w:eastAsia="zh-CN"/>
              </w:rPr>
            </w:pPr>
            <w:r>
              <w:rPr>
                <w:rFonts w:hint="eastAsia" w:cs="Times New Roman"/>
                <w:color w:val="auto"/>
                <w:spacing w:val="-1"/>
                <w:sz w:val="21"/>
                <w:szCs w:val="21"/>
                <w:highlight w:val="none"/>
                <w:lang w:val="en-US" w:eastAsia="zh-CN"/>
              </w:rPr>
              <w:t>总氮</w:t>
            </w:r>
          </w:p>
        </w:tc>
        <w:tc>
          <w:tcPr>
            <w:tcW w:w="1702" w:type="dxa"/>
            <w:tcBorders>
              <w:tl2br w:val="nil"/>
              <w:tr2bl w:val="nil"/>
            </w:tcBorders>
            <w:shd w:val="clear" w:color="auto" w:fill="auto"/>
            <w:vAlign w:val="center"/>
          </w:tcPr>
          <w:p w14:paraId="6948C7EF">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c>
          <w:tcPr>
            <w:tcW w:w="1276" w:type="dxa"/>
            <w:tcBorders>
              <w:tl2br w:val="nil"/>
              <w:tr2bl w:val="nil"/>
            </w:tcBorders>
            <w:shd w:val="clear" w:color="auto" w:fill="auto"/>
            <w:vAlign w:val="center"/>
          </w:tcPr>
          <w:p w14:paraId="638FC041">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c>
          <w:tcPr>
            <w:tcW w:w="1702" w:type="dxa"/>
            <w:tcBorders>
              <w:tl2br w:val="nil"/>
              <w:tr2bl w:val="nil"/>
            </w:tcBorders>
            <w:shd w:val="clear" w:color="auto" w:fill="auto"/>
            <w:vAlign w:val="center"/>
          </w:tcPr>
          <w:p w14:paraId="2D5E2D55">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c>
          <w:tcPr>
            <w:tcW w:w="1560" w:type="dxa"/>
            <w:tcBorders>
              <w:tl2br w:val="nil"/>
              <w:tr2bl w:val="nil"/>
            </w:tcBorders>
            <w:vAlign w:val="center"/>
          </w:tcPr>
          <w:p w14:paraId="6EF39DAE">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0.012</w:t>
            </w:r>
            <w:r>
              <w:rPr>
                <w:rFonts w:hint="default"/>
                <w:color w:val="auto"/>
                <w:spacing w:val="-1"/>
                <w:szCs w:val="20"/>
                <w:highlight w:val="none"/>
              </w:rPr>
              <w:t>t/a</w:t>
            </w:r>
          </w:p>
        </w:tc>
        <w:tc>
          <w:tcPr>
            <w:tcW w:w="1762" w:type="dxa"/>
            <w:tcBorders>
              <w:tl2br w:val="nil"/>
              <w:tr2bl w:val="nil"/>
            </w:tcBorders>
            <w:shd w:val="clear" w:color="auto" w:fill="auto"/>
            <w:vAlign w:val="center"/>
          </w:tcPr>
          <w:p w14:paraId="4C4A7C8A">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c>
          <w:tcPr>
            <w:tcW w:w="1641" w:type="dxa"/>
            <w:tcBorders>
              <w:tl2br w:val="nil"/>
              <w:tr2bl w:val="nil"/>
            </w:tcBorders>
            <w:shd w:val="clear" w:color="auto" w:fill="auto"/>
            <w:vAlign w:val="center"/>
          </w:tcPr>
          <w:p w14:paraId="21FBEABF">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snapToGrid w:val="0"/>
                <w:color w:val="auto"/>
                <w:sz w:val="21"/>
                <w:szCs w:val="20"/>
                <w:highlight w:val="none"/>
                <w:lang w:val="en-US" w:eastAsia="zh-CN" w:bidi="ar-SA"/>
              </w:rPr>
            </w:pPr>
            <w:r>
              <w:rPr>
                <w:rFonts w:hint="eastAsia"/>
                <w:color w:val="auto"/>
                <w:szCs w:val="20"/>
                <w:highlight w:val="none"/>
                <w:lang w:val="en-US" w:eastAsia="zh-CN"/>
              </w:rPr>
              <w:t>0.012</w:t>
            </w:r>
            <w:r>
              <w:rPr>
                <w:rFonts w:hint="default"/>
                <w:color w:val="auto"/>
                <w:spacing w:val="-1"/>
                <w:szCs w:val="20"/>
                <w:highlight w:val="none"/>
              </w:rPr>
              <w:t>t/a</w:t>
            </w:r>
          </w:p>
        </w:tc>
        <w:tc>
          <w:tcPr>
            <w:tcW w:w="1388" w:type="dxa"/>
            <w:tcBorders>
              <w:tl2br w:val="nil"/>
              <w:tr2bl w:val="nil"/>
            </w:tcBorders>
            <w:shd w:val="clear" w:color="auto" w:fill="auto"/>
            <w:vAlign w:val="center"/>
          </w:tcPr>
          <w:p w14:paraId="7AD21F07">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r>
      <w:tr w14:paraId="2FF36B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continue"/>
            <w:tcBorders>
              <w:tl2br w:val="nil"/>
              <w:tr2bl w:val="nil"/>
            </w:tcBorders>
            <w:vAlign w:val="center"/>
          </w:tcPr>
          <w:p w14:paraId="053932FD">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vAlign w:val="center"/>
          </w:tcPr>
          <w:p w14:paraId="04326B6E">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动植物油</w:t>
            </w:r>
          </w:p>
        </w:tc>
        <w:tc>
          <w:tcPr>
            <w:tcW w:w="1702" w:type="dxa"/>
            <w:tcBorders>
              <w:tl2br w:val="nil"/>
              <w:tr2bl w:val="nil"/>
            </w:tcBorders>
            <w:vAlign w:val="center"/>
          </w:tcPr>
          <w:p w14:paraId="1A8B14BF">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276" w:type="dxa"/>
            <w:tcBorders>
              <w:tl2br w:val="nil"/>
              <w:tr2bl w:val="nil"/>
            </w:tcBorders>
            <w:vAlign w:val="center"/>
          </w:tcPr>
          <w:p w14:paraId="746AE98C">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702" w:type="dxa"/>
            <w:tcBorders>
              <w:tl2br w:val="nil"/>
              <w:tr2bl w:val="nil"/>
            </w:tcBorders>
            <w:vAlign w:val="center"/>
          </w:tcPr>
          <w:p w14:paraId="628F4D54">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560" w:type="dxa"/>
            <w:tcBorders>
              <w:tl2br w:val="nil"/>
              <w:tr2bl w:val="nil"/>
            </w:tcBorders>
            <w:vAlign w:val="center"/>
          </w:tcPr>
          <w:p w14:paraId="0982FF08">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pacing w:val="-1"/>
                <w:szCs w:val="20"/>
                <w:highlight w:val="none"/>
              </w:rPr>
              <w:t>0.0</w:t>
            </w:r>
            <w:r>
              <w:rPr>
                <w:rFonts w:hint="eastAsia"/>
                <w:color w:val="auto"/>
                <w:spacing w:val="-1"/>
                <w:szCs w:val="20"/>
                <w:highlight w:val="none"/>
                <w:lang w:val="en-US" w:eastAsia="zh-CN"/>
              </w:rPr>
              <w:t>4</w:t>
            </w:r>
            <w:r>
              <w:rPr>
                <w:rFonts w:hint="default"/>
                <w:color w:val="auto"/>
                <w:spacing w:val="-1"/>
                <w:szCs w:val="20"/>
                <w:highlight w:val="none"/>
              </w:rPr>
              <w:t>t/a</w:t>
            </w:r>
          </w:p>
        </w:tc>
        <w:tc>
          <w:tcPr>
            <w:tcW w:w="1762" w:type="dxa"/>
            <w:tcBorders>
              <w:tl2br w:val="nil"/>
              <w:tr2bl w:val="nil"/>
            </w:tcBorders>
            <w:vAlign w:val="center"/>
          </w:tcPr>
          <w:p w14:paraId="1A285281">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641" w:type="dxa"/>
            <w:tcBorders>
              <w:tl2br w:val="nil"/>
              <w:tr2bl w:val="nil"/>
            </w:tcBorders>
            <w:vAlign w:val="center"/>
          </w:tcPr>
          <w:p w14:paraId="119961BD">
            <w:pPr>
              <w:pStyle w:val="80"/>
              <w:keepNext w:val="0"/>
              <w:keepLines w:val="0"/>
              <w:widowControl/>
              <w:suppressLineNumbers w:val="0"/>
              <w:spacing w:before="0" w:beforeAutospacing="0" w:after="0" w:afterAutospacing="0"/>
              <w:ind w:left="0" w:leftChars="0" w:right="0" w:rightChars="0"/>
              <w:rPr>
                <w:rFonts w:hint="default"/>
                <w:color w:val="auto"/>
                <w:szCs w:val="20"/>
                <w:highlight w:val="none"/>
              </w:rPr>
            </w:pPr>
            <w:r>
              <w:rPr>
                <w:rFonts w:hint="eastAsia"/>
                <w:color w:val="auto"/>
                <w:spacing w:val="-1"/>
                <w:szCs w:val="20"/>
                <w:highlight w:val="none"/>
              </w:rPr>
              <w:t>0.0</w:t>
            </w:r>
            <w:r>
              <w:rPr>
                <w:rFonts w:hint="eastAsia"/>
                <w:color w:val="auto"/>
                <w:spacing w:val="-1"/>
                <w:szCs w:val="20"/>
                <w:highlight w:val="none"/>
                <w:lang w:val="en-US" w:eastAsia="zh-CN"/>
              </w:rPr>
              <w:t>4</w:t>
            </w:r>
            <w:r>
              <w:rPr>
                <w:rFonts w:hint="default"/>
                <w:color w:val="auto"/>
                <w:spacing w:val="-1"/>
                <w:szCs w:val="20"/>
                <w:highlight w:val="none"/>
              </w:rPr>
              <w:t>t/a</w:t>
            </w:r>
          </w:p>
        </w:tc>
        <w:tc>
          <w:tcPr>
            <w:tcW w:w="1388" w:type="dxa"/>
            <w:tcBorders>
              <w:tl2br w:val="nil"/>
              <w:tr2bl w:val="nil"/>
            </w:tcBorders>
            <w:vAlign w:val="center"/>
          </w:tcPr>
          <w:p w14:paraId="08F05053">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snapToGrid w:val="0"/>
                <w:color w:val="auto"/>
                <w:szCs w:val="20"/>
                <w:highlight w:val="none"/>
              </w:rPr>
              <w:t>/</w:t>
            </w:r>
          </w:p>
        </w:tc>
      </w:tr>
      <w:tr w14:paraId="210011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continue"/>
            <w:tcBorders>
              <w:tl2br w:val="nil"/>
              <w:tr2bl w:val="nil"/>
            </w:tcBorders>
            <w:vAlign w:val="center"/>
          </w:tcPr>
          <w:p w14:paraId="1016E116">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vAlign w:val="center"/>
          </w:tcPr>
          <w:p w14:paraId="2A415BF5">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LAS</w:t>
            </w:r>
          </w:p>
        </w:tc>
        <w:tc>
          <w:tcPr>
            <w:tcW w:w="1702" w:type="dxa"/>
            <w:tcBorders>
              <w:tl2br w:val="nil"/>
              <w:tr2bl w:val="nil"/>
            </w:tcBorders>
            <w:vAlign w:val="center"/>
          </w:tcPr>
          <w:p w14:paraId="3EC6AA2E">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276" w:type="dxa"/>
            <w:tcBorders>
              <w:tl2br w:val="nil"/>
              <w:tr2bl w:val="nil"/>
            </w:tcBorders>
            <w:vAlign w:val="center"/>
          </w:tcPr>
          <w:p w14:paraId="123B7BF4">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702" w:type="dxa"/>
            <w:tcBorders>
              <w:tl2br w:val="nil"/>
              <w:tr2bl w:val="nil"/>
            </w:tcBorders>
            <w:vAlign w:val="center"/>
          </w:tcPr>
          <w:p w14:paraId="0300BE5A">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560" w:type="dxa"/>
            <w:tcBorders>
              <w:tl2br w:val="nil"/>
              <w:tr2bl w:val="nil"/>
            </w:tcBorders>
            <w:vAlign w:val="center"/>
          </w:tcPr>
          <w:p w14:paraId="7423B2F1">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pacing w:val="-1"/>
                <w:szCs w:val="20"/>
                <w:highlight w:val="none"/>
                <w:lang w:val="en-US" w:eastAsia="zh-CN"/>
              </w:rPr>
              <w:t>0.001</w:t>
            </w:r>
            <w:r>
              <w:rPr>
                <w:rFonts w:hint="default"/>
                <w:color w:val="auto"/>
                <w:spacing w:val="-1"/>
                <w:szCs w:val="20"/>
                <w:highlight w:val="none"/>
              </w:rPr>
              <w:t>t/a</w:t>
            </w:r>
          </w:p>
        </w:tc>
        <w:tc>
          <w:tcPr>
            <w:tcW w:w="1762" w:type="dxa"/>
            <w:tcBorders>
              <w:tl2br w:val="nil"/>
              <w:tr2bl w:val="nil"/>
            </w:tcBorders>
            <w:vAlign w:val="center"/>
          </w:tcPr>
          <w:p w14:paraId="753C52D7">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641" w:type="dxa"/>
            <w:tcBorders>
              <w:tl2br w:val="nil"/>
              <w:tr2bl w:val="nil"/>
            </w:tcBorders>
            <w:vAlign w:val="center"/>
          </w:tcPr>
          <w:p w14:paraId="6CFEE885">
            <w:pPr>
              <w:pStyle w:val="80"/>
              <w:keepNext w:val="0"/>
              <w:keepLines w:val="0"/>
              <w:widowControl/>
              <w:suppressLineNumbers w:val="0"/>
              <w:spacing w:before="0" w:beforeAutospacing="0" w:after="0" w:afterAutospacing="0"/>
              <w:ind w:left="0" w:leftChars="0" w:right="0" w:rightChars="0"/>
              <w:rPr>
                <w:rFonts w:hint="default"/>
                <w:color w:val="auto"/>
                <w:szCs w:val="20"/>
                <w:highlight w:val="none"/>
              </w:rPr>
            </w:pPr>
            <w:r>
              <w:rPr>
                <w:rFonts w:hint="eastAsia"/>
                <w:color w:val="auto"/>
                <w:spacing w:val="-1"/>
                <w:szCs w:val="20"/>
                <w:highlight w:val="none"/>
                <w:lang w:val="en-US" w:eastAsia="zh-CN"/>
              </w:rPr>
              <w:t>0.001</w:t>
            </w:r>
            <w:r>
              <w:rPr>
                <w:rFonts w:hint="default"/>
                <w:color w:val="auto"/>
                <w:spacing w:val="-1"/>
                <w:szCs w:val="20"/>
                <w:highlight w:val="none"/>
              </w:rPr>
              <w:t>t/a</w:t>
            </w:r>
          </w:p>
        </w:tc>
        <w:tc>
          <w:tcPr>
            <w:tcW w:w="1388" w:type="dxa"/>
            <w:tcBorders>
              <w:tl2br w:val="nil"/>
              <w:tr2bl w:val="nil"/>
            </w:tcBorders>
            <w:vAlign w:val="center"/>
          </w:tcPr>
          <w:p w14:paraId="3B1F4946">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snapToGrid w:val="0"/>
                <w:color w:val="auto"/>
                <w:szCs w:val="20"/>
                <w:highlight w:val="none"/>
              </w:rPr>
              <w:t>/</w:t>
            </w:r>
          </w:p>
        </w:tc>
      </w:tr>
      <w:tr w14:paraId="6146DB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restart"/>
            <w:tcBorders>
              <w:tl2br w:val="nil"/>
              <w:tr2bl w:val="nil"/>
            </w:tcBorders>
            <w:vAlign w:val="center"/>
          </w:tcPr>
          <w:p w14:paraId="47ABAF6F">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一般</w:t>
            </w:r>
            <w:r>
              <w:rPr>
                <w:rFonts w:hint="eastAsia"/>
                <w:snapToGrid w:val="0"/>
                <w:color w:val="auto"/>
                <w:szCs w:val="20"/>
                <w:highlight w:val="none"/>
              </w:rPr>
              <w:t>工业</w:t>
            </w:r>
            <w:r>
              <w:rPr>
                <w:rFonts w:hint="default"/>
                <w:snapToGrid w:val="0"/>
                <w:color w:val="auto"/>
                <w:szCs w:val="20"/>
                <w:highlight w:val="none"/>
              </w:rPr>
              <w:t>固体废物</w:t>
            </w:r>
          </w:p>
        </w:tc>
        <w:tc>
          <w:tcPr>
            <w:tcW w:w="1688" w:type="dxa"/>
            <w:tcBorders>
              <w:tl2br w:val="nil"/>
              <w:tr2bl w:val="nil"/>
            </w:tcBorders>
            <w:vAlign w:val="center"/>
          </w:tcPr>
          <w:p w14:paraId="53290454">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生活垃圾</w:t>
            </w:r>
          </w:p>
        </w:tc>
        <w:tc>
          <w:tcPr>
            <w:tcW w:w="1702" w:type="dxa"/>
            <w:tcBorders>
              <w:tl2br w:val="nil"/>
              <w:tr2bl w:val="nil"/>
            </w:tcBorders>
            <w:vAlign w:val="center"/>
          </w:tcPr>
          <w:p w14:paraId="60057E19">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276" w:type="dxa"/>
            <w:tcBorders>
              <w:tl2br w:val="nil"/>
              <w:tr2bl w:val="nil"/>
            </w:tcBorders>
            <w:vAlign w:val="center"/>
          </w:tcPr>
          <w:p w14:paraId="345CDAA9">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702" w:type="dxa"/>
            <w:tcBorders>
              <w:tl2br w:val="nil"/>
              <w:tr2bl w:val="nil"/>
            </w:tcBorders>
            <w:vAlign w:val="center"/>
          </w:tcPr>
          <w:p w14:paraId="3059119E">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560" w:type="dxa"/>
            <w:tcBorders>
              <w:tl2br w:val="nil"/>
              <w:tr2bl w:val="nil"/>
            </w:tcBorders>
            <w:vAlign w:val="center"/>
          </w:tcPr>
          <w:p w14:paraId="280D1A0E">
            <w:pPr>
              <w:pStyle w:val="80"/>
              <w:keepNext w:val="0"/>
              <w:keepLines w:val="0"/>
              <w:widowControl/>
              <w:suppressLineNumbers w:val="0"/>
              <w:spacing w:before="0" w:beforeAutospacing="0" w:after="0" w:afterAutospacing="0"/>
              <w:ind w:left="0" w:right="0"/>
              <w:rPr>
                <w:rFonts w:hint="default"/>
                <w:bCs/>
                <w:color w:val="auto"/>
                <w:szCs w:val="20"/>
                <w:highlight w:val="none"/>
              </w:rPr>
            </w:pPr>
            <w:r>
              <w:rPr>
                <w:rFonts w:hint="eastAsia"/>
                <w:color w:val="auto"/>
                <w:szCs w:val="20"/>
                <w:highlight w:val="none"/>
                <w:lang w:val="en-US" w:eastAsia="zh-CN"/>
              </w:rPr>
              <w:t>8</w:t>
            </w:r>
            <w:r>
              <w:rPr>
                <w:rFonts w:hint="default"/>
                <w:color w:val="auto"/>
                <w:spacing w:val="-1"/>
                <w:szCs w:val="20"/>
                <w:highlight w:val="none"/>
              </w:rPr>
              <w:t>t/a</w:t>
            </w:r>
          </w:p>
        </w:tc>
        <w:tc>
          <w:tcPr>
            <w:tcW w:w="1762" w:type="dxa"/>
            <w:tcBorders>
              <w:tl2br w:val="nil"/>
              <w:tr2bl w:val="nil"/>
            </w:tcBorders>
            <w:vAlign w:val="center"/>
          </w:tcPr>
          <w:p w14:paraId="1955D4A5">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snapToGrid w:val="0"/>
                <w:color w:val="auto"/>
                <w:szCs w:val="20"/>
                <w:highlight w:val="none"/>
              </w:rPr>
              <w:t>/</w:t>
            </w:r>
          </w:p>
        </w:tc>
        <w:tc>
          <w:tcPr>
            <w:tcW w:w="1641" w:type="dxa"/>
            <w:tcBorders>
              <w:tl2br w:val="nil"/>
              <w:tr2bl w:val="nil"/>
            </w:tcBorders>
            <w:vAlign w:val="center"/>
          </w:tcPr>
          <w:p w14:paraId="6C67E08B">
            <w:pPr>
              <w:pStyle w:val="80"/>
              <w:keepNext w:val="0"/>
              <w:keepLines w:val="0"/>
              <w:widowControl/>
              <w:suppressLineNumbers w:val="0"/>
              <w:spacing w:before="0" w:beforeAutospacing="0" w:after="0" w:afterAutospacing="0"/>
              <w:ind w:left="0" w:leftChars="0" w:right="0" w:rightChars="0"/>
              <w:rPr>
                <w:rFonts w:hint="default"/>
                <w:bCs/>
                <w:color w:val="auto"/>
                <w:szCs w:val="20"/>
                <w:highlight w:val="none"/>
              </w:rPr>
            </w:pPr>
            <w:r>
              <w:rPr>
                <w:rFonts w:hint="eastAsia"/>
                <w:color w:val="auto"/>
                <w:szCs w:val="20"/>
                <w:highlight w:val="none"/>
                <w:lang w:val="en-US" w:eastAsia="zh-CN"/>
              </w:rPr>
              <w:t>8</w:t>
            </w:r>
            <w:r>
              <w:rPr>
                <w:rFonts w:hint="default"/>
                <w:color w:val="auto"/>
                <w:spacing w:val="-1"/>
                <w:szCs w:val="20"/>
                <w:highlight w:val="none"/>
              </w:rPr>
              <w:t>t/a</w:t>
            </w:r>
          </w:p>
        </w:tc>
        <w:tc>
          <w:tcPr>
            <w:tcW w:w="1388" w:type="dxa"/>
            <w:tcBorders>
              <w:tl2br w:val="nil"/>
              <w:tr2bl w:val="nil"/>
            </w:tcBorders>
            <w:vAlign w:val="center"/>
          </w:tcPr>
          <w:p w14:paraId="799C079A">
            <w:pPr>
              <w:pStyle w:val="80"/>
              <w:keepNext w:val="0"/>
              <w:keepLines w:val="0"/>
              <w:widowControl/>
              <w:suppressLineNumbers w:val="0"/>
              <w:spacing w:before="0" w:beforeAutospacing="0" w:after="0" w:afterAutospacing="0"/>
              <w:ind w:left="0" w:right="0"/>
              <w:rPr>
                <w:rFonts w:hint="default"/>
                <w:bCs/>
                <w:color w:val="auto"/>
                <w:szCs w:val="20"/>
                <w:highlight w:val="none"/>
              </w:rPr>
            </w:pPr>
            <w:r>
              <w:rPr>
                <w:rFonts w:hint="eastAsia"/>
                <w:snapToGrid w:val="0"/>
                <w:color w:val="auto"/>
                <w:szCs w:val="20"/>
                <w:highlight w:val="none"/>
              </w:rPr>
              <w:t>/</w:t>
            </w:r>
          </w:p>
        </w:tc>
      </w:tr>
      <w:tr w14:paraId="6BB759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continue"/>
            <w:tcBorders>
              <w:tl2br w:val="nil"/>
              <w:tr2bl w:val="nil"/>
            </w:tcBorders>
            <w:vAlign w:val="center"/>
          </w:tcPr>
          <w:p w14:paraId="0E9B0A3B">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vAlign w:val="center"/>
          </w:tcPr>
          <w:p w14:paraId="58EB871A">
            <w:pPr>
              <w:pStyle w:val="80"/>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default" w:ascii="Times New Roman" w:hAnsi="Times New Roman" w:cs="Times New Roman"/>
                <w:color w:val="auto"/>
                <w:spacing w:val="-1"/>
                <w:sz w:val="21"/>
                <w:szCs w:val="21"/>
                <w:highlight w:val="none"/>
              </w:rPr>
              <w:t>餐厨垃圾</w:t>
            </w:r>
          </w:p>
        </w:tc>
        <w:tc>
          <w:tcPr>
            <w:tcW w:w="1702" w:type="dxa"/>
            <w:tcBorders>
              <w:tl2br w:val="nil"/>
              <w:tr2bl w:val="nil"/>
            </w:tcBorders>
            <w:vAlign w:val="center"/>
          </w:tcPr>
          <w:p w14:paraId="5A97432C">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c>
          <w:tcPr>
            <w:tcW w:w="1276" w:type="dxa"/>
            <w:tcBorders>
              <w:tl2br w:val="nil"/>
              <w:tr2bl w:val="nil"/>
            </w:tcBorders>
            <w:vAlign w:val="center"/>
          </w:tcPr>
          <w:p w14:paraId="0BDAF429">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c>
          <w:tcPr>
            <w:tcW w:w="1702" w:type="dxa"/>
            <w:tcBorders>
              <w:tl2br w:val="nil"/>
              <w:tr2bl w:val="nil"/>
            </w:tcBorders>
            <w:vAlign w:val="center"/>
          </w:tcPr>
          <w:p w14:paraId="526451CB">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c>
          <w:tcPr>
            <w:tcW w:w="1560" w:type="dxa"/>
            <w:tcBorders>
              <w:tl2br w:val="nil"/>
              <w:tr2bl w:val="nil"/>
            </w:tcBorders>
            <w:vAlign w:val="center"/>
          </w:tcPr>
          <w:p w14:paraId="7058F4B9">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bCs/>
                <w:color w:val="auto"/>
                <w:sz w:val="21"/>
                <w:szCs w:val="20"/>
                <w:highlight w:val="none"/>
                <w:lang w:val="en-US" w:eastAsia="zh-CN" w:bidi="ar-SA"/>
              </w:rPr>
            </w:pPr>
            <w:r>
              <w:rPr>
                <w:rFonts w:hint="eastAsia"/>
                <w:color w:val="auto"/>
                <w:szCs w:val="20"/>
                <w:highlight w:val="none"/>
                <w:lang w:val="en-US" w:eastAsia="zh-CN"/>
              </w:rPr>
              <w:t>4.25t/a</w:t>
            </w:r>
          </w:p>
        </w:tc>
        <w:tc>
          <w:tcPr>
            <w:tcW w:w="1762" w:type="dxa"/>
            <w:tcBorders>
              <w:tl2br w:val="nil"/>
              <w:tr2bl w:val="nil"/>
            </w:tcBorders>
            <w:vAlign w:val="center"/>
          </w:tcPr>
          <w:p w14:paraId="70F3ADCF">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c>
          <w:tcPr>
            <w:tcW w:w="1641" w:type="dxa"/>
            <w:tcBorders>
              <w:tl2br w:val="nil"/>
              <w:tr2bl w:val="nil"/>
            </w:tcBorders>
            <w:vAlign w:val="center"/>
          </w:tcPr>
          <w:p w14:paraId="347236BF">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bCs/>
                <w:color w:val="auto"/>
                <w:sz w:val="21"/>
                <w:szCs w:val="20"/>
                <w:highlight w:val="none"/>
                <w:lang w:val="en-US" w:eastAsia="zh-CN" w:bidi="ar-SA"/>
              </w:rPr>
            </w:pPr>
            <w:r>
              <w:rPr>
                <w:rFonts w:hint="eastAsia"/>
                <w:color w:val="auto"/>
                <w:szCs w:val="20"/>
                <w:highlight w:val="none"/>
                <w:lang w:val="en-US" w:eastAsia="zh-CN"/>
              </w:rPr>
              <w:t>4.25t/a</w:t>
            </w:r>
          </w:p>
        </w:tc>
        <w:tc>
          <w:tcPr>
            <w:tcW w:w="1388" w:type="dxa"/>
            <w:tcBorders>
              <w:tl2br w:val="nil"/>
              <w:tr2bl w:val="nil"/>
            </w:tcBorders>
            <w:vAlign w:val="center"/>
          </w:tcPr>
          <w:p w14:paraId="47CA30A1">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bCs/>
                <w:color w:val="auto"/>
                <w:sz w:val="21"/>
                <w:szCs w:val="20"/>
                <w:highlight w:val="none"/>
                <w:lang w:val="en-US" w:eastAsia="zh-CN" w:bidi="ar-SA"/>
              </w:rPr>
            </w:pPr>
            <w:r>
              <w:rPr>
                <w:rFonts w:hint="eastAsia"/>
                <w:snapToGrid w:val="0"/>
                <w:color w:val="auto"/>
                <w:szCs w:val="20"/>
                <w:highlight w:val="none"/>
              </w:rPr>
              <w:t>/</w:t>
            </w:r>
          </w:p>
        </w:tc>
      </w:tr>
      <w:tr w14:paraId="121BC0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continue"/>
            <w:tcBorders>
              <w:tl2br w:val="nil"/>
              <w:tr2bl w:val="nil"/>
            </w:tcBorders>
            <w:vAlign w:val="center"/>
          </w:tcPr>
          <w:p w14:paraId="2F353FA4">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vAlign w:val="center"/>
          </w:tcPr>
          <w:p w14:paraId="0A567A78">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color w:val="auto"/>
                <w:spacing w:val="-1"/>
                <w:sz w:val="21"/>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废油脂</w:t>
            </w:r>
          </w:p>
        </w:tc>
        <w:tc>
          <w:tcPr>
            <w:tcW w:w="1702" w:type="dxa"/>
            <w:tcBorders>
              <w:tl2br w:val="nil"/>
              <w:tr2bl w:val="nil"/>
            </w:tcBorders>
            <w:vAlign w:val="center"/>
          </w:tcPr>
          <w:p w14:paraId="2363CFEE">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c>
          <w:tcPr>
            <w:tcW w:w="1276" w:type="dxa"/>
            <w:tcBorders>
              <w:tl2br w:val="nil"/>
              <w:tr2bl w:val="nil"/>
            </w:tcBorders>
            <w:vAlign w:val="center"/>
          </w:tcPr>
          <w:p w14:paraId="1820694A">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c>
          <w:tcPr>
            <w:tcW w:w="1702" w:type="dxa"/>
            <w:tcBorders>
              <w:tl2br w:val="nil"/>
              <w:tr2bl w:val="nil"/>
            </w:tcBorders>
            <w:vAlign w:val="center"/>
          </w:tcPr>
          <w:p w14:paraId="1B0B1CD2">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c>
          <w:tcPr>
            <w:tcW w:w="1560" w:type="dxa"/>
            <w:tcBorders>
              <w:tl2br w:val="nil"/>
              <w:tr2bl w:val="nil"/>
            </w:tcBorders>
            <w:vAlign w:val="center"/>
          </w:tcPr>
          <w:p w14:paraId="3179EE1D">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bCs/>
                <w:color w:val="auto"/>
                <w:sz w:val="21"/>
                <w:szCs w:val="20"/>
                <w:highlight w:val="none"/>
                <w:lang w:val="en-US" w:eastAsia="zh-CN" w:bidi="ar-SA"/>
              </w:rPr>
            </w:pPr>
            <w:r>
              <w:rPr>
                <w:rFonts w:hint="eastAsia"/>
                <w:color w:val="auto"/>
                <w:szCs w:val="20"/>
                <w:highlight w:val="none"/>
                <w:lang w:val="en-US" w:eastAsia="zh-CN"/>
              </w:rPr>
              <w:t>10.04t/a</w:t>
            </w:r>
          </w:p>
        </w:tc>
        <w:tc>
          <w:tcPr>
            <w:tcW w:w="1762" w:type="dxa"/>
            <w:tcBorders>
              <w:tl2br w:val="nil"/>
              <w:tr2bl w:val="nil"/>
            </w:tcBorders>
            <w:vAlign w:val="center"/>
          </w:tcPr>
          <w:p w14:paraId="657D0869">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snapToGrid w:val="0"/>
                <w:color w:val="auto"/>
                <w:sz w:val="21"/>
                <w:szCs w:val="20"/>
                <w:highlight w:val="none"/>
                <w:lang w:val="en-US" w:eastAsia="zh-CN" w:bidi="ar-SA"/>
              </w:rPr>
            </w:pPr>
            <w:r>
              <w:rPr>
                <w:rFonts w:hint="eastAsia"/>
                <w:snapToGrid w:val="0"/>
                <w:color w:val="auto"/>
                <w:szCs w:val="20"/>
                <w:highlight w:val="none"/>
              </w:rPr>
              <w:t>/</w:t>
            </w:r>
          </w:p>
        </w:tc>
        <w:tc>
          <w:tcPr>
            <w:tcW w:w="1641" w:type="dxa"/>
            <w:tcBorders>
              <w:tl2br w:val="nil"/>
              <w:tr2bl w:val="nil"/>
            </w:tcBorders>
            <w:vAlign w:val="center"/>
          </w:tcPr>
          <w:p w14:paraId="60F430A3">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bCs/>
                <w:color w:val="auto"/>
                <w:sz w:val="21"/>
                <w:szCs w:val="20"/>
                <w:highlight w:val="none"/>
                <w:lang w:val="en-US" w:eastAsia="zh-CN" w:bidi="ar-SA"/>
              </w:rPr>
            </w:pPr>
            <w:r>
              <w:rPr>
                <w:rFonts w:hint="eastAsia"/>
                <w:color w:val="auto"/>
                <w:szCs w:val="20"/>
                <w:highlight w:val="none"/>
                <w:lang w:val="en-US" w:eastAsia="zh-CN"/>
              </w:rPr>
              <w:t>10.04t/a</w:t>
            </w:r>
          </w:p>
        </w:tc>
        <w:tc>
          <w:tcPr>
            <w:tcW w:w="1388" w:type="dxa"/>
            <w:tcBorders>
              <w:tl2br w:val="nil"/>
              <w:tr2bl w:val="nil"/>
            </w:tcBorders>
            <w:vAlign w:val="center"/>
          </w:tcPr>
          <w:p w14:paraId="4F0E654F">
            <w:pPr>
              <w:pStyle w:val="80"/>
              <w:keepNext w:val="0"/>
              <w:keepLines w:val="0"/>
              <w:widowControl/>
              <w:suppressLineNumbers w:val="0"/>
              <w:spacing w:before="0" w:beforeAutospacing="0" w:after="0" w:afterAutospacing="0"/>
              <w:ind w:left="0" w:right="0"/>
              <w:rPr>
                <w:rFonts w:hint="eastAsia" w:ascii="Times New Roman" w:hAnsi="Times New Roman" w:eastAsia="宋体" w:cs="Times New Roman"/>
                <w:bCs/>
                <w:color w:val="auto"/>
                <w:sz w:val="21"/>
                <w:szCs w:val="20"/>
                <w:highlight w:val="none"/>
                <w:lang w:val="en-US" w:eastAsia="zh-CN" w:bidi="ar-SA"/>
              </w:rPr>
            </w:pPr>
            <w:r>
              <w:rPr>
                <w:rFonts w:hint="eastAsia"/>
                <w:snapToGrid w:val="0"/>
                <w:color w:val="auto"/>
                <w:szCs w:val="20"/>
                <w:highlight w:val="none"/>
              </w:rPr>
              <w:t>/</w:t>
            </w:r>
          </w:p>
        </w:tc>
      </w:tr>
      <w:tr w14:paraId="7C4C5C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continue"/>
            <w:tcBorders>
              <w:tl2br w:val="nil"/>
              <w:tr2bl w:val="nil"/>
            </w:tcBorders>
            <w:vAlign w:val="center"/>
          </w:tcPr>
          <w:p w14:paraId="32076BC9">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vAlign w:val="center"/>
          </w:tcPr>
          <w:p w14:paraId="27C35EE6">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废包</w:t>
            </w:r>
            <w:r>
              <w:rPr>
                <w:rFonts w:hint="eastAsia" w:cs="Times New Roman"/>
                <w:color w:val="auto"/>
                <w:spacing w:val="-1"/>
                <w:sz w:val="21"/>
                <w:szCs w:val="21"/>
                <w:highlight w:val="none"/>
                <w:lang w:val="en-US" w:eastAsia="zh-CN"/>
              </w:rPr>
              <w:t>装</w:t>
            </w:r>
          </w:p>
        </w:tc>
        <w:tc>
          <w:tcPr>
            <w:tcW w:w="1702" w:type="dxa"/>
            <w:tcBorders>
              <w:tl2br w:val="nil"/>
              <w:tr2bl w:val="nil"/>
            </w:tcBorders>
            <w:vAlign w:val="center"/>
          </w:tcPr>
          <w:p w14:paraId="0B4E8A78">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w:t>
            </w:r>
          </w:p>
        </w:tc>
        <w:tc>
          <w:tcPr>
            <w:tcW w:w="1276" w:type="dxa"/>
            <w:tcBorders>
              <w:tl2br w:val="nil"/>
              <w:tr2bl w:val="nil"/>
            </w:tcBorders>
            <w:vAlign w:val="center"/>
          </w:tcPr>
          <w:p w14:paraId="0F193787">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w:t>
            </w:r>
          </w:p>
        </w:tc>
        <w:tc>
          <w:tcPr>
            <w:tcW w:w="1702" w:type="dxa"/>
            <w:tcBorders>
              <w:tl2br w:val="nil"/>
              <w:tr2bl w:val="nil"/>
            </w:tcBorders>
            <w:vAlign w:val="center"/>
          </w:tcPr>
          <w:p w14:paraId="4C55CE81">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color w:val="auto"/>
                <w:spacing w:val="-1"/>
                <w:kern w:val="2"/>
                <w:szCs w:val="20"/>
                <w:highlight w:val="none"/>
              </w:rPr>
              <w:t>/</w:t>
            </w:r>
          </w:p>
        </w:tc>
        <w:tc>
          <w:tcPr>
            <w:tcW w:w="1560" w:type="dxa"/>
            <w:tcBorders>
              <w:tl2br w:val="nil"/>
              <w:tr2bl w:val="nil"/>
            </w:tcBorders>
            <w:vAlign w:val="center"/>
          </w:tcPr>
          <w:p w14:paraId="6840BC6E">
            <w:pPr>
              <w:pStyle w:val="80"/>
              <w:keepNext w:val="0"/>
              <w:keepLines w:val="0"/>
              <w:widowControl/>
              <w:suppressLineNumbers w:val="0"/>
              <w:spacing w:before="0" w:beforeAutospacing="0" w:after="0" w:afterAutospacing="0"/>
              <w:ind w:left="0" w:right="0"/>
              <w:rPr>
                <w:rFonts w:hint="default"/>
                <w:color w:val="auto"/>
                <w:szCs w:val="20"/>
                <w:highlight w:val="none"/>
              </w:rPr>
            </w:pPr>
            <w:r>
              <w:rPr>
                <w:rFonts w:hint="eastAsia"/>
                <w:bCs/>
                <w:color w:val="auto"/>
                <w:szCs w:val="20"/>
                <w:highlight w:val="none"/>
                <w:lang w:val="en-US" w:eastAsia="zh-CN"/>
              </w:rPr>
              <w:t>0.2</w:t>
            </w:r>
            <w:r>
              <w:rPr>
                <w:rFonts w:hint="default"/>
                <w:color w:val="auto"/>
                <w:spacing w:val="-1"/>
                <w:szCs w:val="20"/>
                <w:highlight w:val="none"/>
              </w:rPr>
              <w:t>t/a</w:t>
            </w:r>
          </w:p>
        </w:tc>
        <w:tc>
          <w:tcPr>
            <w:tcW w:w="1762" w:type="dxa"/>
            <w:tcBorders>
              <w:tl2br w:val="nil"/>
              <w:tr2bl w:val="nil"/>
            </w:tcBorders>
            <w:vAlign w:val="center"/>
          </w:tcPr>
          <w:p w14:paraId="2EF281C9">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bCs/>
                <w:color w:val="auto"/>
                <w:szCs w:val="20"/>
                <w:highlight w:val="none"/>
              </w:rPr>
              <w:t>/</w:t>
            </w:r>
          </w:p>
        </w:tc>
        <w:tc>
          <w:tcPr>
            <w:tcW w:w="1641" w:type="dxa"/>
            <w:tcBorders>
              <w:tl2br w:val="nil"/>
              <w:tr2bl w:val="nil"/>
            </w:tcBorders>
            <w:vAlign w:val="center"/>
          </w:tcPr>
          <w:p w14:paraId="045DD8AE">
            <w:pPr>
              <w:pStyle w:val="80"/>
              <w:keepNext w:val="0"/>
              <w:keepLines w:val="0"/>
              <w:widowControl/>
              <w:suppressLineNumbers w:val="0"/>
              <w:spacing w:before="0" w:beforeAutospacing="0" w:after="0" w:afterAutospacing="0"/>
              <w:ind w:left="0" w:leftChars="0" w:right="0" w:rightChars="0"/>
              <w:rPr>
                <w:rFonts w:hint="default"/>
                <w:color w:val="auto"/>
                <w:szCs w:val="20"/>
                <w:highlight w:val="none"/>
              </w:rPr>
            </w:pPr>
            <w:r>
              <w:rPr>
                <w:rFonts w:hint="eastAsia"/>
                <w:bCs/>
                <w:color w:val="auto"/>
                <w:szCs w:val="20"/>
                <w:highlight w:val="none"/>
                <w:lang w:val="en-US" w:eastAsia="zh-CN"/>
              </w:rPr>
              <w:t>0.2</w:t>
            </w:r>
            <w:r>
              <w:rPr>
                <w:rFonts w:hint="default"/>
                <w:color w:val="auto"/>
                <w:spacing w:val="-1"/>
                <w:szCs w:val="20"/>
                <w:highlight w:val="none"/>
              </w:rPr>
              <w:t>t/a</w:t>
            </w:r>
          </w:p>
        </w:tc>
        <w:tc>
          <w:tcPr>
            <w:tcW w:w="1388" w:type="dxa"/>
            <w:tcBorders>
              <w:tl2br w:val="nil"/>
              <w:tr2bl w:val="nil"/>
            </w:tcBorders>
            <w:vAlign w:val="center"/>
          </w:tcPr>
          <w:p w14:paraId="6E2CB74A">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eastAsia"/>
                <w:bCs/>
                <w:color w:val="auto"/>
                <w:szCs w:val="20"/>
                <w:highlight w:val="none"/>
              </w:rPr>
              <w:t>/</w:t>
            </w:r>
          </w:p>
        </w:tc>
      </w:tr>
      <w:tr w14:paraId="00F078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continue"/>
            <w:tcBorders>
              <w:tl2br w:val="nil"/>
              <w:tr2bl w:val="nil"/>
            </w:tcBorders>
            <w:vAlign w:val="center"/>
          </w:tcPr>
          <w:p w14:paraId="538C3EFD">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vAlign w:val="center"/>
          </w:tcPr>
          <w:p w14:paraId="1B899AB0">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pacing w:val="-1"/>
                <w:sz w:val="21"/>
                <w:szCs w:val="21"/>
                <w:highlight w:val="none"/>
                <w:lang w:val="en-US" w:eastAsia="zh-CN"/>
              </w:rPr>
            </w:pPr>
            <w:r>
              <w:rPr>
                <w:rFonts w:hint="eastAsia" w:cs="Times New Roman"/>
                <w:color w:val="auto"/>
                <w:spacing w:val="-1"/>
                <w:sz w:val="21"/>
                <w:szCs w:val="21"/>
                <w:highlight w:val="none"/>
                <w:lang w:val="en-US" w:eastAsia="zh-CN"/>
              </w:rPr>
              <w:t>废物料、废试剂瓶、废药品包装</w:t>
            </w:r>
          </w:p>
        </w:tc>
        <w:tc>
          <w:tcPr>
            <w:tcW w:w="1702" w:type="dxa"/>
            <w:tcBorders>
              <w:tl2br w:val="nil"/>
              <w:tr2bl w:val="nil"/>
            </w:tcBorders>
            <w:shd w:val="clear" w:color="auto" w:fill="auto"/>
            <w:vAlign w:val="center"/>
          </w:tcPr>
          <w:p w14:paraId="035A1542">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snapToGrid w:val="0"/>
                <w:color w:val="auto"/>
                <w:sz w:val="21"/>
                <w:szCs w:val="20"/>
                <w:highlight w:val="none"/>
                <w:lang w:val="en-US" w:eastAsia="zh-CN" w:bidi="ar-SA"/>
              </w:rPr>
            </w:pPr>
            <w:r>
              <w:rPr>
                <w:rFonts w:hint="default"/>
                <w:snapToGrid w:val="0"/>
                <w:color w:val="auto"/>
                <w:szCs w:val="20"/>
                <w:highlight w:val="none"/>
              </w:rPr>
              <w:t>/</w:t>
            </w:r>
          </w:p>
        </w:tc>
        <w:tc>
          <w:tcPr>
            <w:tcW w:w="1276" w:type="dxa"/>
            <w:tcBorders>
              <w:tl2br w:val="nil"/>
              <w:tr2bl w:val="nil"/>
            </w:tcBorders>
            <w:shd w:val="clear" w:color="auto" w:fill="auto"/>
            <w:vAlign w:val="center"/>
          </w:tcPr>
          <w:p w14:paraId="69AE893F">
            <w:pPr>
              <w:pStyle w:val="80"/>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snapToGrid w:val="0"/>
                <w:color w:val="auto"/>
                <w:sz w:val="21"/>
                <w:szCs w:val="20"/>
                <w:highlight w:val="none"/>
                <w:lang w:val="en-US" w:eastAsia="zh-CN" w:bidi="ar-SA"/>
              </w:rPr>
            </w:pPr>
            <w:r>
              <w:rPr>
                <w:rFonts w:hint="default"/>
                <w:snapToGrid w:val="0"/>
                <w:color w:val="auto"/>
                <w:szCs w:val="20"/>
                <w:highlight w:val="none"/>
              </w:rPr>
              <w:t>/</w:t>
            </w:r>
          </w:p>
        </w:tc>
        <w:tc>
          <w:tcPr>
            <w:tcW w:w="1702" w:type="dxa"/>
            <w:tcBorders>
              <w:tl2br w:val="nil"/>
              <w:tr2bl w:val="nil"/>
            </w:tcBorders>
            <w:shd w:val="clear" w:color="auto" w:fill="auto"/>
            <w:vAlign w:val="center"/>
          </w:tcPr>
          <w:p w14:paraId="706E98EA">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snapToGrid w:val="0"/>
                <w:color w:val="auto"/>
                <w:sz w:val="21"/>
                <w:szCs w:val="20"/>
                <w:highlight w:val="none"/>
                <w:lang w:val="en-US" w:eastAsia="zh-CN" w:bidi="ar-SA"/>
              </w:rPr>
            </w:pPr>
            <w:r>
              <w:rPr>
                <w:rFonts w:hint="eastAsia"/>
                <w:color w:val="auto"/>
                <w:spacing w:val="-1"/>
                <w:kern w:val="2"/>
                <w:szCs w:val="20"/>
                <w:highlight w:val="none"/>
              </w:rPr>
              <w:t>/</w:t>
            </w:r>
          </w:p>
        </w:tc>
        <w:tc>
          <w:tcPr>
            <w:tcW w:w="1560" w:type="dxa"/>
            <w:tcBorders>
              <w:tl2br w:val="nil"/>
              <w:tr2bl w:val="nil"/>
            </w:tcBorders>
            <w:shd w:val="clear" w:color="auto" w:fill="auto"/>
            <w:vAlign w:val="center"/>
          </w:tcPr>
          <w:p w14:paraId="0C352610">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bCs/>
                <w:color w:val="auto"/>
                <w:szCs w:val="20"/>
                <w:highlight w:val="none"/>
                <w:lang w:val="en-US" w:eastAsia="zh-CN"/>
              </w:rPr>
              <w:t>0.002</w:t>
            </w:r>
            <w:r>
              <w:rPr>
                <w:rFonts w:hint="default"/>
                <w:color w:val="auto"/>
                <w:spacing w:val="-1"/>
                <w:szCs w:val="20"/>
                <w:highlight w:val="none"/>
              </w:rPr>
              <w:t>t/a</w:t>
            </w:r>
          </w:p>
        </w:tc>
        <w:tc>
          <w:tcPr>
            <w:tcW w:w="1762" w:type="dxa"/>
            <w:tcBorders>
              <w:tl2br w:val="nil"/>
              <w:tr2bl w:val="nil"/>
            </w:tcBorders>
            <w:shd w:val="clear" w:color="auto" w:fill="auto"/>
            <w:vAlign w:val="center"/>
          </w:tcPr>
          <w:p w14:paraId="0C15116C">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snapToGrid w:val="0"/>
                <w:color w:val="auto"/>
                <w:sz w:val="21"/>
                <w:szCs w:val="20"/>
                <w:highlight w:val="none"/>
                <w:lang w:val="en-US" w:eastAsia="zh-CN" w:bidi="ar-SA"/>
              </w:rPr>
            </w:pPr>
            <w:r>
              <w:rPr>
                <w:rFonts w:hint="eastAsia"/>
                <w:bCs/>
                <w:color w:val="auto"/>
                <w:szCs w:val="20"/>
                <w:highlight w:val="none"/>
              </w:rPr>
              <w:t>/</w:t>
            </w:r>
          </w:p>
        </w:tc>
        <w:tc>
          <w:tcPr>
            <w:tcW w:w="1641" w:type="dxa"/>
            <w:tcBorders>
              <w:tl2br w:val="nil"/>
              <w:tr2bl w:val="nil"/>
            </w:tcBorders>
            <w:shd w:val="clear" w:color="auto" w:fill="auto"/>
            <w:vAlign w:val="center"/>
          </w:tcPr>
          <w:p w14:paraId="070B550E">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auto"/>
                <w:sz w:val="21"/>
                <w:szCs w:val="20"/>
                <w:highlight w:val="none"/>
                <w:lang w:val="en-US" w:eastAsia="zh-CN" w:bidi="ar-SA"/>
              </w:rPr>
            </w:pPr>
            <w:r>
              <w:rPr>
                <w:rFonts w:hint="eastAsia"/>
                <w:bCs/>
                <w:color w:val="auto"/>
                <w:szCs w:val="20"/>
                <w:highlight w:val="none"/>
                <w:lang w:val="en-US" w:eastAsia="zh-CN"/>
              </w:rPr>
              <w:t>0.002</w:t>
            </w:r>
            <w:r>
              <w:rPr>
                <w:rFonts w:hint="default"/>
                <w:color w:val="auto"/>
                <w:spacing w:val="-1"/>
                <w:szCs w:val="20"/>
                <w:highlight w:val="none"/>
              </w:rPr>
              <w:t>t/a</w:t>
            </w:r>
          </w:p>
        </w:tc>
        <w:tc>
          <w:tcPr>
            <w:tcW w:w="1388" w:type="dxa"/>
            <w:tcBorders>
              <w:tl2br w:val="nil"/>
              <w:tr2bl w:val="nil"/>
            </w:tcBorders>
            <w:shd w:val="clear" w:color="auto" w:fill="auto"/>
            <w:vAlign w:val="center"/>
          </w:tcPr>
          <w:p w14:paraId="62C105C7">
            <w:pPr>
              <w:pStyle w:val="80"/>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snapToGrid w:val="0"/>
                <w:color w:val="auto"/>
                <w:sz w:val="21"/>
                <w:szCs w:val="20"/>
                <w:highlight w:val="none"/>
                <w:lang w:val="en-US" w:eastAsia="zh-CN" w:bidi="ar-SA"/>
              </w:rPr>
            </w:pPr>
            <w:r>
              <w:rPr>
                <w:rFonts w:hint="eastAsia"/>
                <w:bCs/>
                <w:color w:val="auto"/>
                <w:szCs w:val="20"/>
                <w:highlight w:val="none"/>
              </w:rPr>
              <w:t>/</w:t>
            </w:r>
          </w:p>
        </w:tc>
      </w:tr>
      <w:tr w14:paraId="73BF11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continue"/>
            <w:tcBorders>
              <w:tl2br w:val="nil"/>
              <w:tr2bl w:val="nil"/>
            </w:tcBorders>
            <w:vAlign w:val="center"/>
          </w:tcPr>
          <w:p w14:paraId="2A0043CD">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vAlign w:val="center"/>
          </w:tcPr>
          <w:p w14:paraId="4EFECA74">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污泥</w:t>
            </w:r>
          </w:p>
        </w:tc>
        <w:tc>
          <w:tcPr>
            <w:tcW w:w="1702" w:type="dxa"/>
            <w:tcBorders>
              <w:tl2br w:val="nil"/>
              <w:tr2bl w:val="nil"/>
            </w:tcBorders>
            <w:vAlign w:val="center"/>
          </w:tcPr>
          <w:p w14:paraId="08DCA7E0">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w:t>
            </w:r>
          </w:p>
        </w:tc>
        <w:tc>
          <w:tcPr>
            <w:tcW w:w="1276" w:type="dxa"/>
            <w:tcBorders>
              <w:tl2br w:val="nil"/>
              <w:tr2bl w:val="nil"/>
            </w:tcBorders>
            <w:vAlign w:val="center"/>
          </w:tcPr>
          <w:p w14:paraId="56B47AD0">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w:t>
            </w:r>
          </w:p>
        </w:tc>
        <w:tc>
          <w:tcPr>
            <w:tcW w:w="1702" w:type="dxa"/>
            <w:tcBorders>
              <w:tl2br w:val="nil"/>
              <w:tr2bl w:val="nil"/>
            </w:tcBorders>
            <w:vAlign w:val="center"/>
          </w:tcPr>
          <w:p w14:paraId="66FA6AB2">
            <w:pPr>
              <w:pStyle w:val="80"/>
              <w:keepNext w:val="0"/>
              <w:keepLines w:val="0"/>
              <w:widowControl/>
              <w:suppressLineNumbers w:val="0"/>
              <w:spacing w:before="0" w:beforeAutospacing="0" w:after="0" w:afterAutospacing="0"/>
              <w:ind w:left="0" w:right="0"/>
              <w:rPr>
                <w:rFonts w:hint="default"/>
                <w:color w:val="auto"/>
                <w:spacing w:val="-1"/>
                <w:kern w:val="2"/>
                <w:szCs w:val="20"/>
                <w:highlight w:val="none"/>
              </w:rPr>
            </w:pPr>
            <w:r>
              <w:rPr>
                <w:rFonts w:hint="eastAsia"/>
                <w:color w:val="auto"/>
                <w:spacing w:val="-1"/>
                <w:kern w:val="2"/>
                <w:szCs w:val="20"/>
                <w:highlight w:val="none"/>
              </w:rPr>
              <w:t>/</w:t>
            </w:r>
          </w:p>
        </w:tc>
        <w:tc>
          <w:tcPr>
            <w:tcW w:w="1560" w:type="dxa"/>
            <w:tcBorders>
              <w:tl2br w:val="nil"/>
              <w:tr2bl w:val="nil"/>
            </w:tcBorders>
            <w:vAlign w:val="center"/>
          </w:tcPr>
          <w:p w14:paraId="0109495D">
            <w:pPr>
              <w:pStyle w:val="80"/>
              <w:keepNext w:val="0"/>
              <w:keepLines w:val="0"/>
              <w:widowControl/>
              <w:suppressLineNumbers w:val="0"/>
              <w:spacing w:before="0" w:beforeAutospacing="0" w:after="0" w:afterAutospacing="0"/>
              <w:ind w:left="0" w:right="0"/>
              <w:rPr>
                <w:rFonts w:hint="default"/>
                <w:bCs/>
                <w:color w:val="auto"/>
                <w:szCs w:val="20"/>
                <w:highlight w:val="none"/>
              </w:rPr>
            </w:pPr>
            <w:r>
              <w:rPr>
                <w:rFonts w:hint="eastAsia"/>
                <w:bCs/>
                <w:color w:val="auto"/>
                <w:szCs w:val="20"/>
                <w:highlight w:val="none"/>
                <w:lang w:val="en-US" w:eastAsia="zh-CN"/>
              </w:rPr>
              <w:t>1.6</w:t>
            </w:r>
            <w:r>
              <w:rPr>
                <w:rFonts w:hint="default"/>
                <w:color w:val="auto"/>
                <w:spacing w:val="-1"/>
                <w:szCs w:val="20"/>
                <w:highlight w:val="none"/>
              </w:rPr>
              <w:t>t/a</w:t>
            </w:r>
          </w:p>
        </w:tc>
        <w:tc>
          <w:tcPr>
            <w:tcW w:w="1762" w:type="dxa"/>
            <w:tcBorders>
              <w:tl2br w:val="nil"/>
              <w:tr2bl w:val="nil"/>
            </w:tcBorders>
            <w:vAlign w:val="center"/>
          </w:tcPr>
          <w:p w14:paraId="59065713">
            <w:pPr>
              <w:pStyle w:val="80"/>
              <w:keepNext w:val="0"/>
              <w:keepLines w:val="0"/>
              <w:widowControl/>
              <w:suppressLineNumbers w:val="0"/>
              <w:spacing w:before="0" w:beforeAutospacing="0" w:after="0" w:afterAutospacing="0"/>
              <w:ind w:left="0" w:right="0"/>
              <w:rPr>
                <w:rFonts w:hint="default"/>
                <w:color w:val="auto"/>
                <w:spacing w:val="-1"/>
                <w:szCs w:val="20"/>
                <w:highlight w:val="none"/>
              </w:rPr>
            </w:pPr>
            <w:r>
              <w:rPr>
                <w:rFonts w:hint="eastAsia"/>
                <w:snapToGrid w:val="0"/>
                <w:color w:val="auto"/>
                <w:szCs w:val="20"/>
                <w:highlight w:val="none"/>
              </w:rPr>
              <w:t>/</w:t>
            </w:r>
          </w:p>
        </w:tc>
        <w:tc>
          <w:tcPr>
            <w:tcW w:w="1641" w:type="dxa"/>
            <w:tcBorders>
              <w:tl2br w:val="nil"/>
              <w:tr2bl w:val="nil"/>
            </w:tcBorders>
            <w:vAlign w:val="center"/>
          </w:tcPr>
          <w:p w14:paraId="4E3FB110">
            <w:pPr>
              <w:pStyle w:val="80"/>
              <w:keepNext w:val="0"/>
              <w:keepLines w:val="0"/>
              <w:widowControl/>
              <w:suppressLineNumbers w:val="0"/>
              <w:spacing w:before="0" w:beforeAutospacing="0" w:after="0" w:afterAutospacing="0"/>
              <w:ind w:left="0" w:leftChars="0" w:right="0" w:rightChars="0"/>
              <w:rPr>
                <w:rFonts w:hint="default"/>
                <w:bCs/>
                <w:color w:val="auto"/>
                <w:szCs w:val="20"/>
                <w:highlight w:val="none"/>
              </w:rPr>
            </w:pPr>
            <w:r>
              <w:rPr>
                <w:rFonts w:hint="eastAsia"/>
                <w:bCs/>
                <w:color w:val="auto"/>
                <w:szCs w:val="20"/>
                <w:highlight w:val="none"/>
                <w:lang w:val="en-US" w:eastAsia="zh-CN"/>
              </w:rPr>
              <w:t>1.6</w:t>
            </w:r>
            <w:r>
              <w:rPr>
                <w:rFonts w:hint="default"/>
                <w:color w:val="auto"/>
                <w:spacing w:val="-1"/>
                <w:szCs w:val="20"/>
                <w:highlight w:val="none"/>
              </w:rPr>
              <w:t>t/a</w:t>
            </w:r>
          </w:p>
        </w:tc>
        <w:tc>
          <w:tcPr>
            <w:tcW w:w="1388" w:type="dxa"/>
            <w:tcBorders>
              <w:tl2br w:val="nil"/>
              <w:tr2bl w:val="nil"/>
            </w:tcBorders>
            <w:vAlign w:val="center"/>
          </w:tcPr>
          <w:p w14:paraId="3E97FDDF">
            <w:pPr>
              <w:pStyle w:val="80"/>
              <w:keepNext w:val="0"/>
              <w:keepLines w:val="0"/>
              <w:widowControl/>
              <w:suppressLineNumbers w:val="0"/>
              <w:spacing w:before="0" w:beforeAutospacing="0" w:after="0" w:afterAutospacing="0"/>
              <w:ind w:left="0" w:right="0"/>
              <w:rPr>
                <w:rFonts w:hint="default"/>
                <w:bCs/>
                <w:color w:val="auto"/>
                <w:szCs w:val="20"/>
                <w:highlight w:val="none"/>
              </w:rPr>
            </w:pPr>
            <w:r>
              <w:rPr>
                <w:rFonts w:hint="eastAsia"/>
                <w:snapToGrid w:val="0"/>
                <w:color w:val="auto"/>
                <w:szCs w:val="20"/>
                <w:highlight w:val="none"/>
              </w:rPr>
              <w:t>/</w:t>
            </w:r>
          </w:p>
        </w:tc>
      </w:tr>
      <w:tr w14:paraId="736F33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8" w:type="dxa"/>
            <w:vMerge w:val="continue"/>
            <w:tcBorders>
              <w:tl2br w:val="nil"/>
              <w:tr2bl w:val="nil"/>
            </w:tcBorders>
            <w:vAlign w:val="center"/>
          </w:tcPr>
          <w:p w14:paraId="5B65F70A">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p>
        </w:tc>
        <w:tc>
          <w:tcPr>
            <w:tcW w:w="1688" w:type="dxa"/>
            <w:tcBorders>
              <w:tl2br w:val="nil"/>
              <w:tr2bl w:val="nil"/>
            </w:tcBorders>
            <w:vAlign w:val="center"/>
          </w:tcPr>
          <w:p w14:paraId="79C13FDC">
            <w:pPr>
              <w:pStyle w:val="80"/>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pacing w:val="-1"/>
                <w:sz w:val="21"/>
                <w:szCs w:val="21"/>
                <w:highlight w:val="none"/>
                <w:lang w:val="en-US" w:eastAsia="zh-CN"/>
              </w:rPr>
            </w:pPr>
            <w:r>
              <w:rPr>
                <w:rFonts w:hint="default" w:ascii="Times New Roman" w:hAnsi="Times New Roman" w:eastAsia="宋体" w:cs="Times New Roman"/>
                <w:color w:val="auto"/>
                <w:spacing w:val="-1"/>
                <w:sz w:val="21"/>
                <w:szCs w:val="21"/>
                <w:highlight w:val="none"/>
                <w:lang w:val="en-US" w:eastAsia="zh-CN"/>
              </w:rPr>
              <w:t>废树脂</w:t>
            </w:r>
          </w:p>
        </w:tc>
        <w:tc>
          <w:tcPr>
            <w:tcW w:w="1702" w:type="dxa"/>
            <w:tcBorders>
              <w:tl2br w:val="nil"/>
              <w:tr2bl w:val="nil"/>
            </w:tcBorders>
            <w:vAlign w:val="center"/>
          </w:tcPr>
          <w:p w14:paraId="07611864">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w:t>
            </w:r>
          </w:p>
        </w:tc>
        <w:tc>
          <w:tcPr>
            <w:tcW w:w="1276" w:type="dxa"/>
            <w:tcBorders>
              <w:tl2br w:val="nil"/>
              <w:tr2bl w:val="nil"/>
            </w:tcBorders>
            <w:vAlign w:val="center"/>
          </w:tcPr>
          <w:p w14:paraId="578D1278">
            <w:pPr>
              <w:pStyle w:val="80"/>
              <w:keepNext w:val="0"/>
              <w:keepLines w:val="0"/>
              <w:widowControl/>
              <w:suppressLineNumbers w:val="0"/>
              <w:spacing w:before="0" w:beforeAutospacing="0" w:after="0" w:afterAutospacing="0"/>
              <w:ind w:left="0" w:right="0"/>
              <w:rPr>
                <w:rFonts w:hint="default"/>
                <w:snapToGrid w:val="0"/>
                <w:color w:val="auto"/>
                <w:szCs w:val="20"/>
                <w:highlight w:val="none"/>
              </w:rPr>
            </w:pPr>
            <w:r>
              <w:rPr>
                <w:rFonts w:hint="default"/>
                <w:snapToGrid w:val="0"/>
                <w:color w:val="auto"/>
                <w:szCs w:val="20"/>
                <w:highlight w:val="none"/>
              </w:rPr>
              <w:t>/</w:t>
            </w:r>
          </w:p>
        </w:tc>
        <w:tc>
          <w:tcPr>
            <w:tcW w:w="1702" w:type="dxa"/>
            <w:tcBorders>
              <w:tl2br w:val="nil"/>
              <w:tr2bl w:val="nil"/>
            </w:tcBorders>
            <w:vAlign w:val="center"/>
          </w:tcPr>
          <w:p w14:paraId="655A4BA6">
            <w:pPr>
              <w:pStyle w:val="80"/>
              <w:keepNext w:val="0"/>
              <w:keepLines w:val="0"/>
              <w:widowControl/>
              <w:suppressLineNumbers w:val="0"/>
              <w:spacing w:before="0" w:beforeAutospacing="0" w:after="0" w:afterAutospacing="0"/>
              <w:ind w:left="0" w:right="0"/>
              <w:rPr>
                <w:rFonts w:hint="default"/>
                <w:color w:val="auto"/>
                <w:spacing w:val="-1"/>
                <w:kern w:val="2"/>
                <w:szCs w:val="20"/>
                <w:highlight w:val="none"/>
              </w:rPr>
            </w:pPr>
            <w:r>
              <w:rPr>
                <w:rFonts w:hint="eastAsia"/>
                <w:color w:val="auto"/>
                <w:spacing w:val="-1"/>
                <w:kern w:val="2"/>
                <w:szCs w:val="20"/>
                <w:highlight w:val="none"/>
              </w:rPr>
              <w:t>/</w:t>
            </w:r>
          </w:p>
        </w:tc>
        <w:tc>
          <w:tcPr>
            <w:tcW w:w="1560" w:type="dxa"/>
            <w:tcBorders>
              <w:tl2br w:val="nil"/>
              <w:tr2bl w:val="nil"/>
            </w:tcBorders>
            <w:vAlign w:val="center"/>
          </w:tcPr>
          <w:p w14:paraId="49962B11">
            <w:pPr>
              <w:pStyle w:val="80"/>
              <w:keepNext w:val="0"/>
              <w:keepLines w:val="0"/>
              <w:widowControl/>
              <w:suppressLineNumbers w:val="0"/>
              <w:spacing w:before="0" w:beforeAutospacing="0" w:after="0" w:afterAutospacing="0"/>
              <w:ind w:left="0" w:right="0"/>
              <w:rPr>
                <w:rFonts w:hint="default"/>
                <w:bCs/>
                <w:color w:val="auto"/>
                <w:szCs w:val="20"/>
                <w:highlight w:val="none"/>
              </w:rPr>
            </w:pPr>
            <w:r>
              <w:rPr>
                <w:rFonts w:hint="eastAsia"/>
                <w:color w:val="auto"/>
                <w:szCs w:val="20"/>
                <w:highlight w:val="none"/>
                <w:lang w:val="en-US" w:eastAsia="zh-CN"/>
              </w:rPr>
              <w:t>0.2t/a</w:t>
            </w:r>
          </w:p>
        </w:tc>
        <w:tc>
          <w:tcPr>
            <w:tcW w:w="1762" w:type="dxa"/>
            <w:tcBorders>
              <w:tl2br w:val="nil"/>
              <w:tr2bl w:val="nil"/>
            </w:tcBorders>
            <w:vAlign w:val="center"/>
          </w:tcPr>
          <w:p w14:paraId="3EAD90C0">
            <w:pPr>
              <w:pStyle w:val="80"/>
              <w:keepNext w:val="0"/>
              <w:keepLines w:val="0"/>
              <w:widowControl/>
              <w:suppressLineNumbers w:val="0"/>
              <w:spacing w:before="0" w:beforeAutospacing="0" w:after="0" w:afterAutospacing="0"/>
              <w:ind w:left="0" w:right="0"/>
              <w:rPr>
                <w:rFonts w:hint="default"/>
                <w:bCs/>
                <w:color w:val="auto"/>
                <w:szCs w:val="20"/>
                <w:highlight w:val="none"/>
              </w:rPr>
            </w:pPr>
            <w:r>
              <w:rPr>
                <w:rFonts w:hint="eastAsia"/>
                <w:bCs/>
                <w:color w:val="auto"/>
                <w:szCs w:val="20"/>
                <w:highlight w:val="none"/>
              </w:rPr>
              <w:t>/</w:t>
            </w:r>
          </w:p>
        </w:tc>
        <w:tc>
          <w:tcPr>
            <w:tcW w:w="1641" w:type="dxa"/>
            <w:tcBorders>
              <w:tl2br w:val="nil"/>
              <w:tr2bl w:val="nil"/>
            </w:tcBorders>
            <w:vAlign w:val="center"/>
          </w:tcPr>
          <w:p w14:paraId="6CCBA76D">
            <w:pPr>
              <w:pStyle w:val="80"/>
              <w:keepNext w:val="0"/>
              <w:keepLines w:val="0"/>
              <w:widowControl/>
              <w:suppressLineNumbers w:val="0"/>
              <w:spacing w:before="0" w:beforeAutospacing="0" w:after="0" w:afterAutospacing="0"/>
              <w:ind w:left="0" w:leftChars="0" w:right="0" w:rightChars="0"/>
              <w:rPr>
                <w:rFonts w:hint="default"/>
                <w:bCs/>
                <w:color w:val="auto"/>
                <w:szCs w:val="20"/>
                <w:highlight w:val="none"/>
              </w:rPr>
            </w:pPr>
            <w:r>
              <w:rPr>
                <w:rFonts w:hint="eastAsia"/>
                <w:color w:val="auto"/>
                <w:szCs w:val="20"/>
                <w:highlight w:val="none"/>
                <w:lang w:val="en-US" w:eastAsia="zh-CN"/>
              </w:rPr>
              <w:t>0.2t/a</w:t>
            </w:r>
          </w:p>
        </w:tc>
        <w:tc>
          <w:tcPr>
            <w:tcW w:w="1388" w:type="dxa"/>
            <w:tcBorders>
              <w:tl2br w:val="nil"/>
              <w:tr2bl w:val="nil"/>
            </w:tcBorders>
            <w:vAlign w:val="center"/>
          </w:tcPr>
          <w:p w14:paraId="1DD432DC">
            <w:pPr>
              <w:pStyle w:val="80"/>
              <w:keepNext w:val="0"/>
              <w:keepLines w:val="0"/>
              <w:widowControl/>
              <w:suppressLineNumbers w:val="0"/>
              <w:spacing w:before="0" w:beforeAutospacing="0" w:after="0" w:afterAutospacing="0"/>
              <w:ind w:left="0" w:right="0"/>
              <w:rPr>
                <w:rFonts w:hint="default"/>
                <w:bCs/>
                <w:color w:val="auto"/>
                <w:szCs w:val="20"/>
                <w:highlight w:val="none"/>
              </w:rPr>
            </w:pPr>
            <w:r>
              <w:rPr>
                <w:rFonts w:hint="eastAsia"/>
                <w:bCs/>
                <w:color w:val="auto"/>
                <w:szCs w:val="20"/>
                <w:highlight w:val="none"/>
              </w:rPr>
              <w:t>/</w:t>
            </w:r>
          </w:p>
        </w:tc>
      </w:tr>
    </w:tbl>
    <w:p w14:paraId="2CED5430">
      <w:pPr>
        <w:pStyle w:val="51"/>
        <w:spacing w:before="192" w:beforeLines="80" w:after="24"/>
        <w:ind w:firstLine="480"/>
        <w:jc w:val="left"/>
        <w:rPr>
          <w:rFonts w:ascii="Times New Roman"/>
          <w:snapToGrid w:val="0"/>
          <w:color w:val="auto"/>
          <w:spacing w:val="-6"/>
          <w:kern w:val="21"/>
          <w:szCs w:val="21"/>
          <w:highlight w:val="none"/>
        </w:rPr>
      </w:pPr>
      <w:r>
        <w:rPr>
          <w:rFonts w:ascii="Times New Roman"/>
          <w:snapToGrid w:val="0"/>
          <w:color w:val="auto"/>
          <w:kern w:val="21"/>
          <w:szCs w:val="21"/>
          <w:highlight w:val="none"/>
        </w:rPr>
        <w:t>注：</w:t>
      </w:r>
      <w:r>
        <w:rPr>
          <w:rFonts w:ascii="Times New Roman"/>
          <w:snapToGrid w:val="0"/>
          <w:color w:val="auto"/>
          <w:spacing w:val="-16"/>
          <w:kern w:val="21"/>
          <w:szCs w:val="21"/>
          <w:highlight w:val="none"/>
        </w:rPr>
        <w:fldChar w:fldCharType="begin"/>
      </w:r>
      <w:r>
        <w:rPr>
          <w:rFonts w:ascii="Times New Roman"/>
          <w:snapToGrid w:val="0"/>
          <w:color w:val="auto"/>
          <w:spacing w:val="-16"/>
          <w:kern w:val="21"/>
          <w:szCs w:val="21"/>
          <w:highlight w:val="none"/>
        </w:rPr>
        <w:instrText xml:space="preserve"> = 6 \* GB3 \* MERGEFORMAT </w:instrText>
      </w:r>
      <w:r>
        <w:rPr>
          <w:rFonts w:ascii="Times New Roman"/>
          <w:snapToGrid w:val="0"/>
          <w:color w:val="auto"/>
          <w:spacing w:val="-16"/>
          <w:kern w:val="21"/>
          <w:szCs w:val="21"/>
          <w:highlight w:val="none"/>
        </w:rPr>
        <w:fldChar w:fldCharType="separate"/>
      </w:r>
      <w:r>
        <w:rPr>
          <w:rFonts w:ascii="Times New Roman"/>
          <w:color w:val="auto"/>
          <w:szCs w:val="21"/>
          <w:highlight w:val="none"/>
        </w:rPr>
        <w:t>⑥</w:t>
      </w:r>
      <w:r>
        <w:rPr>
          <w:rFonts w:ascii="Times New Roman"/>
          <w:snapToGrid w:val="0"/>
          <w:color w:val="auto"/>
          <w:spacing w:val="-16"/>
          <w:kern w:val="21"/>
          <w:szCs w:val="21"/>
          <w:highlight w:val="none"/>
        </w:rPr>
        <w:fldChar w:fldCharType="end"/>
      </w:r>
      <w:r>
        <w:rPr>
          <w:rFonts w:ascii="Times New Roman"/>
          <w:snapToGrid w:val="0"/>
          <w:color w:val="auto"/>
          <w:spacing w:val="-16"/>
          <w:kern w:val="21"/>
          <w:szCs w:val="21"/>
          <w:highlight w:val="none"/>
        </w:rPr>
        <w:t>=</w:t>
      </w:r>
      <w:r>
        <w:rPr>
          <w:rFonts w:ascii="Times New Roman"/>
          <w:snapToGrid w:val="0"/>
          <w:color w:val="auto"/>
          <w:spacing w:val="-6"/>
          <w:kern w:val="21"/>
          <w:szCs w:val="21"/>
          <w:highlight w:val="none"/>
        </w:rPr>
        <w:fldChar w:fldCharType="begin"/>
      </w:r>
      <w:r>
        <w:rPr>
          <w:rFonts w:ascii="Times New Roman"/>
          <w:snapToGrid w:val="0"/>
          <w:color w:val="auto"/>
          <w:spacing w:val="-6"/>
          <w:kern w:val="21"/>
          <w:szCs w:val="21"/>
          <w:highlight w:val="none"/>
        </w:rPr>
        <w:instrText xml:space="preserve"> = 1 \* GB3 \* MERGEFORMAT </w:instrText>
      </w:r>
      <w:r>
        <w:rPr>
          <w:rFonts w:ascii="Times New Roman"/>
          <w:snapToGrid w:val="0"/>
          <w:color w:val="auto"/>
          <w:spacing w:val="-6"/>
          <w:kern w:val="21"/>
          <w:szCs w:val="21"/>
          <w:highlight w:val="none"/>
        </w:rPr>
        <w:fldChar w:fldCharType="separate"/>
      </w:r>
      <w:r>
        <w:rPr>
          <w:rFonts w:ascii="Times New Roman"/>
          <w:color w:val="auto"/>
          <w:szCs w:val="21"/>
          <w:highlight w:val="none"/>
        </w:rPr>
        <w:t>①</w:t>
      </w:r>
      <w:r>
        <w:rPr>
          <w:rFonts w:ascii="Times New Roman"/>
          <w:snapToGrid w:val="0"/>
          <w:color w:val="auto"/>
          <w:spacing w:val="-6"/>
          <w:kern w:val="21"/>
          <w:szCs w:val="21"/>
          <w:highlight w:val="none"/>
        </w:rPr>
        <w:fldChar w:fldCharType="end"/>
      </w:r>
      <w:r>
        <w:rPr>
          <w:rFonts w:ascii="Times New Roman"/>
          <w:snapToGrid w:val="0"/>
          <w:color w:val="auto"/>
          <w:spacing w:val="-6"/>
          <w:kern w:val="21"/>
          <w:szCs w:val="21"/>
          <w:highlight w:val="none"/>
        </w:rPr>
        <w:t>+</w:t>
      </w:r>
      <w:r>
        <w:rPr>
          <w:rFonts w:ascii="Times New Roman"/>
          <w:snapToGrid w:val="0"/>
          <w:color w:val="auto"/>
          <w:spacing w:val="-6"/>
          <w:kern w:val="21"/>
          <w:szCs w:val="21"/>
          <w:highlight w:val="none"/>
        </w:rPr>
        <w:fldChar w:fldCharType="begin"/>
      </w:r>
      <w:r>
        <w:rPr>
          <w:rFonts w:ascii="Times New Roman"/>
          <w:snapToGrid w:val="0"/>
          <w:color w:val="auto"/>
          <w:spacing w:val="-6"/>
          <w:kern w:val="21"/>
          <w:szCs w:val="21"/>
          <w:highlight w:val="none"/>
        </w:rPr>
        <w:instrText xml:space="preserve"> = 3 \* GB3 \* MERGEFORMAT </w:instrText>
      </w:r>
      <w:r>
        <w:rPr>
          <w:rFonts w:ascii="Times New Roman"/>
          <w:snapToGrid w:val="0"/>
          <w:color w:val="auto"/>
          <w:spacing w:val="-6"/>
          <w:kern w:val="21"/>
          <w:szCs w:val="21"/>
          <w:highlight w:val="none"/>
        </w:rPr>
        <w:fldChar w:fldCharType="separate"/>
      </w:r>
      <w:r>
        <w:rPr>
          <w:rFonts w:ascii="Times New Roman"/>
          <w:color w:val="auto"/>
          <w:szCs w:val="21"/>
          <w:highlight w:val="none"/>
        </w:rPr>
        <w:t>③</w:t>
      </w:r>
      <w:r>
        <w:rPr>
          <w:rFonts w:ascii="Times New Roman"/>
          <w:snapToGrid w:val="0"/>
          <w:color w:val="auto"/>
          <w:spacing w:val="-6"/>
          <w:kern w:val="21"/>
          <w:szCs w:val="21"/>
          <w:highlight w:val="none"/>
        </w:rPr>
        <w:fldChar w:fldCharType="end"/>
      </w:r>
      <w:r>
        <w:rPr>
          <w:rFonts w:ascii="Times New Roman"/>
          <w:snapToGrid w:val="0"/>
          <w:color w:val="auto"/>
          <w:spacing w:val="-6"/>
          <w:kern w:val="21"/>
          <w:szCs w:val="21"/>
          <w:highlight w:val="none"/>
        </w:rPr>
        <w:t>+</w:t>
      </w:r>
      <w:r>
        <w:rPr>
          <w:rFonts w:ascii="Times New Roman"/>
          <w:snapToGrid w:val="0"/>
          <w:color w:val="auto"/>
          <w:spacing w:val="-6"/>
          <w:kern w:val="21"/>
          <w:szCs w:val="21"/>
          <w:highlight w:val="none"/>
        </w:rPr>
        <w:fldChar w:fldCharType="begin"/>
      </w:r>
      <w:r>
        <w:rPr>
          <w:rFonts w:ascii="Times New Roman"/>
          <w:snapToGrid w:val="0"/>
          <w:color w:val="auto"/>
          <w:spacing w:val="-6"/>
          <w:kern w:val="21"/>
          <w:szCs w:val="21"/>
          <w:highlight w:val="none"/>
        </w:rPr>
        <w:instrText xml:space="preserve"> = 4 \* GB3 \* MERGEFORMAT </w:instrText>
      </w:r>
      <w:r>
        <w:rPr>
          <w:rFonts w:ascii="Times New Roman"/>
          <w:snapToGrid w:val="0"/>
          <w:color w:val="auto"/>
          <w:spacing w:val="-6"/>
          <w:kern w:val="21"/>
          <w:szCs w:val="21"/>
          <w:highlight w:val="none"/>
        </w:rPr>
        <w:fldChar w:fldCharType="separate"/>
      </w:r>
      <w:r>
        <w:rPr>
          <w:rFonts w:ascii="Times New Roman"/>
          <w:color w:val="auto"/>
          <w:szCs w:val="21"/>
          <w:highlight w:val="none"/>
        </w:rPr>
        <w:t>④</w:t>
      </w:r>
      <w:r>
        <w:rPr>
          <w:rFonts w:ascii="Times New Roman"/>
          <w:snapToGrid w:val="0"/>
          <w:color w:val="auto"/>
          <w:spacing w:val="-6"/>
          <w:kern w:val="21"/>
          <w:szCs w:val="21"/>
          <w:highlight w:val="none"/>
        </w:rPr>
        <w:fldChar w:fldCharType="end"/>
      </w:r>
      <w:r>
        <w:rPr>
          <w:rFonts w:ascii="Times New Roman"/>
          <w:snapToGrid w:val="0"/>
          <w:color w:val="auto"/>
          <w:spacing w:val="-6"/>
          <w:kern w:val="21"/>
          <w:szCs w:val="21"/>
          <w:highlight w:val="none"/>
        </w:rPr>
        <w:t>-</w:t>
      </w:r>
      <w:r>
        <w:rPr>
          <w:rFonts w:ascii="Times New Roman"/>
          <w:snapToGrid w:val="0"/>
          <w:color w:val="auto"/>
          <w:spacing w:val="-16"/>
          <w:kern w:val="21"/>
          <w:szCs w:val="21"/>
          <w:highlight w:val="none"/>
        </w:rPr>
        <w:fldChar w:fldCharType="begin"/>
      </w:r>
      <w:r>
        <w:rPr>
          <w:rFonts w:ascii="Times New Roman"/>
          <w:snapToGrid w:val="0"/>
          <w:color w:val="auto"/>
          <w:spacing w:val="-16"/>
          <w:kern w:val="21"/>
          <w:szCs w:val="21"/>
          <w:highlight w:val="none"/>
        </w:rPr>
        <w:instrText xml:space="preserve"> = 5 \* GB3 \* MERGEFORMAT </w:instrText>
      </w:r>
      <w:r>
        <w:rPr>
          <w:rFonts w:ascii="Times New Roman"/>
          <w:snapToGrid w:val="0"/>
          <w:color w:val="auto"/>
          <w:spacing w:val="-16"/>
          <w:kern w:val="21"/>
          <w:szCs w:val="21"/>
          <w:highlight w:val="none"/>
        </w:rPr>
        <w:fldChar w:fldCharType="separate"/>
      </w:r>
      <w:r>
        <w:rPr>
          <w:rFonts w:ascii="Times New Roman"/>
          <w:color w:val="auto"/>
          <w:szCs w:val="21"/>
          <w:highlight w:val="none"/>
        </w:rPr>
        <w:t>⑤</w:t>
      </w:r>
      <w:r>
        <w:rPr>
          <w:rFonts w:ascii="Times New Roman"/>
          <w:snapToGrid w:val="0"/>
          <w:color w:val="auto"/>
          <w:spacing w:val="-16"/>
          <w:kern w:val="21"/>
          <w:szCs w:val="21"/>
          <w:highlight w:val="none"/>
        </w:rPr>
        <w:fldChar w:fldCharType="end"/>
      </w:r>
      <w:r>
        <w:rPr>
          <w:rFonts w:ascii="Times New Roman"/>
          <w:snapToGrid w:val="0"/>
          <w:color w:val="auto"/>
          <w:spacing w:val="-16"/>
          <w:kern w:val="21"/>
          <w:szCs w:val="21"/>
          <w:highlight w:val="none"/>
        </w:rPr>
        <w:t>；</w:t>
      </w:r>
      <w:r>
        <w:rPr>
          <w:rFonts w:ascii="Times New Roman"/>
          <w:snapToGrid w:val="0"/>
          <w:color w:val="auto"/>
          <w:spacing w:val="-6"/>
          <w:kern w:val="21"/>
          <w:szCs w:val="21"/>
          <w:highlight w:val="none"/>
        </w:rPr>
        <w:fldChar w:fldCharType="begin"/>
      </w:r>
      <w:r>
        <w:rPr>
          <w:rFonts w:ascii="Times New Roman"/>
          <w:snapToGrid w:val="0"/>
          <w:color w:val="auto"/>
          <w:spacing w:val="-6"/>
          <w:kern w:val="21"/>
          <w:szCs w:val="21"/>
          <w:highlight w:val="none"/>
        </w:rPr>
        <w:instrText xml:space="preserve"> = 7 \* GB3 \* MERGEFORMAT </w:instrText>
      </w:r>
      <w:r>
        <w:rPr>
          <w:rFonts w:ascii="Times New Roman"/>
          <w:snapToGrid w:val="0"/>
          <w:color w:val="auto"/>
          <w:spacing w:val="-6"/>
          <w:kern w:val="21"/>
          <w:szCs w:val="21"/>
          <w:highlight w:val="none"/>
        </w:rPr>
        <w:fldChar w:fldCharType="separate"/>
      </w:r>
      <w:r>
        <w:rPr>
          <w:rFonts w:ascii="Times New Roman"/>
          <w:color w:val="auto"/>
          <w:szCs w:val="21"/>
          <w:highlight w:val="none"/>
        </w:rPr>
        <w:t>⑦</w:t>
      </w:r>
      <w:r>
        <w:rPr>
          <w:rFonts w:ascii="Times New Roman"/>
          <w:snapToGrid w:val="0"/>
          <w:color w:val="auto"/>
          <w:spacing w:val="-6"/>
          <w:kern w:val="21"/>
          <w:szCs w:val="21"/>
          <w:highlight w:val="none"/>
        </w:rPr>
        <w:fldChar w:fldCharType="end"/>
      </w:r>
      <w:r>
        <w:rPr>
          <w:rFonts w:ascii="Times New Roman"/>
          <w:snapToGrid w:val="0"/>
          <w:color w:val="auto"/>
          <w:spacing w:val="-6"/>
          <w:kern w:val="21"/>
          <w:szCs w:val="21"/>
          <w:highlight w:val="none"/>
        </w:rPr>
        <w:t>=</w:t>
      </w:r>
      <w:r>
        <w:rPr>
          <w:rFonts w:ascii="Times New Roman"/>
          <w:snapToGrid w:val="0"/>
          <w:color w:val="auto"/>
          <w:spacing w:val="-16"/>
          <w:kern w:val="21"/>
          <w:szCs w:val="21"/>
          <w:highlight w:val="none"/>
        </w:rPr>
        <w:fldChar w:fldCharType="begin"/>
      </w:r>
      <w:r>
        <w:rPr>
          <w:rFonts w:ascii="Times New Roman"/>
          <w:snapToGrid w:val="0"/>
          <w:color w:val="auto"/>
          <w:spacing w:val="-16"/>
          <w:kern w:val="21"/>
          <w:szCs w:val="21"/>
          <w:highlight w:val="none"/>
        </w:rPr>
        <w:instrText xml:space="preserve"> = 6 \* GB3 \* MERGEFORMAT </w:instrText>
      </w:r>
      <w:r>
        <w:rPr>
          <w:rFonts w:ascii="Times New Roman"/>
          <w:snapToGrid w:val="0"/>
          <w:color w:val="auto"/>
          <w:spacing w:val="-16"/>
          <w:kern w:val="21"/>
          <w:szCs w:val="21"/>
          <w:highlight w:val="none"/>
        </w:rPr>
        <w:fldChar w:fldCharType="separate"/>
      </w:r>
      <w:r>
        <w:rPr>
          <w:rFonts w:ascii="Times New Roman"/>
          <w:color w:val="auto"/>
          <w:szCs w:val="21"/>
          <w:highlight w:val="none"/>
        </w:rPr>
        <w:t>⑥</w:t>
      </w:r>
      <w:r>
        <w:rPr>
          <w:rFonts w:ascii="Times New Roman"/>
          <w:snapToGrid w:val="0"/>
          <w:color w:val="auto"/>
          <w:spacing w:val="-16"/>
          <w:kern w:val="21"/>
          <w:szCs w:val="21"/>
          <w:highlight w:val="none"/>
        </w:rPr>
        <w:fldChar w:fldCharType="end"/>
      </w:r>
      <w:r>
        <w:rPr>
          <w:rFonts w:ascii="Times New Roman"/>
          <w:snapToGrid w:val="0"/>
          <w:color w:val="auto"/>
          <w:spacing w:val="-16"/>
          <w:kern w:val="21"/>
          <w:szCs w:val="21"/>
          <w:highlight w:val="none"/>
        </w:rPr>
        <w:t>-</w:t>
      </w:r>
      <w:r>
        <w:rPr>
          <w:rFonts w:ascii="Times New Roman"/>
          <w:snapToGrid w:val="0"/>
          <w:color w:val="auto"/>
          <w:spacing w:val="-6"/>
          <w:kern w:val="21"/>
          <w:szCs w:val="21"/>
          <w:highlight w:val="none"/>
        </w:rPr>
        <w:fldChar w:fldCharType="begin"/>
      </w:r>
      <w:r>
        <w:rPr>
          <w:rFonts w:ascii="Times New Roman"/>
          <w:snapToGrid w:val="0"/>
          <w:color w:val="auto"/>
          <w:spacing w:val="-6"/>
          <w:kern w:val="21"/>
          <w:szCs w:val="21"/>
          <w:highlight w:val="none"/>
        </w:rPr>
        <w:instrText xml:space="preserve"> = 1 \* GB3 \* MERGEFORMAT </w:instrText>
      </w:r>
      <w:r>
        <w:rPr>
          <w:rFonts w:ascii="Times New Roman"/>
          <w:snapToGrid w:val="0"/>
          <w:color w:val="auto"/>
          <w:spacing w:val="-6"/>
          <w:kern w:val="21"/>
          <w:szCs w:val="21"/>
          <w:highlight w:val="none"/>
        </w:rPr>
        <w:fldChar w:fldCharType="separate"/>
      </w:r>
      <w:r>
        <w:rPr>
          <w:rFonts w:ascii="Times New Roman"/>
          <w:color w:val="auto"/>
          <w:szCs w:val="21"/>
          <w:highlight w:val="none"/>
        </w:rPr>
        <w:t>①</w:t>
      </w:r>
      <w:r>
        <w:rPr>
          <w:rFonts w:ascii="Times New Roman"/>
          <w:snapToGrid w:val="0"/>
          <w:color w:val="auto"/>
          <w:spacing w:val="-6"/>
          <w:kern w:val="21"/>
          <w:szCs w:val="21"/>
          <w:highlight w:val="none"/>
        </w:rPr>
        <w:fldChar w:fldCharType="end"/>
      </w:r>
      <w:r>
        <w:rPr>
          <w:rFonts w:hint="eastAsia" w:ascii="Times New Roman"/>
          <w:snapToGrid w:val="0"/>
          <w:color w:val="auto"/>
          <w:spacing w:val="-6"/>
          <w:kern w:val="21"/>
          <w:szCs w:val="21"/>
          <w:highlight w:val="none"/>
        </w:rPr>
        <w:t xml:space="preserve">  单位：</w:t>
      </w:r>
      <w:r>
        <w:rPr>
          <w:rFonts w:ascii="Times New Roman"/>
          <w:color w:val="auto"/>
          <w:spacing w:val="-1"/>
          <w:kern w:val="2"/>
          <w:szCs w:val="21"/>
          <w:highlight w:val="none"/>
        </w:rPr>
        <w:t>t/a</w:t>
      </w:r>
    </w:p>
    <w:sectPr>
      <w:headerReference r:id="rId12" w:type="default"/>
      <w:footerReference r:id="rId13" w:type="default"/>
      <w:pgSz w:w="16838" w:h="11906" w:orient="landscape"/>
      <w:pgMar w:top="850" w:right="1701" w:bottom="992" w:left="1701" w:header="680" w:footer="680" w:gutter="0"/>
      <w:pgBorders>
        <w:top w:val="none" w:sz="0" w:space="0"/>
        <w:left w:val="none" w:sz="0" w:space="0"/>
        <w:bottom w:val="none" w:sz="0" w:space="0"/>
        <w:right w:val="none" w:sz="0" w:space="0"/>
      </w:pgBorders>
      <w:pgNumType w:fmt="numberInDash"/>
      <w:cols w:space="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TimesNewRoman">
    <w:altName w:val="MS Gothic"/>
    <w:panose1 w:val="00000000000000000000"/>
    <w:charset w:val="80"/>
    <w:family w:val="auto"/>
    <w:pitch w:val="default"/>
    <w:sig w:usb0="00000000" w:usb1="00000000" w:usb2="00000010" w:usb3="00000000" w:csb0="0002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auto"/>
    <w:pitch w:val="default"/>
    <w:sig w:usb0="E00006FF" w:usb1="420024FF" w:usb2="02000000" w:usb3="00000000" w:csb0="2000019F" w:csb1="00000000"/>
  </w:font>
  <w:font w:name="华文宋体">
    <w:panose1 w:val="02010600040101010101"/>
    <w:charset w:val="86"/>
    <w:family w:val="auto"/>
    <w:pitch w:val="default"/>
    <w:sig w:usb0="00000287" w:usb1="080F0000" w:usb2="00000000" w:usb3="00000000" w:csb0="0004009F" w:csb1="DFD70000"/>
  </w:font>
  <w:font w:name="”“Times New Roman”“">
    <w:altName w:val="宋体"/>
    <w:panose1 w:val="00000000000000000000"/>
    <w:charset w:val="86"/>
    <w:family w:val="roma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340210">
    <w:pPr>
      <w:pStyle w:val="24"/>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1E13CD">
    <w:pPr>
      <w:pStyle w:val="24"/>
      <w:framePr w:wrap="around" w:vAnchor="text" w:hAnchor="margin" w:xAlign="center" w:y="1"/>
      <w:ind w:firstLine="360"/>
      <w:rPr>
        <w:rStyle w:val="42"/>
      </w:rPr>
    </w:pPr>
    <w:r>
      <w:fldChar w:fldCharType="begin"/>
    </w:r>
    <w:r>
      <w:rPr>
        <w:rStyle w:val="42"/>
      </w:rPr>
      <w:instrText xml:space="preserve">PAGE  </w:instrText>
    </w:r>
    <w:r>
      <w:fldChar w:fldCharType="end"/>
    </w:r>
  </w:p>
  <w:p w14:paraId="08EB2FE5">
    <w:pPr>
      <w:pStyle w:val="2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CB71CD">
    <w:pPr>
      <w:pStyle w:val="2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D39EBD">
    <w:pPr>
      <w:pStyle w:val="24"/>
      <w:ind w:right="360" w:firstLine="360"/>
      <w:jc w:val="cente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CC66ED">
                          <w:pPr>
                            <w:pStyle w:val="24"/>
                            <w:ind w:firstLine="360"/>
                          </w:pPr>
                          <w:r>
                            <w:fldChar w:fldCharType="begin"/>
                          </w:r>
                          <w:r>
                            <w:instrText xml:space="preserve"> PAGE  \* MERGEFORMAT </w:instrText>
                          </w:r>
                          <w:r>
                            <w:fldChar w:fldCharType="separate"/>
                          </w:r>
                          <w:r>
                            <w:t>- 23 -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1CC66ED">
                    <w:pPr>
                      <w:pStyle w:val="24"/>
                      <w:ind w:firstLine="360"/>
                    </w:pPr>
                    <w:r>
                      <w:fldChar w:fldCharType="begin"/>
                    </w:r>
                    <w:r>
                      <w:instrText xml:space="preserve"> PAGE  \* MERGEFORMAT </w:instrText>
                    </w:r>
                    <w:r>
                      <w:fldChar w:fldCharType="separate"/>
                    </w:r>
                    <w:r>
                      <w:t>- 23 -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E437D">
    <w:pPr>
      <w:pStyle w:val="24"/>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3CB1B1">
                          <w:pPr>
                            <w:pStyle w:val="24"/>
                            <w:ind w:firstLine="360"/>
                          </w:pPr>
                          <w:r>
                            <w:fldChar w:fldCharType="begin"/>
                          </w:r>
                          <w:r>
                            <w:instrText xml:space="preserve"> PAGE  \* MERGEFORMAT </w:instrText>
                          </w:r>
                          <w:r>
                            <w:fldChar w:fldCharType="separate"/>
                          </w:r>
                          <w:r>
                            <w:t>- 57 -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14:paraId="633CB1B1">
                    <w:pPr>
                      <w:pStyle w:val="24"/>
                      <w:ind w:firstLine="360"/>
                    </w:pPr>
                    <w:r>
                      <w:fldChar w:fldCharType="begin"/>
                    </w:r>
                    <w:r>
                      <w:instrText xml:space="preserve"> PAGE  \* MERGEFORMAT </w:instrText>
                    </w:r>
                    <w:r>
                      <w:fldChar w:fldCharType="separate"/>
                    </w:r>
                    <w:r>
                      <w:t>- 57 -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81F468">
    <w:pPr>
      <w:pStyle w:val="1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0307E">
    <w:pPr>
      <w:pStyle w:val="1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ED1793">
    <w:pPr>
      <w:pStyle w:val="13"/>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7C5DE">
    <w:pPr>
      <w:pStyle w:val="13"/>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FB855F"/>
    <w:multiLevelType w:val="singleLevel"/>
    <w:tmpl w:val="B9FB855F"/>
    <w:lvl w:ilvl="0" w:tentative="0">
      <w:start w:val="1"/>
      <w:numFmt w:val="bullet"/>
      <w:pStyle w:val="19"/>
      <w:lvlText w:val=""/>
      <w:lvlJc w:val="left"/>
      <w:pPr>
        <w:tabs>
          <w:tab w:val="left" w:pos="2040"/>
        </w:tabs>
        <w:ind w:left="2040" w:hanging="360"/>
      </w:pPr>
      <w:rPr>
        <w:rFonts w:hint="default" w:ascii="Wingdings" w:hAnsi="Wingdings"/>
      </w:rPr>
    </w:lvl>
  </w:abstractNum>
  <w:abstractNum w:abstractNumId="1">
    <w:nsid w:val="E42463A6"/>
    <w:multiLevelType w:val="singleLevel"/>
    <w:tmpl w:val="E42463A6"/>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mOWNmYWE2NTVjZTNjZTUyNGM4NWFjMzQ5NTgzOGMifQ=="/>
    <w:docVar w:name="KSO_WPS_MARK_KEY" w:val="55983cd7-e81b-43ac-9cb3-836f7f9a6763"/>
  </w:docVars>
  <w:rsids>
    <w:rsidRoot w:val="00172A27"/>
    <w:rsid w:val="000060B3"/>
    <w:rsid w:val="00007A5C"/>
    <w:rsid w:val="000107C6"/>
    <w:rsid w:val="0002561E"/>
    <w:rsid w:val="00031B56"/>
    <w:rsid w:val="00036DAA"/>
    <w:rsid w:val="0003758E"/>
    <w:rsid w:val="0004023C"/>
    <w:rsid w:val="00041967"/>
    <w:rsid w:val="0004364B"/>
    <w:rsid w:val="00044FB8"/>
    <w:rsid w:val="00047B7A"/>
    <w:rsid w:val="00051EDF"/>
    <w:rsid w:val="00052FB9"/>
    <w:rsid w:val="000564B6"/>
    <w:rsid w:val="00061B1F"/>
    <w:rsid w:val="000720BA"/>
    <w:rsid w:val="000733C4"/>
    <w:rsid w:val="00074783"/>
    <w:rsid w:val="00074DB8"/>
    <w:rsid w:val="0007593D"/>
    <w:rsid w:val="00077C28"/>
    <w:rsid w:val="0008070B"/>
    <w:rsid w:val="000810AC"/>
    <w:rsid w:val="00081A02"/>
    <w:rsid w:val="00082231"/>
    <w:rsid w:val="00083E05"/>
    <w:rsid w:val="000904DB"/>
    <w:rsid w:val="00090516"/>
    <w:rsid w:val="000911BB"/>
    <w:rsid w:val="0009229F"/>
    <w:rsid w:val="00092D38"/>
    <w:rsid w:val="0009377B"/>
    <w:rsid w:val="00095D70"/>
    <w:rsid w:val="000A0426"/>
    <w:rsid w:val="000A1A65"/>
    <w:rsid w:val="000A208B"/>
    <w:rsid w:val="000A20C9"/>
    <w:rsid w:val="000A34F2"/>
    <w:rsid w:val="000A4DA5"/>
    <w:rsid w:val="000B058F"/>
    <w:rsid w:val="000B1ACB"/>
    <w:rsid w:val="000B23FE"/>
    <w:rsid w:val="000B3870"/>
    <w:rsid w:val="000B40B2"/>
    <w:rsid w:val="000B4467"/>
    <w:rsid w:val="000B4DB9"/>
    <w:rsid w:val="000B5565"/>
    <w:rsid w:val="000B64F5"/>
    <w:rsid w:val="000B7241"/>
    <w:rsid w:val="000C09AC"/>
    <w:rsid w:val="000C767F"/>
    <w:rsid w:val="000D3B45"/>
    <w:rsid w:val="000D4BD2"/>
    <w:rsid w:val="000D5A44"/>
    <w:rsid w:val="000E3ED2"/>
    <w:rsid w:val="000E3F73"/>
    <w:rsid w:val="000E4837"/>
    <w:rsid w:val="000F5494"/>
    <w:rsid w:val="00100F0D"/>
    <w:rsid w:val="001021EC"/>
    <w:rsid w:val="00103876"/>
    <w:rsid w:val="00103B74"/>
    <w:rsid w:val="00104014"/>
    <w:rsid w:val="001057DB"/>
    <w:rsid w:val="0011099F"/>
    <w:rsid w:val="00113822"/>
    <w:rsid w:val="001141C2"/>
    <w:rsid w:val="00117453"/>
    <w:rsid w:val="00124ABF"/>
    <w:rsid w:val="001267B4"/>
    <w:rsid w:val="00131209"/>
    <w:rsid w:val="00131BEC"/>
    <w:rsid w:val="00131F42"/>
    <w:rsid w:val="001357F1"/>
    <w:rsid w:val="00137716"/>
    <w:rsid w:val="00140FA8"/>
    <w:rsid w:val="00142FEB"/>
    <w:rsid w:val="00143A2D"/>
    <w:rsid w:val="00145A41"/>
    <w:rsid w:val="00150E39"/>
    <w:rsid w:val="00151675"/>
    <w:rsid w:val="0015314B"/>
    <w:rsid w:val="001542EE"/>
    <w:rsid w:val="00157435"/>
    <w:rsid w:val="0016452F"/>
    <w:rsid w:val="00172A27"/>
    <w:rsid w:val="0017504D"/>
    <w:rsid w:val="0017671A"/>
    <w:rsid w:val="00177422"/>
    <w:rsid w:val="001802D7"/>
    <w:rsid w:val="001819B0"/>
    <w:rsid w:val="00184590"/>
    <w:rsid w:val="001863FF"/>
    <w:rsid w:val="001870D1"/>
    <w:rsid w:val="0018781E"/>
    <w:rsid w:val="0019020A"/>
    <w:rsid w:val="00190846"/>
    <w:rsid w:val="00191B0B"/>
    <w:rsid w:val="0019262D"/>
    <w:rsid w:val="001A1577"/>
    <w:rsid w:val="001A1B35"/>
    <w:rsid w:val="001A48A2"/>
    <w:rsid w:val="001A4C7C"/>
    <w:rsid w:val="001A5EE4"/>
    <w:rsid w:val="001A6F61"/>
    <w:rsid w:val="001B3539"/>
    <w:rsid w:val="001B589B"/>
    <w:rsid w:val="001B72B8"/>
    <w:rsid w:val="001B77D6"/>
    <w:rsid w:val="001C5BA5"/>
    <w:rsid w:val="001C69A2"/>
    <w:rsid w:val="001C69B3"/>
    <w:rsid w:val="001D0881"/>
    <w:rsid w:val="001D4297"/>
    <w:rsid w:val="001D4A3B"/>
    <w:rsid w:val="001D5595"/>
    <w:rsid w:val="001D7874"/>
    <w:rsid w:val="001D7DDA"/>
    <w:rsid w:val="001D7F22"/>
    <w:rsid w:val="001E0320"/>
    <w:rsid w:val="001E0837"/>
    <w:rsid w:val="001F0F17"/>
    <w:rsid w:val="001F3347"/>
    <w:rsid w:val="001F69E4"/>
    <w:rsid w:val="00202216"/>
    <w:rsid w:val="00204177"/>
    <w:rsid w:val="0020439F"/>
    <w:rsid w:val="002125B4"/>
    <w:rsid w:val="002151DD"/>
    <w:rsid w:val="002155B8"/>
    <w:rsid w:val="002159B4"/>
    <w:rsid w:val="002172DA"/>
    <w:rsid w:val="002217BD"/>
    <w:rsid w:val="002222BE"/>
    <w:rsid w:val="00223F34"/>
    <w:rsid w:val="00224839"/>
    <w:rsid w:val="002249B2"/>
    <w:rsid w:val="00226574"/>
    <w:rsid w:val="00226ABF"/>
    <w:rsid w:val="002278EC"/>
    <w:rsid w:val="002321A3"/>
    <w:rsid w:val="0023280E"/>
    <w:rsid w:val="002377D1"/>
    <w:rsid w:val="00240063"/>
    <w:rsid w:val="00244917"/>
    <w:rsid w:val="002449F2"/>
    <w:rsid w:val="0024510B"/>
    <w:rsid w:val="00246CD1"/>
    <w:rsid w:val="002506BC"/>
    <w:rsid w:val="00250CD1"/>
    <w:rsid w:val="00254345"/>
    <w:rsid w:val="002602C6"/>
    <w:rsid w:val="0026316B"/>
    <w:rsid w:val="00264557"/>
    <w:rsid w:val="00265915"/>
    <w:rsid w:val="00265998"/>
    <w:rsid w:val="00273253"/>
    <w:rsid w:val="00274B80"/>
    <w:rsid w:val="002805AB"/>
    <w:rsid w:val="002812E3"/>
    <w:rsid w:val="002819F8"/>
    <w:rsid w:val="00284204"/>
    <w:rsid w:val="002845A2"/>
    <w:rsid w:val="002853FB"/>
    <w:rsid w:val="00285B4A"/>
    <w:rsid w:val="00291773"/>
    <w:rsid w:val="00292BAB"/>
    <w:rsid w:val="0029478F"/>
    <w:rsid w:val="002A168C"/>
    <w:rsid w:val="002A2FBF"/>
    <w:rsid w:val="002A3DC7"/>
    <w:rsid w:val="002B0711"/>
    <w:rsid w:val="002B0BDA"/>
    <w:rsid w:val="002B49E2"/>
    <w:rsid w:val="002B7B00"/>
    <w:rsid w:val="002B7C44"/>
    <w:rsid w:val="002C2B17"/>
    <w:rsid w:val="002C2F3E"/>
    <w:rsid w:val="002C303B"/>
    <w:rsid w:val="002C43AC"/>
    <w:rsid w:val="002D231F"/>
    <w:rsid w:val="002D3DD0"/>
    <w:rsid w:val="002E1029"/>
    <w:rsid w:val="002E1F3A"/>
    <w:rsid w:val="002E298A"/>
    <w:rsid w:val="002F1D00"/>
    <w:rsid w:val="002F4E8F"/>
    <w:rsid w:val="00301978"/>
    <w:rsid w:val="0030332C"/>
    <w:rsid w:val="00303BB6"/>
    <w:rsid w:val="003051C2"/>
    <w:rsid w:val="00310572"/>
    <w:rsid w:val="00312296"/>
    <w:rsid w:val="00314F0E"/>
    <w:rsid w:val="00315C74"/>
    <w:rsid w:val="00316350"/>
    <w:rsid w:val="003169FF"/>
    <w:rsid w:val="00316B72"/>
    <w:rsid w:val="00316F5E"/>
    <w:rsid w:val="003205A3"/>
    <w:rsid w:val="00321D8E"/>
    <w:rsid w:val="003233F8"/>
    <w:rsid w:val="00325928"/>
    <w:rsid w:val="00330D0E"/>
    <w:rsid w:val="00332863"/>
    <w:rsid w:val="00333178"/>
    <w:rsid w:val="00333972"/>
    <w:rsid w:val="00334182"/>
    <w:rsid w:val="003357D8"/>
    <w:rsid w:val="0033684D"/>
    <w:rsid w:val="00337B42"/>
    <w:rsid w:val="0034077B"/>
    <w:rsid w:val="00341B42"/>
    <w:rsid w:val="00342061"/>
    <w:rsid w:val="00342064"/>
    <w:rsid w:val="00342F61"/>
    <w:rsid w:val="0034348F"/>
    <w:rsid w:val="00343599"/>
    <w:rsid w:val="0034422C"/>
    <w:rsid w:val="00345477"/>
    <w:rsid w:val="003456E2"/>
    <w:rsid w:val="00345C2B"/>
    <w:rsid w:val="003465B8"/>
    <w:rsid w:val="0035424B"/>
    <w:rsid w:val="00356653"/>
    <w:rsid w:val="0035743F"/>
    <w:rsid w:val="00357BE2"/>
    <w:rsid w:val="0036170C"/>
    <w:rsid w:val="00361B09"/>
    <w:rsid w:val="00364F8D"/>
    <w:rsid w:val="00366E0F"/>
    <w:rsid w:val="00367612"/>
    <w:rsid w:val="0037417A"/>
    <w:rsid w:val="00377A1C"/>
    <w:rsid w:val="00381170"/>
    <w:rsid w:val="00381A72"/>
    <w:rsid w:val="00382991"/>
    <w:rsid w:val="0038331E"/>
    <w:rsid w:val="003839A4"/>
    <w:rsid w:val="00384676"/>
    <w:rsid w:val="00390691"/>
    <w:rsid w:val="00390857"/>
    <w:rsid w:val="00393C13"/>
    <w:rsid w:val="003A25F7"/>
    <w:rsid w:val="003A2CF5"/>
    <w:rsid w:val="003A4BF3"/>
    <w:rsid w:val="003A6049"/>
    <w:rsid w:val="003A7BF4"/>
    <w:rsid w:val="003B420D"/>
    <w:rsid w:val="003B6638"/>
    <w:rsid w:val="003C6C16"/>
    <w:rsid w:val="003C7BE8"/>
    <w:rsid w:val="003D1C78"/>
    <w:rsid w:val="003D794D"/>
    <w:rsid w:val="003E2C44"/>
    <w:rsid w:val="003E3058"/>
    <w:rsid w:val="003E6576"/>
    <w:rsid w:val="003E76A9"/>
    <w:rsid w:val="003F0809"/>
    <w:rsid w:val="003F20B8"/>
    <w:rsid w:val="003F45F3"/>
    <w:rsid w:val="003F6555"/>
    <w:rsid w:val="003F6A8C"/>
    <w:rsid w:val="003F755C"/>
    <w:rsid w:val="00400D2F"/>
    <w:rsid w:val="00402E82"/>
    <w:rsid w:val="00406F01"/>
    <w:rsid w:val="0041184B"/>
    <w:rsid w:val="00411EC0"/>
    <w:rsid w:val="004153E4"/>
    <w:rsid w:val="00415823"/>
    <w:rsid w:val="00415F78"/>
    <w:rsid w:val="00416D50"/>
    <w:rsid w:val="00416FD5"/>
    <w:rsid w:val="00417772"/>
    <w:rsid w:val="00420E6A"/>
    <w:rsid w:val="0042247C"/>
    <w:rsid w:val="00423540"/>
    <w:rsid w:val="00423A3D"/>
    <w:rsid w:val="004253FC"/>
    <w:rsid w:val="00425A9E"/>
    <w:rsid w:val="00426D6B"/>
    <w:rsid w:val="0043095B"/>
    <w:rsid w:val="00431E6B"/>
    <w:rsid w:val="00431E6C"/>
    <w:rsid w:val="00433CE7"/>
    <w:rsid w:val="004360EB"/>
    <w:rsid w:val="00436891"/>
    <w:rsid w:val="00440A49"/>
    <w:rsid w:val="00442829"/>
    <w:rsid w:val="00444653"/>
    <w:rsid w:val="00445857"/>
    <w:rsid w:val="00446436"/>
    <w:rsid w:val="00450D55"/>
    <w:rsid w:val="00452738"/>
    <w:rsid w:val="004543C0"/>
    <w:rsid w:val="00456091"/>
    <w:rsid w:val="0045675F"/>
    <w:rsid w:val="00456D71"/>
    <w:rsid w:val="004619FB"/>
    <w:rsid w:val="004661E7"/>
    <w:rsid w:val="00466321"/>
    <w:rsid w:val="004669BA"/>
    <w:rsid w:val="00472377"/>
    <w:rsid w:val="00475E9F"/>
    <w:rsid w:val="00483950"/>
    <w:rsid w:val="00483D88"/>
    <w:rsid w:val="00483E62"/>
    <w:rsid w:val="00484106"/>
    <w:rsid w:val="0048428E"/>
    <w:rsid w:val="00484B9B"/>
    <w:rsid w:val="004855F6"/>
    <w:rsid w:val="0048661E"/>
    <w:rsid w:val="00487580"/>
    <w:rsid w:val="0049319E"/>
    <w:rsid w:val="00493A63"/>
    <w:rsid w:val="00494670"/>
    <w:rsid w:val="0049507A"/>
    <w:rsid w:val="004A3823"/>
    <w:rsid w:val="004A3EFF"/>
    <w:rsid w:val="004A5B14"/>
    <w:rsid w:val="004B244A"/>
    <w:rsid w:val="004B27DF"/>
    <w:rsid w:val="004B2B21"/>
    <w:rsid w:val="004C0321"/>
    <w:rsid w:val="004C22EF"/>
    <w:rsid w:val="004C49F2"/>
    <w:rsid w:val="004C4E34"/>
    <w:rsid w:val="004C575B"/>
    <w:rsid w:val="004C582E"/>
    <w:rsid w:val="004D307A"/>
    <w:rsid w:val="004D4846"/>
    <w:rsid w:val="004D59D8"/>
    <w:rsid w:val="004D6238"/>
    <w:rsid w:val="004E33B3"/>
    <w:rsid w:val="004E3B3A"/>
    <w:rsid w:val="004E546A"/>
    <w:rsid w:val="004E6946"/>
    <w:rsid w:val="004F1AD8"/>
    <w:rsid w:val="004F2796"/>
    <w:rsid w:val="004F53D5"/>
    <w:rsid w:val="004F59EF"/>
    <w:rsid w:val="004F67B6"/>
    <w:rsid w:val="005039CB"/>
    <w:rsid w:val="0050558F"/>
    <w:rsid w:val="00506286"/>
    <w:rsid w:val="0050732C"/>
    <w:rsid w:val="0050734B"/>
    <w:rsid w:val="00510813"/>
    <w:rsid w:val="00511990"/>
    <w:rsid w:val="00511DE0"/>
    <w:rsid w:val="0051213A"/>
    <w:rsid w:val="00514870"/>
    <w:rsid w:val="00514B9B"/>
    <w:rsid w:val="0051775E"/>
    <w:rsid w:val="00517F02"/>
    <w:rsid w:val="00524303"/>
    <w:rsid w:val="005258A2"/>
    <w:rsid w:val="00527758"/>
    <w:rsid w:val="00527E55"/>
    <w:rsid w:val="005317E5"/>
    <w:rsid w:val="00537C28"/>
    <w:rsid w:val="00537FF6"/>
    <w:rsid w:val="005401AE"/>
    <w:rsid w:val="00542CBE"/>
    <w:rsid w:val="00542E07"/>
    <w:rsid w:val="005437E4"/>
    <w:rsid w:val="00545424"/>
    <w:rsid w:val="00545987"/>
    <w:rsid w:val="00550C05"/>
    <w:rsid w:val="00553864"/>
    <w:rsid w:val="00554A7B"/>
    <w:rsid w:val="0055572C"/>
    <w:rsid w:val="0056106A"/>
    <w:rsid w:val="0056286A"/>
    <w:rsid w:val="005636AF"/>
    <w:rsid w:val="0056513C"/>
    <w:rsid w:val="00565775"/>
    <w:rsid w:val="005720AE"/>
    <w:rsid w:val="00572151"/>
    <w:rsid w:val="00574D7C"/>
    <w:rsid w:val="0058313B"/>
    <w:rsid w:val="0058372E"/>
    <w:rsid w:val="00585A0B"/>
    <w:rsid w:val="005862C7"/>
    <w:rsid w:val="005923ED"/>
    <w:rsid w:val="0059286F"/>
    <w:rsid w:val="00594D77"/>
    <w:rsid w:val="00595282"/>
    <w:rsid w:val="00595DFA"/>
    <w:rsid w:val="005969E4"/>
    <w:rsid w:val="005A06B7"/>
    <w:rsid w:val="005A1759"/>
    <w:rsid w:val="005A1D3B"/>
    <w:rsid w:val="005A2392"/>
    <w:rsid w:val="005A5CE2"/>
    <w:rsid w:val="005A68A7"/>
    <w:rsid w:val="005B05A0"/>
    <w:rsid w:val="005C0CFA"/>
    <w:rsid w:val="005C1BBC"/>
    <w:rsid w:val="005C708D"/>
    <w:rsid w:val="005D36AB"/>
    <w:rsid w:val="005D502C"/>
    <w:rsid w:val="005D777E"/>
    <w:rsid w:val="005D7FAE"/>
    <w:rsid w:val="005E2034"/>
    <w:rsid w:val="005E2D1B"/>
    <w:rsid w:val="005E6F9E"/>
    <w:rsid w:val="005F3BAC"/>
    <w:rsid w:val="005F523F"/>
    <w:rsid w:val="00605755"/>
    <w:rsid w:val="00610B6E"/>
    <w:rsid w:val="00612099"/>
    <w:rsid w:val="006138B8"/>
    <w:rsid w:val="00617CC3"/>
    <w:rsid w:val="00623D14"/>
    <w:rsid w:val="006245F9"/>
    <w:rsid w:val="00627DA0"/>
    <w:rsid w:val="00630AE7"/>
    <w:rsid w:val="00630E46"/>
    <w:rsid w:val="00631C11"/>
    <w:rsid w:val="00631C16"/>
    <w:rsid w:val="00635EED"/>
    <w:rsid w:val="006368BA"/>
    <w:rsid w:val="00636DE0"/>
    <w:rsid w:val="006377A6"/>
    <w:rsid w:val="00637A3D"/>
    <w:rsid w:val="00640AD6"/>
    <w:rsid w:val="006411EF"/>
    <w:rsid w:val="006416FE"/>
    <w:rsid w:val="00642E91"/>
    <w:rsid w:val="00643BE3"/>
    <w:rsid w:val="00653950"/>
    <w:rsid w:val="006579F3"/>
    <w:rsid w:val="006647EB"/>
    <w:rsid w:val="006664B6"/>
    <w:rsid w:val="0066711A"/>
    <w:rsid w:val="0067030C"/>
    <w:rsid w:val="00671084"/>
    <w:rsid w:val="00671CC0"/>
    <w:rsid w:val="00672630"/>
    <w:rsid w:val="00673926"/>
    <w:rsid w:val="006748B8"/>
    <w:rsid w:val="00674B4E"/>
    <w:rsid w:val="00677329"/>
    <w:rsid w:val="006775C3"/>
    <w:rsid w:val="00680DB9"/>
    <w:rsid w:val="00682964"/>
    <w:rsid w:val="00687522"/>
    <w:rsid w:val="0069290A"/>
    <w:rsid w:val="0069351B"/>
    <w:rsid w:val="0069474F"/>
    <w:rsid w:val="0069775A"/>
    <w:rsid w:val="00697813"/>
    <w:rsid w:val="00697A93"/>
    <w:rsid w:val="006A2852"/>
    <w:rsid w:val="006A3EE8"/>
    <w:rsid w:val="006A72BF"/>
    <w:rsid w:val="006B03F2"/>
    <w:rsid w:val="006B204B"/>
    <w:rsid w:val="006B2E17"/>
    <w:rsid w:val="006B37DC"/>
    <w:rsid w:val="006B4F68"/>
    <w:rsid w:val="006B64A3"/>
    <w:rsid w:val="006C0592"/>
    <w:rsid w:val="006C272E"/>
    <w:rsid w:val="006C4008"/>
    <w:rsid w:val="006C4F60"/>
    <w:rsid w:val="006C5479"/>
    <w:rsid w:val="006D13B5"/>
    <w:rsid w:val="006D1697"/>
    <w:rsid w:val="006D401D"/>
    <w:rsid w:val="006D5C4C"/>
    <w:rsid w:val="006D6F3B"/>
    <w:rsid w:val="006D725D"/>
    <w:rsid w:val="006D74DC"/>
    <w:rsid w:val="006E0246"/>
    <w:rsid w:val="006E12FF"/>
    <w:rsid w:val="006E160B"/>
    <w:rsid w:val="006E607E"/>
    <w:rsid w:val="006E6810"/>
    <w:rsid w:val="006E6E31"/>
    <w:rsid w:val="006F3651"/>
    <w:rsid w:val="00702819"/>
    <w:rsid w:val="00702C32"/>
    <w:rsid w:val="00705A0B"/>
    <w:rsid w:val="00706C5D"/>
    <w:rsid w:val="00714055"/>
    <w:rsid w:val="007157C5"/>
    <w:rsid w:val="00723344"/>
    <w:rsid w:val="00730A0C"/>
    <w:rsid w:val="00732922"/>
    <w:rsid w:val="00735CAC"/>
    <w:rsid w:val="007405E4"/>
    <w:rsid w:val="00740C18"/>
    <w:rsid w:val="007504B1"/>
    <w:rsid w:val="0075162E"/>
    <w:rsid w:val="00754034"/>
    <w:rsid w:val="00755478"/>
    <w:rsid w:val="00756556"/>
    <w:rsid w:val="00760309"/>
    <w:rsid w:val="00760E6F"/>
    <w:rsid w:val="007618C4"/>
    <w:rsid w:val="0076626F"/>
    <w:rsid w:val="00767980"/>
    <w:rsid w:val="007708D1"/>
    <w:rsid w:val="00770A8A"/>
    <w:rsid w:val="00770B19"/>
    <w:rsid w:val="00771578"/>
    <w:rsid w:val="0077434A"/>
    <w:rsid w:val="0077463F"/>
    <w:rsid w:val="007836EA"/>
    <w:rsid w:val="00784CDA"/>
    <w:rsid w:val="007906C4"/>
    <w:rsid w:val="007940EA"/>
    <w:rsid w:val="00794D1C"/>
    <w:rsid w:val="007967E8"/>
    <w:rsid w:val="007A0757"/>
    <w:rsid w:val="007A09FE"/>
    <w:rsid w:val="007A2170"/>
    <w:rsid w:val="007A22BF"/>
    <w:rsid w:val="007A3323"/>
    <w:rsid w:val="007A5920"/>
    <w:rsid w:val="007A62AE"/>
    <w:rsid w:val="007A68B6"/>
    <w:rsid w:val="007B3E36"/>
    <w:rsid w:val="007B72B8"/>
    <w:rsid w:val="007B786F"/>
    <w:rsid w:val="007B78AC"/>
    <w:rsid w:val="007B7A58"/>
    <w:rsid w:val="007C21B5"/>
    <w:rsid w:val="007C6A90"/>
    <w:rsid w:val="007D703B"/>
    <w:rsid w:val="007D76BB"/>
    <w:rsid w:val="007E02D3"/>
    <w:rsid w:val="007E4BD2"/>
    <w:rsid w:val="007E7812"/>
    <w:rsid w:val="007F06BE"/>
    <w:rsid w:val="007F0BD8"/>
    <w:rsid w:val="007F25C8"/>
    <w:rsid w:val="007F5120"/>
    <w:rsid w:val="007F5701"/>
    <w:rsid w:val="007F7570"/>
    <w:rsid w:val="00801393"/>
    <w:rsid w:val="00802F88"/>
    <w:rsid w:val="0080364D"/>
    <w:rsid w:val="00804BB2"/>
    <w:rsid w:val="00806337"/>
    <w:rsid w:val="008069CD"/>
    <w:rsid w:val="00807B00"/>
    <w:rsid w:val="0081293E"/>
    <w:rsid w:val="00813E3F"/>
    <w:rsid w:val="00813F0A"/>
    <w:rsid w:val="0081489E"/>
    <w:rsid w:val="00815126"/>
    <w:rsid w:val="00815465"/>
    <w:rsid w:val="00817E9A"/>
    <w:rsid w:val="00820D4A"/>
    <w:rsid w:val="00824A5C"/>
    <w:rsid w:val="00826BC4"/>
    <w:rsid w:val="008306BD"/>
    <w:rsid w:val="00831298"/>
    <w:rsid w:val="00831A80"/>
    <w:rsid w:val="00831E48"/>
    <w:rsid w:val="00831FCF"/>
    <w:rsid w:val="00833743"/>
    <w:rsid w:val="008340A4"/>
    <w:rsid w:val="00836C5C"/>
    <w:rsid w:val="00840C69"/>
    <w:rsid w:val="00841F90"/>
    <w:rsid w:val="00842503"/>
    <w:rsid w:val="00846033"/>
    <w:rsid w:val="00851E46"/>
    <w:rsid w:val="00853678"/>
    <w:rsid w:val="00856D1F"/>
    <w:rsid w:val="00857295"/>
    <w:rsid w:val="0087135F"/>
    <w:rsid w:val="00872D94"/>
    <w:rsid w:val="008743E6"/>
    <w:rsid w:val="008777E1"/>
    <w:rsid w:val="00880364"/>
    <w:rsid w:val="008803CE"/>
    <w:rsid w:val="008817E5"/>
    <w:rsid w:val="0088440C"/>
    <w:rsid w:val="00885D1D"/>
    <w:rsid w:val="00890D97"/>
    <w:rsid w:val="00891592"/>
    <w:rsid w:val="0089180B"/>
    <w:rsid w:val="00891E9E"/>
    <w:rsid w:val="00893B91"/>
    <w:rsid w:val="00893E14"/>
    <w:rsid w:val="00894461"/>
    <w:rsid w:val="00894E20"/>
    <w:rsid w:val="0089679A"/>
    <w:rsid w:val="00897176"/>
    <w:rsid w:val="008A2F68"/>
    <w:rsid w:val="008A3511"/>
    <w:rsid w:val="008A697D"/>
    <w:rsid w:val="008B1FE5"/>
    <w:rsid w:val="008B3247"/>
    <w:rsid w:val="008B4A2C"/>
    <w:rsid w:val="008B4FA6"/>
    <w:rsid w:val="008B5282"/>
    <w:rsid w:val="008B58CB"/>
    <w:rsid w:val="008B73C2"/>
    <w:rsid w:val="008B7C17"/>
    <w:rsid w:val="008C12D5"/>
    <w:rsid w:val="008C2B78"/>
    <w:rsid w:val="008C2D01"/>
    <w:rsid w:val="008C40E6"/>
    <w:rsid w:val="008C5AE3"/>
    <w:rsid w:val="008C5EAE"/>
    <w:rsid w:val="008D0109"/>
    <w:rsid w:val="008D0F7A"/>
    <w:rsid w:val="008D3E42"/>
    <w:rsid w:val="008D68E4"/>
    <w:rsid w:val="008E0506"/>
    <w:rsid w:val="008E0CFF"/>
    <w:rsid w:val="008E4EE9"/>
    <w:rsid w:val="008E5D6B"/>
    <w:rsid w:val="008E76F0"/>
    <w:rsid w:val="008F15FE"/>
    <w:rsid w:val="008F2D29"/>
    <w:rsid w:val="008F5187"/>
    <w:rsid w:val="008F5596"/>
    <w:rsid w:val="008F60D8"/>
    <w:rsid w:val="008F6693"/>
    <w:rsid w:val="008F7050"/>
    <w:rsid w:val="00902727"/>
    <w:rsid w:val="0090312B"/>
    <w:rsid w:val="00903224"/>
    <w:rsid w:val="00904BAA"/>
    <w:rsid w:val="0091015A"/>
    <w:rsid w:val="0091128B"/>
    <w:rsid w:val="00912922"/>
    <w:rsid w:val="00912CFF"/>
    <w:rsid w:val="009130D2"/>
    <w:rsid w:val="00916523"/>
    <w:rsid w:val="0091736D"/>
    <w:rsid w:val="00917923"/>
    <w:rsid w:val="009205FC"/>
    <w:rsid w:val="00921721"/>
    <w:rsid w:val="00921AB3"/>
    <w:rsid w:val="0093037A"/>
    <w:rsid w:val="0094154D"/>
    <w:rsid w:val="00942FEF"/>
    <w:rsid w:val="009510D0"/>
    <w:rsid w:val="0095155F"/>
    <w:rsid w:val="00951764"/>
    <w:rsid w:val="00953FDB"/>
    <w:rsid w:val="00954429"/>
    <w:rsid w:val="00955355"/>
    <w:rsid w:val="0095588A"/>
    <w:rsid w:val="009563CE"/>
    <w:rsid w:val="00961F72"/>
    <w:rsid w:val="009627ED"/>
    <w:rsid w:val="00966610"/>
    <w:rsid w:val="0097307E"/>
    <w:rsid w:val="00973680"/>
    <w:rsid w:val="00975D8C"/>
    <w:rsid w:val="00976328"/>
    <w:rsid w:val="0097680D"/>
    <w:rsid w:val="00976A00"/>
    <w:rsid w:val="00980462"/>
    <w:rsid w:val="00982438"/>
    <w:rsid w:val="0098404C"/>
    <w:rsid w:val="00985283"/>
    <w:rsid w:val="00986CE8"/>
    <w:rsid w:val="00994B9F"/>
    <w:rsid w:val="0099573E"/>
    <w:rsid w:val="00995992"/>
    <w:rsid w:val="00995A9D"/>
    <w:rsid w:val="00995E9E"/>
    <w:rsid w:val="00997325"/>
    <w:rsid w:val="009A03E5"/>
    <w:rsid w:val="009A0F3B"/>
    <w:rsid w:val="009A1BB4"/>
    <w:rsid w:val="009A2628"/>
    <w:rsid w:val="009A3200"/>
    <w:rsid w:val="009A53E5"/>
    <w:rsid w:val="009A6B66"/>
    <w:rsid w:val="009B0897"/>
    <w:rsid w:val="009B2886"/>
    <w:rsid w:val="009B521A"/>
    <w:rsid w:val="009B58AE"/>
    <w:rsid w:val="009B5C43"/>
    <w:rsid w:val="009B711E"/>
    <w:rsid w:val="009B7BD9"/>
    <w:rsid w:val="009C73F8"/>
    <w:rsid w:val="009C7DB8"/>
    <w:rsid w:val="009C7DD5"/>
    <w:rsid w:val="009D2872"/>
    <w:rsid w:val="009D33FF"/>
    <w:rsid w:val="009D4361"/>
    <w:rsid w:val="009D5486"/>
    <w:rsid w:val="009E227D"/>
    <w:rsid w:val="009E5019"/>
    <w:rsid w:val="009E52E8"/>
    <w:rsid w:val="009F5B35"/>
    <w:rsid w:val="009F7197"/>
    <w:rsid w:val="009F7911"/>
    <w:rsid w:val="00A01510"/>
    <w:rsid w:val="00A027DB"/>
    <w:rsid w:val="00A033C8"/>
    <w:rsid w:val="00A04F1B"/>
    <w:rsid w:val="00A0501B"/>
    <w:rsid w:val="00A1162F"/>
    <w:rsid w:val="00A12824"/>
    <w:rsid w:val="00A1325F"/>
    <w:rsid w:val="00A13454"/>
    <w:rsid w:val="00A14947"/>
    <w:rsid w:val="00A15E68"/>
    <w:rsid w:val="00A2683F"/>
    <w:rsid w:val="00A30B97"/>
    <w:rsid w:val="00A32A83"/>
    <w:rsid w:val="00A368DB"/>
    <w:rsid w:val="00A37641"/>
    <w:rsid w:val="00A423AA"/>
    <w:rsid w:val="00A44D3F"/>
    <w:rsid w:val="00A47163"/>
    <w:rsid w:val="00A53EC6"/>
    <w:rsid w:val="00A540E9"/>
    <w:rsid w:val="00A55C0F"/>
    <w:rsid w:val="00A5774F"/>
    <w:rsid w:val="00A7573B"/>
    <w:rsid w:val="00A7719B"/>
    <w:rsid w:val="00A825FF"/>
    <w:rsid w:val="00A82C79"/>
    <w:rsid w:val="00A83380"/>
    <w:rsid w:val="00A846DE"/>
    <w:rsid w:val="00A84E11"/>
    <w:rsid w:val="00A861FA"/>
    <w:rsid w:val="00A8713F"/>
    <w:rsid w:val="00A902D6"/>
    <w:rsid w:val="00A90BA1"/>
    <w:rsid w:val="00A97A97"/>
    <w:rsid w:val="00A97A9A"/>
    <w:rsid w:val="00AA0671"/>
    <w:rsid w:val="00AA2531"/>
    <w:rsid w:val="00AB1E09"/>
    <w:rsid w:val="00AB5330"/>
    <w:rsid w:val="00AB5DE4"/>
    <w:rsid w:val="00AB6BD9"/>
    <w:rsid w:val="00AB6C02"/>
    <w:rsid w:val="00AB7747"/>
    <w:rsid w:val="00AC14CE"/>
    <w:rsid w:val="00AC257A"/>
    <w:rsid w:val="00AC2A56"/>
    <w:rsid w:val="00AC306E"/>
    <w:rsid w:val="00AC5AB5"/>
    <w:rsid w:val="00AC5E07"/>
    <w:rsid w:val="00AD055E"/>
    <w:rsid w:val="00AD1E24"/>
    <w:rsid w:val="00AD39D4"/>
    <w:rsid w:val="00AD47A7"/>
    <w:rsid w:val="00AD4B3E"/>
    <w:rsid w:val="00AE3D8B"/>
    <w:rsid w:val="00AF09D9"/>
    <w:rsid w:val="00AF0CBF"/>
    <w:rsid w:val="00AF13ED"/>
    <w:rsid w:val="00AF17D3"/>
    <w:rsid w:val="00AF257F"/>
    <w:rsid w:val="00AF33CF"/>
    <w:rsid w:val="00AF4D50"/>
    <w:rsid w:val="00AF5D8F"/>
    <w:rsid w:val="00AF6179"/>
    <w:rsid w:val="00B02D77"/>
    <w:rsid w:val="00B03250"/>
    <w:rsid w:val="00B0512B"/>
    <w:rsid w:val="00B07439"/>
    <w:rsid w:val="00B1295A"/>
    <w:rsid w:val="00B13C4E"/>
    <w:rsid w:val="00B20847"/>
    <w:rsid w:val="00B20A45"/>
    <w:rsid w:val="00B20CE1"/>
    <w:rsid w:val="00B2156A"/>
    <w:rsid w:val="00B219D5"/>
    <w:rsid w:val="00B21A46"/>
    <w:rsid w:val="00B22C5C"/>
    <w:rsid w:val="00B24F30"/>
    <w:rsid w:val="00B31ABF"/>
    <w:rsid w:val="00B33540"/>
    <w:rsid w:val="00B33BE3"/>
    <w:rsid w:val="00B33C66"/>
    <w:rsid w:val="00B37C8B"/>
    <w:rsid w:val="00B414C1"/>
    <w:rsid w:val="00B41761"/>
    <w:rsid w:val="00B424EB"/>
    <w:rsid w:val="00B53B5D"/>
    <w:rsid w:val="00B5509B"/>
    <w:rsid w:val="00B56ED6"/>
    <w:rsid w:val="00B6055E"/>
    <w:rsid w:val="00B6317D"/>
    <w:rsid w:val="00B70110"/>
    <w:rsid w:val="00B71A83"/>
    <w:rsid w:val="00B734A6"/>
    <w:rsid w:val="00B75167"/>
    <w:rsid w:val="00B7723F"/>
    <w:rsid w:val="00B80534"/>
    <w:rsid w:val="00B81261"/>
    <w:rsid w:val="00B830DF"/>
    <w:rsid w:val="00B8433C"/>
    <w:rsid w:val="00B870B9"/>
    <w:rsid w:val="00B87491"/>
    <w:rsid w:val="00B904BC"/>
    <w:rsid w:val="00B927AF"/>
    <w:rsid w:val="00B96671"/>
    <w:rsid w:val="00B96F0C"/>
    <w:rsid w:val="00BA14BA"/>
    <w:rsid w:val="00BA29E9"/>
    <w:rsid w:val="00BA2B1F"/>
    <w:rsid w:val="00BA5640"/>
    <w:rsid w:val="00BA7142"/>
    <w:rsid w:val="00BB237C"/>
    <w:rsid w:val="00BB41A3"/>
    <w:rsid w:val="00BB5505"/>
    <w:rsid w:val="00BC0680"/>
    <w:rsid w:val="00BC08F0"/>
    <w:rsid w:val="00BC32DC"/>
    <w:rsid w:val="00BC35B6"/>
    <w:rsid w:val="00BC5BE6"/>
    <w:rsid w:val="00BD1406"/>
    <w:rsid w:val="00BD1B51"/>
    <w:rsid w:val="00BD3FE6"/>
    <w:rsid w:val="00BD4349"/>
    <w:rsid w:val="00BD4596"/>
    <w:rsid w:val="00BE1405"/>
    <w:rsid w:val="00BE160F"/>
    <w:rsid w:val="00BE312D"/>
    <w:rsid w:val="00BE5E18"/>
    <w:rsid w:val="00BF0046"/>
    <w:rsid w:val="00BF1C20"/>
    <w:rsid w:val="00BF3D53"/>
    <w:rsid w:val="00BF3E15"/>
    <w:rsid w:val="00BF3E9D"/>
    <w:rsid w:val="00BF3FFF"/>
    <w:rsid w:val="00BF4991"/>
    <w:rsid w:val="00BF57ED"/>
    <w:rsid w:val="00C01385"/>
    <w:rsid w:val="00C0297D"/>
    <w:rsid w:val="00C05514"/>
    <w:rsid w:val="00C10578"/>
    <w:rsid w:val="00C1072D"/>
    <w:rsid w:val="00C135BC"/>
    <w:rsid w:val="00C13A02"/>
    <w:rsid w:val="00C1542F"/>
    <w:rsid w:val="00C15C95"/>
    <w:rsid w:val="00C221D3"/>
    <w:rsid w:val="00C248E4"/>
    <w:rsid w:val="00C24DC9"/>
    <w:rsid w:val="00C2596A"/>
    <w:rsid w:val="00C26C7B"/>
    <w:rsid w:val="00C27537"/>
    <w:rsid w:val="00C328FE"/>
    <w:rsid w:val="00C33507"/>
    <w:rsid w:val="00C37F3C"/>
    <w:rsid w:val="00C40998"/>
    <w:rsid w:val="00C427AD"/>
    <w:rsid w:val="00C4409D"/>
    <w:rsid w:val="00C44E72"/>
    <w:rsid w:val="00C45A06"/>
    <w:rsid w:val="00C474C6"/>
    <w:rsid w:val="00C47914"/>
    <w:rsid w:val="00C47E5B"/>
    <w:rsid w:val="00C50B68"/>
    <w:rsid w:val="00C522F5"/>
    <w:rsid w:val="00C528D4"/>
    <w:rsid w:val="00C562B8"/>
    <w:rsid w:val="00C565C0"/>
    <w:rsid w:val="00C61E4B"/>
    <w:rsid w:val="00C621A8"/>
    <w:rsid w:val="00C62F77"/>
    <w:rsid w:val="00C64BFF"/>
    <w:rsid w:val="00C657C3"/>
    <w:rsid w:val="00C704E9"/>
    <w:rsid w:val="00C71554"/>
    <w:rsid w:val="00C71C60"/>
    <w:rsid w:val="00C71D11"/>
    <w:rsid w:val="00C74BB9"/>
    <w:rsid w:val="00C763C9"/>
    <w:rsid w:val="00C80057"/>
    <w:rsid w:val="00C82232"/>
    <w:rsid w:val="00C82913"/>
    <w:rsid w:val="00C87122"/>
    <w:rsid w:val="00C929C4"/>
    <w:rsid w:val="00C92A5C"/>
    <w:rsid w:val="00C92AF1"/>
    <w:rsid w:val="00C946C4"/>
    <w:rsid w:val="00C972B1"/>
    <w:rsid w:val="00CA2205"/>
    <w:rsid w:val="00CA2CCE"/>
    <w:rsid w:val="00CA379E"/>
    <w:rsid w:val="00CA43FD"/>
    <w:rsid w:val="00CA59A4"/>
    <w:rsid w:val="00CA5A9E"/>
    <w:rsid w:val="00CA6479"/>
    <w:rsid w:val="00CA7EF8"/>
    <w:rsid w:val="00CB0655"/>
    <w:rsid w:val="00CB5A10"/>
    <w:rsid w:val="00CB6F81"/>
    <w:rsid w:val="00CB7594"/>
    <w:rsid w:val="00CB77BE"/>
    <w:rsid w:val="00CC085B"/>
    <w:rsid w:val="00CC2805"/>
    <w:rsid w:val="00CC35DB"/>
    <w:rsid w:val="00CC3AE9"/>
    <w:rsid w:val="00CC489B"/>
    <w:rsid w:val="00CC4DBD"/>
    <w:rsid w:val="00CC5A2F"/>
    <w:rsid w:val="00CC7ECA"/>
    <w:rsid w:val="00CD1672"/>
    <w:rsid w:val="00CD2BCD"/>
    <w:rsid w:val="00CD3536"/>
    <w:rsid w:val="00CD3A4C"/>
    <w:rsid w:val="00CE10E9"/>
    <w:rsid w:val="00CE2910"/>
    <w:rsid w:val="00CE3A8F"/>
    <w:rsid w:val="00CE46AF"/>
    <w:rsid w:val="00CE5393"/>
    <w:rsid w:val="00CE56E7"/>
    <w:rsid w:val="00CF36BE"/>
    <w:rsid w:val="00CF4C55"/>
    <w:rsid w:val="00CF6000"/>
    <w:rsid w:val="00D003F3"/>
    <w:rsid w:val="00D0364F"/>
    <w:rsid w:val="00D0633A"/>
    <w:rsid w:val="00D06834"/>
    <w:rsid w:val="00D12C8C"/>
    <w:rsid w:val="00D226D7"/>
    <w:rsid w:val="00D308ED"/>
    <w:rsid w:val="00D33042"/>
    <w:rsid w:val="00D36D86"/>
    <w:rsid w:val="00D40D28"/>
    <w:rsid w:val="00D40FB9"/>
    <w:rsid w:val="00D428AA"/>
    <w:rsid w:val="00D470B0"/>
    <w:rsid w:val="00D50A34"/>
    <w:rsid w:val="00D53EFA"/>
    <w:rsid w:val="00D54084"/>
    <w:rsid w:val="00D560B6"/>
    <w:rsid w:val="00D62771"/>
    <w:rsid w:val="00D65039"/>
    <w:rsid w:val="00D70E25"/>
    <w:rsid w:val="00D7105B"/>
    <w:rsid w:val="00D734D6"/>
    <w:rsid w:val="00D73CF1"/>
    <w:rsid w:val="00D742E6"/>
    <w:rsid w:val="00D74471"/>
    <w:rsid w:val="00D75B74"/>
    <w:rsid w:val="00D77B61"/>
    <w:rsid w:val="00D81BEA"/>
    <w:rsid w:val="00D81F10"/>
    <w:rsid w:val="00D94A7C"/>
    <w:rsid w:val="00D95237"/>
    <w:rsid w:val="00D95896"/>
    <w:rsid w:val="00D979D5"/>
    <w:rsid w:val="00DA0EC9"/>
    <w:rsid w:val="00DA376D"/>
    <w:rsid w:val="00DA62DC"/>
    <w:rsid w:val="00DB0B89"/>
    <w:rsid w:val="00DB2983"/>
    <w:rsid w:val="00DB588E"/>
    <w:rsid w:val="00DC03D9"/>
    <w:rsid w:val="00DC1257"/>
    <w:rsid w:val="00DC2B3E"/>
    <w:rsid w:val="00DC395F"/>
    <w:rsid w:val="00DC3DC0"/>
    <w:rsid w:val="00DC410D"/>
    <w:rsid w:val="00DC41D3"/>
    <w:rsid w:val="00DC5B2B"/>
    <w:rsid w:val="00DC5BA4"/>
    <w:rsid w:val="00DC6517"/>
    <w:rsid w:val="00DD059A"/>
    <w:rsid w:val="00DD1984"/>
    <w:rsid w:val="00DD2DAB"/>
    <w:rsid w:val="00DD318D"/>
    <w:rsid w:val="00DD3ADC"/>
    <w:rsid w:val="00DE3A18"/>
    <w:rsid w:val="00DE5071"/>
    <w:rsid w:val="00DF2310"/>
    <w:rsid w:val="00DF2E12"/>
    <w:rsid w:val="00DF3F03"/>
    <w:rsid w:val="00DF4DED"/>
    <w:rsid w:val="00DF514A"/>
    <w:rsid w:val="00DF61CD"/>
    <w:rsid w:val="00DF6690"/>
    <w:rsid w:val="00DF6804"/>
    <w:rsid w:val="00E00E39"/>
    <w:rsid w:val="00E01558"/>
    <w:rsid w:val="00E0358D"/>
    <w:rsid w:val="00E04323"/>
    <w:rsid w:val="00E05300"/>
    <w:rsid w:val="00E070A2"/>
    <w:rsid w:val="00E10BAF"/>
    <w:rsid w:val="00E15333"/>
    <w:rsid w:val="00E16C13"/>
    <w:rsid w:val="00E1727F"/>
    <w:rsid w:val="00E172BA"/>
    <w:rsid w:val="00E1757D"/>
    <w:rsid w:val="00E2656A"/>
    <w:rsid w:val="00E301B6"/>
    <w:rsid w:val="00E3239D"/>
    <w:rsid w:val="00E32968"/>
    <w:rsid w:val="00E33AE3"/>
    <w:rsid w:val="00E36B5C"/>
    <w:rsid w:val="00E412D0"/>
    <w:rsid w:val="00E4333B"/>
    <w:rsid w:val="00E47CDC"/>
    <w:rsid w:val="00E50712"/>
    <w:rsid w:val="00E510B5"/>
    <w:rsid w:val="00E51D79"/>
    <w:rsid w:val="00E51F3A"/>
    <w:rsid w:val="00E53D91"/>
    <w:rsid w:val="00E56322"/>
    <w:rsid w:val="00E60072"/>
    <w:rsid w:val="00E60982"/>
    <w:rsid w:val="00E60E68"/>
    <w:rsid w:val="00E624D9"/>
    <w:rsid w:val="00E62C62"/>
    <w:rsid w:val="00E654C1"/>
    <w:rsid w:val="00E65D97"/>
    <w:rsid w:val="00E70757"/>
    <w:rsid w:val="00E72A5A"/>
    <w:rsid w:val="00E73354"/>
    <w:rsid w:val="00E73D95"/>
    <w:rsid w:val="00E75277"/>
    <w:rsid w:val="00E753CF"/>
    <w:rsid w:val="00E7559F"/>
    <w:rsid w:val="00E75D32"/>
    <w:rsid w:val="00E7686B"/>
    <w:rsid w:val="00E80370"/>
    <w:rsid w:val="00E82534"/>
    <w:rsid w:val="00E8562A"/>
    <w:rsid w:val="00E85D2B"/>
    <w:rsid w:val="00E8675C"/>
    <w:rsid w:val="00E87582"/>
    <w:rsid w:val="00E905CA"/>
    <w:rsid w:val="00E9242D"/>
    <w:rsid w:val="00E95DB5"/>
    <w:rsid w:val="00E97D31"/>
    <w:rsid w:val="00EA0F92"/>
    <w:rsid w:val="00EA1A59"/>
    <w:rsid w:val="00EA5578"/>
    <w:rsid w:val="00EB24A7"/>
    <w:rsid w:val="00EB4697"/>
    <w:rsid w:val="00EB4D0A"/>
    <w:rsid w:val="00EB5255"/>
    <w:rsid w:val="00EB5C47"/>
    <w:rsid w:val="00EC048B"/>
    <w:rsid w:val="00EC2348"/>
    <w:rsid w:val="00EC2B71"/>
    <w:rsid w:val="00EC3685"/>
    <w:rsid w:val="00EC45C4"/>
    <w:rsid w:val="00EC4E80"/>
    <w:rsid w:val="00EC63EE"/>
    <w:rsid w:val="00EC7B8A"/>
    <w:rsid w:val="00ED0639"/>
    <w:rsid w:val="00ED1E2A"/>
    <w:rsid w:val="00ED3B0C"/>
    <w:rsid w:val="00ED5804"/>
    <w:rsid w:val="00ED615F"/>
    <w:rsid w:val="00EE0C2F"/>
    <w:rsid w:val="00EE18DA"/>
    <w:rsid w:val="00EE33E2"/>
    <w:rsid w:val="00EE3EE9"/>
    <w:rsid w:val="00EE4808"/>
    <w:rsid w:val="00EF0291"/>
    <w:rsid w:val="00EF2014"/>
    <w:rsid w:val="00EF23FF"/>
    <w:rsid w:val="00EF4755"/>
    <w:rsid w:val="00EF7135"/>
    <w:rsid w:val="00EF7C8A"/>
    <w:rsid w:val="00F027DB"/>
    <w:rsid w:val="00F03CF7"/>
    <w:rsid w:val="00F03D8E"/>
    <w:rsid w:val="00F05244"/>
    <w:rsid w:val="00F06820"/>
    <w:rsid w:val="00F0755A"/>
    <w:rsid w:val="00F10A2F"/>
    <w:rsid w:val="00F11CEE"/>
    <w:rsid w:val="00F14A7A"/>
    <w:rsid w:val="00F15DAF"/>
    <w:rsid w:val="00F170CB"/>
    <w:rsid w:val="00F179E3"/>
    <w:rsid w:val="00F22985"/>
    <w:rsid w:val="00F23F7A"/>
    <w:rsid w:val="00F27BEF"/>
    <w:rsid w:val="00F31970"/>
    <w:rsid w:val="00F32F38"/>
    <w:rsid w:val="00F3383E"/>
    <w:rsid w:val="00F36391"/>
    <w:rsid w:val="00F41D48"/>
    <w:rsid w:val="00F44375"/>
    <w:rsid w:val="00F465A7"/>
    <w:rsid w:val="00F47F87"/>
    <w:rsid w:val="00F50835"/>
    <w:rsid w:val="00F50B7C"/>
    <w:rsid w:val="00F51039"/>
    <w:rsid w:val="00F51488"/>
    <w:rsid w:val="00F52B1F"/>
    <w:rsid w:val="00F53430"/>
    <w:rsid w:val="00F550E6"/>
    <w:rsid w:val="00F623AF"/>
    <w:rsid w:val="00F65F14"/>
    <w:rsid w:val="00F66325"/>
    <w:rsid w:val="00F6701A"/>
    <w:rsid w:val="00F73A71"/>
    <w:rsid w:val="00F74345"/>
    <w:rsid w:val="00F80A0A"/>
    <w:rsid w:val="00F81622"/>
    <w:rsid w:val="00F81B3C"/>
    <w:rsid w:val="00F82B19"/>
    <w:rsid w:val="00F84819"/>
    <w:rsid w:val="00F9212D"/>
    <w:rsid w:val="00F93447"/>
    <w:rsid w:val="00F965DA"/>
    <w:rsid w:val="00FA019E"/>
    <w:rsid w:val="00FA406A"/>
    <w:rsid w:val="00FB08CD"/>
    <w:rsid w:val="00FB30AC"/>
    <w:rsid w:val="00FB503A"/>
    <w:rsid w:val="00FB516C"/>
    <w:rsid w:val="00FC1C1B"/>
    <w:rsid w:val="00FC29BA"/>
    <w:rsid w:val="00FC37C4"/>
    <w:rsid w:val="00FC4610"/>
    <w:rsid w:val="00FC572B"/>
    <w:rsid w:val="00FD0236"/>
    <w:rsid w:val="00FD0969"/>
    <w:rsid w:val="00FD18F4"/>
    <w:rsid w:val="00FD3B3C"/>
    <w:rsid w:val="00FD4524"/>
    <w:rsid w:val="00FD4DDF"/>
    <w:rsid w:val="00FD5433"/>
    <w:rsid w:val="00FD54DB"/>
    <w:rsid w:val="00FD619F"/>
    <w:rsid w:val="00FE1CE6"/>
    <w:rsid w:val="00FE2102"/>
    <w:rsid w:val="00FE7E2E"/>
    <w:rsid w:val="00FE7F27"/>
    <w:rsid w:val="00FF1F5C"/>
    <w:rsid w:val="00FF60AD"/>
    <w:rsid w:val="01064C9A"/>
    <w:rsid w:val="010777F1"/>
    <w:rsid w:val="010F7FF3"/>
    <w:rsid w:val="012810B4"/>
    <w:rsid w:val="01290F7E"/>
    <w:rsid w:val="012A4E2C"/>
    <w:rsid w:val="012D42FD"/>
    <w:rsid w:val="013412AD"/>
    <w:rsid w:val="013451E4"/>
    <w:rsid w:val="01366C30"/>
    <w:rsid w:val="01454397"/>
    <w:rsid w:val="01522C80"/>
    <w:rsid w:val="015D1E09"/>
    <w:rsid w:val="015F60C1"/>
    <w:rsid w:val="01633E9B"/>
    <w:rsid w:val="016445A2"/>
    <w:rsid w:val="016C2D4F"/>
    <w:rsid w:val="01703B2F"/>
    <w:rsid w:val="017716F4"/>
    <w:rsid w:val="01830099"/>
    <w:rsid w:val="0187402D"/>
    <w:rsid w:val="0187491C"/>
    <w:rsid w:val="01956027"/>
    <w:rsid w:val="019D47B9"/>
    <w:rsid w:val="01A324E9"/>
    <w:rsid w:val="01AD5E84"/>
    <w:rsid w:val="01C0753F"/>
    <w:rsid w:val="01C73C8F"/>
    <w:rsid w:val="01CE029A"/>
    <w:rsid w:val="01D53E5B"/>
    <w:rsid w:val="01D55E67"/>
    <w:rsid w:val="01E37BCD"/>
    <w:rsid w:val="01EA636A"/>
    <w:rsid w:val="01F36FCC"/>
    <w:rsid w:val="01FE0682"/>
    <w:rsid w:val="01FF0067"/>
    <w:rsid w:val="02054F52"/>
    <w:rsid w:val="02072A78"/>
    <w:rsid w:val="020C4532"/>
    <w:rsid w:val="020F552E"/>
    <w:rsid w:val="0210580B"/>
    <w:rsid w:val="02117849"/>
    <w:rsid w:val="02223D56"/>
    <w:rsid w:val="022C0515"/>
    <w:rsid w:val="023F19DA"/>
    <w:rsid w:val="02421D02"/>
    <w:rsid w:val="024535A0"/>
    <w:rsid w:val="024737BC"/>
    <w:rsid w:val="024A4563"/>
    <w:rsid w:val="0253148B"/>
    <w:rsid w:val="02554599"/>
    <w:rsid w:val="02555ED9"/>
    <w:rsid w:val="02557C87"/>
    <w:rsid w:val="02587777"/>
    <w:rsid w:val="025F0FC8"/>
    <w:rsid w:val="0263100D"/>
    <w:rsid w:val="02697903"/>
    <w:rsid w:val="026F5C8D"/>
    <w:rsid w:val="0282048D"/>
    <w:rsid w:val="02A76D3E"/>
    <w:rsid w:val="02AB1E4F"/>
    <w:rsid w:val="02AD2F02"/>
    <w:rsid w:val="02AE7BE0"/>
    <w:rsid w:val="02B20C36"/>
    <w:rsid w:val="02B21EB8"/>
    <w:rsid w:val="02B96468"/>
    <w:rsid w:val="02C31095"/>
    <w:rsid w:val="02C848FD"/>
    <w:rsid w:val="02DB6ED7"/>
    <w:rsid w:val="02E96621"/>
    <w:rsid w:val="02F56D74"/>
    <w:rsid w:val="02F96569"/>
    <w:rsid w:val="03004097"/>
    <w:rsid w:val="03065425"/>
    <w:rsid w:val="03070B9E"/>
    <w:rsid w:val="03092820"/>
    <w:rsid w:val="032014FE"/>
    <w:rsid w:val="032118A0"/>
    <w:rsid w:val="03237D85"/>
    <w:rsid w:val="03247659"/>
    <w:rsid w:val="032643DA"/>
    <w:rsid w:val="032A2A12"/>
    <w:rsid w:val="032D650E"/>
    <w:rsid w:val="03315841"/>
    <w:rsid w:val="034C1D5D"/>
    <w:rsid w:val="034F0AEC"/>
    <w:rsid w:val="035241C7"/>
    <w:rsid w:val="03595555"/>
    <w:rsid w:val="035A75BB"/>
    <w:rsid w:val="035C5045"/>
    <w:rsid w:val="035F251C"/>
    <w:rsid w:val="0365214C"/>
    <w:rsid w:val="03664F47"/>
    <w:rsid w:val="03675434"/>
    <w:rsid w:val="036914A1"/>
    <w:rsid w:val="036B5288"/>
    <w:rsid w:val="037203C5"/>
    <w:rsid w:val="0374413D"/>
    <w:rsid w:val="03764359"/>
    <w:rsid w:val="03766107"/>
    <w:rsid w:val="03791F51"/>
    <w:rsid w:val="037B0210"/>
    <w:rsid w:val="037E4FBC"/>
    <w:rsid w:val="038D7C05"/>
    <w:rsid w:val="038F4AD6"/>
    <w:rsid w:val="039C7A79"/>
    <w:rsid w:val="03A12AFF"/>
    <w:rsid w:val="03A67D02"/>
    <w:rsid w:val="03B31109"/>
    <w:rsid w:val="03B5196C"/>
    <w:rsid w:val="03C055D4"/>
    <w:rsid w:val="03C559D6"/>
    <w:rsid w:val="03CB179A"/>
    <w:rsid w:val="03CC64F1"/>
    <w:rsid w:val="03D51CDC"/>
    <w:rsid w:val="03E5503B"/>
    <w:rsid w:val="03EA7B21"/>
    <w:rsid w:val="03F4527E"/>
    <w:rsid w:val="03FD1EDA"/>
    <w:rsid w:val="03FF434E"/>
    <w:rsid w:val="040E3DF0"/>
    <w:rsid w:val="040E50F7"/>
    <w:rsid w:val="04102B53"/>
    <w:rsid w:val="04117BDE"/>
    <w:rsid w:val="042009ED"/>
    <w:rsid w:val="04246B21"/>
    <w:rsid w:val="0428457E"/>
    <w:rsid w:val="042E253E"/>
    <w:rsid w:val="042F03F4"/>
    <w:rsid w:val="04306B42"/>
    <w:rsid w:val="043079EB"/>
    <w:rsid w:val="043A35D9"/>
    <w:rsid w:val="043D4E77"/>
    <w:rsid w:val="0459174F"/>
    <w:rsid w:val="045A3333"/>
    <w:rsid w:val="046B16EC"/>
    <w:rsid w:val="046B5540"/>
    <w:rsid w:val="046E58E9"/>
    <w:rsid w:val="0489584B"/>
    <w:rsid w:val="048B5BE2"/>
    <w:rsid w:val="048E56D2"/>
    <w:rsid w:val="04926F71"/>
    <w:rsid w:val="0494596F"/>
    <w:rsid w:val="0498399E"/>
    <w:rsid w:val="04AF2196"/>
    <w:rsid w:val="04B12058"/>
    <w:rsid w:val="04B62533"/>
    <w:rsid w:val="04BC3FEE"/>
    <w:rsid w:val="04C17856"/>
    <w:rsid w:val="04C2712A"/>
    <w:rsid w:val="04C904B8"/>
    <w:rsid w:val="04D56900"/>
    <w:rsid w:val="04D806FC"/>
    <w:rsid w:val="04D96D31"/>
    <w:rsid w:val="04DD3F64"/>
    <w:rsid w:val="04F33787"/>
    <w:rsid w:val="04F512AE"/>
    <w:rsid w:val="050C1FA3"/>
    <w:rsid w:val="05107934"/>
    <w:rsid w:val="05120775"/>
    <w:rsid w:val="051A6F66"/>
    <w:rsid w:val="052E174F"/>
    <w:rsid w:val="053130B5"/>
    <w:rsid w:val="05353DA0"/>
    <w:rsid w:val="05392211"/>
    <w:rsid w:val="05500BDA"/>
    <w:rsid w:val="055661F0"/>
    <w:rsid w:val="0557339A"/>
    <w:rsid w:val="05573D16"/>
    <w:rsid w:val="055F5E14"/>
    <w:rsid w:val="056A3A4A"/>
    <w:rsid w:val="056C5FA6"/>
    <w:rsid w:val="05726EBE"/>
    <w:rsid w:val="057E12A3"/>
    <w:rsid w:val="058663AA"/>
    <w:rsid w:val="058D7738"/>
    <w:rsid w:val="05923262"/>
    <w:rsid w:val="05A006CA"/>
    <w:rsid w:val="05A200D6"/>
    <w:rsid w:val="05A30D0A"/>
    <w:rsid w:val="05A33817"/>
    <w:rsid w:val="05AB7BBE"/>
    <w:rsid w:val="05B51FA0"/>
    <w:rsid w:val="05C812BC"/>
    <w:rsid w:val="05ED40B6"/>
    <w:rsid w:val="05F23A3F"/>
    <w:rsid w:val="05F83EAE"/>
    <w:rsid w:val="05FB6170"/>
    <w:rsid w:val="05FD666C"/>
    <w:rsid w:val="060519C4"/>
    <w:rsid w:val="0616597F"/>
    <w:rsid w:val="06182789"/>
    <w:rsid w:val="061B4D44"/>
    <w:rsid w:val="06234965"/>
    <w:rsid w:val="06253E14"/>
    <w:rsid w:val="06361B7E"/>
    <w:rsid w:val="063E7D85"/>
    <w:rsid w:val="06412D79"/>
    <w:rsid w:val="064A73D7"/>
    <w:rsid w:val="064E6EC7"/>
    <w:rsid w:val="06525D40"/>
    <w:rsid w:val="065344DE"/>
    <w:rsid w:val="065A3ABE"/>
    <w:rsid w:val="066252E1"/>
    <w:rsid w:val="06677F89"/>
    <w:rsid w:val="066A7A79"/>
    <w:rsid w:val="066C02CF"/>
    <w:rsid w:val="06744454"/>
    <w:rsid w:val="067A43BB"/>
    <w:rsid w:val="06982838"/>
    <w:rsid w:val="069B5E85"/>
    <w:rsid w:val="06A02D9C"/>
    <w:rsid w:val="06A05249"/>
    <w:rsid w:val="06A64F55"/>
    <w:rsid w:val="06A66D03"/>
    <w:rsid w:val="06C07624"/>
    <w:rsid w:val="06D348A0"/>
    <w:rsid w:val="06EC048E"/>
    <w:rsid w:val="06FA2BAB"/>
    <w:rsid w:val="06FA47FD"/>
    <w:rsid w:val="07000B0E"/>
    <w:rsid w:val="07047ECE"/>
    <w:rsid w:val="070A49F1"/>
    <w:rsid w:val="07155C37"/>
    <w:rsid w:val="071E100A"/>
    <w:rsid w:val="072440CC"/>
    <w:rsid w:val="07287718"/>
    <w:rsid w:val="07293586"/>
    <w:rsid w:val="07295285"/>
    <w:rsid w:val="0737795B"/>
    <w:rsid w:val="07385B74"/>
    <w:rsid w:val="073870AD"/>
    <w:rsid w:val="073A689E"/>
    <w:rsid w:val="074107DA"/>
    <w:rsid w:val="07462294"/>
    <w:rsid w:val="07524795"/>
    <w:rsid w:val="07590275"/>
    <w:rsid w:val="075B790A"/>
    <w:rsid w:val="07636392"/>
    <w:rsid w:val="0764573B"/>
    <w:rsid w:val="076F17EB"/>
    <w:rsid w:val="07702E6D"/>
    <w:rsid w:val="07724E37"/>
    <w:rsid w:val="07770C56"/>
    <w:rsid w:val="07794418"/>
    <w:rsid w:val="077961C6"/>
    <w:rsid w:val="078132CC"/>
    <w:rsid w:val="07901DBD"/>
    <w:rsid w:val="079F27F2"/>
    <w:rsid w:val="07A776D1"/>
    <w:rsid w:val="07A974CA"/>
    <w:rsid w:val="07AA2246"/>
    <w:rsid w:val="07AA2823"/>
    <w:rsid w:val="07B74F40"/>
    <w:rsid w:val="07B92A66"/>
    <w:rsid w:val="07BF2A98"/>
    <w:rsid w:val="07C1191B"/>
    <w:rsid w:val="07C30DC0"/>
    <w:rsid w:val="07C30F86"/>
    <w:rsid w:val="07C83611"/>
    <w:rsid w:val="07CC279A"/>
    <w:rsid w:val="07D57174"/>
    <w:rsid w:val="07D704B9"/>
    <w:rsid w:val="07D94EB6"/>
    <w:rsid w:val="07F4584C"/>
    <w:rsid w:val="080B2B96"/>
    <w:rsid w:val="0822060B"/>
    <w:rsid w:val="08297BEC"/>
    <w:rsid w:val="082D0D5E"/>
    <w:rsid w:val="082E5202"/>
    <w:rsid w:val="08316AA1"/>
    <w:rsid w:val="08341BB4"/>
    <w:rsid w:val="083E4D1A"/>
    <w:rsid w:val="08497781"/>
    <w:rsid w:val="084F5179"/>
    <w:rsid w:val="08566507"/>
    <w:rsid w:val="085C032F"/>
    <w:rsid w:val="085F360E"/>
    <w:rsid w:val="086C1887"/>
    <w:rsid w:val="087A0447"/>
    <w:rsid w:val="08850B9A"/>
    <w:rsid w:val="0891753F"/>
    <w:rsid w:val="089722CD"/>
    <w:rsid w:val="08AA0601"/>
    <w:rsid w:val="08C416C3"/>
    <w:rsid w:val="08C571E9"/>
    <w:rsid w:val="08C74B52"/>
    <w:rsid w:val="08CB69A2"/>
    <w:rsid w:val="08CC4A1B"/>
    <w:rsid w:val="08CE42EF"/>
    <w:rsid w:val="08E01E3A"/>
    <w:rsid w:val="08EB30F3"/>
    <w:rsid w:val="08EE6740"/>
    <w:rsid w:val="08F71A98"/>
    <w:rsid w:val="08FA3336"/>
    <w:rsid w:val="08FF26FB"/>
    <w:rsid w:val="090037D5"/>
    <w:rsid w:val="092217DD"/>
    <w:rsid w:val="09271825"/>
    <w:rsid w:val="09271C52"/>
    <w:rsid w:val="092D54BA"/>
    <w:rsid w:val="09300B06"/>
    <w:rsid w:val="093A7294"/>
    <w:rsid w:val="093C394F"/>
    <w:rsid w:val="09496D37"/>
    <w:rsid w:val="09502F56"/>
    <w:rsid w:val="09565F9E"/>
    <w:rsid w:val="09570789"/>
    <w:rsid w:val="09652EA6"/>
    <w:rsid w:val="096E64FB"/>
    <w:rsid w:val="09706383"/>
    <w:rsid w:val="098409F5"/>
    <w:rsid w:val="098470A4"/>
    <w:rsid w:val="09896468"/>
    <w:rsid w:val="09992B4F"/>
    <w:rsid w:val="09A03EDE"/>
    <w:rsid w:val="09A80FE4"/>
    <w:rsid w:val="09AB5C79"/>
    <w:rsid w:val="09CB082F"/>
    <w:rsid w:val="09D26061"/>
    <w:rsid w:val="09D417D0"/>
    <w:rsid w:val="09D45935"/>
    <w:rsid w:val="09E2712B"/>
    <w:rsid w:val="09E54A69"/>
    <w:rsid w:val="09F61C94"/>
    <w:rsid w:val="09F63AFE"/>
    <w:rsid w:val="0A026946"/>
    <w:rsid w:val="0A061A81"/>
    <w:rsid w:val="0A0E5697"/>
    <w:rsid w:val="0A14705C"/>
    <w:rsid w:val="0A1A7B5B"/>
    <w:rsid w:val="0A1B5312"/>
    <w:rsid w:val="0A206DCD"/>
    <w:rsid w:val="0A263993"/>
    <w:rsid w:val="0A2D3AC2"/>
    <w:rsid w:val="0A37356A"/>
    <w:rsid w:val="0A3F3DFC"/>
    <w:rsid w:val="0A3F59AB"/>
    <w:rsid w:val="0A570314"/>
    <w:rsid w:val="0A5D3B7D"/>
    <w:rsid w:val="0A610FFF"/>
    <w:rsid w:val="0A63147A"/>
    <w:rsid w:val="0A723AEC"/>
    <w:rsid w:val="0A7321DD"/>
    <w:rsid w:val="0A764C3F"/>
    <w:rsid w:val="0A79028B"/>
    <w:rsid w:val="0A7F5208"/>
    <w:rsid w:val="0A8A2498"/>
    <w:rsid w:val="0A8D3D36"/>
    <w:rsid w:val="0AA755DF"/>
    <w:rsid w:val="0AAA2944"/>
    <w:rsid w:val="0AAF7196"/>
    <w:rsid w:val="0AB877A7"/>
    <w:rsid w:val="0AC53B39"/>
    <w:rsid w:val="0AC97035"/>
    <w:rsid w:val="0ACB4F8A"/>
    <w:rsid w:val="0ACF0E24"/>
    <w:rsid w:val="0AD15C1B"/>
    <w:rsid w:val="0AD57BB7"/>
    <w:rsid w:val="0AEE05EF"/>
    <w:rsid w:val="0AEE33EA"/>
    <w:rsid w:val="0AF7043B"/>
    <w:rsid w:val="0B060595"/>
    <w:rsid w:val="0B114967"/>
    <w:rsid w:val="0B120D44"/>
    <w:rsid w:val="0B16021F"/>
    <w:rsid w:val="0B2333B0"/>
    <w:rsid w:val="0B27202A"/>
    <w:rsid w:val="0B330D82"/>
    <w:rsid w:val="0B3348DE"/>
    <w:rsid w:val="0B375B07"/>
    <w:rsid w:val="0B454CF7"/>
    <w:rsid w:val="0B53768A"/>
    <w:rsid w:val="0B646E03"/>
    <w:rsid w:val="0B663311"/>
    <w:rsid w:val="0B670A20"/>
    <w:rsid w:val="0B732F2C"/>
    <w:rsid w:val="0B7C2DAB"/>
    <w:rsid w:val="0B815649"/>
    <w:rsid w:val="0B8A0833"/>
    <w:rsid w:val="0B8B2541"/>
    <w:rsid w:val="0B8B296C"/>
    <w:rsid w:val="0B8E300A"/>
    <w:rsid w:val="0B973362"/>
    <w:rsid w:val="0B9C68AE"/>
    <w:rsid w:val="0BA96AD9"/>
    <w:rsid w:val="0BB84DE3"/>
    <w:rsid w:val="0BBE064B"/>
    <w:rsid w:val="0BCC3C8F"/>
    <w:rsid w:val="0BCF7337"/>
    <w:rsid w:val="0BD27BF6"/>
    <w:rsid w:val="0BE5207C"/>
    <w:rsid w:val="0BEB51B8"/>
    <w:rsid w:val="0BF027CF"/>
    <w:rsid w:val="0C08767E"/>
    <w:rsid w:val="0C216E2C"/>
    <w:rsid w:val="0C230DF6"/>
    <w:rsid w:val="0C2F32F7"/>
    <w:rsid w:val="0C3703FE"/>
    <w:rsid w:val="0C3B3C7D"/>
    <w:rsid w:val="0C3E353A"/>
    <w:rsid w:val="0C405504"/>
    <w:rsid w:val="0C4473C4"/>
    <w:rsid w:val="0C4548C9"/>
    <w:rsid w:val="0C5D60B6"/>
    <w:rsid w:val="0C621770"/>
    <w:rsid w:val="0C6F1945"/>
    <w:rsid w:val="0C756C7F"/>
    <w:rsid w:val="0C7A4DA5"/>
    <w:rsid w:val="0C8C699B"/>
    <w:rsid w:val="0C9203C9"/>
    <w:rsid w:val="0C93150A"/>
    <w:rsid w:val="0C965124"/>
    <w:rsid w:val="0C9C205B"/>
    <w:rsid w:val="0C9C430B"/>
    <w:rsid w:val="0CA57FBA"/>
    <w:rsid w:val="0CA93714"/>
    <w:rsid w:val="0CAB2EAE"/>
    <w:rsid w:val="0CAF268A"/>
    <w:rsid w:val="0CB71320"/>
    <w:rsid w:val="0CBE467B"/>
    <w:rsid w:val="0CC96268"/>
    <w:rsid w:val="0CCE1629"/>
    <w:rsid w:val="0CCE323E"/>
    <w:rsid w:val="0CD520F0"/>
    <w:rsid w:val="0CE265BB"/>
    <w:rsid w:val="0CE42333"/>
    <w:rsid w:val="0CE94A93"/>
    <w:rsid w:val="0CF87B8D"/>
    <w:rsid w:val="0D0A54F4"/>
    <w:rsid w:val="0D162709"/>
    <w:rsid w:val="0D194A15"/>
    <w:rsid w:val="0D3356D6"/>
    <w:rsid w:val="0D37681F"/>
    <w:rsid w:val="0D3C1993"/>
    <w:rsid w:val="0D49488C"/>
    <w:rsid w:val="0D5A25F6"/>
    <w:rsid w:val="0D621C7D"/>
    <w:rsid w:val="0D6D6BDD"/>
    <w:rsid w:val="0D6E7E4F"/>
    <w:rsid w:val="0D7C6A10"/>
    <w:rsid w:val="0D7E09C5"/>
    <w:rsid w:val="0D804A68"/>
    <w:rsid w:val="0D841421"/>
    <w:rsid w:val="0D8B0A01"/>
    <w:rsid w:val="0D8C6527"/>
    <w:rsid w:val="0D8D1E39"/>
    <w:rsid w:val="0D9C49BC"/>
    <w:rsid w:val="0DAE2941"/>
    <w:rsid w:val="0DB37F58"/>
    <w:rsid w:val="0DBA0703"/>
    <w:rsid w:val="0DBD5655"/>
    <w:rsid w:val="0DBF68FD"/>
    <w:rsid w:val="0DC5584F"/>
    <w:rsid w:val="0DD0006B"/>
    <w:rsid w:val="0DD3176D"/>
    <w:rsid w:val="0DE40111"/>
    <w:rsid w:val="0DE6245C"/>
    <w:rsid w:val="0DE75F7B"/>
    <w:rsid w:val="0DFA0A44"/>
    <w:rsid w:val="0E0E0F2B"/>
    <w:rsid w:val="0E172295"/>
    <w:rsid w:val="0E2A021A"/>
    <w:rsid w:val="0E3B2427"/>
    <w:rsid w:val="0E4A08BC"/>
    <w:rsid w:val="0E4C6A04"/>
    <w:rsid w:val="0E5139F9"/>
    <w:rsid w:val="0E536B37"/>
    <w:rsid w:val="0E5B175E"/>
    <w:rsid w:val="0E5F19AB"/>
    <w:rsid w:val="0E651252"/>
    <w:rsid w:val="0E67321C"/>
    <w:rsid w:val="0E71037E"/>
    <w:rsid w:val="0E71409B"/>
    <w:rsid w:val="0E73034D"/>
    <w:rsid w:val="0E795C93"/>
    <w:rsid w:val="0E833DCE"/>
    <w:rsid w:val="0E864072"/>
    <w:rsid w:val="0E8C16D1"/>
    <w:rsid w:val="0E912047"/>
    <w:rsid w:val="0E947D89"/>
    <w:rsid w:val="0E9B2EC6"/>
    <w:rsid w:val="0EA1103E"/>
    <w:rsid w:val="0EA224A6"/>
    <w:rsid w:val="0EA52ECE"/>
    <w:rsid w:val="0EAF4BC3"/>
    <w:rsid w:val="0EB1714F"/>
    <w:rsid w:val="0EC0292C"/>
    <w:rsid w:val="0ECB44D2"/>
    <w:rsid w:val="0EE019BE"/>
    <w:rsid w:val="0EE550F1"/>
    <w:rsid w:val="0EEE56EB"/>
    <w:rsid w:val="0EF44384"/>
    <w:rsid w:val="0EF83E74"/>
    <w:rsid w:val="0EFF6F09"/>
    <w:rsid w:val="0F090407"/>
    <w:rsid w:val="0F0C791F"/>
    <w:rsid w:val="0F1223E7"/>
    <w:rsid w:val="0F13775A"/>
    <w:rsid w:val="0F1E7653"/>
    <w:rsid w:val="0F2824A4"/>
    <w:rsid w:val="0F296723"/>
    <w:rsid w:val="0F4135F2"/>
    <w:rsid w:val="0F477F06"/>
    <w:rsid w:val="0F4D58B9"/>
    <w:rsid w:val="0F5616AC"/>
    <w:rsid w:val="0F5C08A7"/>
    <w:rsid w:val="0F5C0B02"/>
    <w:rsid w:val="0F5F45FE"/>
    <w:rsid w:val="0F631567"/>
    <w:rsid w:val="0F6A2898"/>
    <w:rsid w:val="0F7200CA"/>
    <w:rsid w:val="0F76763C"/>
    <w:rsid w:val="0F8120BC"/>
    <w:rsid w:val="0F8E2A2A"/>
    <w:rsid w:val="0F931ED3"/>
    <w:rsid w:val="0F9A112B"/>
    <w:rsid w:val="0F9A6950"/>
    <w:rsid w:val="0F9D37B7"/>
    <w:rsid w:val="0F9F2542"/>
    <w:rsid w:val="0FA3200C"/>
    <w:rsid w:val="0FB12275"/>
    <w:rsid w:val="0FC06548"/>
    <w:rsid w:val="0FC14BAE"/>
    <w:rsid w:val="0FC24482"/>
    <w:rsid w:val="0FC95811"/>
    <w:rsid w:val="0FCB72B1"/>
    <w:rsid w:val="0FD63DA8"/>
    <w:rsid w:val="0FD74C28"/>
    <w:rsid w:val="0FD91EF8"/>
    <w:rsid w:val="0FE73EE9"/>
    <w:rsid w:val="0FEA6D87"/>
    <w:rsid w:val="0FEE34C9"/>
    <w:rsid w:val="0FF360CA"/>
    <w:rsid w:val="100831EE"/>
    <w:rsid w:val="100D394F"/>
    <w:rsid w:val="100F5919"/>
    <w:rsid w:val="10142F30"/>
    <w:rsid w:val="1014446E"/>
    <w:rsid w:val="1021564D"/>
    <w:rsid w:val="10261806"/>
    <w:rsid w:val="102978DA"/>
    <w:rsid w:val="102F0276"/>
    <w:rsid w:val="10327C31"/>
    <w:rsid w:val="10374E70"/>
    <w:rsid w:val="103F3D25"/>
    <w:rsid w:val="104430E9"/>
    <w:rsid w:val="10453744"/>
    <w:rsid w:val="104E44B7"/>
    <w:rsid w:val="1053332C"/>
    <w:rsid w:val="10645539"/>
    <w:rsid w:val="106928EC"/>
    <w:rsid w:val="106A30B7"/>
    <w:rsid w:val="106B62C4"/>
    <w:rsid w:val="106D2F64"/>
    <w:rsid w:val="106E0D31"/>
    <w:rsid w:val="10737815"/>
    <w:rsid w:val="1074577C"/>
    <w:rsid w:val="10797237"/>
    <w:rsid w:val="107A7658"/>
    <w:rsid w:val="107B2FAF"/>
    <w:rsid w:val="107D3D12"/>
    <w:rsid w:val="107E65FB"/>
    <w:rsid w:val="107F5B03"/>
    <w:rsid w:val="10810023"/>
    <w:rsid w:val="10831E63"/>
    <w:rsid w:val="108D09A9"/>
    <w:rsid w:val="10993435"/>
    <w:rsid w:val="109B53FF"/>
    <w:rsid w:val="10A10B97"/>
    <w:rsid w:val="10A2678D"/>
    <w:rsid w:val="10B63710"/>
    <w:rsid w:val="10BB784F"/>
    <w:rsid w:val="10C76EC7"/>
    <w:rsid w:val="10C95EE8"/>
    <w:rsid w:val="10D75D0B"/>
    <w:rsid w:val="10E04EBA"/>
    <w:rsid w:val="10E32902"/>
    <w:rsid w:val="10E5667A"/>
    <w:rsid w:val="10F10820"/>
    <w:rsid w:val="10F22B45"/>
    <w:rsid w:val="10F6532E"/>
    <w:rsid w:val="10F96767"/>
    <w:rsid w:val="11072A94"/>
    <w:rsid w:val="110C3C07"/>
    <w:rsid w:val="11143E46"/>
    <w:rsid w:val="1115086B"/>
    <w:rsid w:val="111C14EB"/>
    <w:rsid w:val="111C2F7A"/>
    <w:rsid w:val="11207C78"/>
    <w:rsid w:val="11252483"/>
    <w:rsid w:val="11290C5D"/>
    <w:rsid w:val="112A6783"/>
    <w:rsid w:val="112D7B6C"/>
    <w:rsid w:val="11325E07"/>
    <w:rsid w:val="11333889"/>
    <w:rsid w:val="11347A55"/>
    <w:rsid w:val="11361EB3"/>
    <w:rsid w:val="11366678"/>
    <w:rsid w:val="113849FC"/>
    <w:rsid w:val="11553800"/>
    <w:rsid w:val="1159649A"/>
    <w:rsid w:val="11605F50"/>
    <w:rsid w:val="11665CA1"/>
    <w:rsid w:val="11701866"/>
    <w:rsid w:val="11785740"/>
    <w:rsid w:val="117F6ACF"/>
    <w:rsid w:val="11817522"/>
    <w:rsid w:val="118539B9"/>
    <w:rsid w:val="118934A9"/>
    <w:rsid w:val="119157E6"/>
    <w:rsid w:val="1198193E"/>
    <w:rsid w:val="119C56A0"/>
    <w:rsid w:val="11A4040E"/>
    <w:rsid w:val="11B12A00"/>
    <w:rsid w:val="11B20C52"/>
    <w:rsid w:val="11B51CFE"/>
    <w:rsid w:val="11B5429E"/>
    <w:rsid w:val="11B60016"/>
    <w:rsid w:val="11B81FE1"/>
    <w:rsid w:val="11BC78C1"/>
    <w:rsid w:val="11C66B8F"/>
    <w:rsid w:val="11C91AF8"/>
    <w:rsid w:val="11CB3AC2"/>
    <w:rsid w:val="11CB60D9"/>
    <w:rsid w:val="11CE325D"/>
    <w:rsid w:val="11D84431"/>
    <w:rsid w:val="11F6676A"/>
    <w:rsid w:val="11FA7F03"/>
    <w:rsid w:val="11FD5C45"/>
    <w:rsid w:val="11FD72A0"/>
    <w:rsid w:val="11FE2AA3"/>
    <w:rsid w:val="11FE3E97"/>
    <w:rsid w:val="12015736"/>
    <w:rsid w:val="120E39AF"/>
    <w:rsid w:val="121216F1"/>
    <w:rsid w:val="12175BD4"/>
    <w:rsid w:val="121E62E8"/>
    <w:rsid w:val="12296A3A"/>
    <w:rsid w:val="12305BF2"/>
    <w:rsid w:val="123B1B2C"/>
    <w:rsid w:val="123E24E6"/>
    <w:rsid w:val="124129C1"/>
    <w:rsid w:val="12440C2E"/>
    <w:rsid w:val="124473D0"/>
    <w:rsid w:val="12454F0D"/>
    <w:rsid w:val="12492C39"/>
    <w:rsid w:val="124F3776"/>
    <w:rsid w:val="124F46F3"/>
    <w:rsid w:val="125C0F27"/>
    <w:rsid w:val="125C6662"/>
    <w:rsid w:val="126D4B79"/>
    <w:rsid w:val="12706417"/>
    <w:rsid w:val="127E50EC"/>
    <w:rsid w:val="12850115"/>
    <w:rsid w:val="128819B3"/>
    <w:rsid w:val="128B3251"/>
    <w:rsid w:val="129269BE"/>
    <w:rsid w:val="12955E7E"/>
    <w:rsid w:val="1296159A"/>
    <w:rsid w:val="12972B11"/>
    <w:rsid w:val="129806EC"/>
    <w:rsid w:val="1299771C"/>
    <w:rsid w:val="129E4D32"/>
    <w:rsid w:val="12A32349"/>
    <w:rsid w:val="12A827B0"/>
    <w:rsid w:val="12AF1E77"/>
    <w:rsid w:val="12B40EDE"/>
    <w:rsid w:val="12B652F8"/>
    <w:rsid w:val="12C240A9"/>
    <w:rsid w:val="12C30C3D"/>
    <w:rsid w:val="12C66037"/>
    <w:rsid w:val="12D3401A"/>
    <w:rsid w:val="12E110C3"/>
    <w:rsid w:val="12E13F41"/>
    <w:rsid w:val="12E656F8"/>
    <w:rsid w:val="12E8175E"/>
    <w:rsid w:val="12F26E2C"/>
    <w:rsid w:val="12F701C4"/>
    <w:rsid w:val="12FB3F33"/>
    <w:rsid w:val="1300779B"/>
    <w:rsid w:val="13051E01"/>
    <w:rsid w:val="13060562"/>
    <w:rsid w:val="130A4F99"/>
    <w:rsid w:val="1310775E"/>
    <w:rsid w:val="13141499"/>
    <w:rsid w:val="131C5060"/>
    <w:rsid w:val="132C0590"/>
    <w:rsid w:val="133236CD"/>
    <w:rsid w:val="13337B71"/>
    <w:rsid w:val="133833D9"/>
    <w:rsid w:val="1338673E"/>
    <w:rsid w:val="134520F4"/>
    <w:rsid w:val="13461D2D"/>
    <w:rsid w:val="134A4EBA"/>
    <w:rsid w:val="134B1FE3"/>
    <w:rsid w:val="13533D6F"/>
    <w:rsid w:val="135845E7"/>
    <w:rsid w:val="136361FD"/>
    <w:rsid w:val="13705AE8"/>
    <w:rsid w:val="13737F6D"/>
    <w:rsid w:val="137C3C47"/>
    <w:rsid w:val="137F5E2D"/>
    <w:rsid w:val="138E3B26"/>
    <w:rsid w:val="13951726"/>
    <w:rsid w:val="1395604C"/>
    <w:rsid w:val="139B74C4"/>
    <w:rsid w:val="139F52BA"/>
    <w:rsid w:val="139F663B"/>
    <w:rsid w:val="13A740BB"/>
    <w:rsid w:val="13A9310B"/>
    <w:rsid w:val="13AE369B"/>
    <w:rsid w:val="13AE5449"/>
    <w:rsid w:val="13BB36C2"/>
    <w:rsid w:val="13BB4E14"/>
    <w:rsid w:val="13BD743A"/>
    <w:rsid w:val="13CC1D73"/>
    <w:rsid w:val="13D50C28"/>
    <w:rsid w:val="13E640E2"/>
    <w:rsid w:val="13EB2378"/>
    <w:rsid w:val="13EE2743"/>
    <w:rsid w:val="13F6026F"/>
    <w:rsid w:val="13FC7118"/>
    <w:rsid w:val="1404150D"/>
    <w:rsid w:val="140E5EE8"/>
    <w:rsid w:val="140F4F78"/>
    <w:rsid w:val="14101C60"/>
    <w:rsid w:val="141C6857"/>
    <w:rsid w:val="141D158B"/>
    <w:rsid w:val="141E2A32"/>
    <w:rsid w:val="141E501C"/>
    <w:rsid w:val="14241829"/>
    <w:rsid w:val="14250C9D"/>
    <w:rsid w:val="14264FE0"/>
    <w:rsid w:val="142E7C0F"/>
    <w:rsid w:val="14396509"/>
    <w:rsid w:val="14412D3B"/>
    <w:rsid w:val="14465682"/>
    <w:rsid w:val="144722DB"/>
    <w:rsid w:val="14496F20"/>
    <w:rsid w:val="14570FAA"/>
    <w:rsid w:val="14620AC3"/>
    <w:rsid w:val="146975C2"/>
    <w:rsid w:val="146E4BD8"/>
    <w:rsid w:val="14733E83"/>
    <w:rsid w:val="14860174"/>
    <w:rsid w:val="14904B4F"/>
    <w:rsid w:val="14972381"/>
    <w:rsid w:val="149A59CD"/>
    <w:rsid w:val="14A31207"/>
    <w:rsid w:val="14A643D6"/>
    <w:rsid w:val="14AA20B4"/>
    <w:rsid w:val="14CF5677"/>
    <w:rsid w:val="14D021CE"/>
    <w:rsid w:val="14D24E86"/>
    <w:rsid w:val="14DD2C3C"/>
    <w:rsid w:val="14E05AD6"/>
    <w:rsid w:val="14F23531"/>
    <w:rsid w:val="14F2540C"/>
    <w:rsid w:val="14FA3491"/>
    <w:rsid w:val="151874F8"/>
    <w:rsid w:val="151C63E2"/>
    <w:rsid w:val="154020D1"/>
    <w:rsid w:val="15411B05"/>
    <w:rsid w:val="154B4272"/>
    <w:rsid w:val="1552369D"/>
    <w:rsid w:val="155344FA"/>
    <w:rsid w:val="156C03FA"/>
    <w:rsid w:val="157442E2"/>
    <w:rsid w:val="15763B03"/>
    <w:rsid w:val="157B75F3"/>
    <w:rsid w:val="15815567"/>
    <w:rsid w:val="158A77F0"/>
    <w:rsid w:val="158F12AA"/>
    <w:rsid w:val="15910B7E"/>
    <w:rsid w:val="15966195"/>
    <w:rsid w:val="15B13627"/>
    <w:rsid w:val="15B36D47"/>
    <w:rsid w:val="15B852F7"/>
    <w:rsid w:val="15BB209F"/>
    <w:rsid w:val="15BF56EC"/>
    <w:rsid w:val="15C046B1"/>
    <w:rsid w:val="15CC7E09"/>
    <w:rsid w:val="15D13671"/>
    <w:rsid w:val="15D20C62"/>
    <w:rsid w:val="15D46D50"/>
    <w:rsid w:val="15D849FF"/>
    <w:rsid w:val="15DB629E"/>
    <w:rsid w:val="15DB6832"/>
    <w:rsid w:val="15E213DA"/>
    <w:rsid w:val="15F85BC9"/>
    <w:rsid w:val="15FA6724"/>
    <w:rsid w:val="16057143"/>
    <w:rsid w:val="16087E1D"/>
    <w:rsid w:val="160A26DF"/>
    <w:rsid w:val="161C2B3E"/>
    <w:rsid w:val="162340FE"/>
    <w:rsid w:val="162E461F"/>
    <w:rsid w:val="16307D16"/>
    <w:rsid w:val="16321169"/>
    <w:rsid w:val="16375ECF"/>
    <w:rsid w:val="163A2FC4"/>
    <w:rsid w:val="163D2AB4"/>
    <w:rsid w:val="16421E79"/>
    <w:rsid w:val="16461969"/>
    <w:rsid w:val="164A7406"/>
    <w:rsid w:val="165322D8"/>
    <w:rsid w:val="16565924"/>
    <w:rsid w:val="1666025D"/>
    <w:rsid w:val="166A350D"/>
    <w:rsid w:val="16703FA4"/>
    <w:rsid w:val="1674297A"/>
    <w:rsid w:val="167A28F8"/>
    <w:rsid w:val="168C1346"/>
    <w:rsid w:val="168C1406"/>
    <w:rsid w:val="168D57EA"/>
    <w:rsid w:val="16922E00"/>
    <w:rsid w:val="169D3553"/>
    <w:rsid w:val="16A42B33"/>
    <w:rsid w:val="16AE750E"/>
    <w:rsid w:val="16AF0B11"/>
    <w:rsid w:val="16BE2F2D"/>
    <w:rsid w:val="16CC51F8"/>
    <w:rsid w:val="16D15681"/>
    <w:rsid w:val="16D50A79"/>
    <w:rsid w:val="16E318AE"/>
    <w:rsid w:val="16F13FCB"/>
    <w:rsid w:val="16F77107"/>
    <w:rsid w:val="16F969DB"/>
    <w:rsid w:val="16FD4C60"/>
    <w:rsid w:val="1706734A"/>
    <w:rsid w:val="171430F7"/>
    <w:rsid w:val="171B1048"/>
    <w:rsid w:val="171C5366"/>
    <w:rsid w:val="17253C74"/>
    <w:rsid w:val="1726179A"/>
    <w:rsid w:val="172D48D7"/>
    <w:rsid w:val="172D68A1"/>
    <w:rsid w:val="173A7518"/>
    <w:rsid w:val="17577BA6"/>
    <w:rsid w:val="176302F9"/>
    <w:rsid w:val="176819BD"/>
    <w:rsid w:val="17683B61"/>
    <w:rsid w:val="176F2B3C"/>
    <w:rsid w:val="17701D14"/>
    <w:rsid w:val="17727FCB"/>
    <w:rsid w:val="17735226"/>
    <w:rsid w:val="1778268F"/>
    <w:rsid w:val="177B5642"/>
    <w:rsid w:val="17884203"/>
    <w:rsid w:val="17965A28"/>
    <w:rsid w:val="17A049AC"/>
    <w:rsid w:val="17AB21C3"/>
    <w:rsid w:val="17AB593A"/>
    <w:rsid w:val="17B44CBA"/>
    <w:rsid w:val="17BB18DD"/>
    <w:rsid w:val="17BF5E77"/>
    <w:rsid w:val="17C23271"/>
    <w:rsid w:val="17C4348D"/>
    <w:rsid w:val="17CC78C9"/>
    <w:rsid w:val="17CF598E"/>
    <w:rsid w:val="17CF61F3"/>
    <w:rsid w:val="17D52E9E"/>
    <w:rsid w:val="17E12CFD"/>
    <w:rsid w:val="17EC02EE"/>
    <w:rsid w:val="17EC4792"/>
    <w:rsid w:val="17F11DA8"/>
    <w:rsid w:val="17F378CF"/>
    <w:rsid w:val="18155A97"/>
    <w:rsid w:val="18245CDA"/>
    <w:rsid w:val="18322780"/>
    <w:rsid w:val="18354C7F"/>
    <w:rsid w:val="1853749C"/>
    <w:rsid w:val="185A5BA0"/>
    <w:rsid w:val="186631FE"/>
    <w:rsid w:val="186A6D5D"/>
    <w:rsid w:val="186D25E9"/>
    <w:rsid w:val="18707171"/>
    <w:rsid w:val="18711CE6"/>
    <w:rsid w:val="187F5606"/>
    <w:rsid w:val="18803FAF"/>
    <w:rsid w:val="18894B81"/>
    <w:rsid w:val="188E2BFB"/>
    <w:rsid w:val="189F624C"/>
    <w:rsid w:val="18A4506D"/>
    <w:rsid w:val="18A60DE5"/>
    <w:rsid w:val="18B3705E"/>
    <w:rsid w:val="18B56F15"/>
    <w:rsid w:val="18CB4E3B"/>
    <w:rsid w:val="18CE20EA"/>
    <w:rsid w:val="18CE5C46"/>
    <w:rsid w:val="18D53478"/>
    <w:rsid w:val="18D63B74"/>
    <w:rsid w:val="18DF42F7"/>
    <w:rsid w:val="18E611E1"/>
    <w:rsid w:val="18E67433"/>
    <w:rsid w:val="190653E0"/>
    <w:rsid w:val="190D676E"/>
    <w:rsid w:val="190E0FE9"/>
    <w:rsid w:val="19145D4E"/>
    <w:rsid w:val="191C4C03"/>
    <w:rsid w:val="19267132"/>
    <w:rsid w:val="192C753C"/>
    <w:rsid w:val="193208CA"/>
    <w:rsid w:val="193C1A16"/>
    <w:rsid w:val="19490CC0"/>
    <w:rsid w:val="194B54E8"/>
    <w:rsid w:val="19595E57"/>
    <w:rsid w:val="195B0648"/>
    <w:rsid w:val="195B397D"/>
    <w:rsid w:val="195E033A"/>
    <w:rsid w:val="196A401F"/>
    <w:rsid w:val="197131A1"/>
    <w:rsid w:val="197E3186"/>
    <w:rsid w:val="197F4070"/>
    <w:rsid w:val="19801636"/>
    <w:rsid w:val="198C2944"/>
    <w:rsid w:val="198D0D7D"/>
    <w:rsid w:val="19A1335A"/>
    <w:rsid w:val="19A63465"/>
    <w:rsid w:val="19B117EF"/>
    <w:rsid w:val="19B80DD0"/>
    <w:rsid w:val="19BB441C"/>
    <w:rsid w:val="19BF7323"/>
    <w:rsid w:val="19CB0E1D"/>
    <w:rsid w:val="19D92AF4"/>
    <w:rsid w:val="19D96F98"/>
    <w:rsid w:val="19DC4392"/>
    <w:rsid w:val="19E80F89"/>
    <w:rsid w:val="19EA4D01"/>
    <w:rsid w:val="19EB448F"/>
    <w:rsid w:val="1A023DF9"/>
    <w:rsid w:val="1A085187"/>
    <w:rsid w:val="1A0D7600"/>
    <w:rsid w:val="1A0F70F3"/>
    <w:rsid w:val="1A141D7E"/>
    <w:rsid w:val="1A1C66C0"/>
    <w:rsid w:val="1A1D50D7"/>
    <w:rsid w:val="1A255D39"/>
    <w:rsid w:val="1A344690"/>
    <w:rsid w:val="1A42393B"/>
    <w:rsid w:val="1A433152"/>
    <w:rsid w:val="1A48197F"/>
    <w:rsid w:val="1A51244B"/>
    <w:rsid w:val="1A512FD2"/>
    <w:rsid w:val="1A5B79AD"/>
    <w:rsid w:val="1A653FA7"/>
    <w:rsid w:val="1A6E774D"/>
    <w:rsid w:val="1A750A6F"/>
    <w:rsid w:val="1A761279"/>
    <w:rsid w:val="1A786742"/>
    <w:rsid w:val="1A7A42D7"/>
    <w:rsid w:val="1A7E726F"/>
    <w:rsid w:val="1A853331"/>
    <w:rsid w:val="1A8C0D28"/>
    <w:rsid w:val="1A8E7E75"/>
    <w:rsid w:val="1A9B0BEB"/>
    <w:rsid w:val="1AAD45DE"/>
    <w:rsid w:val="1AB070A4"/>
    <w:rsid w:val="1AC95288"/>
    <w:rsid w:val="1ACA3F7E"/>
    <w:rsid w:val="1ACD08AB"/>
    <w:rsid w:val="1AE620DC"/>
    <w:rsid w:val="1AFB72AE"/>
    <w:rsid w:val="1AFD2812"/>
    <w:rsid w:val="1B046F80"/>
    <w:rsid w:val="1B053760"/>
    <w:rsid w:val="1B0625C3"/>
    <w:rsid w:val="1B09565B"/>
    <w:rsid w:val="1B0F1840"/>
    <w:rsid w:val="1B124955"/>
    <w:rsid w:val="1B1262BE"/>
    <w:rsid w:val="1B176ECC"/>
    <w:rsid w:val="1B267FBB"/>
    <w:rsid w:val="1B281F85"/>
    <w:rsid w:val="1B2B3823"/>
    <w:rsid w:val="1B2E317A"/>
    <w:rsid w:val="1B2F50C2"/>
    <w:rsid w:val="1B3267B5"/>
    <w:rsid w:val="1B3C333B"/>
    <w:rsid w:val="1B3E3557"/>
    <w:rsid w:val="1B40161D"/>
    <w:rsid w:val="1B441859"/>
    <w:rsid w:val="1B4A1EFB"/>
    <w:rsid w:val="1B4F12C0"/>
    <w:rsid w:val="1B5C1C2F"/>
    <w:rsid w:val="1B5E1503"/>
    <w:rsid w:val="1B6606B1"/>
    <w:rsid w:val="1B6A2A2C"/>
    <w:rsid w:val="1B6C14DF"/>
    <w:rsid w:val="1B6D57DA"/>
    <w:rsid w:val="1B8371BB"/>
    <w:rsid w:val="1B8847D2"/>
    <w:rsid w:val="1B8B6070"/>
    <w:rsid w:val="1B9253AE"/>
    <w:rsid w:val="1BA07D6D"/>
    <w:rsid w:val="1BAF7FB0"/>
    <w:rsid w:val="1BCC3DE4"/>
    <w:rsid w:val="1BD27AAB"/>
    <w:rsid w:val="1BE85270"/>
    <w:rsid w:val="1BED17B1"/>
    <w:rsid w:val="1BF031F9"/>
    <w:rsid w:val="1BF64C65"/>
    <w:rsid w:val="1BFA2FC3"/>
    <w:rsid w:val="1C0227D6"/>
    <w:rsid w:val="1C081F69"/>
    <w:rsid w:val="1C1059AD"/>
    <w:rsid w:val="1C122152"/>
    <w:rsid w:val="1C1C4F1A"/>
    <w:rsid w:val="1C3109C5"/>
    <w:rsid w:val="1C370605"/>
    <w:rsid w:val="1C3B4690"/>
    <w:rsid w:val="1C4050AC"/>
    <w:rsid w:val="1C420E24"/>
    <w:rsid w:val="1C446F80"/>
    <w:rsid w:val="1C5E166A"/>
    <w:rsid w:val="1C5E7925"/>
    <w:rsid w:val="1C626DD1"/>
    <w:rsid w:val="1C646FED"/>
    <w:rsid w:val="1C6472AE"/>
    <w:rsid w:val="1C6A2129"/>
    <w:rsid w:val="1C753556"/>
    <w:rsid w:val="1C7B7E93"/>
    <w:rsid w:val="1C8A7821"/>
    <w:rsid w:val="1C8F0C6C"/>
    <w:rsid w:val="1C970DB1"/>
    <w:rsid w:val="1C9B0292"/>
    <w:rsid w:val="1C9E5329"/>
    <w:rsid w:val="1C9F1D17"/>
    <w:rsid w:val="1CA23671"/>
    <w:rsid w:val="1CCA0A73"/>
    <w:rsid w:val="1CDC2147"/>
    <w:rsid w:val="1CDE4B9F"/>
    <w:rsid w:val="1CE41EDC"/>
    <w:rsid w:val="1CF10155"/>
    <w:rsid w:val="1CF24667"/>
    <w:rsid w:val="1CF510A3"/>
    <w:rsid w:val="1CFD070F"/>
    <w:rsid w:val="1CFF6D16"/>
    <w:rsid w:val="1D156539"/>
    <w:rsid w:val="1D214EDE"/>
    <w:rsid w:val="1D2A3BA7"/>
    <w:rsid w:val="1D33076D"/>
    <w:rsid w:val="1D464637"/>
    <w:rsid w:val="1D47773C"/>
    <w:rsid w:val="1D4961E3"/>
    <w:rsid w:val="1D526E45"/>
    <w:rsid w:val="1D5F6196"/>
    <w:rsid w:val="1D6132A5"/>
    <w:rsid w:val="1D6628F1"/>
    <w:rsid w:val="1D682B0D"/>
    <w:rsid w:val="1D7D0CAE"/>
    <w:rsid w:val="1D8E56D5"/>
    <w:rsid w:val="1D9373E6"/>
    <w:rsid w:val="1D9C27B6"/>
    <w:rsid w:val="1DA84CB7"/>
    <w:rsid w:val="1DB16262"/>
    <w:rsid w:val="1DBF5BAD"/>
    <w:rsid w:val="1DC75A85"/>
    <w:rsid w:val="1DCA10D2"/>
    <w:rsid w:val="1DD45DD2"/>
    <w:rsid w:val="1DD71A40"/>
    <w:rsid w:val="1DD91D07"/>
    <w:rsid w:val="1DD957B9"/>
    <w:rsid w:val="1DF63C75"/>
    <w:rsid w:val="1E0B7051"/>
    <w:rsid w:val="1E116D00"/>
    <w:rsid w:val="1E2702D2"/>
    <w:rsid w:val="1E2A1B70"/>
    <w:rsid w:val="1E3E7C4F"/>
    <w:rsid w:val="1E5D18D8"/>
    <w:rsid w:val="1E5F5CBE"/>
    <w:rsid w:val="1E696B3C"/>
    <w:rsid w:val="1E7A43DA"/>
    <w:rsid w:val="1E870D71"/>
    <w:rsid w:val="1E872A71"/>
    <w:rsid w:val="1E8770D6"/>
    <w:rsid w:val="1E8C45D9"/>
    <w:rsid w:val="1E90231B"/>
    <w:rsid w:val="1E926CA8"/>
    <w:rsid w:val="1E990AA4"/>
    <w:rsid w:val="1E9A7771"/>
    <w:rsid w:val="1EAE454F"/>
    <w:rsid w:val="1EB3600A"/>
    <w:rsid w:val="1EBA1146"/>
    <w:rsid w:val="1EBC6B1F"/>
    <w:rsid w:val="1EBF0CFF"/>
    <w:rsid w:val="1EC024D4"/>
    <w:rsid w:val="1EC44754"/>
    <w:rsid w:val="1EC93137"/>
    <w:rsid w:val="1EC975DB"/>
    <w:rsid w:val="1ECC2C27"/>
    <w:rsid w:val="1ECE3F75"/>
    <w:rsid w:val="1ED02718"/>
    <w:rsid w:val="1ED84022"/>
    <w:rsid w:val="1EE05092"/>
    <w:rsid w:val="1EE12DE6"/>
    <w:rsid w:val="1EEC67B8"/>
    <w:rsid w:val="1EED151B"/>
    <w:rsid w:val="1EF60CD0"/>
    <w:rsid w:val="1F0F0C33"/>
    <w:rsid w:val="1F162AD1"/>
    <w:rsid w:val="1F1F71FB"/>
    <w:rsid w:val="1F316F2E"/>
    <w:rsid w:val="1F3C5FFF"/>
    <w:rsid w:val="1F446C62"/>
    <w:rsid w:val="1F494278"/>
    <w:rsid w:val="1F5426F5"/>
    <w:rsid w:val="1F543CF5"/>
    <w:rsid w:val="1F552C1D"/>
    <w:rsid w:val="1F613A9F"/>
    <w:rsid w:val="1F6C54C8"/>
    <w:rsid w:val="1F777037"/>
    <w:rsid w:val="1F7F413E"/>
    <w:rsid w:val="1F8C32B1"/>
    <w:rsid w:val="1F994BCD"/>
    <w:rsid w:val="1FBC7140"/>
    <w:rsid w:val="1FCC72D0"/>
    <w:rsid w:val="1FD06747"/>
    <w:rsid w:val="1FD46237"/>
    <w:rsid w:val="1FD60202"/>
    <w:rsid w:val="1FD9439E"/>
    <w:rsid w:val="1FE707E5"/>
    <w:rsid w:val="1FE7539E"/>
    <w:rsid w:val="1FED10A7"/>
    <w:rsid w:val="1FF16DE9"/>
    <w:rsid w:val="2015483D"/>
    <w:rsid w:val="201D2D1F"/>
    <w:rsid w:val="2031368A"/>
    <w:rsid w:val="20370F4A"/>
    <w:rsid w:val="205D622D"/>
    <w:rsid w:val="206375BB"/>
    <w:rsid w:val="20671BE0"/>
    <w:rsid w:val="2069535D"/>
    <w:rsid w:val="20715E21"/>
    <w:rsid w:val="20717F2A"/>
    <w:rsid w:val="2081406E"/>
    <w:rsid w:val="20825C93"/>
    <w:rsid w:val="20827A42"/>
    <w:rsid w:val="20926958"/>
    <w:rsid w:val="20963CB8"/>
    <w:rsid w:val="209B6D55"/>
    <w:rsid w:val="209D590E"/>
    <w:rsid w:val="20A57BD4"/>
    <w:rsid w:val="20A81A1B"/>
    <w:rsid w:val="20B07FB6"/>
    <w:rsid w:val="20B56069"/>
    <w:rsid w:val="20B646FB"/>
    <w:rsid w:val="20BB0BC7"/>
    <w:rsid w:val="20BD5F59"/>
    <w:rsid w:val="20C51B0E"/>
    <w:rsid w:val="20C77B4A"/>
    <w:rsid w:val="20CA13E8"/>
    <w:rsid w:val="20D07FE6"/>
    <w:rsid w:val="20D109C9"/>
    <w:rsid w:val="20D372DB"/>
    <w:rsid w:val="20D529C8"/>
    <w:rsid w:val="20DA787E"/>
    <w:rsid w:val="20E06D46"/>
    <w:rsid w:val="20F070A1"/>
    <w:rsid w:val="20F16975"/>
    <w:rsid w:val="20F43005"/>
    <w:rsid w:val="20FB77F4"/>
    <w:rsid w:val="21052421"/>
    <w:rsid w:val="21204701"/>
    <w:rsid w:val="2120725A"/>
    <w:rsid w:val="21224D81"/>
    <w:rsid w:val="21240AF9"/>
    <w:rsid w:val="21253199"/>
    <w:rsid w:val="212D20A3"/>
    <w:rsid w:val="212E5253"/>
    <w:rsid w:val="213608D5"/>
    <w:rsid w:val="2136219A"/>
    <w:rsid w:val="213B74B1"/>
    <w:rsid w:val="21415B4F"/>
    <w:rsid w:val="21470C8B"/>
    <w:rsid w:val="21552B06"/>
    <w:rsid w:val="215A2310"/>
    <w:rsid w:val="21690C01"/>
    <w:rsid w:val="216E6218"/>
    <w:rsid w:val="21717AB6"/>
    <w:rsid w:val="2173382E"/>
    <w:rsid w:val="217E28FF"/>
    <w:rsid w:val="217F6677"/>
    <w:rsid w:val="21A12149"/>
    <w:rsid w:val="21B00675"/>
    <w:rsid w:val="21B5306A"/>
    <w:rsid w:val="21B7196D"/>
    <w:rsid w:val="21C43D85"/>
    <w:rsid w:val="21CA5B44"/>
    <w:rsid w:val="21CB71C6"/>
    <w:rsid w:val="21D459F9"/>
    <w:rsid w:val="21DE318A"/>
    <w:rsid w:val="21E169EA"/>
    <w:rsid w:val="21E8421C"/>
    <w:rsid w:val="21EA1D42"/>
    <w:rsid w:val="21EB1616"/>
    <w:rsid w:val="21ED7575"/>
    <w:rsid w:val="21EF5B80"/>
    <w:rsid w:val="21FE5C62"/>
    <w:rsid w:val="22087C6F"/>
    <w:rsid w:val="22244B28"/>
    <w:rsid w:val="222D1C2F"/>
    <w:rsid w:val="222D4935"/>
    <w:rsid w:val="222F07BD"/>
    <w:rsid w:val="222F3BF9"/>
    <w:rsid w:val="223C39BF"/>
    <w:rsid w:val="224D407F"/>
    <w:rsid w:val="224F7DF7"/>
    <w:rsid w:val="2257460A"/>
    <w:rsid w:val="22576990"/>
    <w:rsid w:val="225863F2"/>
    <w:rsid w:val="226118D9"/>
    <w:rsid w:val="22613274"/>
    <w:rsid w:val="22635651"/>
    <w:rsid w:val="22680EB9"/>
    <w:rsid w:val="226D755F"/>
    <w:rsid w:val="22835CF3"/>
    <w:rsid w:val="22910CB0"/>
    <w:rsid w:val="22981E0A"/>
    <w:rsid w:val="229E0D7F"/>
    <w:rsid w:val="22B10AB2"/>
    <w:rsid w:val="22C35EAF"/>
    <w:rsid w:val="22CB778D"/>
    <w:rsid w:val="22CE33D3"/>
    <w:rsid w:val="22CF0F38"/>
    <w:rsid w:val="22D14CB0"/>
    <w:rsid w:val="22DF561F"/>
    <w:rsid w:val="22E5075C"/>
    <w:rsid w:val="22E75880"/>
    <w:rsid w:val="22E83DA8"/>
    <w:rsid w:val="22EE34BB"/>
    <w:rsid w:val="22F369D5"/>
    <w:rsid w:val="22F47480"/>
    <w:rsid w:val="22F8093D"/>
    <w:rsid w:val="22F8223D"/>
    <w:rsid w:val="22F83FEB"/>
    <w:rsid w:val="22F92EA7"/>
    <w:rsid w:val="23031F0A"/>
    <w:rsid w:val="23047A11"/>
    <w:rsid w:val="2309269C"/>
    <w:rsid w:val="23103EFD"/>
    <w:rsid w:val="23164DB9"/>
    <w:rsid w:val="23166B67"/>
    <w:rsid w:val="231A305C"/>
    <w:rsid w:val="231D1CA3"/>
    <w:rsid w:val="23290648"/>
    <w:rsid w:val="233174FD"/>
    <w:rsid w:val="23474F72"/>
    <w:rsid w:val="2359221F"/>
    <w:rsid w:val="235C6C70"/>
    <w:rsid w:val="235D6544"/>
    <w:rsid w:val="23751ADF"/>
    <w:rsid w:val="23757D31"/>
    <w:rsid w:val="237D73A1"/>
    <w:rsid w:val="23856442"/>
    <w:rsid w:val="238D507B"/>
    <w:rsid w:val="238F736E"/>
    <w:rsid w:val="23966EEA"/>
    <w:rsid w:val="23977CA8"/>
    <w:rsid w:val="23AC2838"/>
    <w:rsid w:val="23B05984"/>
    <w:rsid w:val="23C23B95"/>
    <w:rsid w:val="23C44815"/>
    <w:rsid w:val="23D06D16"/>
    <w:rsid w:val="23D31501"/>
    <w:rsid w:val="23DE1C48"/>
    <w:rsid w:val="23E1433B"/>
    <w:rsid w:val="23E55854"/>
    <w:rsid w:val="23EF2469"/>
    <w:rsid w:val="23F522EE"/>
    <w:rsid w:val="23FB1453"/>
    <w:rsid w:val="240210CD"/>
    <w:rsid w:val="24084702"/>
    <w:rsid w:val="24123284"/>
    <w:rsid w:val="24127AC4"/>
    <w:rsid w:val="242515DF"/>
    <w:rsid w:val="242552B4"/>
    <w:rsid w:val="24341D04"/>
    <w:rsid w:val="24380BEA"/>
    <w:rsid w:val="244054FC"/>
    <w:rsid w:val="24442916"/>
    <w:rsid w:val="244D0366"/>
    <w:rsid w:val="2450331E"/>
    <w:rsid w:val="245142FB"/>
    <w:rsid w:val="24683C5B"/>
    <w:rsid w:val="246851A0"/>
    <w:rsid w:val="246B4C91"/>
    <w:rsid w:val="246C4610"/>
    <w:rsid w:val="246E1F18"/>
    <w:rsid w:val="247B5098"/>
    <w:rsid w:val="24807432"/>
    <w:rsid w:val="24816262"/>
    <w:rsid w:val="248A2B54"/>
    <w:rsid w:val="248B7B1A"/>
    <w:rsid w:val="248C728E"/>
    <w:rsid w:val="24A501A2"/>
    <w:rsid w:val="24B324D0"/>
    <w:rsid w:val="24B45064"/>
    <w:rsid w:val="24B61093"/>
    <w:rsid w:val="24B65F0C"/>
    <w:rsid w:val="24B95A52"/>
    <w:rsid w:val="24BF09F7"/>
    <w:rsid w:val="24C83E91"/>
    <w:rsid w:val="24CD76F9"/>
    <w:rsid w:val="24D34D10"/>
    <w:rsid w:val="24E45DA7"/>
    <w:rsid w:val="24E61397"/>
    <w:rsid w:val="24E707BB"/>
    <w:rsid w:val="24EA11A8"/>
    <w:rsid w:val="24F50E8C"/>
    <w:rsid w:val="24FC6743"/>
    <w:rsid w:val="24FE24F0"/>
    <w:rsid w:val="250D053D"/>
    <w:rsid w:val="251D678D"/>
    <w:rsid w:val="252235A1"/>
    <w:rsid w:val="25236E94"/>
    <w:rsid w:val="252962E2"/>
    <w:rsid w:val="252D53FE"/>
    <w:rsid w:val="25321BD9"/>
    <w:rsid w:val="253A6E09"/>
    <w:rsid w:val="253B299A"/>
    <w:rsid w:val="254C2D14"/>
    <w:rsid w:val="254E083A"/>
    <w:rsid w:val="25535E50"/>
    <w:rsid w:val="2554491A"/>
    <w:rsid w:val="25592D3B"/>
    <w:rsid w:val="255A0F8D"/>
    <w:rsid w:val="255E4103"/>
    <w:rsid w:val="255F47F5"/>
    <w:rsid w:val="2568206E"/>
    <w:rsid w:val="2568667C"/>
    <w:rsid w:val="257D2ECD"/>
    <w:rsid w:val="258F5A9A"/>
    <w:rsid w:val="259326F1"/>
    <w:rsid w:val="259D3570"/>
    <w:rsid w:val="25CC351A"/>
    <w:rsid w:val="25DF37DF"/>
    <w:rsid w:val="25E20F82"/>
    <w:rsid w:val="25EB42DB"/>
    <w:rsid w:val="25EC2D81"/>
    <w:rsid w:val="25ED1E01"/>
    <w:rsid w:val="25F018F1"/>
    <w:rsid w:val="25F72C80"/>
    <w:rsid w:val="26025181"/>
    <w:rsid w:val="260D0749"/>
    <w:rsid w:val="2636704F"/>
    <w:rsid w:val="26373D44"/>
    <w:rsid w:val="263A2F04"/>
    <w:rsid w:val="26495B5B"/>
    <w:rsid w:val="264B6B28"/>
    <w:rsid w:val="264D0AF2"/>
    <w:rsid w:val="2652698E"/>
    <w:rsid w:val="26661BB3"/>
    <w:rsid w:val="266A5519"/>
    <w:rsid w:val="267047E0"/>
    <w:rsid w:val="26727555"/>
    <w:rsid w:val="26773DC1"/>
    <w:rsid w:val="268B161A"/>
    <w:rsid w:val="268D7140"/>
    <w:rsid w:val="268F3578"/>
    <w:rsid w:val="269308AC"/>
    <w:rsid w:val="269F0C21"/>
    <w:rsid w:val="26A41361"/>
    <w:rsid w:val="26AE0144"/>
    <w:rsid w:val="26AF355A"/>
    <w:rsid w:val="26B162F5"/>
    <w:rsid w:val="26B40A03"/>
    <w:rsid w:val="26B9204F"/>
    <w:rsid w:val="26BD5C77"/>
    <w:rsid w:val="26C03072"/>
    <w:rsid w:val="26C50688"/>
    <w:rsid w:val="26D42FC1"/>
    <w:rsid w:val="26D66D39"/>
    <w:rsid w:val="26DD7C86"/>
    <w:rsid w:val="26DE5D97"/>
    <w:rsid w:val="26DF2C3F"/>
    <w:rsid w:val="26F40F6D"/>
    <w:rsid w:val="26F91C8F"/>
    <w:rsid w:val="27004421"/>
    <w:rsid w:val="270259F8"/>
    <w:rsid w:val="270278E7"/>
    <w:rsid w:val="270D7755"/>
    <w:rsid w:val="270F224B"/>
    <w:rsid w:val="271635D9"/>
    <w:rsid w:val="271F42F5"/>
    <w:rsid w:val="27225ADA"/>
    <w:rsid w:val="27233601"/>
    <w:rsid w:val="27281ED1"/>
    <w:rsid w:val="27346553"/>
    <w:rsid w:val="273612DB"/>
    <w:rsid w:val="273C2F55"/>
    <w:rsid w:val="273E2729"/>
    <w:rsid w:val="273F48DE"/>
    <w:rsid w:val="27545CC0"/>
    <w:rsid w:val="27604855"/>
    <w:rsid w:val="27642706"/>
    <w:rsid w:val="2769199A"/>
    <w:rsid w:val="276A6F9C"/>
    <w:rsid w:val="277057A2"/>
    <w:rsid w:val="277701EC"/>
    <w:rsid w:val="2778394C"/>
    <w:rsid w:val="27870033"/>
    <w:rsid w:val="278A123C"/>
    <w:rsid w:val="278C73F8"/>
    <w:rsid w:val="279462AC"/>
    <w:rsid w:val="27A209C9"/>
    <w:rsid w:val="27BC1792"/>
    <w:rsid w:val="27C7477A"/>
    <w:rsid w:val="27CF5E60"/>
    <w:rsid w:val="27D74B17"/>
    <w:rsid w:val="27DA4FCA"/>
    <w:rsid w:val="27DC13F0"/>
    <w:rsid w:val="27EC60E8"/>
    <w:rsid w:val="27F826EB"/>
    <w:rsid w:val="27FC68F0"/>
    <w:rsid w:val="28090A48"/>
    <w:rsid w:val="28111CB8"/>
    <w:rsid w:val="281A7247"/>
    <w:rsid w:val="28294F99"/>
    <w:rsid w:val="282D4176"/>
    <w:rsid w:val="28305FD5"/>
    <w:rsid w:val="28357A8F"/>
    <w:rsid w:val="28373807"/>
    <w:rsid w:val="283A50A6"/>
    <w:rsid w:val="283E7D0C"/>
    <w:rsid w:val="284101E2"/>
    <w:rsid w:val="28413440"/>
    <w:rsid w:val="28417B1C"/>
    <w:rsid w:val="284276C0"/>
    <w:rsid w:val="284D03D7"/>
    <w:rsid w:val="28506677"/>
    <w:rsid w:val="28520641"/>
    <w:rsid w:val="28582BE0"/>
    <w:rsid w:val="28702875"/>
    <w:rsid w:val="28722A91"/>
    <w:rsid w:val="287300B3"/>
    <w:rsid w:val="28773CA1"/>
    <w:rsid w:val="2879797C"/>
    <w:rsid w:val="28810F26"/>
    <w:rsid w:val="28841EF2"/>
    <w:rsid w:val="28861EB0"/>
    <w:rsid w:val="28893937"/>
    <w:rsid w:val="288D1679"/>
    <w:rsid w:val="289A78F2"/>
    <w:rsid w:val="289C18BC"/>
    <w:rsid w:val="289E4F72"/>
    <w:rsid w:val="28A349F9"/>
    <w:rsid w:val="28A36AB9"/>
    <w:rsid w:val="28A40771"/>
    <w:rsid w:val="28A54C15"/>
    <w:rsid w:val="28A864B3"/>
    <w:rsid w:val="28AD63A0"/>
    <w:rsid w:val="28B409B4"/>
    <w:rsid w:val="28B872A1"/>
    <w:rsid w:val="28BE433A"/>
    <w:rsid w:val="28C52BC1"/>
    <w:rsid w:val="28DE0127"/>
    <w:rsid w:val="28F11C08"/>
    <w:rsid w:val="28F811E9"/>
    <w:rsid w:val="29047EBC"/>
    <w:rsid w:val="29206EB8"/>
    <w:rsid w:val="29241954"/>
    <w:rsid w:val="293253E8"/>
    <w:rsid w:val="29347D47"/>
    <w:rsid w:val="293E5DCA"/>
    <w:rsid w:val="29421AD6"/>
    <w:rsid w:val="29475CCC"/>
    <w:rsid w:val="29521EA0"/>
    <w:rsid w:val="295250C8"/>
    <w:rsid w:val="29561E3C"/>
    <w:rsid w:val="29595666"/>
    <w:rsid w:val="295B1778"/>
    <w:rsid w:val="2961371B"/>
    <w:rsid w:val="296643D8"/>
    <w:rsid w:val="297B506E"/>
    <w:rsid w:val="29803CD8"/>
    <w:rsid w:val="298536B5"/>
    <w:rsid w:val="29874881"/>
    <w:rsid w:val="29916F47"/>
    <w:rsid w:val="299B499C"/>
    <w:rsid w:val="299D769A"/>
    <w:rsid w:val="299F4C7B"/>
    <w:rsid w:val="29A05952"/>
    <w:rsid w:val="29AD49D4"/>
    <w:rsid w:val="29B63E38"/>
    <w:rsid w:val="29C42E79"/>
    <w:rsid w:val="29D67050"/>
    <w:rsid w:val="29E325E0"/>
    <w:rsid w:val="29F14252"/>
    <w:rsid w:val="29FE7B47"/>
    <w:rsid w:val="2A097EDE"/>
    <w:rsid w:val="2A0E1DFA"/>
    <w:rsid w:val="2A1C0F07"/>
    <w:rsid w:val="2A3E2317"/>
    <w:rsid w:val="2A4346E5"/>
    <w:rsid w:val="2A452503"/>
    <w:rsid w:val="2A467D32"/>
    <w:rsid w:val="2A552199"/>
    <w:rsid w:val="2A5D507B"/>
    <w:rsid w:val="2A6B59EA"/>
    <w:rsid w:val="2A756BC7"/>
    <w:rsid w:val="2A787A01"/>
    <w:rsid w:val="2A7E11EF"/>
    <w:rsid w:val="2A95126D"/>
    <w:rsid w:val="2AB4113F"/>
    <w:rsid w:val="2ABA427C"/>
    <w:rsid w:val="2ABC3423"/>
    <w:rsid w:val="2ABF79A3"/>
    <w:rsid w:val="2AC82E3D"/>
    <w:rsid w:val="2ACF41CB"/>
    <w:rsid w:val="2AD210CD"/>
    <w:rsid w:val="2AD662EE"/>
    <w:rsid w:val="2AE412F9"/>
    <w:rsid w:val="2AE5754B"/>
    <w:rsid w:val="2AE97A83"/>
    <w:rsid w:val="2AED24C6"/>
    <w:rsid w:val="2AF83661"/>
    <w:rsid w:val="2AFF139B"/>
    <w:rsid w:val="2AFF7566"/>
    <w:rsid w:val="2B013817"/>
    <w:rsid w:val="2B0D0D38"/>
    <w:rsid w:val="2B193698"/>
    <w:rsid w:val="2B1D5318"/>
    <w:rsid w:val="2B1E0CAF"/>
    <w:rsid w:val="2B1F25C2"/>
    <w:rsid w:val="2B2C49D8"/>
    <w:rsid w:val="2B2D2CA0"/>
    <w:rsid w:val="2B373B1E"/>
    <w:rsid w:val="2B3B360F"/>
    <w:rsid w:val="2B4104F9"/>
    <w:rsid w:val="2B4472E1"/>
    <w:rsid w:val="2B485D2C"/>
    <w:rsid w:val="2B4D50F0"/>
    <w:rsid w:val="2B5E7908"/>
    <w:rsid w:val="2B631F9F"/>
    <w:rsid w:val="2B6F32B8"/>
    <w:rsid w:val="2B726905"/>
    <w:rsid w:val="2B844FB6"/>
    <w:rsid w:val="2B925164"/>
    <w:rsid w:val="2BA74800"/>
    <w:rsid w:val="2BA936A8"/>
    <w:rsid w:val="2BB1567F"/>
    <w:rsid w:val="2BCC2D4B"/>
    <w:rsid w:val="2BD3073D"/>
    <w:rsid w:val="2BD870AF"/>
    <w:rsid w:val="2BE01947"/>
    <w:rsid w:val="2BE03BB0"/>
    <w:rsid w:val="2BF533E7"/>
    <w:rsid w:val="2BFB4B4C"/>
    <w:rsid w:val="2BFD2672"/>
    <w:rsid w:val="2C0D3D8E"/>
    <w:rsid w:val="2C114269"/>
    <w:rsid w:val="2C131E96"/>
    <w:rsid w:val="2C1A76C8"/>
    <w:rsid w:val="2C1E6CCC"/>
    <w:rsid w:val="2C245E51"/>
    <w:rsid w:val="2C29368A"/>
    <w:rsid w:val="2C29790B"/>
    <w:rsid w:val="2C315A5A"/>
    <w:rsid w:val="2C33608E"/>
    <w:rsid w:val="2C3655AF"/>
    <w:rsid w:val="2C396FCF"/>
    <w:rsid w:val="2C424529"/>
    <w:rsid w:val="2C467225"/>
    <w:rsid w:val="2C492527"/>
    <w:rsid w:val="2C4B1C25"/>
    <w:rsid w:val="2C520C10"/>
    <w:rsid w:val="2C527DA2"/>
    <w:rsid w:val="2C66290D"/>
    <w:rsid w:val="2C67650C"/>
    <w:rsid w:val="2C6E41E1"/>
    <w:rsid w:val="2C785A0E"/>
    <w:rsid w:val="2C7F6617"/>
    <w:rsid w:val="2C8837FB"/>
    <w:rsid w:val="2C8D1001"/>
    <w:rsid w:val="2CA32B17"/>
    <w:rsid w:val="2CA93306"/>
    <w:rsid w:val="2CAC0E70"/>
    <w:rsid w:val="2CBA0563"/>
    <w:rsid w:val="2CBA6005"/>
    <w:rsid w:val="2CC118F2"/>
    <w:rsid w:val="2CC345EF"/>
    <w:rsid w:val="2CC413E2"/>
    <w:rsid w:val="2CD51841"/>
    <w:rsid w:val="2CDD4252"/>
    <w:rsid w:val="2CE117E4"/>
    <w:rsid w:val="2CE61358"/>
    <w:rsid w:val="2CFF57DD"/>
    <w:rsid w:val="2D1063D5"/>
    <w:rsid w:val="2D141D2F"/>
    <w:rsid w:val="2D197316"/>
    <w:rsid w:val="2D1A1B91"/>
    <w:rsid w:val="2D297497"/>
    <w:rsid w:val="2D39592C"/>
    <w:rsid w:val="2D3C47CE"/>
    <w:rsid w:val="2D452523"/>
    <w:rsid w:val="2D46629B"/>
    <w:rsid w:val="2D4C43EC"/>
    <w:rsid w:val="2D574004"/>
    <w:rsid w:val="2D5E66CC"/>
    <w:rsid w:val="2D727270"/>
    <w:rsid w:val="2D772123"/>
    <w:rsid w:val="2D7801B3"/>
    <w:rsid w:val="2D7C1CBC"/>
    <w:rsid w:val="2D8079FF"/>
    <w:rsid w:val="2D8868B3"/>
    <w:rsid w:val="2D8D5DD8"/>
    <w:rsid w:val="2D9D235F"/>
    <w:rsid w:val="2D9E56F5"/>
    <w:rsid w:val="2DA4664B"/>
    <w:rsid w:val="2DAE26E1"/>
    <w:rsid w:val="2DB03710"/>
    <w:rsid w:val="2DB11966"/>
    <w:rsid w:val="2DB15E8A"/>
    <w:rsid w:val="2DB43204"/>
    <w:rsid w:val="2DB85B51"/>
    <w:rsid w:val="2DBE1471"/>
    <w:rsid w:val="2DD13DB6"/>
    <w:rsid w:val="2DE9470A"/>
    <w:rsid w:val="2DF301D1"/>
    <w:rsid w:val="2DF64649"/>
    <w:rsid w:val="2DF83A39"/>
    <w:rsid w:val="2DFD77D0"/>
    <w:rsid w:val="2E075A2A"/>
    <w:rsid w:val="2E0833ED"/>
    <w:rsid w:val="2E084AD9"/>
    <w:rsid w:val="2E0B5AC1"/>
    <w:rsid w:val="2E0C222D"/>
    <w:rsid w:val="2E1078B5"/>
    <w:rsid w:val="2E141575"/>
    <w:rsid w:val="2E260CA3"/>
    <w:rsid w:val="2E262354"/>
    <w:rsid w:val="2E310CF9"/>
    <w:rsid w:val="2E447470"/>
    <w:rsid w:val="2E532A1D"/>
    <w:rsid w:val="2E644C2A"/>
    <w:rsid w:val="2E667F96"/>
    <w:rsid w:val="2E7A52A4"/>
    <w:rsid w:val="2E8226AB"/>
    <w:rsid w:val="2E861689"/>
    <w:rsid w:val="2E8838A9"/>
    <w:rsid w:val="2E91633E"/>
    <w:rsid w:val="2E9D1C0D"/>
    <w:rsid w:val="2EB03048"/>
    <w:rsid w:val="2EB31F63"/>
    <w:rsid w:val="2EB45BB2"/>
    <w:rsid w:val="2EBB06A6"/>
    <w:rsid w:val="2EBB3162"/>
    <w:rsid w:val="2EBC434A"/>
    <w:rsid w:val="2EBC6814"/>
    <w:rsid w:val="2EBD258D"/>
    <w:rsid w:val="2EC658E5"/>
    <w:rsid w:val="2EDF0755"/>
    <w:rsid w:val="2EF57F78"/>
    <w:rsid w:val="2EFF2BA5"/>
    <w:rsid w:val="2EFF7065"/>
    <w:rsid w:val="2F0106CB"/>
    <w:rsid w:val="2F032695"/>
    <w:rsid w:val="2F0361F1"/>
    <w:rsid w:val="2F05640D"/>
    <w:rsid w:val="2F097B4B"/>
    <w:rsid w:val="2F0D0E1E"/>
    <w:rsid w:val="2F112E73"/>
    <w:rsid w:val="2F1403FE"/>
    <w:rsid w:val="2F256978"/>
    <w:rsid w:val="2F3565C7"/>
    <w:rsid w:val="2F36051C"/>
    <w:rsid w:val="2F406858"/>
    <w:rsid w:val="2F44456A"/>
    <w:rsid w:val="2F572ED3"/>
    <w:rsid w:val="2F5E78CC"/>
    <w:rsid w:val="2F642A08"/>
    <w:rsid w:val="2F6D7B0F"/>
    <w:rsid w:val="2F715851"/>
    <w:rsid w:val="2F7B4B0E"/>
    <w:rsid w:val="2F82274A"/>
    <w:rsid w:val="2F824CD4"/>
    <w:rsid w:val="2F8A06C1"/>
    <w:rsid w:val="2F963995"/>
    <w:rsid w:val="2F987D63"/>
    <w:rsid w:val="2F9A3429"/>
    <w:rsid w:val="2F9C21A2"/>
    <w:rsid w:val="2FAA2B11"/>
    <w:rsid w:val="2FB67708"/>
    <w:rsid w:val="2FBC25A1"/>
    <w:rsid w:val="2FC77388"/>
    <w:rsid w:val="2FD065E6"/>
    <w:rsid w:val="2FD602BF"/>
    <w:rsid w:val="2FD96870"/>
    <w:rsid w:val="2FDA7A94"/>
    <w:rsid w:val="2FDF1E0C"/>
    <w:rsid w:val="2FE222AB"/>
    <w:rsid w:val="2FEC4ED7"/>
    <w:rsid w:val="300466C5"/>
    <w:rsid w:val="30054E44"/>
    <w:rsid w:val="3011493E"/>
    <w:rsid w:val="3011597F"/>
    <w:rsid w:val="301306B6"/>
    <w:rsid w:val="30191A45"/>
    <w:rsid w:val="30236579"/>
    <w:rsid w:val="302567CF"/>
    <w:rsid w:val="30275F10"/>
    <w:rsid w:val="30283CC0"/>
    <w:rsid w:val="302A24F4"/>
    <w:rsid w:val="30442F65"/>
    <w:rsid w:val="30466CDD"/>
    <w:rsid w:val="30474804"/>
    <w:rsid w:val="304B1C2B"/>
    <w:rsid w:val="304C1E1A"/>
    <w:rsid w:val="304E7940"/>
    <w:rsid w:val="305455D1"/>
    <w:rsid w:val="30580BC9"/>
    <w:rsid w:val="305D4040"/>
    <w:rsid w:val="306A02BB"/>
    <w:rsid w:val="306D53A2"/>
    <w:rsid w:val="307A0735"/>
    <w:rsid w:val="307F314F"/>
    <w:rsid w:val="30850E88"/>
    <w:rsid w:val="308C7A8B"/>
    <w:rsid w:val="309D61D2"/>
    <w:rsid w:val="30A73B89"/>
    <w:rsid w:val="30AA6AC3"/>
    <w:rsid w:val="30AD76C5"/>
    <w:rsid w:val="30B05F05"/>
    <w:rsid w:val="30C419B0"/>
    <w:rsid w:val="30C544DE"/>
    <w:rsid w:val="30E402A4"/>
    <w:rsid w:val="30E958BB"/>
    <w:rsid w:val="30EB2193"/>
    <w:rsid w:val="30F20743"/>
    <w:rsid w:val="30F954FA"/>
    <w:rsid w:val="30FD7BE4"/>
    <w:rsid w:val="310271F1"/>
    <w:rsid w:val="31097D0B"/>
    <w:rsid w:val="31101099"/>
    <w:rsid w:val="31137E94"/>
    <w:rsid w:val="31197284"/>
    <w:rsid w:val="311E2ED7"/>
    <w:rsid w:val="31293F09"/>
    <w:rsid w:val="312E1520"/>
    <w:rsid w:val="31341A5B"/>
    <w:rsid w:val="31374878"/>
    <w:rsid w:val="314317CD"/>
    <w:rsid w:val="31462D0D"/>
    <w:rsid w:val="314D19A6"/>
    <w:rsid w:val="314D71F4"/>
    <w:rsid w:val="314F1BC2"/>
    <w:rsid w:val="31523460"/>
    <w:rsid w:val="315619EE"/>
    <w:rsid w:val="315C449C"/>
    <w:rsid w:val="316822DD"/>
    <w:rsid w:val="316A05FF"/>
    <w:rsid w:val="31705FC1"/>
    <w:rsid w:val="31741628"/>
    <w:rsid w:val="317433D6"/>
    <w:rsid w:val="31772EC7"/>
    <w:rsid w:val="31791556"/>
    <w:rsid w:val="317B34E1"/>
    <w:rsid w:val="31807FCD"/>
    <w:rsid w:val="31857392"/>
    <w:rsid w:val="3186310A"/>
    <w:rsid w:val="319C46DB"/>
    <w:rsid w:val="31A46478"/>
    <w:rsid w:val="31A7070D"/>
    <w:rsid w:val="31B1225D"/>
    <w:rsid w:val="31B639EF"/>
    <w:rsid w:val="31B77104"/>
    <w:rsid w:val="31B82709"/>
    <w:rsid w:val="31B97805"/>
    <w:rsid w:val="31BA656E"/>
    <w:rsid w:val="31BC1696"/>
    <w:rsid w:val="31CA1248"/>
    <w:rsid w:val="31D05482"/>
    <w:rsid w:val="31D10829"/>
    <w:rsid w:val="31D36CF7"/>
    <w:rsid w:val="31D70084"/>
    <w:rsid w:val="31E77411"/>
    <w:rsid w:val="3203475A"/>
    <w:rsid w:val="32036508"/>
    <w:rsid w:val="3207424B"/>
    <w:rsid w:val="320A3D3B"/>
    <w:rsid w:val="322040CC"/>
    <w:rsid w:val="32286055"/>
    <w:rsid w:val="322A7F39"/>
    <w:rsid w:val="322F2170"/>
    <w:rsid w:val="323636BE"/>
    <w:rsid w:val="323925D6"/>
    <w:rsid w:val="32400B34"/>
    <w:rsid w:val="324234D5"/>
    <w:rsid w:val="32472899"/>
    <w:rsid w:val="324A339B"/>
    <w:rsid w:val="324E00CB"/>
    <w:rsid w:val="324E3C27"/>
    <w:rsid w:val="32552373"/>
    <w:rsid w:val="325A536B"/>
    <w:rsid w:val="32786EF6"/>
    <w:rsid w:val="328533C1"/>
    <w:rsid w:val="32863E13"/>
    <w:rsid w:val="32894C60"/>
    <w:rsid w:val="328E671A"/>
    <w:rsid w:val="32935ADE"/>
    <w:rsid w:val="32935F4F"/>
    <w:rsid w:val="32947BD3"/>
    <w:rsid w:val="32981347"/>
    <w:rsid w:val="329E6876"/>
    <w:rsid w:val="32AC4DF2"/>
    <w:rsid w:val="32AD754F"/>
    <w:rsid w:val="32B23188"/>
    <w:rsid w:val="32B2344D"/>
    <w:rsid w:val="32BD2D68"/>
    <w:rsid w:val="32C20633"/>
    <w:rsid w:val="32C30F5E"/>
    <w:rsid w:val="32C77F94"/>
    <w:rsid w:val="32C959A4"/>
    <w:rsid w:val="32D14858"/>
    <w:rsid w:val="32DF0D23"/>
    <w:rsid w:val="32E4788E"/>
    <w:rsid w:val="32F6289F"/>
    <w:rsid w:val="32F93915"/>
    <w:rsid w:val="3301513E"/>
    <w:rsid w:val="33163F42"/>
    <w:rsid w:val="331C5AD4"/>
    <w:rsid w:val="331F7372"/>
    <w:rsid w:val="332B3F69"/>
    <w:rsid w:val="333015F2"/>
    <w:rsid w:val="3332126F"/>
    <w:rsid w:val="33370B5F"/>
    <w:rsid w:val="3342280B"/>
    <w:rsid w:val="334B6320"/>
    <w:rsid w:val="335334BF"/>
    <w:rsid w:val="335A65FC"/>
    <w:rsid w:val="33770F5C"/>
    <w:rsid w:val="337C3265"/>
    <w:rsid w:val="33833DA5"/>
    <w:rsid w:val="338D4C23"/>
    <w:rsid w:val="33953AD8"/>
    <w:rsid w:val="339903EC"/>
    <w:rsid w:val="33997B48"/>
    <w:rsid w:val="339B778A"/>
    <w:rsid w:val="33A3446E"/>
    <w:rsid w:val="33B112DE"/>
    <w:rsid w:val="33B73A4E"/>
    <w:rsid w:val="33C0140A"/>
    <w:rsid w:val="33C619A7"/>
    <w:rsid w:val="33C70135"/>
    <w:rsid w:val="33D53ED4"/>
    <w:rsid w:val="33D934D4"/>
    <w:rsid w:val="33DC34B5"/>
    <w:rsid w:val="33E12879"/>
    <w:rsid w:val="33F21521"/>
    <w:rsid w:val="33FE2F6A"/>
    <w:rsid w:val="340E07E5"/>
    <w:rsid w:val="3419336C"/>
    <w:rsid w:val="341B3FDD"/>
    <w:rsid w:val="34235BF7"/>
    <w:rsid w:val="34270BD4"/>
    <w:rsid w:val="34360E17"/>
    <w:rsid w:val="343B2752"/>
    <w:rsid w:val="34452E08"/>
    <w:rsid w:val="34473D81"/>
    <w:rsid w:val="3451510B"/>
    <w:rsid w:val="345530C9"/>
    <w:rsid w:val="345D45F6"/>
    <w:rsid w:val="346040E6"/>
    <w:rsid w:val="346C4839"/>
    <w:rsid w:val="346F60D7"/>
    <w:rsid w:val="34786D65"/>
    <w:rsid w:val="34845565"/>
    <w:rsid w:val="3488553B"/>
    <w:rsid w:val="348A6ADD"/>
    <w:rsid w:val="349017D8"/>
    <w:rsid w:val="34A00986"/>
    <w:rsid w:val="34A044E2"/>
    <w:rsid w:val="34AE292D"/>
    <w:rsid w:val="34B14942"/>
    <w:rsid w:val="34C44675"/>
    <w:rsid w:val="34CB7C0B"/>
    <w:rsid w:val="34CC3529"/>
    <w:rsid w:val="34CD6267"/>
    <w:rsid w:val="34CD748C"/>
    <w:rsid w:val="34D16B44"/>
    <w:rsid w:val="34DA19A7"/>
    <w:rsid w:val="34DA2C58"/>
    <w:rsid w:val="34EF5AD1"/>
    <w:rsid w:val="34FB46C2"/>
    <w:rsid w:val="34FD36E3"/>
    <w:rsid w:val="35042CC3"/>
    <w:rsid w:val="35082542"/>
    <w:rsid w:val="350C08BE"/>
    <w:rsid w:val="350C7DCA"/>
    <w:rsid w:val="3513447B"/>
    <w:rsid w:val="351C49CB"/>
    <w:rsid w:val="353D0C81"/>
    <w:rsid w:val="3547448A"/>
    <w:rsid w:val="35492DCC"/>
    <w:rsid w:val="354D08D2"/>
    <w:rsid w:val="355157DD"/>
    <w:rsid w:val="35584DBD"/>
    <w:rsid w:val="35624D04"/>
    <w:rsid w:val="35641B31"/>
    <w:rsid w:val="35677CB6"/>
    <w:rsid w:val="356C00B9"/>
    <w:rsid w:val="35736B2F"/>
    <w:rsid w:val="35747E49"/>
    <w:rsid w:val="35812566"/>
    <w:rsid w:val="35883CDB"/>
    <w:rsid w:val="358A4684"/>
    <w:rsid w:val="358A7C9F"/>
    <w:rsid w:val="358B6F41"/>
    <w:rsid w:val="358C5FA8"/>
    <w:rsid w:val="35987D06"/>
    <w:rsid w:val="359A3628"/>
    <w:rsid w:val="35A1013E"/>
    <w:rsid w:val="35AF7046"/>
    <w:rsid w:val="35BB0DCB"/>
    <w:rsid w:val="35C15DF1"/>
    <w:rsid w:val="35C44201"/>
    <w:rsid w:val="35C50D90"/>
    <w:rsid w:val="35C54315"/>
    <w:rsid w:val="35C67F79"/>
    <w:rsid w:val="35CB37E1"/>
    <w:rsid w:val="35DE7FD8"/>
    <w:rsid w:val="35E36D7D"/>
    <w:rsid w:val="35EF5721"/>
    <w:rsid w:val="35F83E9E"/>
    <w:rsid w:val="35F965A0"/>
    <w:rsid w:val="35FE67E5"/>
    <w:rsid w:val="36050AA1"/>
    <w:rsid w:val="36074A7F"/>
    <w:rsid w:val="360B0081"/>
    <w:rsid w:val="360D3DFA"/>
    <w:rsid w:val="360D630F"/>
    <w:rsid w:val="360E18DF"/>
    <w:rsid w:val="361433DA"/>
    <w:rsid w:val="36145188"/>
    <w:rsid w:val="361B1B0D"/>
    <w:rsid w:val="361C228F"/>
    <w:rsid w:val="361E1B63"/>
    <w:rsid w:val="362058DB"/>
    <w:rsid w:val="362A675A"/>
    <w:rsid w:val="362D7FF8"/>
    <w:rsid w:val="3637518B"/>
    <w:rsid w:val="363B53DF"/>
    <w:rsid w:val="364517E5"/>
    <w:rsid w:val="364F4412"/>
    <w:rsid w:val="36507E0C"/>
    <w:rsid w:val="3651512A"/>
    <w:rsid w:val="365B6913"/>
    <w:rsid w:val="365C2D8C"/>
    <w:rsid w:val="365D0365"/>
    <w:rsid w:val="3660217B"/>
    <w:rsid w:val="36662AAD"/>
    <w:rsid w:val="366C6D72"/>
    <w:rsid w:val="36747D11"/>
    <w:rsid w:val="36782CE1"/>
    <w:rsid w:val="36785717"/>
    <w:rsid w:val="367D1C99"/>
    <w:rsid w:val="36826596"/>
    <w:rsid w:val="36857E34"/>
    <w:rsid w:val="36914A2B"/>
    <w:rsid w:val="3692068D"/>
    <w:rsid w:val="36923549"/>
    <w:rsid w:val="36981915"/>
    <w:rsid w:val="36987B67"/>
    <w:rsid w:val="36A06A1C"/>
    <w:rsid w:val="36A864C7"/>
    <w:rsid w:val="36AB56CE"/>
    <w:rsid w:val="36B75FBF"/>
    <w:rsid w:val="36BD0C45"/>
    <w:rsid w:val="36C2145E"/>
    <w:rsid w:val="36C56482"/>
    <w:rsid w:val="36CA1CEB"/>
    <w:rsid w:val="36CA5847"/>
    <w:rsid w:val="36CB704A"/>
    <w:rsid w:val="36CC482B"/>
    <w:rsid w:val="36D05553"/>
    <w:rsid w:val="36DA0180"/>
    <w:rsid w:val="36EA7C97"/>
    <w:rsid w:val="36F23231"/>
    <w:rsid w:val="36F60FCC"/>
    <w:rsid w:val="36F9612C"/>
    <w:rsid w:val="36FB00F6"/>
    <w:rsid w:val="36FD79CA"/>
    <w:rsid w:val="3705648E"/>
    <w:rsid w:val="370944C7"/>
    <w:rsid w:val="370B67E0"/>
    <w:rsid w:val="370F669F"/>
    <w:rsid w:val="37192788"/>
    <w:rsid w:val="373026BB"/>
    <w:rsid w:val="3733163E"/>
    <w:rsid w:val="37335AE2"/>
    <w:rsid w:val="37390C2F"/>
    <w:rsid w:val="373D24BC"/>
    <w:rsid w:val="37405B09"/>
    <w:rsid w:val="37517D16"/>
    <w:rsid w:val="37620175"/>
    <w:rsid w:val="376A384F"/>
    <w:rsid w:val="376F4F56"/>
    <w:rsid w:val="37755CB2"/>
    <w:rsid w:val="3784633D"/>
    <w:rsid w:val="3789092E"/>
    <w:rsid w:val="378A1A60"/>
    <w:rsid w:val="379E2857"/>
    <w:rsid w:val="37A147F9"/>
    <w:rsid w:val="37AE5168"/>
    <w:rsid w:val="37BC7885"/>
    <w:rsid w:val="37BD53AB"/>
    <w:rsid w:val="37C404E8"/>
    <w:rsid w:val="37C61224"/>
    <w:rsid w:val="37C9300B"/>
    <w:rsid w:val="37E00298"/>
    <w:rsid w:val="37E56DDC"/>
    <w:rsid w:val="37E82428"/>
    <w:rsid w:val="37E868CC"/>
    <w:rsid w:val="37EA43F2"/>
    <w:rsid w:val="37EA4F24"/>
    <w:rsid w:val="37F25303"/>
    <w:rsid w:val="37F60FE9"/>
    <w:rsid w:val="38082ACA"/>
    <w:rsid w:val="3809216C"/>
    <w:rsid w:val="3817332C"/>
    <w:rsid w:val="38185EAC"/>
    <w:rsid w:val="381B0A50"/>
    <w:rsid w:val="381E22EE"/>
    <w:rsid w:val="382673F4"/>
    <w:rsid w:val="382B67B9"/>
    <w:rsid w:val="382F62A9"/>
    <w:rsid w:val="38392C84"/>
    <w:rsid w:val="383A256E"/>
    <w:rsid w:val="383F3657"/>
    <w:rsid w:val="38422C1B"/>
    <w:rsid w:val="38446E79"/>
    <w:rsid w:val="384D672F"/>
    <w:rsid w:val="385201EA"/>
    <w:rsid w:val="3864475C"/>
    <w:rsid w:val="38765C86"/>
    <w:rsid w:val="387939C8"/>
    <w:rsid w:val="387E0FDF"/>
    <w:rsid w:val="387E2D8D"/>
    <w:rsid w:val="3882513D"/>
    <w:rsid w:val="388365F5"/>
    <w:rsid w:val="38860C91"/>
    <w:rsid w:val="38884DA4"/>
    <w:rsid w:val="388859B9"/>
    <w:rsid w:val="388F2F70"/>
    <w:rsid w:val="389600D6"/>
    <w:rsid w:val="38961E84"/>
    <w:rsid w:val="38991974"/>
    <w:rsid w:val="38995E18"/>
    <w:rsid w:val="38997BC6"/>
    <w:rsid w:val="389B5166"/>
    <w:rsid w:val="38AC3CFF"/>
    <w:rsid w:val="38AC5B4C"/>
    <w:rsid w:val="38B302F9"/>
    <w:rsid w:val="38C77FB9"/>
    <w:rsid w:val="38CB12D5"/>
    <w:rsid w:val="38CC7F9C"/>
    <w:rsid w:val="38CF5396"/>
    <w:rsid w:val="38D45631"/>
    <w:rsid w:val="38DE55D9"/>
    <w:rsid w:val="38EB256D"/>
    <w:rsid w:val="38EF191E"/>
    <w:rsid w:val="38F02E41"/>
    <w:rsid w:val="38F12CD3"/>
    <w:rsid w:val="38F8669B"/>
    <w:rsid w:val="38F94775"/>
    <w:rsid w:val="390E7466"/>
    <w:rsid w:val="39116875"/>
    <w:rsid w:val="391D07F7"/>
    <w:rsid w:val="391D4354"/>
    <w:rsid w:val="391F3F3A"/>
    <w:rsid w:val="39213C0B"/>
    <w:rsid w:val="39216897"/>
    <w:rsid w:val="39292CF8"/>
    <w:rsid w:val="392971ED"/>
    <w:rsid w:val="39317DFF"/>
    <w:rsid w:val="39325651"/>
    <w:rsid w:val="39396EC4"/>
    <w:rsid w:val="393B2A2C"/>
    <w:rsid w:val="393B3C5A"/>
    <w:rsid w:val="393C6ED0"/>
    <w:rsid w:val="393E3E02"/>
    <w:rsid w:val="393F42CA"/>
    <w:rsid w:val="3947398A"/>
    <w:rsid w:val="39483B33"/>
    <w:rsid w:val="3956276E"/>
    <w:rsid w:val="39587A5F"/>
    <w:rsid w:val="395D082E"/>
    <w:rsid w:val="395E1AD0"/>
    <w:rsid w:val="395F4958"/>
    <w:rsid w:val="39616936"/>
    <w:rsid w:val="39671A73"/>
    <w:rsid w:val="396E4BAF"/>
    <w:rsid w:val="3977257D"/>
    <w:rsid w:val="398118CC"/>
    <w:rsid w:val="3986639D"/>
    <w:rsid w:val="398B5761"/>
    <w:rsid w:val="39900FC9"/>
    <w:rsid w:val="39AC6244"/>
    <w:rsid w:val="39AF5FDE"/>
    <w:rsid w:val="39BF18AF"/>
    <w:rsid w:val="39C15B2A"/>
    <w:rsid w:val="39C96289"/>
    <w:rsid w:val="39CD7CFC"/>
    <w:rsid w:val="39DE1D35"/>
    <w:rsid w:val="39E74354"/>
    <w:rsid w:val="39EB26A4"/>
    <w:rsid w:val="39EE7DC0"/>
    <w:rsid w:val="39F258B2"/>
    <w:rsid w:val="39F72DF7"/>
    <w:rsid w:val="39F96B6F"/>
    <w:rsid w:val="39FE4185"/>
    <w:rsid w:val="3A0A215A"/>
    <w:rsid w:val="3A1044C2"/>
    <w:rsid w:val="3A1E65D5"/>
    <w:rsid w:val="3A2317DB"/>
    <w:rsid w:val="3A2B4E42"/>
    <w:rsid w:val="3A2B6F44"/>
    <w:rsid w:val="3A347BA7"/>
    <w:rsid w:val="3A377697"/>
    <w:rsid w:val="3A4B3142"/>
    <w:rsid w:val="3A6132E0"/>
    <w:rsid w:val="3A645BBF"/>
    <w:rsid w:val="3A647D60"/>
    <w:rsid w:val="3A686A7E"/>
    <w:rsid w:val="3A7E7241"/>
    <w:rsid w:val="3A804B9A"/>
    <w:rsid w:val="3A872856"/>
    <w:rsid w:val="3A8D23F6"/>
    <w:rsid w:val="3A9F49E0"/>
    <w:rsid w:val="3AA06FEA"/>
    <w:rsid w:val="3AAA1667"/>
    <w:rsid w:val="3AAC38BC"/>
    <w:rsid w:val="3AB24F6F"/>
    <w:rsid w:val="3AB4611D"/>
    <w:rsid w:val="3AB6680E"/>
    <w:rsid w:val="3ACC4A2B"/>
    <w:rsid w:val="3AD931A3"/>
    <w:rsid w:val="3ADA5906"/>
    <w:rsid w:val="3AE07D2F"/>
    <w:rsid w:val="3AEA4709"/>
    <w:rsid w:val="3AF235BE"/>
    <w:rsid w:val="3AF37A62"/>
    <w:rsid w:val="3AFE1F63"/>
    <w:rsid w:val="3B082DE1"/>
    <w:rsid w:val="3B1D2F01"/>
    <w:rsid w:val="3B225C51"/>
    <w:rsid w:val="3B2903B1"/>
    <w:rsid w:val="3B2976F1"/>
    <w:rsid w:val="3B36794F"/>
    <w:rsid w:val="3B3763D1"/>
    <w:rsid w:val="3B381919"/>
    <w:rsid w:val="3B39113B"/>
    <w:rsid w:val="3B4007CD"/>
    <w:rsid w:val="3B5129DA"/>
    <w:rsid w:val="3B556027"/>
    <w:rsid w:val="3B573492"/>
    <w:rsid w:val="3B583D69"/>
    <w:rsid w:val="3B6B445D"/>
    <w:rsid w:val="3B7566C9"/>
    <w:rsid w:val="3B8438B4"/>
    <w:rsid w:val="3B8763FC"/>
    <w:rsid w:val="3B92419E"/>
    <w:rsid w:val="3B9603ED"/>
    <w:rsid w:val="3B9823B7"/>
    <w:rsid w:val="3B9F6B70"/>
    <w:rsid w:val="3BA174BE"/>
    <w:rsid w:val="3BA66882"/>
    <w:rsid w:val="3BAD1C8A"/>
    <w:rsid w:val="3BAE3989"/>
    <w:rsid w:val="3BB23479"/>
    <w:rsid w:val="3BB46272"/>
    <w:rsid w:val="3BB645EB"/>
    <w:rsid w:val="3BC1190E"/>
    <w:rsid w:val="3BCF69FF"/>
    <w:rsid w:val="3BDF1D94"/>
    <w:rsid w:val="3BE21884"/>
    <w:rsid w:val="3BE64ED1"/>
    <w:rsid w:val="3BE70C49"/>
    <w:rsid w:val="3C0812EB"/>
    <w:rsid w:val="3C1852A6"/>
    <w:rsid w:val="3C2B6D87"/>
    <w:rsid w:val="3C2F6E1E"/>
    <w:rsid w:val="3C320116"/>
    <w:rsid w:val="3C38549C"/>
    <w:rsid w:val="3C387AAE"/>
    <w:rsid w:val="3C424269"/>
    <w:rsid w:val="3C465856"/>
    <w:rsid w:val="3C4F64BA"/>
    <w:rsid w:val="3C591B47"/>
    <w:rsid w:val="3C5938F5"/>
    <w:rsid w:val="3C603026"/>
    <w:rsid w:val="3C6B187A"/>
    <w:rsid w:val="3C897F0F"/>
    <w:rsid w:val="3C8A7F52"/>
    <w:rsid w:val="3C9708C1"/>
    <w:rsid w:val="3C9963E7"/>
    <w:rsid w:val="3CA737D7"/>
    <w:rsid w:val="3CAB31D6"/>
    <w:rsid w:val="3CAB7EC8"/>
    <w:rsid w:val="3CB52AF5"/>
    <w:rsid w:val="3CBA1FCF"/>
    <w:rsid w:val="3CC505C3"/>
    <w:rsid w:val="3CC80EB2"/>
    <w:rsid w:val="3CCE5883"/>
    <w:rsid w:val="3CD63197"/>
    <w:rsid w:val="3CD92C87"/>
    <w:rsid w:val="3CDA245A"/>
    <w:rsid w:val="3CEF3F1E"/>
    <w:rsid w:val="3CEF6007"/>
    <w:rsid w:val="3CFB0E50"/>
    <w:rsid w:val="3D006466"/>
    <w:rsid w:val="3D0A4BEF"/>
    <w:rsid w:val="3D1130C9"/>
    <w:rsid w:val="3D1B6DFC"/>
    <w:rsid w:val="3D1C254B"/>
    <w:rsid w:val="3D1E06B7"/>
    <w:rsid w:val="3D2008B6"/>
    <w:rsid w:val="3D29776B"/>
    <w:rsid w:val="3D347EBE"/>
    <w:rsid w:val="3D3829F1"/>
    <w:rsid w:val="3D3A62D8"/>
    <w:rsid w:val="3D4072AC"/>
    <w:rsid w:val="3D506527"/>
    <w:rsid w:val="3D560569"/>
    <w:rsid w:val="3D5F13DF"/>
    <w:rsid w:val="3D632551"/>
    <w:rsid w:val="3D65451B"/>
    <w:rsid w:val="3D67016E"/>
    <w:rsid w:val="3D684847"/>
    <w:rsid w:val="3D691B62"/>
    <w:rsid w:val="3D7A7FC6"/>
    <w:rsid w:val="3D7D7AB7"/>
    <w:rsid w:val="3D7F5B69"/>
    <w:rsid w:val="3D8611EF"/>
    <w:rsid w:val="3D883E24"/>
    <w:rsid w:val="3D884009"/>
    <w:rsid w:val="3D8B49B0"/>
    <w:rsid w:val="3D8B6010"/>
    <w:rsid w:val="3D98044D"/>
    <w:rsid w:val="3DA45043"/>
    <w:rsid w:val="3DAD1691"/>
    <w:rsid w:val="3DAD3404"/>
    <w:rsid w:val="3DAE1A1E"/>
    <w:rsid w:val="3DB22A85"/>
    <w:rsid w:val="3DC456E6"/>
    <w:rsid w:val="3DC92CFC"/>
    <w:rsid w:val="3DEB4EDD"/>
    <w:rsid w:val="3DED6027"/>
    <w:rsid w:val="3DF97B11"/>
    <w:rsid w:val="3E014244"/>
    <w:rsid w:val="3E104487"/>
    <w:rsid w:val="3E23240C"/>
    <w:rsid w:val="3E287A22"/>
    <w:rsid w:val="3E2B7513"/>
    <w:rsid w:val="3E2D328B"/>
    <w:rsid w:val="3E3B1129"/>
    <w:rsid w:val="3E427218"/>
    <w:rsid w:val="3E510064"/>
    <w:rsid w:val="3E5B3EC1"/>
    <w:rsid w:val="3E636CAD"/>
    <w:rsid w:val="3E66054B"/>
    <w:rsid w:val="3E693B97"/>
    <w:rsid w:val="3E703D80"/>
    <w:rsid w:val="3E7843DA"/>
    <w:rsid w:val="3E86299B"/>
    <w:rsid w:val="3E970704"/>
    <w:rsid w:val="3EA11583"/>
    <w:rsid w:val="3EB017C6"/>
    <w:rsid w:val="3EBF3660"/>
    <w:rsid w:val="3EC040FF"/>
    <w:rsid w:val="3EDA0523"/>
    <w:rsid w:val="3EDE6333"/>
    <w:rsid w:val="3EE80F60"/>
    <w:rsid w:val="3EEC1527"/>
    <w:rsid w:val="3EEC4EF4"/>
    <w:rsid w:val="3EEF0540"/>
    <w:rsid w:val="3EF17A19"/>
    <w:rsid w:val="3F0044FB"/>
    <w:rsid w:val="3F022EF8"/>
    <w:rsid w:val="3F143BA5"/>
    <w:rsid w:val="3F18735D"/>
    <w:rsid w:val="3F317F68"/>
    <w:rsid w:val="3F3348D1"/>
    <w:rsid w:val="3F3B2034"/>
    <w:rsid w:val="3F3B2293"/>
    <w:rsid w:val="3F3D74FE"/>
    <w:rsid w:val="3F5E19DF"/>
    <w:rsid w:val="3F5F0BD5"/>
    <w:rsid w:val="3F6007E6"/>
    <w:rsid w:val="3F6825E9"/>
    <w:rsid w:val="3F6C7497"/>
    <w:rsid w:val="3F926717"/>
    <w:rsid w:val="3F9D1D4A"/>
    <w:rsid w:val="3FA5475E"/>
    <w:rsid w:val="3FA6322C"/>
    <w:rsid w:val="3FAA26B9"/>
    <w:rsid w:val="3FB3156E"/>
    <w:rsid w:val="3FC4377B"/>
    <w:rsid w:val="3FC7326B"/>
    <w:rsid w:val="3FCD3D57"/>
    <w:rsid w:val="3FD13783"/>
    <w:rsid w:val="3FD85478"/>
    <w:rsid w:val="3FDF4AF7"/>
    <w:rsid w:val="400242A3"/>
    <w:rsid w:val="400503F5"/>
    <w:rsid w:val="400D3374"/>
    <w:rsid w:val="400F62C2"/>
    <w:rsid w:val="40153FD6"/>
    <w:rsid w:val="4024246B"/>
    <w:rsid w:val="40277FDB"/>
    <w:rsid w:val="402B37FA"/>
    <w:rsid w:val="40330524"/>
    <w:rsid w:val="40364F60"/>
    <w:rsid w:val="40375844"/>
    <w:rsid w:val="404C551E"/>
    <w:rsid w:val="405014B2"/>
    <w:rsid w:val="405C1C05"/>
    <w:rsid w:val="40630A6C"/>
    <w:rsid w:val="40703903"/>
    <w:rsid w:val="407451A1"/>
    <w:rsid w:val="40796BE7"/>
    <w:rsid w:val="407A6407"/>
    <w:rsid w:val="407F3B46"/>
    <w:rsid w:val="40832DFB"/>
    <w:rsid w:val="408F2AA8"/>
    <w:rsid w:val="40A24042"/>
    <w:rsid w:val="40AD06B3"/>
    <w:rsid w:val="40BB2E9A"/>
    <w:rsid w:val="40C003E6"/>
    <w:rsid w:val="40D55514"/>
    <w:rsid w:val="40D75F52"/>
    <w:rsid w:val="40D774DE"/>
    <w:rsid w:val="40DE261A"/>
    <w:rsid w:val="40E1798C"/>
    <w:rsid w:val="40F621C4"/>
    <w:rsid w:val="41006A35"/>
    <w:rsid w:val="4105229D"/>
    <w:rsid w:val="41067DC3"/>
    <w:rsid w:val="41171FD0"/>
    <w:rsid w:val="412546ED"/>
    <w:rsid w:val="412638ED"/>
    <w:rsid w:val="412D5350"/>
    <w:rsid w:val="41306BEE"/>
    <w:rsid w:val="41330D5D"/>
    <w:rsid w:val="413606A8"/>
    <w:rsid w:val="413D1A37"/>
    <w:rsid w:val="413F04E4"/>
    <w:rsid w:val="414803DC"/>
    <w:rsid w:val="41481085"/>
    <w:rsid w:val="414C2F42"/>
    <w:rsid w:val="415F164C"/>
    <w:rsid w:val="41676AB4"/>
    <w:rsid w:val="417D5732"/>
    <w:rsid w:val="418F576A"/>
    <w:rsid w:val="41923405"/>
    <w:rsid w:val="41A03D74"/>
    <w:rsid w:val="41A33D27"/>
    <w:rsid w:val="41AA2E44"/>
    <w:rsid w:val="41B33F1B"/>
    <w:rsid w:val="41BA6CCB"/>
    <w:rsid w:val="41BB0BAE"/>
    <w:rsid w:val="41BB6E00"/>
    <w:rsid w:val="41CC380A"/>
    <w:rsid w:val="41CD4292"/>
    <w:rsid w:val="41E873F6"/>
    <w:rsid w:val="41EF42DB"/>
    <w:rsid w:val="41F27A3D"/>
    <w:rsid w:val="41FD11C6"/>
    <w:rsid w:val="41FD2F74"/>
    <w:rsid w:val="4200449D"/>
    <w:rsid w:val="42022339"/>
    <w:rsid w:val="42026F12"/>
    <w:rsid w:val="4208159F"/>
    <w:rsid w:val="42102F2D"/>
    <w:rsid w:val="42193A6A"/>
    <w:rsid w:val="42246753"/>
    <w:rsid w:val="42277FF1"/>
    <w:rsid w:val="422A6FDF"/>
    <w:rsid w:val="422E75D1"/>
    <w:rsid w:val="42312C1E"/>
    <w:rsid w:val="4235270E"/>
    <w:rsid w:val="423A3BCC"/>
    <w:rsid w:val="424567FD"/>
    <w:rsid w:val="424E57D2"/>
    <w:rsid w:val="42641245"/>
    <w:rsid w:val="42664FBD"/>
    <w:rsid w:val="42714171"/>
    <w:rsid w:val="427174BE"/>
    <w:rsid w:val="428471F1"/>
    <w:rsid w:val="42864F1C"/>
    <w:rsid w:val="428E5496"/>
    <w:rsid w:val="42941572"/>
    <w:rsid w:val="42957651"/>
    <w:rsid w:val="42997ACA"/>
    <w:rsid w:val="42AD4959"/>
    <w:rsid w:val="42B07FE6"/>
    <w:rsid w:val="42B26C49"/>
    <w:rsid w:val="42B34BC3"/>
    <w:rsid w:val="42B41B20"/>
    <w:rsid w:val="42B9371C"/>
    <w:rsid w:val="42CE7F3B"/>
    <w:rsid w:val="42D27778"/>
    <w:rsid w:val="42D71A17"/>
    <w:rsid w:val="42DA6A53"/>
    <w:rsid w:val="42DE2DA6"/>
    <w:rsid w:val="42E3660E"/>
    <w:rsid w:val="42F92D27"/>
    <w:rsid w:val="43056584"/>
    <w:rsid w:val="430B1A01"/>
    <w:rsid w:val="43122A4F"/>
    <w:rsid w:val="43270E5B"/>
    <w:rsid w:val="432D3D9A"/>
    <w:rsid w:val="43340C18"/>
    <w:rsid w:val="433A6FE6"/>
    <w:rsid w:val="433C56F1"/>
    <w:rsid w:val="43413334"/>
    <w:rsid w:val="43462E22"/>
    <w:rsid w:val="43480868"/>
    <w:rsid w:val="4349673C"/>
    <w:rsid w:val="434D3A87"/>
    <w:rsid w:val="434F5A51"/>
    <w:rsid w:val="4350713C"/>
    <w:rsid w:val="435412BA"/>
    <w:rsid w:val="435766B4"/>
    <w:rsid w:val="435C1F1C"/>
    <w:rsid w:val="435E5C94"/>
    <w:rsid w:val="43615785"/>
    <w:rsid w:val="43635059"/>
    <w:rsid w:val="43642B49"/>
    <w:rsid w:val="436653E0"/>
    <w:rsid w:val="436E55D2"/>
    <w:rsid w:val="436F7EA2"/>
    <w:rsid w:val="43740074"/>
    <w:rsid w:val="437454B8"/>
    <w:rsid w:val="438356FB"/>
    <w:rsid w:val="43864FE1"/>
    <w:rsid w:val="438C2802"/>
    <w:rsid w:val="4392593E"/>
    <w:rsid w:val="439356A2"/>
    <w:rsid w:val="43963731"/>
    <w:rsid w:val="43A10F2E"/>
    <w:rsid w:val="43A35F21"/>
    <w:rsid w:val="43AC4C52"/>
    <w:rsid w:val="43BC29BB"/>
    <w:rsid w:val="43C006FD"/>
    <w:rsid w:val="43C24475"/>
    <w:rsid w:val="43C4431A"/>
    <w:rsid w:val="43C55D14"/>
    <w:rsid w:val="43E9173C"/>
    <w:rsid w:val="43EA7528"/>
    <w:rsid w:val="44064FEB"/>
    <w:rsid w:val="441141A2"/>
    <w:rsid w:val="44135FBC"/>
    <w:rsid w:val="441B5933"/>
    <w:rsid w:val="4422118E"/>
    <w:rsid w:val="44254648"/>
    <w:rsid w:val="44352E99"/>
    <w:rsid w:val="443D139E"/>
    <w:rsid w:val="443D1D4E"/>
    <w:rsid w:val="443F7042"/>
    <w:rsid w:val="44450C02"/>
    <w:rsid w:val="44466E54"/>
    <w:rsid w:val="4447497A"/>
    <w:rsid w:val="445216D4"/>
    <w:rsid w:val="445A46AE"/>
    <w:rsid w:val="445E033A"/>
    <w:rsid w:val="44627A06"/>
    <w:rsid w:val="44654E01"/>
    <w:rsid w:val="44726589"/>
    <w:rsid w:val="44755079"/>
    <w:rsid w:val="447E61CC"/>
    <w:rsid w:val="44822BC8"/>
    <w:rsid w:val="448B7A5F"/>
    <w:rsid w:val="44A11F53"/>
    <w:rsid w:val="44A678F3"/>
    <w:rsid w:val="44A746D4"/>
    <w:rsid w:val="44B00772"/>
    <w:rsid w:val="44B951CC"/>
    <w:rsid w:val="44BC0EC5"/>
    <w:rsid w:val="44BD10DE"/>
    <w:rsid w:val="44C1472D"/>
    <w:rsid w:val="44C2239D"/>
    <w:rsid w:val="44CD14E0"/>
    <w:rsid w:val="44CE1986"/>
    <w:rsid w:val="44D02A19"/>
    <w:rsid w:val="44D35094"/>
    <w:rsid w:val="44DD0E3B"/>
    <w:rsid w:val="44E1092B"/>
    <w:rsid w:val="44E126D9"/>
    <w:rsid w:val="44E95A32"/>
    <w:rsid w:val="44EE0237"/>
    <w:rsid w:val="44EE3048"/>
    <w:rsid w:val="44F20B0B"/>
    <w:rsid w:val="44FC7FF2"/>
    <w:rsid w:val="44FE772F"/>
    <w:rsid w:val="45060CA3"/>
    <w:rsid w:val="450E7246"/>
    <w:rsid w:val="45176C9A"/>
    <w:rsid w:val="452A0524"/>
    <w:rsid w:val="452C56B4"/>
    <w:rsid w:val="452E5F4C"/>
    <w:rsid w:val="45321187"/>
    <w:rsid w:val="4537637C"/>
    <w:rsid w:val="4541586E"/>
    <w:rsid w:val="45490368"/>
    <w:rsid w:val="45575091"/>
    <w:rsid w:val="45612018"/>
    <w:rsid w:val="45615679"/>
    <w:rsid w:val="4565330A"/>
    <w:rsid w:val="456E3E5C"/>
    <w:rsid w:val="456F4189"/>
    <w:rsid w:val="45723C79"/>
    <w:rsid w:val="45765517"/>
    <w:rsid w:val="4585575A"/>
    <w:rsid w:val="4587615A"/>
    <w:rsid w:val="4589206F"/>
    <w:rsid w:val="458946E9"/>
    <w:rsid w:val="458A4B1F"/>
    <w:rsid w:val="459B6D2C"/>
    <w:rsid w:val="45A01C4B"/>
    <w:rsid w:val="45A47C0E"/>
    <w:rsid w:val="45A959C8"/>
    <w:rsid w:val="45B918A8"/>
    <w:rsid w:val="45BB4C6F"/>
    <w:rsid w:val="45C049E4"/>
    <w:rsid w:val="45C344D5"/>
    <w:rsid w:val="45E76415"/>
    <w:rsid w:val="45E87A97"/>
    <w:rsid w:val="45F93B7A"/>
    <w:rsid w:val="45FC5788"/>
    <w:rsid w:val="460D74FE"/>
    <w:rsid w:val="46222FA9"/>
    <w:rsid w:val="463158E2"/>
    <w:rsid w:val="463552ED"/>
    <w:rsid w:val="463E3B5B"/>
    <w:rsid w:val="4646138E"/>
    <w:rsid w:val="46470C62"/>
    <w:rsid w:val="465025C4"/>
    <w:rsid w:val="46511AE0"/>
    <w:rsid w:val="46577FD6"/>
    <w:rsid w:val="465B1709"/>
    <w:rsid w:val="465B64BB"/>
    <w:rsid w:val="465E3EFC"/>
    <w:rsid w:val="466C2476"/>
    <w:rsid w:val="466E276A"/>
    <w:rsid w:val="4676240A"/>
    <w:rsid w:val="467947B1"/>
    <w:rsid w:val="467A2DE5"/>
    <w:rsid w:val="467F664E"/>
    <w:rsid w:val="469043B7"/>
    <w:rsid w:val="46957C1F"/>
    <w:rsid w:val="469B12D2"/>
    <w:rsid w:val="469C7200"/>
    <w:rsid w:val="469E0050"/>
    <w:rsid w:val="46A7512D"/>
    <w:rsid w:val="46B8390E"/>
    <w:rsid w:val="46B856BC"/>
    <w:rsid w:val="46BC32F1"/>
    <w:rsid w:val="46BF4C9C"/>
    <w:rsid w:val="46C10A14"/>
    <w:rsid w:val="46CD560B"/>
    <w:rsid w:val="46CF6E7E"/>
    <w:rsid w:val="46D955A7"/>
    <w:rsid w:val="46DB7844"/>
    <w:rsid w:val="46F10BCE"/>
    <w:rsid w:val="46FC37FA"/>
    <w:rsid w:val="47022DDB"/>
    <w:rsid w:val="470B3A79"/>
    <w:rsid w:val="47133957"/>
    <w:rsid w:val="47152B0E"/>
    <w:rsid w:val="47226FD9"/>
    <w:rsid w:val="47365C65"/>
    <w:rsid w:val="473A4323"/>
    <w:rsid w:val="4740402F"/>
    <w:rsid w:val="4743767B"/>
    <w:rsid w:val="474433F3"/>
    <w:rsid w:val="474C39E8"/>
    <w:rsid w:val="47550408"/>
    <w:rsid w:val="475A6773"/>
    <w:rsid w:val="475E0A4F"/>
    <w:rsid w:val="4760647F"/>
    <w:rsid w:val="47615D53"/>
    <w:rsid w:val="47653A95"/>
    <w:rsid w:val="476A366E"/>
    <w:rsid w:val="476B0561"/>
    <w:rsid w:val="476C1638"/>
    <w:rsid w:val="477C0DDF"/>
    <w:rsid w:val="47812A0D"/>
    <w:rsid w:val="478B1022"/>
    <w:rsid w:val="478F466E"/>
    <w:rsid w:val="47A07E0C"/>
    <w:rsid w:val="47A877C9"/>
    <w:rsid w:val="47B769D0"/>
    <w:rsid w:val="47B83CA0"/>
    <w:rsid w:val="47BD16E7"/>
    <w:rsid w:val="47C02A7A"/>
    <w:rsid w:val="47C94945"/>
    <w:rsid w:val="47CA56A6"/>
    <w:rsid w:val="47D12ED9"/>
    <w:rsid w:val="47D53D81"/>
    <w:rsid w:val="47E349BA"/>
    <w:rsid w:val="47E66258"/>
    <w:rsid w:val="47E73CC1"/>
    <w:rsid w:val="47E94C00"/>
    <w:rsid w:val="47ED75E7"/>
    <w:rsid w:val="47F91839"/>
    <w:rsid w:val="47F92050"/>
    <w:rsid w:val="48027536"/>
    <w:rsid w:val="48132FC6"/>
    <w:rsid w:val="481903DC"/>
    <w:rsid w:val="482E7B3D"/>
    <w:rsid w:val="483635A9"/>
    <w:rsid w:val="483E6094"/>
    <w:rsid w:val="4847487F"/>
    <w:rsid w:val="484F2050"/>
    <w:rsid w:val="485177A7"/>
    <w:rsid w:val="4860425D"/>
    <w:rsid w:val="4860600B"/>
    <w:rsid w:val="48614317"/>
    <w:rsid w:val="486763BD"/>
    <w:rsid w:val="48677399"/>
    <w:rsid w:val="486C0E54"/>
    <w:rsid w:val="486D5C93"/>
    <w:rsid w:val="4870272E"/>
    <w:rsid w:val="487B1097"/>
    <w:rsid w:val="488241D3"/>
    <w:rsid w:val="48853CC3"/>
    <w:rsid w:val="48855A71"/>
    <w:rsid w:val="48945CB4"/>
    <w:rsid w:val="489518A1"/>
    <w:rsid w:val="489839F7"/>
    <w:rsid w:val="48A24875"/>
    <w:rsid w:val="48A26623"/>
    <w:rsid w:val="48A310A3"/>
    <w:rsid w:val="48AC74A2"/>
    <w:rsid w:val="48B70667"/>
    <w:rsid w:val="48BA509D"/>
    <w:rsid w:val="48C23BAB"/>
    <w:rsid w:val="48C60564"/>
    <w:rsid w:val="48C617AB"/>
    <w:rsid w:val="48CB3DCC"/>
    <w:rsid w:val="48D6451F"/>
    <w:rsid w:val="48DD58AD"/>
    <w:rsid w:val="48E50A71"/>
    <w:rsid w:val="48EA3B26"/>
    <w:rsid w:val="48F27216"/>
    <w:rsid w:val="48F7696F"/>
    <w:rsid w:val="48F843EA"/>
    <w:rsid w:val="48FA020D"/>
    <w:rsid w:val="48FC21D7"/>
    <w:rsid w:val="49003E49"/>
    <w:rsid w:val="49033EF2"/>
    <w:rsid w:val="490A165B"/>
    <w:rsid w:val="49117305"/>
    <w:rsid w:val="49156DF5"/>
    <w:rsid w:val="4929037B"/>
    <w:rsid w:val="49290AF3"/>
    <w:rsid w:val="493354CD"/>
    <w:rsid w:val="49426F7A"/>
    <w:rsid w:val="494553E6"/>
    <w:rsid w:val="49481F84"/>
    <w:rsid w:val="494871CB"/>
    <w:rsid w:val="49557B3A"/>
    <w:rsid w:val="496B2686"/>
    <w:rsid w:val="496D4E83"/>
    <w:rsid w:val="497011BF"/>
    <w:rsid w:val="49792496"/>
    <w:rsid w:val="49816239"/>
    <w:rsid w:val="4987288B"/>
    <w:rsid w:val="49875CC7"/>
    <w:rsid w:val="49A01F26"/>
    <w:rsid w:val="49A02311"/>
    <w:rsid w:val="49AA5DC0"/>
    <w:rsid w:val="49BE123B"/>
    <w:rsid w:val="49C00CFF"/>
    <w:rsid w:val="49C468B5"/>
    <w:rsid w:val="49CD147E"/>
    <w:rsid w:val="49CF51F6"/>
    <w:rsid w:val="49D00F6E"/>
    <w:rsid w:val="49D51540"/>
    <w:rsid w:val="49D95ED1"/>
    <w:rsid w:val="49DC7715"/>
    <w:rsid w:val="49E2334A"/>
    <w:rsid w:val="49ED1B20"/>
    <w:rsid w:val="49ED64CA"/>
    <w:rsid w:val="49F92273"/>
    <w:rsid w:val="49FD12F9"/>
    <w:rsid w:val="4A023139"/>
    <w:rsid w:val="4A0808F4"/>
    <w:rsid w:val="4A0A4F59"/>
    <w:rsid w:val="4A0C644A"/>
    <w:rsid w:val="4A0D21C2"/>
    <w:rsid w:val="4A0E210D"/>
    <w:rsid w:val="4A1068A8"/>
    <w:rsid w:val="4A111CB3"/>
    <w:rsid w:val="4A121228"/>
    <w:rsid w:val="4A201EF6"/>
    <w:rsid w:val="4A2A4B22"/>
    <w:rsid w:val="4A2A68D0"/>
    <w:rsid w:val="4A314103"/>
    <w:rsid w:val="4A355474"/>
    <w:rsid w:val="4A376E0C"/>
    <w:rsid w:val="4A394D65"/>
    <w:rsid w:val="4A3A24A8"/>
    <w:rsid w:val="4A3B0C1C"/>
    <w:rsid w:val="4A3B6D2F"/>
    <w:rsid w:val="4A471230"/>
    <w:rsid w:val="4A525E27"/>
    <w:rsid w:val="4A541479"/>
    <w:rsid w:val="4A745D9D"/>
    <w:rsid w:val="4A7B576F"/>
    <w:rsid w:val="4A7E6C1C"/>
    <w:rsid w:val="4A8E07F8"/>
    <w:rsid w:val="4A8F0E29"/>
    <w:rsid w:val="4A8F4FD1"/>
    <w:rsid w:val="4A90136E"/>
    <w:rsid w:val="4A934476"/>
    <w:rsid w:val="4A985F30"/>
    <w:rsid w:val="4A9C3BCC"/>
    <w:rsid w:val="4AA2290B"/>
    <w:rsid w:val="4AAE04A2"/>
    <w:rsid w:val="4ABA40F8"/>
    <w:rsid w:val="4ABB1C1E"/>
    <w:rsid w:val="4AD66D74"/>
    <w:rsid w:val="4ADB5E1D"/>
    <w:rsid w:val="4ADE751A"/>
    <w:rsid w:val="4AE64290"/>
    <w:rsid w:val="4AF561A9"/>
    <w:rsid w:val="4AF9419C"/>
    <w:rsid w:val="4AFA2747"/>
    <w:rsid w:val="4AFD2951"/>
    <w:rsid w:val="4AFD5D93"/>
    <w:rsid w:val="4B06387A"/>
    <w:rsid w:val="4B0C5FD6"/>
    <w:rsid w:val="4B182BCD"/>
    <w:rsid w:val="4B1A6945"/>
    <w:rsid w:val="4B1D01E3"/>
    <w:rsid w:val="4B2658D4"/>
    <w:rsid w:val="4B271062"/>
    <w:rsid w:val="4B321EE0"/>
    <w:rsid w:val="4B3869E1"/>
    <w:rsid w:val="4B3B61D9"/>
    <w:rsid w:val="4B3C6D18"/>
    <w:rsid w:val="4B3D2633"/>
    <w:rsid w:val="4B490FD8"/>
    <w:rsid w:val="4B4F0714"/>
    <w:rsid w:val="4B517E8D"/>
    <w:rsid w:val="4B571947"/>
    <w:rsid w:val="4B5A4F93"/>
    <w:rsid w:val="4B6033C8"/>
    <w:rsid w:val="4B683BBC"/>
    <w:rsid w:val="4B705CD4"/>
    <w:rsid w:val="4B7476E5"/>
    <w:rsid w:val="4B780219"/>
    <w:rsid w:val="4B7B4D7B"/>
    <w:rsid w:val="4B7C315C"/>
    <w:rsid w:val="4B7F49FA"/>
    <w:rsid w:val="4B800EFD"/>
    <w:rsid w:val="4B8E10E1"/>
    <w:rsid w:val="4B906C07"/>
    <w:rsid w:val="4B92472D"/>
    <w:rsid w:val="4B9E1324"/>
    <w:rsid w:val="4BA81AEE"/>
    <w:rsid w:val="4BAA6E0C"/>
    <w:rsid w:val="4BAB57EF"/>
    <w:rsid w:val="4BB02E05"/>
    <w:rsid w:val="4BB23021"/>
    <w:rsid w:val="4BC4643C"/>
    <w:rsid w:val="4BCA036B"/>
    <w:rsid w:val="4BCD40B9"/>
    <w:rsid w:val="4BFA006A"/>
    <w:rsid w:val="4C0373D9"/>
    <w:rsid w:val="4C110018"/>
    <w:rsid w:val="4C1930A0"/>
    <w:rsid w:val="4C1D7300"/>
    <w:rsid w:val="4C213D03"/>
    <w:rsid w:val="4C23155C"/>
    <w:rsid w:val="4C2630C7"/>
    <w:rsid w:val="4C2D252F"/>
    <w:rsid w:val="4C453E95"/>
    <w:rsid w:val="4C4A0649"/>
    <w:rsid w:val="4C4A14AC"/>
    <w:rsid w:val="4C5365B2"/>
    <w:rsid w:val="4C5C2F8D"/>
    <w:rsid w:val="4C6A7458"/>
    <w:rsid w:val="4C787DC7"/>
    <w:rsid w:val="4C7E4CB1"/>
    <w:rsid w:val="4C7E5ECA"/>
    <w:rsid w:val="4C876AA5"/>
    <w:rsid w:val="4C8F5319"/>
    <w:rsid w:val="4C935908"/>
    <w:rsid w:val="4C9B1D07"/>
    <w:rsid w:val="4CA46E0E"/>
    <w:rsid w:val="4CA778DF"/>
    <w:rsid w:val="4CAC31FB"/>
    <w:rsid w:val="4CB66B41"/>
    <w:rsid w:val="4CBF59F6"/>
    <w:rsid w:val="4CC13379"/>
    <w:rsid w:val="4CC25702"/>
    <w:rsid w:val="4CC65150"/>
    <w:rsid w:val="4CCB5097"/>
    <w:rsid w:val="4CF01817"/>
    <w:rsid w:val="4CF17B79"/>
    <w:rsid w:val="4CF65190"/>
    <w:rsid w:val="4CFA4C80"/>
    <w:rsid w:val="4D057102"/>
    <w:rsid w:val="4D0E00FB"/>
    <w:rsid w:val="4D10167A"/>
    <w:rsid w:val="4D176606"/>
    <w:rsid w:val="4D1847D0"/>
    <w:rsid w:val="4D2A6BE7"/>
    <w:rsid w:val="4D2B1051"/>
    <w:rsid w:val="4D333CEE"/>
    <w:rsid w:val="4D341877"/>
    <w:rsid w:val="4D537EEC"/>
    <w:rsid w:val="4D597F92"/>
    <w:rsid w:val="4D5A571F"/>
    <w:rsid w:val="4D626958"/>
    <w:rsid w:val="4D6754C5"/>
    <w:rsid w:val="4D68704A"/>
    <w:rsid w:val="4D782049"/>
    <w:rsid w:val="4D875DE8"/>
    <w:rsid w:val="4DA466C0"/>
    <w:rsid w:val="4DBC3EF9"/>
    <w:rsid w:val="4DC808DA"/>
    <w:rsid w:val="4DD7069B"/>
    <w:rsid w:val="4DE17BEE"/>
    <w:rsid w:val="4DEB5083"/>
    <w:rsid w:val="4DEC4FB0"/>
    <w:rsid w:val="4DEF40B9"/>
    <w:rsid w:val="4DF3347D"/>
    <w:rsid w:val="4E0004C9"/>
    <w:rsid w:val="4E075D8A"/>
    <w:rsid w:val="4E0F02B7"/>
    <w:rsid w:val="4E2142A9"/>
    <w:rsid w:val="4E3221F7"/>
    <w:rsid w:val="4E3B5E95"/>
    <w:rsid w:val="4E485577"/>
    <w:rsid w:val="4E4F2DA9"/>
    <w:rsid w:val="4E55787C"/>
    <w:rsid w:val="4E5E5E34"/>
    <w:rsid w:val="4E6F037D"/>
    <w:rsid w:val="4E7520E4"/>
    <w:rsid w:val="4E782781"/>
    <w:rsid w:val="4E796078"/>
    <w:rsid w:val="4E7B594C"/>
    <w:rsid w:val="4E7B76FB"/>
    <w:rsid w:val="4E826828"/>
    <w:rsid w:val="4E9B0A6A"/>
    <w:rsid w:val="4EA46ACB"/>
    <w:rsid w:val="4EA824BA"/>
    <w:rsid w:val="4EAC34B0"/>
    <w:rsid w:val="4EAD6B8D"/>
    <w:rsid w:val="4EB350E6"/>
    <w:rsid w:val="4EB66985"/>
    <w:rsid w:val="4EC00FAD"/>
    <w:rsid w:val="4EC372F3"/>
    <w:rsid w:val="4EC5306C"/>
    <w:rsid w:val="4ED432AF"/>
    <w:rsid w:val="4ED55B31"/>
    <w:rsid w:val="4ED67027"/>
    <w:rsid w:val="4EDD0AB8"/>
    <w:rsid w:val="4EDD4928"/>
    <w:rsid w:val="4EE07EA5"/>
    <w:rsid w:val="4EEB5BF7"/>
    <w:rsid w:val="4EF456FF"/>
    <w:rsid w:val="4EFA0F0B"/>
    <w:rsid w:val="4EFB2EC4"/>
    <w:rsid w:val="4EFE25A7"/>
    <w:rsid w:val="4F0A41E7"/>
    <w:rsid w:val="4F161B19"/>
    <w:rsid w:val="4F18763F"/>
    <w:rsid w:val="4F192E39"/>
    <w:rsid w:val="4F265262"/>
    <w:rsid w:val="4F3C208C"/>
    <w:rsid w:val="4F4764B2"/>
    <w:rsid w:val="4F4915A7"/>
    <w:rsid w:val="4F542EE9"/>
    <w:rsid w:val="4F563CC4"/>
    <w:rsid w:val="4F5703EE"/>
    <w:rsid w:val="4F602896"/>
    <w:rsid w:val="4F604F02"/>
    <w:rsid w:val="4F6D6A9E"/>
    <w:rsid w:val="4F72357B"/>
    <w:rsid w:val="4F86199C"/>
    <w:rsid w:val="4F917B91"/>
    <w:rsid w:val="4F9843DC"/>
    <w:rsid w:val="4FA40ED3"/>
    <w:rsid w:val="4FAE58AE"/>
    <w:rsid w:val="4FBD186C"/>
    <w:rsid w:val="4FC15F66"/>
    <w:rsid w:val="4FC62A8C"/>
    <w:rsid w:val="4FC66381"/>
    <w:rsid w:val="4FC6709B"/>
    <w:rsid w:val="4FD95020"/>
    <w:rsid w:val="4FE20F0D"/>
    <w:rsid w:val="4FE51552"/>
    <w:rsid w:val="4FEE6CAE"/>
    <w:rsid w:val="4FF84D7B"/>
    <w:rsid w:val="50083210"/>
    <w:rsid w:val="50100316"/>
    <w:rsid w:val="50151DD1"/>
    <w:rsid w:val="501726BA"/>
    <w:rsid w:val="5022081D"/>
    <w:rsid w:val="50262A12"/>
    <w:rsid w:val="502722A4"/>
    <w:rsid w:val="5035488A"/>
    <w:rsid w:val="50504C4B"/>
    <w:rsid w:val="505A11B1"/>
    <w:rsid w:val="505A77E4"/>
    <w:rsid w:val="505C7A00"/>
    <w:rsid w:val="50650662"/>
    <w:rsid w:val="506C1787"/>
    <w:rsid w:val="506F14E1"/>
    <w:rsid w:val="5076286F"/>
    <w:rsid w:val="50783C11"/>
    <w:rsid w:val="5080765E"/>
    <w:rsid w:val="508A631B"/>
    <w:rsid w:val="508B5BEF"/>
    <w:rsid w:val="50973224"/>
    <w:rsid w:val="509755BF"/>
    <w:rsid w:val="5099038C"/>
    <w:rsid w:val="509C6E7C"/>
    <w:rsid w:val="509E3B74"/>
    <w:rsid w:val="50A141CB"/>
    <w:rsid w:val="50AD025B"/>
    <w:rsid w:val="50B15E8C"/>
    <w:rsid w:val="50B45146"/>
    <w:rsid w:val="50BB64D4"/>
    <w:rsid w:val="50BD049E"/>
    <w:rsid w:val="50E33C7D"/>
    <w:rsid w:val="50E35A2B"/>
    <w:rsid w:val="50E517A3"/>
    <w:rsid w:val="50F35F21"/>
    <w:rsid w:val="50F97DF7"/>
    <w:rsid w:val="50FF3888"/>
    <w:rsid w:val="51002139"/>
    <w:rsid w:val="510734C7"/>
    <w:rsid w:val="51090DE6"/>
    <w:rsid w:val="511E4CB5"/>
    <w:rsid w:val="511F5AA4"/>
    <w:rsid w:val="512A18AC"/>
    <w:rsid w:val="512F3DC2"/>
    <w:rsid w:val="513D671E"/>
    <w:rsid w:val="514A4593"/>
    <w:rsid w:val="51532BB1"/>
    <w:rsid w:val="5162104E"/>
    <w:rsid w:val="51730B5D"/>
    <w:rsid w:val="51791EEB"/>
    <w:rsid w:val="51862935"/>
    <w:rsid w:val="51912D1E"/>
    <w:rsid w:val="519F1952"/>
    <w:rsid w:val="51A52B12"/>
    <w:rsid w:val="51A60F32"/>
    <w:rsid w:val="51A770D1"/>
    <w:rsid w:val="51A80629"/>
    <w:rsid w:val="51A90A23"/>
    <w:rsid w:val="51AB3D3B"/>
    <w:rsid w:val="51B1007D"/>
    <w:rsid w:val="51B66831"/>
    <w:rsid w:val="51B94A72"/>
    <w:rsid w:val="51C63383"/>
    <w:rsid w:val="51C66B19"/>
    <w:rsid w:val="51D610EC"/>
    <w:rsid w:val="51DD247A"/>
    <w:rsid w:val="51DD3FF8"/>
    <w:rsid w:val="51DF61F2"/>
    <w:rsid w:val="51E24306"/>
    <w:rsid w:val="51E9259B"/>
    <w:rsid w:val="51ED02F0"/>
    <w:rsid w:val="51EE22AD"/>
    <w:rsid w:val="51EE28D9"/>
    <w:rsid w:val="51F07EE3"/>
    <w:rsid w:val="51F9664C"/>
    <w:rsid w:val="51FC1DE3"/>
    <w:rsid w:val="51FD0995"/>
    <w:rsid w:val="520143BB"/>
    <w:rsid w:val="520D28A1"/>
    <w:rsid w:val="5215352B"/>
    <w:rsid w:val="52173BDE"/>
    <w:rsid w:val="52344790"/>
    <w:rsid w:val="52495D62"/>
    <w:rsid w:val="524A1938"/>
    <w:rsid w:val="525C3CE7"/>
    <w:rsid w:val="526133D5"/>
    <w:rsid w:val="526E5CBC"/>
    <w:rsid w:val="527505D4"/>
    <w:rsid w:val="52770B21"/>
    <w:rsid w:val="527D1FEA"/>
    <w:rsid w:val="52950FA7"/>
    <w:rsid w:val="5295488A"/>
    <w:rsid w:val="52974D1F"/>
    <w:rsid w:val="52A35472"/>
    <w:rsid w:val="52B15DE1"/>
    <w:rsid w:val="52B70F1D"/>
    <w:rsid w:val="52C60024"/>
    <w:rsid w:val="52D30BE7"/>
    <w:rsid w:val="52DE46FC"/>
    <w:rsid w:val="52E066C6"/>
    <w:rsid w:val="52E23E82"/>
    <w:rsid w:val="53035F10"/>
    <w:rsid w:val="53080B30"/>
    <w:rsid w:val="53146370"/>
    <w:rsid w:val="531620E8"/>
    <w:rsid w:val="5325734E"/>
    <w:rsid w:val="532C36B9"/>
    <w:rsid w:val="53310CD0"/>
    <w:rsid w:val="53346A12"/>
    <w:rsid w:val="533E4B1C"/>
    <w:rsid w:val="534A7FE3"/>
    <w:rsid w:val="534F27E1"/>
    <w:rsid w:val="5351758E"/>
    <w:rsid w:val="53542C10"/>
    <w:rsid w:val="53566988"/>
    <w:rsid w:val="53582700"/>
    <w:rsid w:val="53585719"/>
    <w:rsid w:val="53590226"/>
    <w:rsid w:val="53673A3C"/>
    <w:rsid w:val="536A5B44"/>
    <w:rsid w:val="536E5A80"/>
    <w:rsid w:val="536F35A6"/>
    <w:rsid w:val="53706852"/>
    <w:rsid w:val="53762B86"/>
    <w:rsid w:val="537B24E8"/>
    <w:rsid w:val="538232D9"/>
    <w:rsid w:val="538C4808"/>
    <w:rsid w:val="53933738"/>
    <w:rsid w:val="539D6365"/>
    <w:rsid w:val="53A01AB1"/>
    <w:rsid w:val="53A039CC"/>
    <w:rsid w:val="53A1505A"/>
    <w:rsid w:val="53A158CC"/>
    <w:rsid w:val="53A27141"/>
    <w:rsid w:val="53A414A2"/>
    <w:rsid w:val="53AF7E46"/>
    <w:rsid w:val="53B3136E"/>
    <w:rsid w:val="53B611D5"/>
    <w:rsid w:val="53B90038"/>
    <w:rsid w:val="53BD6A07"/>
    <w:rsid w:val="53C02053"/>
    <w:rsid w:val="53C07DDC"/>
    <w:rsid w:val="53C3158E"/>
    <w:rsid w:val="53D77A4C"/>
    <w:rsid w:val="53E43F94"/>
    <w:rsid w:val="53E47207"/>
    <w:rsid w:val="53EF7D0D"/>
    <w:rsid w:val="54063E08"/>
    <w:rsid w:val="540D56D8"/>
    <w:rsid w:val="540F1ACD"/>
    <w:rsid w:val="54102FDB"/>
    <w:rsid w:val="54183C3E"/>
    <w:rsid w:val="542D593B"/>
    <w:rsid w:val="543437E8"/>
    <w:rsid w:val="543B5757"/>
    <w:rsid w:val="543B5F1F"/>
    <w:rsid w:val="544762D1"/>
    <w:rsid w:val="5450087B"/>
    <w:rsid w:val="54556C40"/>
    <w:rsid w:val="545A7E39"/>
    <w:rsid w:val="54624B90"/>
    <w:rsid w:val="546314A0"/>
    <w:rsid w:val="5474484E"/>
    <w:rsid w:val="54840371"/>
    <w:rsid w:val="548412D3"/>
    <w:rsid w:val="548A4B3B"/>
    <w:rsid w:val="5493126C"/>
    <w:rsid w:val="549870A0"/>
    <w:rsid w:val="549A0AF6"/>
    <w:rsid w:val="549F610D"/>
    <w:rsid w:val="54A035C0"/>
    <w:rsid w:val="54A0435F"/>
    <w:rsid w:val="54A23E3E"/>
    <w:rsid w:val="54A61249"/>
    <w:rsid w:val="54B03E76"/>
    <w:rsid w:val="54B27BEE"/>
    <w:rsid w:val="54B41297"/>
    <w:rsid w:val="54C811C0"/>
    <w:rsid w:val="54CF13D6"/>
    <w:rsid w:val="54D65A5F"/>
    <w:rsid w:val="54DD0C3B"/>
    <w:rsid w:val="54E029AD"/>
    <w:rsid w:val="54EA1131"/>
    <w:rsid w:val="54EA4F99"/>
    <w:rsid w:val="54F73313"/>
    <w:rsid w:val="54F80955"/>
    <w:rsid w:val="550146D2"/>
    <w:rsid w:val="55052414"/>
    <w:rsid w:val="550C2012"/>
    <w:rsid w:val="5513494D"/>
    <w:rsid w:val="551408A9"/>
    <w:rsid w:val="551B39E5"/>
    <w:rsid w:val="551C775D"/>
    <w:rsid w:val="55236D3E"/>
    <w:rsid w:val="552503C0"/>
    <w:rsid w:val="55313209"/>
    <w:rsid w:val="554A42CB"/>
    <w:rsid w:val="554F368F"/>
    <w:rsid w:val="555170A7"/>
    <w:rsid w:val="555B0286"/>
    <w:rsid w:val="555F4030"/>
    <w:rsid w:val="556709D9"/>
    <w:rsid w:val="556841B1"/>
    <w:rsid w:val="55705959"/>
    <w:rsid w:val="55747599"/>
    <w:rsid w:val="557C3038"/>
    <w:rsid w:val="557C5C3A"/>
    <w:rsid w:val="5587536D"/>
    <w:rsid w:val="55911EF9"/>
    <w:rsid w:val="559B174B"/>
    <w:rsid w:val="559B4B26"/>
    <w:rsid w:val="55AD0466"/>
    <w:rsid w:val="55B31E70"/>
    <w:rsid w:val="55B451AC"/>
    <w:rsid w:val="55BB197F"/>
    <w:rsid w:val="55BF08AF"/>
    <w:rsid w:val="55C0633B"/>
    <w:rsid w:val="55C537BC"/>
    <w:rsid w:val="55CA71B9"/>
    <w:rsid w:val="55CE0A58"/>
    <w:rsid w:val="55CE0CF4"/>
    <w:rsid w:val="55DF2C65"/>
    <w:rsid w:val="55E112DF"/>
    <w:rsid w:val="55E24503"/>
    <w:rsid w:val="55E464CD"/>
    <w:rsid w:val="55E6205E"/>
    <w:rsid w:val="55E814C7"/>
    <w:rsid w:val="56076A84"/>
    <w:rsid w:val="560B3A5A"/>
    <w:rsid w:val="560C5B61"/>
    <w:rsid w:val="56116B96"/>
    <w:rsid w:val="561D553B"/>
    <w:rsid w:val="562403AC"/>
    <w:rsid w:val="56250D86"/>
    <w:rsid w:val="56287855"/>
    <w:rsid w:val="562C277F"/>
    <w:rsid w:val="564231F4"/>
    <w:rsid w:val="56426CE9"/>
    <w:rsid w:val="564337C1"/>
    <w:rsid w:val="56436DEA"/>
    <w:rsid w:val="56504B81"/>
    <w:rsid w:val="566329DD"/>
    <w:rsid w:val="56737851"/>
    <w:rsid w:val="567D65E2"/>
    <w:rsid w:val="56813C89"/>
    <w:rsid w:val="56850191"/>
    <w:rsid w:val="56895364"/>
    <w:rsid w:val="569577C7"/>
    <w:rsid w:val="569B1F10"/>
    <w:rsid w:val="56B22A9C"/>
    <w:rsid w:val="56C80134"/>
    <w:rsid w:val="56CC38D1"/>
    <w:rsid w:val="56D13F4F"/>
    <w:rsid w:val="56DC7907"/>
    <w:rsid w:val="56E0560F"/>
    <w:rsid w:val="56E115BC"/>
    <w:rsid w:val="56E12A0D"/>
    <w:rsid w:val="56ED315F"/>
    <w:rsid w:val="56F444EE"/>
    <w:rsid w:val="56FB3ACE"/>
    <w:rsid w:val="56FD3794"/>
    <w:rsid w:val="570010E5"/>
    <w:rsid w:val="57052503"/>
    <w:rsid w:val="57081D47"/>
    <w:rsid w:val="570B328C"/>
    <w:rsid w:val="570E068D"/>
    <w:rsid w:val="571526B6"/>
    <w:rsid w:val="57160908"/>
    <w:rsid w:val="572639BB"/>
    <w:rsid w:val="572708DF"/>
    <w:rsid w:val="572A43B4"/>
    <w:rsid w:val="572A6162"/>
    <w:rsid w:val="5744738A"/>
    <w:rsid w:val="574B60D8"/>
    <w:rsid w:val="574D3BFE"/>
    <w:rsid w:val="575219FE"/>
    <w:rsid w:val="575C02E5"/>
    <w:rsid w:val="576158FB"/>
    <w:rsid w:val="57686C8A"/>
    <w:rsid w:val="577A3835"/>
    <w:rsid w:val="577D2735"/>
    <w:rsid w:val="57833AC4"/>
    <w:rsid w:val="578641E7"/>
    <w:rsid w:val="57875362"/>
    <w:rsid w:val="57945CD1"/>
    <w:rsid w:val="5797131D"/>
    <w:rsid w:val="579E73BA"/>
    <w:rsid w:val="57B10631"/>
    <w:rsid w:val="57B72A76"/>
    <w:rsid w:val="57B8376D"/>
    <w:rsid w:val="57BF2D4E"/>
    <w:rsid w:val="57C00D3D"/>
    <w:rsid w:val="57C3426C"/>
    <w:rsid w:val="57C540DC"/>
    <w:rsid w:val="57CE1F93"/>
    <w:rsid w:val="57DA3E98"/>
    <w:rsid w:val="57DD1426"/>
    <w:rsid w:val="57E722A5"/>
    <w:rsid w:val="57F624E8"/>
    <w:rsid w:val="580170AE"/>
    <w:rsid w:val="5802243C"/>
    <w:rsid w:val="5805272B"/>
    <w:rsid w:val="581F559B"/>
    <w:rsid w:val="58207565"/>
    <w:rsid w:val="58207580"/>
    <w:rsid w:val="583059FA"/>
    <w:rsid w:val="583125FC"/>
    <w:rsid w:val="58323126"/>
    <w:rsid w:val="58353010"/>
    <w:rsid w:val="58365C18"/>
    <w:rsid w:val="58410767"/>
    <w:rsid w:val="5847689F"/>
    <w:rsid w:val="58496ABB"/>
    <w:rsid w:val="584B2834"/>
    <w:rsid w:val="58523BC2"/>
    <w:rsid w:val="585D60C3"/>
    <w:rsid w:val="587238D7"/>
    <w:rsid w:val="5874533D"/>
    <w:rsid w:val="58762279"/>
    <w:rsid w:val="588743D1"/>
    <w:rsid w:val="5887701A"/>
    <w:rsid w:val="589C4E3D"/>
    <w:rsid w:val="58A91308"/>
    <w:rsid w:val="58AF57EB"/>
    <w:rsid w:val="58BA79EE"/>
    <w:rsid w:val="58C12AF6"/>
    <w:rsid w:val="58D3390B"/>
    <w:rsid w:val="58D90FCC"/>
    <w:rsid w:val="58E13419"/>
    <w:rsid w:val="58E93DFA"/>
    <w:rsid w:val="58EB1921"/>
    <w:rsid w:val="58F033DB"/>
    <w:rsid w:val="58F9403E"/>
    <w:rsid w:val="58FC1D80"/>
    <w:rsid w:val="59000F50"/>
    <w:rsid w:val="59124E75"/>
    <w:rsid w:val="59154489"/>
    <w:rsid w:val="5918713B"/>
    <w:rsid w:val="591E5852"/>
    <w:rsid w:val="59217A0E"/>
    <w:rsid w:val="592724B7"/>
    <w:rsid w:val="592B7F6F"/>
    <w:rsid w:val="593B4656"/>
    <w:rsid w:val="593C03CE"/>
    <w:rsid w:val="59406867"/>
    <w:rsid w:val="59411541"/>
    <w:rsid w:val="594352B9"/>
    <w:rsid w:val="59462D41"/>
    <w:rsid w:val="5947124D"/>
    <w:rsid w:val="59605937"/>
    <w:rsid w:val="596272F3"/>
    <w:rsid w:val="5966544B"/>
    <w:rsid w:val="59747B68"/>
    <w:rsid w:val="598930DC"/>
    <w:rsid w:val="599B3347"/>
    <w:rsid w:val="599C0826"/>
    <w:rsid w:val="59A2321A"/>
    <w:rsid w:val="59A553E9"/>
    <w:rsid w:val="59A87812"/>
    <w:rsid w:val="59AD0472"/>
    <w:rsid w:val="59B127F2"/>
    <w:rsid w:val="59B30690"/>
    <w:rsid w:val="59B3542F"/>
    <w:rsid w:val="59B5219E"/>
    <w:rsid w:val="59BC5A1F"/>
    <w:rsid w:val="59BE7035"/>
    <w:rsid w:val="59C0439F"/>
    <w:rsid w:val="59C26B25"/>
    <w:rsid w:val="59CA6EEF"/>
    <w:rsid w:val="59CA7788"/>
    <w:rsid w:val="59CD1026"/>
    <w:rsid w:val="59D32AE1"/>
    <w:rsid w:val="59D4740C"/>
    <w:rsid w:val="59DC7538"/>
    <w:rsid w:val="59DF76D7"/>
    <w:rsid w:val="59F40CA9"/>
    <w:rsid w:val="59F42A57"/>
    <w:rsid w:val="5A105AE3"/>
    <w:rsid w:val="5A144EA7"/>
    <w:rsid w:val="5A146C55"/>
    <w:rsid w:val="5A1A51A1"/>
    <w:rsid w:val="5A1A657A"/>
    <w:rsid w:val="5A1D5E3A"/>
    <w:rsid w:val="5A2275C4"/>
    <w:rsid w:val="5A252C10"/>
    <w:rsid w:val="5A2A3575"/>
    <w:rsid w:val="5A2C21F1"/>
    <w:rsid w:val="5A3F0176"/>
    <w:rsid w:val="5A400378"/>
    <w:rsid w:val="5A4B6B1B"/>
    <w:rsid w:val="5A4E660B"/>
    <w:rsid w:val="5A537A07"/>
    <w:rsid w:val="5A582FE6"/>
    <w:rsid w:val="5A6C6A91"/>
    <w:rsid w:val="5A7140A7"/>
    <w:rsid w:val="5A735A18"/>
    <w:rsid w:val="5A737E20"/>
    <w:rsid w:val="5A82412A"/>
    <w:rsid w:val="5A8262B5"/>
    <w:rsid w:val="5A90406F"/>
    <w:rsid w:val="5A9304C2"/>
    <w:rsid w:val="5A981634"/>
    <w:rsid w:val="5AA0484E"/>
    <w:rsid w:val="5AA75D1B"/>
    <w:rsid w:val="5AA92D86"/>
    <w:rsid w:val="5AB22A59"/>
    <w:rsid w:val="5AB3021C"/>
    <w:rsid w:val="5AB35DEC"/>
    <w:rsid w:val="5AB60353"/>
    <w:rsid w:val="5AB72734"/>
    <w:rsid w:val="5ABD553F"/>
    <w:rsid w:val="5ABE2233"/>
    <w:rsid w:val="5ABF12B7"/>
    <w:rsid w:val="5ABF328C"/>
    <w:rsid w:val="5AC753EE"/>
    <w:rsid w:val="5AD20FEA"/>
    <w:rsid w:val="5AD54636"/>
    <w:rsid w:val="5ADC379C"/>
    <w:rsid w:val="5ADF1011"/>
    <w:rsid w:val="5AE623A0"/>
    <w:rsid w:val="5AEE74A6"/>
    <w:rsid w:val="5B0373F5"/>
    <w:rsid w:val="5B101B12"/>
    <w:rsid w:val="5B23528D"/>
    <w:rsid w:val="5B247817"/>
    <w:rsid w:val="5B2B24A8"/>
    <w:rsid w:val="5B394BC5"/>
    <w:rsid w:val="5B413264"/>
    <w:rsid w:val="5B4F6978"/>
    <w:rsid w:val="5B6360E6"/>
    <w:rsid w:val="5B687259"/>
    <w:rsid w:val="5B6A1223"/>
    <w:rsid w:val="5B6B01C7"/>
    <w:rsid w:val="5B6D486F"/>
    <w:rsid w:val="5B793214"/>
    <w:rsid w:val="5B8147BE"/>
    <w:rsid w:val="5B81656C"/>
    <w:rsid w:val="5B841BB9"/>
    <w:rsid w:val="5B865931"/>
    <w:rsid w:val="5B9067AF"/>
    <w:rsid w:val="5B9444F1"/>
    <w:rsid w:val="5B962E2C"/>
    <w:rsid w:val="5B9A06E1"/>
    <w:rsid w:val="5B9C5154"/>
    <w:rsid w:val="5BA26C0E"/>
    <w:rsid w:val="5BA364E3"/>
    <w:rsid w:val="5BA67D81"/>
    <w:rsid w:val="5BAE2C31"/>
    <w:rsid w:val="5BB24978"/>
    <w:rsid w:val="5BB406F0"/>
    <w:rsid w:val="5BB4249E"/>
    <w:rsid w:val="5BB701E0"/>
    <w:rsid w:val="5BBD16BD"/>
    <w:rsid w:val="5BCD0EC8"/>
    <w:rsid w:val="5BDF5D95"/>
    <w:rsid w:val="5BE03293"/>
    <w:rsid w:val="5BEC1C38"/>
    <w:rsid w:val="5BFB61CC"/>
    <w:rsid w:val="5BFE7528"/>
    <w:rsid w:val="5C044ACF"/>
    <w:rsid w:val="5C134929"/>
    <w:rsid w:val="5C14118E"/>
    <w:rsid w:val="5C163158"/>
    <w:rsid w:val="5C184260"/>
    <w:rsid w:val="5C1F42A8"/>
    <w:rsid w:val="5C2313D1"/>
    <w:rsid w:val="5C237623"/>
    <w:rsid w:val="5C254D64"/>
    <w:rsid w:val="5C25514A"/>
    <w:rsid w:val="5C2869E8"/>
    <w:rsid w:val="5C2A09B2"/>
    <w:rsid w:val="5C2C0286"/>
    <w:rsid w:val="5C2C35E1"/>
    <w:rsid w:val="5C367357"/>
    <w:rsid w:val="5C3A0536"/>
    <w:rsid w:val="5C4B1054"/>
    <w:rsid w:val="5C4B3703"/>
    <w:rsid w:val="5C4E46A0"/>
    <w:rsid w:val="5C50666A"/>
    <w:rsid w:val="5C5B500F"/>
    <w:rsid w:val="5C5E240A"/>
    <w:rsid w:val="5C5F065B"/>
    <w:rsid w:val="5C6528BA"/>
    <w:rsid w:val="5C653798"/>
    <w:rsid w:val="5C675762"/>
    <w:rsid w:val="5C6F51E6"/>
    <w:rsid w:val="5C725641"/>
    <w:rsid w:val="5C734B96"/>
    <w:rsid w:val="5C7A5495"/>
    <w:rsid w:val="5C8C5E10"/>
    <w:rsid w:val="5C913D64"/>
    <w:rsid w:val="5C946DFB"/>
    <w:rsid w:val="5C9522CF"/>
    <w:rsid w:val="5C9C17DB"/>
    <w:rsid w:val="5C9E3CC1"/>
    <w:rsid w:val="5CA40366"/>
    <w:rsid w:val="5CA644DC"/>
    <w:rsid w:val="5CA70DF7"/>
    <w:rsid w:val="5CA81968"/>
    <w:rsid w:val="5CA940FC"/>
    <w:rsid w:val="5CA95D7B"/>
    <w:rsid w:val="5CB36BF9"/>
    <w:rsid w:val="5CB62246"/>
    <w:rsid w:val="5CBA45BB"/>
    <w:rsid w:val="5CBD21B3"/>
    <w:rsid w:val="5CC24E9F"/>
    <w:rsid w:val="5CC44828"/>
    <w:rsid w:val="5CC55D17"/>
    <w:rsid w:val="5CD32DF8"/>
    <w:rsid w:val="5CD66444"/>
    <w:rsid w:val="5CE172C2"/>
    <w:rsid w:val="5CE727F2"/>
    <w:rsid w:val="5D011713"/>
    <w:rsid w:val="5D042FB1"/>
    <w:rsid w:val="5D0810FC"/>
    <w:rsid w:val="5D113240"/>
    <w:rsid w:val="5D211DB5"/>
    <w:rsid w:val="5D292A17"/>
    <w:rsid w:val="5D2E6280"/>
    <w:rsid w:val="5D2F2FA6"/>
    <w:rsid w:val="5D412CB6"/>
    <w:rsid w:val="5D465377"/>
    <w:rsid w:val="5D4E51AF"/>
    <w:rsid w:val="5D5977A1"/>
    <w:rsid w:val="5D5E758D"/>
    <w:rsid w:val="5D641CA2"/>
    <w:rsid w:val="5D6F323C"/>
    <w:rsid w:val="5D704AEA"/>
    <w:rsid w:val="5D70790B"/>
    <w:rsid w:val="5D783361"/>
    <w:rsid w:val="5D8D4397"/>
    <w:rsid w:val="5D9205BD"/>
    <w:rsid w:val="5D94674E"/>
    <w:rsid w:val="5DA327CA"/>
    <w:rsid w:val="5DCA7D57"/>
    <w:rsid w:val="5DD1336E"/>
    <w:rsid w:val="5DD7378A"/>
    <w:rsid w:val="5DDE730D"/>
    <w:rsid w:val="5DE84681"/>
    <w:rsid w:val="5DEA664B"/>
    <w:rsid w:val="5DEF1EB3"/>
    <w:rsid w:val="5DF272AD"/>
    <w:rsid w:val="5DF94AE0"/>
    <w:rsid w:val="5E0D6B87"/>
    <w:rsid w:val="5E162F9C"/>
    <w:rsid w:val="5E2356B9"/>
    <w:rsid w:val="5E2467F1"/>
    <w:rsid w:val="5E280F21"/>
    <w:rsid w:val="5E287173"/>
    <w:rsid w:val="5E331DA0"/>
    <w:rsid w:val="5E345B18"/>
    <w:rsid w:val="5E36363E"/>
    <w:rsid w:val="5E3A11F2"/>
    <w:rsid w:val="5E3E01FB"/>
    <w:rsid w:val="5E4D7446"/>
    <w:rsid w:val="5E602490"/>
    <w:rsid w:val="5E664BC1"/>
    <w:rsid w:val="5E6B2DE0"/>
    <w:rsid w:val="5E7128C8"/>
    <w:rsid w:val="5E8847FE"/>
    <w:rsid w:val="5E8A398A"/>
    <w:rsid w:val="5E962E89"/>
    <w:rsid w:val="5EA13984"/>
    <w:rsid w:val="5EAB3CD7"/>
    <w:rsid w:val="5EAC7607"/>
    <w:rsid w:val="5EB153BA"/>
    <w:rsid w:val="5EB34C8F"/>
    <w:rsid w:val="5ECD3F70"/>
    <w:rsid w:val="5EE25574"/>
    <w:rsid w:val="5EE27322"/>
    <w:rsid w:val="5EE872E0"/>
    <w:rsid w:val="5F0159A0"/>
    <w:rsid w:val="5F13572D"/>
    <w:rsid w:val="5F1A2B43"/>
    <w:rsid w:val="5F1B0D98"/>
    <w:rsid w:val="5F1F3963"/>
    <w:rsid w:val="5F2219CF"/>
    <w:rsid w:val="5F24793A"/>
    <w:rsid w:val="5F2D46F6"/>
    <w:rsid w:val="5F2E6371"/>
    <w:rsid w:val="5F3C1030"/>
    <w:rsid w:val="5F3F37BE"/>
    <w:rsid w:val="5F3F6522"/>
    <w:rsid w:val="5F4B4EC7"/>
    <w:rsid w:val="5F577D10"/>
    <w:rsid w:val="5F6B7317"/>
    <w:rsid w:val="5F7E0196"/>
    <w:rsid w:val="5F7F241A"/>
    <w:rsid w:val="5F830779"/>
    <w:rsid w:val="5F8623A3"/>
    <w:rsid w:val="5F863F6F"/>
    <w:rsid w:val="5F881C77"/>
    <w:rsid w:val="5F8865F9"/>
    <w:rsid w:val="5F886D29"/>
    <w:rsid w:val="5F920D48"/>
    <w:rsid w:val="5F9F552C"/>
    <w:rsid w:val="5FA647F3"/>
    <w:rsid w:val="5FA97894"/>
    <w:rsid w:val="5FAA07F1"/>
    <w:rsid w:val="5FAF36A8"/>
    <w:rsid w:val="5FB837BB"/>
    <w:rsid w:val="5FB93FA6"/>
    <w:rsid w:val="5FBB2FBC"/>
    <w:rsid w:val="5FDD31C3"/>
    <w:rsid w:val="5FE82C95"/>
    <w:rsid w:val="5FED41D0"/>
    <w:rsid w:val="5FF4555F"/>
    <w:rsid w:val="5FF97B31"/>
    <w:rsid w:val="5FFE462F"/>
    <w:rsid w:val="60001D8C"/>
    <w:rsid w:val="600D6620"/>
    <w:rsid w:val="60163727"/>
    <w:rsid w:val="6017732C"/>
    <w:rsid w:val="601C29D7"/>
    <w:rsid w:val="602D2580"/>
    <w:rsid w:val="602D6EC7"/>
    <w:rsid w:val="60394C13"/>
    <w:rsid w:val="603C144B"/>
    <w:rsid w:val="60465A8B"/>
    <w:rsid w:val="606B5F2B"/>
    <w:rsid w:val="60727B73"/>
    <w:rsid w:val="60762977"/>
    <w:rsid w:val="60771CEC"/>
    <w:rsid w:val="608B485B"/>
    <w:rsid w:val="60917251"/>
    <w:rsid w:val="60950395"/>
    <w:rsid w:val="60982218"/>
    <w:rsid w:val="609A21B5"/>
    <w:rsid w:val="609A4358"/>
    <w:rsid w:val="609B00D0"/>
    <w:rsid w:val="60A7067E"/>
    <w:rsid w:val="60AA0313"/>
    <w:rsid w:val="60B62AF0"/>
    <w:rsid w:val="60BD73FF"/>
    <w:rsid w:val="60CC405A"/>
    <w:rsid w:val="60D82421"/>
    <w:rsid w:val="60D96503"/>
    <w:rsid w:val="60E76E71"/>
    <w:rsid w:val="60F20869"/>
    <w:rsid w:val="60F24FCB"/>
    <w:rsid w:val="60F90953"/>
    <w:rsid w:val="6105554A"/>
    <w:rsid w:val="61091A4B"/>
    <w:rsid w:val="610B5810"/>
    <w:rsid w:val="61186BC7"/>
    <w:rsid w:val="611D6D37"/>
    <w:rsid w:val="612400C6"/>
    <w:rsid w:val="61324198"/>
    <w:rsid w:val="6138009E"/>
    <w:rsid w:val="613D2F35"/>
    <w:rsid w:val="614075BA"/>
    <w:rsid w:val="614C3178"/>
    <w:rsid w:val="614E0C9F"/>
    <w:rsid w:val="6151078F"/>
    <w:rsid w:val="61534507"/>
    <w:rsid w:val="615D5B1D"/>
    <w:rsid w:val="6162299C"/>
    <w:rsid w:val="617036E2"/>
    <w:rsid w:val="61750921"/>
    <w:rsid w:val="618172C6"/>
    <w:rsid w:val="618741B1"/>
    <w:rsid w:val="618C17C7"/>
    <w:rsid w:val="618E553F"/>
    <w:rsid w:val="619C5EAE"/>
    <w:rsid w:val="61AB2775"/>
    <w:rsid w:val="61B31479"/>
    <w:rsid w:val="61C61CED"/>
    <w:rsid w:val="61D03DA9"/>
    <w:rsid w:val="61E138C1"/>
    <w:rsid w:val="61E14B50"/>
    <w:rsid w:val="61E215D8"/>
    <w:rsid w:val="61E635CD"/>
    <w:rsid w:val="61E64AEC"/>
    <w:rsid w:val="61E768CF"/>
    <w:rsid w:val="61E81904"/>
    <w:rsid w:val="61EB5D67"/>
    <w:rsid w:val="61EF5D60"/>
    <w:rsid w:val="61F21F72"/>
    <w:rsid w:val="61F45CEA"/>
    <w:rsid w:val="61F94CFC"/>
    <w:rsid w:val="61FF5D31"/>
    <w:rsid w:val="62027B86"/>
    <w:rsid w:val="620A33F2"/>
    <w:rsid w:val="620B2F0B"/>
    <w:rsid w:val="621243C2"/>
    <w:rsid w:val="621517BC"/>
    <w:rsid w:val="621B3775"/>
    <w:rsid w:val="621C3CEA"/>
    <w:rsid w:val="621E68C3"/>
    <w:rsid w:val="62233E61"/>
    <w:rsid w:val="623206A3"/>
    <w:rsid w:val="62353C0D"/>
    <w:rsid w:val="62364782"/>
    <w:rsid w:val="62435902"/>
    <w:rsid w:val="62445A94"/>
    <w:rsid w:val="62516C98"/>
    <w:rsid w:val="62570027"/>
    <w:rsid w:val="62595B4D"/>
    <w:rsid w:val="625D388F"/>
    <w:rsid w:val="626C5880"/>
    <w:rsid w:val="626D33A6"/>
    <w:rsid w:val="6271733B"/>
    <w:rsid w:val="627E55B4"/>
    <w:rsid w:val="6280132C"/>
    <w:rsid w:val="62902965"/>
    <w:rsid w:val="629A2C3C"/>
    <w:rsid w:val="629D3C8C"/>
    <w:rsid w:val="629E7A04"/>
    <w:rsid w:val="62A414BE"/>
    <w:rsid w:val="62B17737"/>
    <w:rsid w:val="62BD432E"/>
    <w:rsid w:val="62C03E1E"/>
    <w:rsid w:val="62C80A41"/>
    <w:rsid w:val="62CB77C6"/>
    <w:rsid w:val="62D376AD"/>
    <w:rsid w:val="62DB47B4"/>
    <w:rsid w:val="62E25B42"/>
    <w:rsid w:val="62E51CB5"/>
    <w:rsid w:val="62F1362E"/>
    <w:rsid w:val="62FD472A"/>
    <w:rsid w:val="62FF7219"/>
    <w:rsid w:val="6300246C"/>
    <w:rsid w:val="63041F5D"/>
    <w:rsid w:val="63052DBE"/>
    <w:rsid w:val="630554FA"/>
    <w:rsid w:val="63065CD5"/>
    <w:rsid w:val="630B0B6F"/>
    <w:rsid w:val="6322392B"/>
    <w:rsid w:val="63230B51"/>
    <w:rsid w:val="63251ED3"/>
    <w:rsid w:val="632D2297"/>
    <w:rsid w:val="63332BC4"/>
    <w:rsid w:val="633D26C6"/>
    <w:rsid w:val="633F4D43"/>
    <w:rsid w:val="635A1B7D"/>
    <w:rsid w:val="635B4372"/>
    <w:rsid w:val="635B76A3"/>
    <w:rsid w:val="636750FF"/>
    <w:rsid w:val="636D5EC6"/>
    <w:rsid w:val="63750A53"/>
    <w:rsid w:val="637527AA"/>
    <w:rsid w:val="637644DD"/>
    <w:rsid w:val="63770981"/>
    <w:rsid w:val="6377272F"/>
    <w:rsid w:val="63776BBE"/>
    <w:rsid w:val="637A7B03"/>
    <w:rsid w:val="637B14FC"/>
    <w:rsid w:val="6394356A"/>
    <w:rsid w:val="639C03E7"/>
    <w:rsid w:val="639E4CF8"/>
    <w:rsid w:val="63A92B04"/>
    <w:rsid w:val="63A948B2"/>
    <w:rsid w:val="63AE604C"/>
    <w:rsid w:val="63B03E93"/>
    <w:rsid w:val="63C61B2C"/>
    <w:rsid w:val="63C81D2A"/>
    <w:rsid w:val="63CE3EE2"/>
    <w:rsid w:val="63D40BE9"/>
    <w:rsid w:val="63DA3CB2"/>
    <w:rsid w:val="63DC4C88"/>
    <w:rsid w:val="63E453B6"/>
    <w:rsid w:val="63E56928"/>
    <w:rsid w:val="63E56E61"/>
    <w:rsid w:val="63F773CC"/>
    <w:rsid w:val="63FE69AC"/>
    <w:rsid w:val="63FF2724"/>
    <w:rsid w:val="64061D04"/>
    <w:rsid w:val="64100A78"/>
    <w:rsid w:val="64102431"/>
    <w:rsid w:val="64140A35"/>
    <w:rsid w:val="6414148B"/>
    <w:rsid w:val="641461CF"/>
    <w:rsid w:val="64155AA4"/>
    <w:rsid w:val="64277EB3"/>
    <w:rsid w:val="642915EB"/>
    <w:rsid w:val="64291907"/>
    <w:rsid w:val="64395C36"/>
    <w:rsid w:val="643C6AED"/>
    <w:rsid w:val="644840CB"/>
    <w:rsid w:val="644B03FF"/>
    <w:rsid w:val="6453553C"/>
    <w:rsid w:val="64591E34"/>
    <w:rsid w:val="645B2050"/>
    <w:rsid w:val="645C1924"/>
    <w:rsid w:val="645F7686"/>
    <w:rsid w:val="64615DAB"/>
    <w:rsid w:val="646F1658"/>
    <w:rsid w:val="647540C9"/>
    <w:rsid w:val="647E5D3F"/>
    <w:rsid w:val="648222B1"/>
    <w:rsid w:val="648439EE"/>
    <w:rsid w:val="6486074F"/>
    <w:rsid w:val="648F14B8"/>
    <w:rsid w:val="649A2705"/>
    <w:rsid w:val="649B069F"/>
    <w:rsid w:val="649F75D1"/>
    <w:rsid w:val="64A34468"/>
    <w:rsid w:val="64A5243A"/>
    <w:rsid w:val="64A86918"/>
    <w:rsid w:val="64AC6408"/>
    <w:rsid w:val="64B80A40"/>
    <w:rsid w:val="64B90B25"/>
    <w:rsid w:val="64DA6F6E"/>
    <w:rsid w:val="64E35BA2"/>
    <w:rsid w:val="64E42046"/>
    <w:rsid w:val="64F531DE"/>
    <w:rsid w:val="651C0C2D"/>
    <w:rsid w:val="651F307E"/>
    <w:rsid w:val="652463B4"/>
    <w:rsid w:val="652A557F"/>
    <w:rsid w:val="652B0F8A"/>
    <w:rsid w:val="65337DB4"/>
    <w:rsid w:val="65373578"/>
    <w:rsid w:val="65403C5D"/>
    <w:rsid w:val="654B3E73"/>
    <w:rsid w:val="65516FAF"/>
    <w:rsid w:val="655325BB"/>
    <w:rsid w:val="65585F5F"/>
    <w:rsid w:val="655C21AE"/>
    <w:rsid w:val="6562740E"/>
    <w:rsid w:val="6569656F"/>
    <w:rsid w:val="656B2EEE"/>
    <w:rsid w:val="65750EF0"/>
    <w:rsid w:val="65882DCF"/>
    <w:rsid w:val="65921AA2"/>
    <w:rsid w:val="65962C14"/>
    <w:rsid w:val="65A11E3D"/>
    <w:rsid w:val="65AA60B9"/>
    <w:rsid w:val="65B06854"/>
    <w:rsid w:val="65B35574"/>
    <w:rsid w:val="65BF03BD"/>
    <w:rsid w:val="65CD2ADA"/>
    <w:rsid w:val="65CE23AE"/>
    <w:rsid w:val="65E41BD1"/>
    <w:rsid w:val="65E6594A"/>
    <w:rsid w:val="65E9368C"/>
    <w:rsid w:val="65F51632"/>
    <w:rsid w:val="65FF1F03"/>
    <w:rsid w:val="660916F6"/>
    <w:rsid w:val="66146478"/>
    <w:rsid w:val="66186F99"/>
    <w:rsid w:val="661E3335"/>
    <w:rsid w:val="66297F46"/>
    <w:rsid w:val="662B7800"/>
    <w:rsid w:val="662D5327"/>
    <w:rsid w:val="663012BB"/>
    <w:rsid w:val="66440188"/>
    <w:rsid w:val="664457FD"/>
    <w:rsid w:val="66522FDF"/>
    <w:rsid w:val="66546D57"/>
    <w:rsid w:val="665B6338"/>
    <w:rsid w:val="66646E77"/>
    <w:rsid w:val="666C3121"/>
    <w:rsid w:val="66795592"/>
    <w:rsid w:val="66820D63"/>
    <w:rsid w:val="66836460"/>
    <w:rsid w:val="66A8190A"/>
    <w:rsid w:val="66A90FE6"/>
    <w:rsid w:val="66AA408A"/>
    <w:rsid w:val="66B71DB0"/>
    <w:rsid w:val="66BC2B4E"/>
    <w:rsid w:val="66C0619B"/>
    <w:rsid w:val="66CD311C"/>
    <w:rsid w:val="66D734E4"/>
    <w:rsid w:val="66DC6D4D"/>
    <w:rsid w:val="66F916AD"/>
    <w:rsid w:val="66F952F8"/>
    <w:rsid w:val="66FD119D"/>
    <w:rsid w:val="67044F7F"/>
    <w:rsid w:val="67087B42"/>
    <w:rsid w:val="6715264A"/>
    <w:rsid w:val="671B479B"/>
    <w:rsid w:val="671F124A"/>
    <w:rsid w:val="67210991"/>
    <w:rsid w:val="6732696D"/>
    <w:rsid w:val="673D70A9"/>
    <w:rsid w:val="673E681D"/>
    <w:rsid w:val="67414DAC"/>
    <w:rsid w:val="675B5805"/>
    <w:rsid w:val="675F42B1"/>
    <w:rsid w:val="677671A1"/>
    <w:rsid w:val="67770426"/>
    <w:rsid w:val="67782F4D"/>
    <w:rsid w:val="677A33C6"/>
    <w:rsid w:val="67896ED4"/>
    <w:rsid w:val="678D5B25"/>
    <w:rsid w:val="67902011"/>
    <w:rsid w:val="67922B4D"/>
    <w:rsid w:val="67966EFB"/>
    <w:rsid w:val="67A23AF2"/>
    <w:rsid w:val="67A27F96"/>
    <w:rsid w:val="67A930D3"/>
    <w:rsid w:val="67B37AAD"/>
    <w:rsid w:val="67B505F4"/>
    <w:rsid w:val="67B66EB2"/>
    <w:rsid w:val="67C968B1"/>
    <w:rsid w:val="67CE0D8B"/>
    <w:rsid w:val="67D0353C"/>
    <w:rsid w:val="67D143D7"/>
    <w:rsid w:val="67D82CBD"/>
    <w:rsid w:val="67DB0DB2"/>
    <w:rsid w:val="67DE751F"/>
    <w:rsid w:val="67E1286C"/>
    <w:rsid w:val="67E4410B"/>
    <w:rsid w:val="67F500C6"/>
    <w:rsid w:val="67FC2F18"/>
    <w:rsid w:val="68033400"/>
    <w:rsid w:val="680B4763"/>
    <w:rsid w:val="681D08AF"/>
    <w:rsid w:val="681F6961"/>
    <w:rsid w:val="68242759"/>
    <w:rsid w:val="68282249"/>
    <w:rsid w:val="682C160E"/>
    <w:rsid w:val="682D02C4"/>
    <w:rsid w:val="68307350"/>
    <w:rsid w:val="683F57E5"/>
    <w:rsid w:val="684C3086"/>
    <w:rsid w:val="684D41BC"/>
    <w:rsid w:val="685201E4"/>
    <w:rsid w:val="68556DB7"/>
    <w:rsid w:val="685A261F"/>
    <w:rsid w:val="686008CE"/>
    <w:rsid w:val="68610A2F"/>
    <w:rsid w:val="686231A1"/>
    <w:rsid w:val="68624066"/>
    <w:rsid w:val="68646FFA"/>
    <w:rsid w:val="6868130C"/>
    <w:rsid w:val="68701E42"/>
    <w:rsid w:val="6873723D"/>
    <w:rsid w:val="68805514"/>
    <w:rsid w:val="68994715"/>
    <w:rsid w:val="689B3BCA"/>
    <w:rsid w:val="689C49E5"/>
    <w:rsid w:val="689E3DC0"/>
    <w:rsid w:val="68A5389A"/>
    <w:rsid w:val="68B00491"/>
    <w:rsid w:val="68BA526B"/>
    <w:rsid w:val="68C55CEA"/>
    <w:rsid w:val="68D02BEC"/>
    <w:rsid w:val="68D61B92"/>
    <w:rsid w:val="68DA5A63"/>
    <w:rsid w:val="68DE6DAC"/>
    <w:rsid w:val="68E343C2"/>
    <w:rsid w:val="68E63EB3"/>
    <w:rsid w:val="68E65681"/>
    <w:rsid w:val="68E832A9"/>
    <w:rsid w:val="68F40F5D"/>
    <w:rsid w:val="68FC07E4"/>
    <w:rsid w:val="69011920"/>
    <w:rsid w:val="69020CEC"/>
    <w:rsid w:val="69096BB1"/>
    <w:rsid w:val="69152A61"/>
    <w:rsid w:val="69224EEB"/>
    <w:rsid w:val="69250FAD"/>
    <w:rsid w:val="692A0243"/>
    <w:rsid w:val="69316E2F"/>
    <w:rsid w:val="693469CC"/>
    <w:rsid w:val="69366BC3"/>
    <w:rsid w:val="69470DF5"/>
    <w:rsid w:val="694B5592"/>
    <w:rsid w:val="694E2071"/>
    <w:rsid w:val="695928D6"/>
    <w:rsid w:val="696574CD"/>
    <w:rsid w:val="69735746"/>
    <w:rsid w:val="69741D3B"/>
    <w:rsid w:val="69766163"/>
    <w:rsid w:val="697A3B33"/>
    <w:rsid w:val="697B45FB"/>
    <w:rsid w:val="698711F2"/>
    <w:rsid w:val="69A07FDC"/>
    <w:rsid w:val="69A71894"/>
    <w:rsid w:val="69B27C98"/>
    <w:rsid w:val="69BF30D1"/>
    <w:rsid w:val="69CB6BDB"/>
    <w:rsid w:val="69CC12FA"/>
    <w:rsid w:val="69D04CCC"/>
    <w:rsid w:val="69D15F52"/>
    <w:rsid w:val="69D44760"/>
    <w:rsid w:val="69D501AF"/>
    <w:rsid w:val="69D56401"/>
    <w:rsid w:val="69E1767B"/>
    <w:rsid w:val="69F53666"/>
    <w:rsid w:val="69F80164"/>
    <w:rsid w:val="69F85C4B"/>
    <w:rsid w:val="69FA5E67"/>
    <w:rsid w:val="6A086A76"/>
    <w:rsid w:val="6A107439"/>
    <w:rsid w:val="6A1E06F2"/>
    <w:rsid w:val="6A355E39"/>
    <w:rsid w:val="6A366774"/>
    <w:rsid w:val="6A38073E"/>
    <w:rsid w:val="6A3C6480"/>
    <w:rsid w:val="6A520EC7"/>
    <w:rsid w:val="6A526E07"/>
    <w:rsid w:val="6A567351"/>
    <w:rsid w:val="6A590DE0"/>
    <w:rsid w:val="6A5D11DA"/>
    <w:rsid w:val="6A7554EE"/>
    <w:rsid w:val="6A7C7C19"/>
    <w:rsid w:val="6A9F07BD"/>
    <w:rsid w:val="6AAB137F"/>
    <w:rsid w:val="6AB34D32"/>
    <w:rsid w:val="6AB73D58"/>
    <w:rsid w:val="6AD20B92"/>
    <w:rsid w:val="6AD22940"/>
    <w:rsid w:val="6AD472F2"/>
    <w:rsid w:val="6ADC731B"/>
    <w:rsid w:val="6AF02DC7"/>
    <w:rsid w:val="6AF04617"/>
    <w:rsid w:val="6AF26B3F"/>
    <w:rsid w:val="6AF87E20"/>
    <w:rsid w:val="6AF9611F"/>
    <w:rsid w:val="6AFE3735"/>
    <w:rsid w:val="6B065627"/>
    <w:rsid w:val="6B09593D"/>
    <w:rsid w:val="6B1C3BBC"/>
    <w:rsid w:val="6B2C44CD"/>
    <w:rsid w:val="6B322639"/>
    <w:rsid w:val="6B3372F0"/>
    <w:rsid w:val="6B344FEC"/>
    <w:rsid w:val="6B396615"/>
    <w:rsid w:val="6B3A0E67"/>
    <w:rsid w:val="6B3A3BE0"/>
    <w:rsid w:val="6B4849B1"/>
    <w:rsid w:val="6B65789A"/>
    <w:rsid w:val="6B672DC4"/>
    <w:rsid w:val="6B680BAF"/>
    <w:rsid w:val="6B726345"/>
    <w:rsid w:val="6B7632CC"/>
    <w:rsid w:val="6B781A16"/>
    <w:rsid w:val="6B8E6F9E"/>
    <w:rsid w:val="6B9323ED"/>
    <w:rsid w:val="6B97363D"/>
    <w:rsid w:val="6BA20565"/>
    <w:rsid w:val="6BA442DD"/>
    <w:rsid w:val="6BA77929"/>
    <w:rsid w:val="6BA95D63"/>
    <w:rsid w:val="6BAA6A67"/>
    <w:rsid w:val="6BAB5DDA"/>
    <w:rsid w:val="6BB13B6A"/>
    <w:rsid w:val="6BB32772"/>
    <w:rsid w:val="6BC71D79"/>
    <w:rsid w:val="6BCA7826"/>
    <w:rsid w:val="6BCD02EE"/>
    <w:rsid w:val="6BD57935"/>
    <w:rsid w:val="6BDA7CFF"/>
    <w:rsid w:val="6BDD159D"/>
    <w:rsid w:val="6BEB14B8"/>
    <w:rsid w:val="6BF15048"/>
    <w:rsid w:val="6C040BA3"/>
    <w:rsid w:val="6C0525C5"/>
    <w:rsid w:val="6C0671EF"/>
    <w:rsid w:val="6C131FAF"/>
    <w:rsid w:val="6C193704"/>
    <w:rsid w:val="6C1B5940"/>
    <w:rsid w:val="6C1D7BEB"/>
    <w:rsid w:val="6C270A6A"/>
    <w:rsid w:val="6C296590"/>
    <w:rsid w:val="6C2C7D3B"/>
    <w:rsid w:val="6C2D302F"/>
    <w:rsid w:val="6C400A9D"/>
    <w:rsid w:val="6C4D6722"/>
    <w:rsid w:val="6C522B6C"/>
    <w:rsid w:val="6C59599A"/>
    <w:rsid w:val="6C5C0714"/>
    <w:rsid w:val="6C5C3C87"/>
    <w:rsid w:val="6C5C6966"/>
    <w:rsid w:val="6C5E0930"/>
    <w:rsid w:val="6C636C38"/>
    <w:rsid w:val="6C64581A"/>
    <w:rsid w:val="6C6B6BA9"/>
    <w:rsid w:val="6C7435D5"/>
    <w:rsid w:val="6C7C7008"/>
    <w:rsid w:val="6C7D068A"/>
    <w:rsid w:val="6C847C6A"/>
    <w:rsid w:val="6C951E77"/>
    <w:rsid w:val="6C9B2F8F"/>
    <w:rsid w:val="6C9F50EE"/>
    <w:rsid w:val="6CAB3449"/>
    <w:rsid w:val="6CAE4CE7"/>
    <w:rsid w:val="6CD7423E"/>
    <w:rsid w:val="6CD87A44"/>
    <w:rsid w:val="6CDE6295"/>
    <w:rsid w:val="6CDF30F3"/>
    <w:rsid w:val="6CDF3370"/>
    <w:rsid w:val="6CE7542D"/>
    <w:rsid w:val="6CF44DF0"/>
    <w:rsid w:val="6CFE17CB"/>
    <w:rsid w:val="6D085C4B"/>
    <w:rsid w:val="6D0B1BA5"/>
    <w:rsid w:val="6D0B3EE8"/>
    <w:rsid w:val="6D154CBB"/>
    <w:rsid w:val="6D194382"/>
    <w:rsid w:val="6D321474"/>
    <w:rsid w:val="6D323098"/>
    <w:rsid w:val="6D343492"/>
    <w:rsid w:val="6D492D89"/>
    <w:rsid w:val="6D54763D"/>
    <w:rsid w:val="6D5835D1"/>
    <w:rsid w:val="6D70286F"/>
    <w:rsid w:val="6D725D15"/>
    <w:rsid w:val="6D761744"/>
    <w:rsid w:val="6D7838A9"/>
    <w:rsid w:val="6D8431D7"/>
    <w:rsid w:val="6D8A5754"/>
    <w:rsid w:val="6D8B6DD7"/>
    <w:rsid w:val="6D967C55"/>
    <w:rsid w:val="6D9C0D39"/>
    <w:rsid w:val="6DAD31F1"/>
    <w:rsid w:val="6DB34098"/>
    <w:rsid w:val="6DB4528C"/>
    <w:rsid w:val="6DB545B6"/>
    <w:rsid w:val="6DBB3B60"/>
    <w:rsid w:val="6DC94FCE"/>
    <w:rsid w:val="6DD16EDF"/>
    <w:rsid w:val="6DD644F6"/>
    <w:rsid w:val="6DD662A4"/>
    <w:rsid w:val="6DD75C4B"/>
    <w:rsid w:val="6DE02FB4"/>
    <w:rsid w:val="6DE8487B"/>
    <w:rsid w:val="6DEE5CE3"/>
    <w:rsid w:val="6DFF3A4C"/>
    <w:rsid w:val="6E0A7235"/>
    <w:rsid w:val="6E254FB0"/>
    <w:rsid w:val="6E25722B"/>
    <w:rsid w:val="6E357253"/>
    <w:rsid w:val="6E443B55"/>
    <w:rsid w:val="6E48107D"/>
    <w:rsid w:val="6E492F1A"/>
    <w:rsid w:val="6E4F6056"/>
    <w:rsid w:val="6E514CED"/>
    <w:rsid w:val="6E552B81"/>
    <w:rsid w:val="6E677844"/>
    <w:rsid w:val="6E680FFF"/>
    <w:rsid w:val="6E777A87"/>
    <w:rsid w:val="6E7855AD"/>
    <w:rsid w:val="6E7A31DF"/>
    <w:rsid w:val="6E8370EA"/>
    <w:rsid w:val="6E9A77B7"/>
    <w:rsid w:val="6E9F0D8B"/>
    <w:rsid w:val="6EA168B2"/>
    <w:rsid w:val="6EA2087C"/>
    <w:rsid w:val="6EB16500"/>
    <w:rsid w:val="6EB563D5"/>
    <w:rsid w:val="6EBB01AE"/>
    <w:rsid w:val="6EC1608F"/>
    <w:rsid w:val="6ED553A8"/>
    <w:rsid w:val="6ED92677"/>
    <w:rsid w:val="6EDE4CC0"/>
    <w:rsid w:val="6EE3336E"/>
    <w:rsid w:val="6EE82732"/>
    <w:rsid w:val="6EF75965"/>
    <w:rsid w:val="6F0137F4"/>
    <w:rsid w:val="6F0D2199"/>
    <w:rsid w:val="6F115932"/>
    <w:rsid w:val="6F1430C3"/>
    <w:rsid w:val="6F1B2B08"/>
    <w:rsid w:val="6F1C23DC"/>
    <w:rsid w:val="6F203940"/>
    <w:rsid w:val="6F225983"/>
    <w:rsid w:val="6F3326BD"/>
    <w:rsid w:val="6F341AC6"/>
    <w:rsid w:val="6F3E2E25"/>
    <w:rsid w:val="6F413BF1"/>
    <w:rsid w:val="6F451933"/>
    <w:rsid w:val="6F4A6F49"/>
    <w:rsid w:val="6F4D4C8B"/>
    <w:rsid w:val="6F6049BF"/>
    <w:rsid w:val="6F6618A9"/>
    <w:rsid w:val="6F765F90"/>
    <w:rsid w:val="6F8A37EA"/>
    <w:rsid w:val="6F9B77A5"/>
    <w:rsid w:val="6F9F54FF"/>
    <w:rsid w:val="6FA13646"/>
    <w:rsid w:val="6FAA3E8C"/>
    <w:rsid w:val="6FAD057F"/>
    <w:rsid w:val="6FAD1286"/>
    <w:rsid w:val="6FAD3EF8"/>
    <w:rsid w:val="6FAF14A2"/>
    <w:rsid w:val="6FB05543"/>
    <w:rsid w:val="6FBA6112"/>
    <w:rsid w:val="6FC500C9"/>
    <w:rsid w:val="6FC868C3"/>
    <w:rsid w:val="6FCB7F43"/>
    <w:rsid w:val="6FCC077A"/>
    <w:rsid w:val="6FE3114C"/>
    <w:rsid w:val="6FE95DE3"/>
    <w:rsid w:val="6FF84BF7"/>
    <w:rsid w:val="6FFC5590"/>
    <w:rsid w:val="6FFD592E"/>
    <w:rsid w:val="70027824"/>
    <w:rsid w:val="70040499"/>
    <w:rsid w:val="700C2451"/>
    <w:rsid w:val="701E6DF9"/>
    <w:rsid w:val="70310109"/>
    <w:rsid w:val="7039642D"/>
    <w:rsid w:val="7040659E"/>
    <w:rsid w:val="704768DE"/>
    <w:rsid w:val="704E6825"/>
    <w:rsid w:val="70591E5B"/>
    <w:rsid w:val="705F07D2"/>
    <w:rsid w:val="705F2AF8"/>
    <w:rsid w:val="70657DB3"/>
    <w:rsid w:val="706D1DD0"/>
    <w:rsid w:val="706F478E"/>
    <w:rsid w:val="7073427E"/>
    <w:rsid w:val="707F3A1C"/>
    <w:rsid w:val="7080699B"/>
    <w:rsid w:val="70856B87"/>
    <w:rsid w:val="70981F36"/>
    <w:rsid w:val="70A24B63"/>
    <w:rsid w:val="70A46B2D"/>
    <w:rsid w:val="70B00980"/>
    <w:rsid w:val="70B2124A"/>
    <w:rsid w:val="70BB3A5A"/>
    <w:rsid w:val="70CD1CC2"/>
    <w:rsid w:val="70D527EE"/>
    <w:rsid w:val="70E433CD"/>
    <w:rsid w:val="70F01D72"/>
    <w:rsid w:val="70F12E0C"/>
    <w:rsid w:val="71094BE2"/>
    <w:rsid w:val="710C5163"/>
    <w:rsid w:val="711361BE"/>
    <w:rsid w:val="712E2D97"/>
    <w:rsid w:val="7137174F"/>
    <w:rsid w:val="713A6021"/>
    <w:rsid w:val="714A76D4"/>
    <w:rsid w:val="715047D3"/>
    <w:rsid w:val="71546148"/>
    <w:rsid w:val="715B5300"/>
    <w:rsid w:val="71622092"/>
    <w:rsid w:val="71810C1C"/>
    <w:rsid w:val="719C5A56"/>
    <w:rsid w:val="719E532A"/>
    <w:rsid w:val="71A62431"/>
    <w:rsid w:val="71A62998"/>
    <w:rsid w:val="71BE777B"/>
    <w:rsid w:val="71C026CC"/>
    <w:rsid w:val="71D27F8A"/>
    <w:rsid w:val="71D6361D"/>
    <w:rsid w:val="71E35A1A"/>
    <w:rsid w:val="71E51B16"/>
    <w:rsid w:val="71E85A49"/>
    <w:rsid w:val="71EC078C"/>
    <w:rsid w:val="7205184D"/>
    <w:rsid w:val="720535FB"/>
    <w:rsid w:val="720775E6"/>
    <w:rsid w:val="720C6738"/>
    <w:rsid w:val="720E7CA0"/>
    <w:rsid w:val="72113D4E"/>
    <w:rsid w:val="72135D18"/>
    <w:rsid w:val="72161365"/>
    <w:rsid w:val="72367C59"/>
    <w:rsid w:val="7238752D"/>
    <w:rsid w:val="723E6B71"/>
    <w:rsid w:val="723F4D5F"/>
    <w:rsid w:val="72553024"/>
    <w:rsid w:val="72563E57"/>
    <w:rsid w:val="725E4ABA"/>
    <w:rsid w:val="7260609B"/>
    <w:rsid w:val="72612EF1"/>
    <w:rsid w:val="72676064"/>
    <w:rsid w:val="72785B7B"/>
    <w:rsid w:val="727F3B8E"/>
    <w:rsid w:val="728704B4"/>
    <w:rsid w:val="728974C3"/>
    <w:rsid w:val="729A01E8"/>
    <w:rsid w:val="729A1F96"/>
    <w:rsid w:val="729F670E"/>
    <w:rsid w:val="72A526E9"/>
    <w:rsid w:val="72A76461"/>
    <w:rsid w:val="72AE5A41"/>
    <w:rsid w:val="72AF5315"/>
    <w:rsid w:val="72B172DF"/>
    <w:rsid w:val="72B33057"/>
    <w:rsid w:val="72B50B7E"/>
    <w:rsid w:val="72B82BAB"/>
    <w:rsid w:val="72BD2C86"/>
    <w:rsid w:val="72D90331"/>
    <w:rsid w:val="72DB5F1E"/>
    <w:rsid w:val="72E72D01"/>
    <w:rsid w:val="72F0605A"/>
    <w:rsid w:val="730331EF"/>
    <w:rsid w:val="73122968"/>
    <w:rsid w:val="731A162D"/>
    <w:rsid w:val="731B2B50"/>
    <w:rsid w:val="731D7D2E"/>
    <w:rsid w:val="731F5D5E"/>
    <w:rsid w:val="73263829"/>
    <w:rsid w:val="73284E1E"/>
    <w:rsid w:val="732B52E4"/>
    <w:rsid w:val="732F6717"/>
    <w:rsid w:val="73361BED"/>
    <w:rsid w:val="733817AF"/>
    <w:rsid w:val="733D4A5B"/>
    <w:rsid w:val="735E01A9"/>
    <w:rsid w:val="73610D05"/>
    <w:rsid w:val="736425A4"/>
    <w:rsid w:val="736D3206"/>
    <w:rsid w:val="737A3B75"/>
    <w:rsid w:val="737A5923"/>
    <w:rsid w:val="737E5413"/>
    <w:rsid w:val="737F06A0"/>
    <w:rsid w:val="738A200A"/>
    <w:rsid w:val="738E13CF"/>
    <w:rsid w:val="738F5872"/>
    <w:rsid w:val="73966C01"/>
    <w:rsid w:val="73972979"/>
    <w:rsid w:val="73A155A6"/>
    <w:rsid w:val="73A46D9A"/>
    <w:rsid w:val="73A604A5"/>
    <w:rsid w:val="73B61051"/>
    <w:rsid w:val="73B80A58"/>
    <w:rsid w:val="73BA21C4"/>
    <w:rsid w:val="73BB6668"/>
    <w:rsid w:val="73BF029A"/>
    <w:rsid w:val="73C03C7E"/>
    <w:rsid w:val="73C51AD5"/>
    <w:rsid w:val="73C80D84"/>
    <w:rsid w:val="73C92407"/>
    <w:rsid w:val="73CA51CE"/>
    <w:rsid w:val="73D72923"/>
    <w:rsid w:val="73E04797"/>
    <w:rsid w:val="73E334C8"/>
    <w:rsid w:val="73E536E4"/>
    <w:rsid w:val="73EE31E0"/>
    <w:rsid w:val="73F80FDB"/>
    <w:rsid w:val="73F97190"/>
    <w:rsid w:val="7400407A"/>
    <w:rsid w:val="74024296"/>
    <w:rsid w:val="74033B6B"/>
    <w:rsid w:val="74035919"/>
    <w:rsid w:val="74152B15"/>
    <w:rsid w:val="741E793C"/>
    <w:rsid w:val="7423242A"/>
    <w:rsid w:val="74247EAC"/>
    <w:rsid w:val="74273CFD"/>
    <w:rsid w:val="742D6E39"/>
    <w:rsid w:val="743326A2"/>
    <w:rsid w:val="743401C8"/>
    <w:rsid w:val="74377F65"/>
    <w:rsid w:val="743C0E2B"/>
    <w:rsid w:val="7444607E"/>
    <w:rsid w:val="744E1844"/>
    <w:rsid w:val="74512670"/>
    <w:rsid w:val="745A55F3"/>
    <w:rsid w:val="745C52C0"/>
    <w:rsid w:val="745E3944"/>
    <w:rsid w:val="7467234B"/>
    <w:rsid w:val="746B7ED9"/>
    <w:rsid w:val="7476433D"/>
    <w:rsid w:val="74794316"/>
    <w:rsid w:val="747D56CB"/>
    <w:rsid w:val="74815D12"/>
    <w:rsid w:val="749166C6"/>
    <w:rsid w:val="7496678D"/>
    <w:rsid w:val="74A4534E"/>
    <w:rsid w:val="74B11819"/>
    <w:rsid w:val="74B1569F"/>
    <w:rsid w:val="74B4507D"/>
    <w:rsid w:val="74BA06CD"/>
    <w:rsid w:val="74C23A26"/>
    <w:rsid w:val="74C37184"/>
    <w:rsid w:val="74C6415A"/>
    <w:rsid w:val="74CA6436"/>
    <w:rsid w:val="74DA48CB"/>
    <w:rsid w:val="74E44282"/>
    <w:rsid w:val="74E7348C"/>
    <w:rsid w:val="74F66D9E"/>
    <w:rsid w:val="74F72203"/>
    <w:rsid w:val="751C3136"/>
    <w:rsid w:val="752C0E9F"/>
    <w:rsid w:val="75324707"/>
    <w:rsid w:val="7534591D"/>
    <w:rsid w:val="7541066E"/>
    <w:rsid w:val="755539A3"/>
    <w:rsid w:val="755B0F56"/>
    <w:rsid w:val="755F3023"/>
    <w:rsid w:val="75630D65"/>
    <w:rsid w:val="758F1B5A"/>
    <w:rsid w:val="75953442"/>
    <w:rsid w:val="759E1D9D"/>
    <w:rsid w:val="75A31161"/>
    <w:rsid w:val="75A66EA3"/>
    <w:rsid w:val="75A80912"/>
    <w:rsid w:val="75B23A9A"/>
    <w:rsid w:val="75B25848"/>
    <w:rsid w:val="75CE1F56"/>
    <w:rsid w:val="75E659CC"/>
    <w:rsid w:val="75EB48B6"/>
    <w:rsid w:val="75F02999"/>
    <w:rsid w:val="760119DA"/>
    <w:rsid w:val="7601232C"/>
    <w:rsid w:val="760A5948"/>
    <w:rsid w:val="760D0CD1"/>
    <w:rsid w:val="76157686"/>
    <w:rsid w:val="761756AB"/>
    <w:rsid w:val="76182A5E"/>
    <w:rsid w:val="761A67FE"/>
    <w:rsid w:val="761B58E2"/>
    <w:rsid w:val="7635099D"/>
    <w:rsid w:val="764367AE"/>
    <w:rsid w:val="76472434"/>
    <w:rsid w:val="764D5571"/>
    <w:rsid w:val="765A1611"/>
    <w:rsid w:val="766034F6"/>
    <w:rsid w:val="76661B74"/>
    <w:rsid w:val="76720D7B"/>
    <w:rsid w:val="767E1BCE"/>
    <w:rsid w:val="76876CD5"/>
    <w:rsid w:val="76897077"/>
    <w:rsid w:val="768A6E0D"/>
    <w:rsid w:val="768E0063"/>
    <w:rsid w:val="7691238F"/>
    <w:rsid w:val="76946CFC"/>
    <w:rsid w:val="76965E5F"/>
    <w:rsid w:val="76A01B45"/>
    <w:rsid w:val="76B86E9F"/>
    <w:rsid w:val="76C23869"/>
    <w:rsid w:val="76C94DAC"/>
    <w:rsid w:val="76D11FE1"/>
    <w:rsid w:val="76D31F1A"/>
    <w:rsid w:val="76D34653"/>
    <w:rsid w:val="76E71522"/>
    <w:rsid w:val="76EF78DA"/>
    <w:rsid w:val="76F6130C"/>
    <w:rsid w:val="76FE0619"/>
    <w:rsid w:val="76FE522B"/>
    <w:rsid w:val="76FF27FA"/>
    <w:rsid w:val="770D6979"/>
    <w:rsid w:val="77197D0F"/>
    <w:rsid w:val="77302EC9"/>
    <w:rsid w:val="773501BA"/>
    <w:rsid w:val="773C7ABF"/>
    <w:rsid w:val="773F009B"/>
    <w:rsid w:val="77627D63"/>
    <w:rsid w:val="776963DA"/>
    <w:rsid w:val="77725321"/>
    <w:rsid w:val="77762421"/>
    <w:rsid w:val="77933457"/>
    <w:rsid w:val="77955421"/>
    <w:rsid w:val="779F1DFC"/>
    <w:rsid w:val="77A07EC2"/>
    <w:rsid w:val="77AE3DED"/>
    <w:rsid w:val="77B122C2"/>
    <w:rsid w:val="77B56B1F"/>
    <w:rsid w:val="77BA6C36"/>
    <w:rsid w:val="77BF424C"/>
    <w:rsid w:val="77C3131B"/>
    <w:rsid w:val="77ED700C"/>
    <w:rsid w:val="78014865"/>
    <w:rsid w:val="780F09F4"/>
    <w:rsid w:val="78126A72"/>
    <w:rsid w:val="78207629"/>
    <w:rsid w:val="782B5247"/>
    <w:rsid w:val="783C037C"/>
    <w:rsid w:val="7842282E"/>
    <w:rsid w:val="784A620C"/>
    <w:rsid w:val="784F737E"/>
    <w:rsid w:val="78510950"/>
    <w:rsid w:val="78544C37"/>
    <w:rsid w:val="78570929"/>
    <w:rsid w:val="786E40D5"/>
    <w:rsid w:val="78774C3C"/>
    <w:rsid w:val="7879264D"/>
    <w:rsid w:val="787E7C64"/>
    <w:rsid w:val="78951BFA"/>
    <w:rsid w:val="78A60933"/>
    <w:rsid w:val="78A90480"/>
    <w:rsid w:val="78AE57D5"/>
    <w:rsid w:val="78B6564F"/>
    <w:rsid w:val="78D6184E"/>
    <w:rsid w:val="78E0091E"/>
    <w:rsid w:val="78E214E9"/>
    <w:rsid w:val="78E26444"/>
    <w:rsid w:val="78E421BD"/>
    <w:rsid w:val="78F85B04"/>
    <w:rsid w:val="790740FD"/>
    <w:rsid w:val="79091B3A"/>
    <w:rsid w:val="791A5BDE"/>
    <w:rsid w:val="792C76C0"/>
    <w:rsid w:val="79442C5B"/>
    <w:rsid w:val="794C2198"/>
    <w:rsid w:val="79584959"/>
    <w:rsid w:val="795B1D53"/>
    <w:rsid w:val="795F7A95"/>
    <w:rsid w:val="7969631A"/>
    <w:rsid w:val="797A7C24"/>
    <w:rsid w:val="79867B4E"/>
    <w:rsid w:val="7989246C"/>
    <w:rsid w:val="799040F2"/>
    <w:rsid w:val="79981007"/>
    <w:rsid w:val="79992A19"/>
    <w:rsid w:val="799C60EF"/>
    <w:rsid w:val="799D236B"/>
    <w:rsid w:val="79A4194C"/>
    <w:rsid w:val="79A47B9E"/>
    <w:rsid w:val="79C97604"/>
    <w:rsid w:val="79CB512B"/>
    <w:rsid w:val="79D264B9"/>
    <w:rsid w:val="79D33FDF"/>
    <w:rsid w:val="79DA35C0"/>
    <w:rsid w:val="79DD6C0C"/>
    <w:rsid w:val="79F0693F"/>
    <w:rsid w:val="79F301DD"/>
    <w:rsid w:val="79F77CCE"/>
    <w:rsid w:val="79FA36A9"/>
    <w:rsid w:val="7A187C44"/>
    <w:rsid w:val="7A2221D2"/>
    <w:rsid w:val="7A3251AA"/>
    <w:rsid w:val="7A364017"/>
    <w:rsid w:val="7A384FF4"/>
    <w:rsid w:val="7A480529"/>
    <w:rsid w:val="7A505630"/>
    <w:rsid w:val="7A61186F"/>
    <w:rsid w:val="7A636D62"/>
    <w:rsid w:val="7A6A0DAE"/>
    <w:rsid w:val="7A6B71FA"/>
    <w:rsid w:val="7A73790A"/>
    <w:rsid w:val="7A7F1A71"/>
    <w:rsid w:val="7A804167"/>
    <w:rsid w:val="7A805F15"/>
    <w:rsid w:val="7A8265E1"/>
    <w:rsid w:val="7A8552D9"/>
    <w:rsid w:val="7A8F4231"/>
    <w:rsid w:val="7A925DA4"/>
    <w:rsid w:val="7A9B2D4F"/>
    <w:rsid w:val="7AA20E32"/>
    <w:rsid w:val="7AB041E9"/>
    <w:rsid w:val="7AB618DB"/>
    <w:rsid w:val="7ABE4089"/>
    <w:rsid w:val="7AC266C4"/>
    <w:rsid w:val="7AC676A0"/>
    <w:rsid w:val="7AD2139B"/>
    <w:rsid w:val="7AD874E9"/>
    <w:rsid w:val="7AE6416C"/>
    <w:rsid w:val="7AEA5A84"/>
    <w:rsid w:val="7AFA50A1"/>
    <w:rsid w:val="7AFE508C"/>
    <w:rsid w:val="7B0029F6"/>
    <w:rsid w:val="7B0F7299"/>
    <w:rsid w:val="7B197943"/>
    <w:rsid w:val="7B1D7C08"/>
    <w:rsid w:val="7B236F73"/>
    <w:rsid w:val="7B241F7C"/>
    <w:rsid w:val="7B272834"/>
    <w:rsid w:val="7B2E0BFB"/>
    <w:rsid w:val="7B2F16E9"/>
    <w:rsid w:val="7B3B62E0"/>
    <w:rsid w:val="7B4A207F"/>
    <w:rsid w:val="7B4C229B"/>
    <w:rsid w:val="7B5045C5"/>
    <w:rsid w:val="7B551150"/>
    <w:rsid w:val="7B590514"/>
    <w:rsid w:val="7B5D15F3"/>
    <w:rsid w:val="7B686D42"/>
    <w:rsid w:val="7B695037"/>
    <w:rsid w:val="7B6C6BA5"/>
    <w:rsid w:val="7B71191C"/>
    <w:rsid w:val="7B71585E"/>
    <w:rsid w:val="7B840A4C"/>
    <w:rsid w:val="7B841746"/>
    <w:rsid w:val="7B86755B"/>
    <w:rsid w:val="7B886DF6"/>
    <w:rsid w:val="7B8B4B71"/>
    <w:rsid w:val="7B917389"/>
    <w:rsid w:val="7B95779E"/>
    <w:rsid w:val="7B971768"/>
    <w:rsid w:val="7B98103C"/>
    <w:rsid w:val="7B996CA0"/>
    <w:rsid w:val="7B9A6B62"/>
    <w:rsid w:val="7BA4768F"/>
    <w:rsid w:val="7BA63759"/>
    <w:rsid w:val="7BA82556"/>
    <w:rsid w:val="7BAB6FC2"/>
    <w:rsid w:val="7BB3231A"/>
    <w:rsid w:val="7BB87930"/>
    <w:rsid w:val="7BC40083"/>
    <w:rsid w:val="7BC448CD"/>
    <w:rsid w:val="7BCC294E"/>
    <w:rsid w:val="7BD00050"/>
    <w:rsid w:val="7BDA1655"/>
    <w:rsid w:val="7BDD796A"/>
    <w:rsid w:val="7BE129E3"/>
    <w:rsid w:val="7BE3178C"/>
    <w:rsid w:val="7BEE3352"/>
    <w:rsid w:val="7BF81ADB"/>
    <w:rsid w:val="7BFF2E69"/>
    <w:rsid w:val="7C030BAC"/>
    <w:rsid w:val="7C09018C"/>
    <w:rsid w:val="7C190ABB"/>
    <w:rsid w:val="7C262AEC"/>
    <w:rsid w:val="7C2823C0"/>
    <w:rsid w:val="7C336FB7"/>
    <w:rsid w:val="7C4521E0"/>
    <w:rsid w:val="7C4618F4"/>
    <w:rsid w:val="7C4D1E27"/>
    <w:rsid w:val="7C4E5B9F"/>
    <w:rsid w:val="7C5326C5"/>
    <w:rsid w:val="7C5570BA"/>
    <w:rsid w:val="7C5735B6"/>
    <w:rsid w:val="7C63789C"/>
    <w:rsid w:val="7C6C5AC7"/>
    <w:rsid w:val="7C745605"/>
    <w:rsid w:val="7C765821"/>
    <w:rsid w:val="7C857813"/>
    <w:rsid w:val="7CA12173"/>
    <w:rsid w:val="7CA742B0"/>
    <w:rsid w:val="7CAD6D69"/>
    <w:rsid w:val="7CB43C54"/>
    <w:rsid w:val="7CB65C1E"/>
    <w:rsid w:val="7CBB1486"/>
    <w:rsid w:val="7CBB5010"/>
    <w:rsid w:val="7CC6544B"/>
    <w:rsid w:val="7CC83BA3"/>
    <w:rsid w:val="7CCD3818"/>
    <w:rsid w:val="7CCE44FE"/>
    <w:rsid w:val="7CE7227B"/>
    <w:rsid w:val="7CE777C6"/>
    <w:rsid w:val="7CEC4DB8"/>
    <w:rsid w:val="7CED21F4"/>
    <w:rsid w:val="7D0239FF"/>
    <w:rsid w:val="7D050F9F"/>
    <w:rsid w:val="7D1F286A"/>
    <w:rsid w:val="7D2863F0"/>
    <w:rsid w:val="7D2D2704"/>
    <w:rsid w:val="7D33726F"/>
    <w:rsid w:val="7D400FFE"/>
    <w:rsid w:val="7D423956"/>
    <w:rsid w:val="7D4274B2"/>
    <w:rsid w:val="7D4C0330"/>
    <w:rsid w:val="7D537911"/>
    <w:rsid w:val="7D553CB8"/>
    <w:rsid w:val="7D570460"/>
    <w:rsid w:val="7D5B4A17"/>
    <w:rsid w:val="7D5E0064"/>
    <w:rsid w:val="7D5E1E12"/>
    <w:rsid w:val="7D5E40CD"/>
    <w:rsid w:val="7D6513F2"/>
    <w:rsid w:val="7D6733BC"/>
    <w:rsid w:val="7D6E474B"/>
    <w:rsid w:val="7D7237E8"/>
    <w:rsid w:val="7D751B04"/>
    <w:rsid w:val="7D782ED3"/>
    <w:rsid w:val="7D80622C"/>
    <w:rsid w:val="7D8775BA"/>
    <w:rsid w:val="7D9341B1"/>
    <w:rsid w:val="7D957F29"/>
    <w:rsid w:val="7DA01B27"/>
    <w:rsid w:val="7DA261A2"/>
    <w:rsid w:val="7DA71A0B"/>
    <w:rsid w:val="7DA84E51"/>
    <w:rsid w:val="7DB67599"/>
    <w:rsid w:val="7DB67EA0"/>
    <w:rsid w:val="7DBA0081"/>
    <w:rsid w:val="7DBA173E"/>
    <w:rsid w:val="7DC223A1"/>
    <w:rsid w:val="7DC66335"/>
    <w:rsid w:val="7DC82C3F"/>
    <w:rsid w:val="7DCD56F2"/>
    <w:rsid w:val="7DD94854"/>
    <w:rsid w:val="7DEE13E8"/>
    <w:rsid w:val="7DFA7D8C"/>
    <w:rsid w:val="7E0230E5"/>
    <w:rsid w:val="7E0B1F99"/>
    <w:rsid w:val="7E107DBC"/>
    <w:rsid w:val="7E1150D6"/>
    <w:rsid w:val="7E171CA2"/>
    <w:rsid w:val="7E266DD3"/>
    <w:rsid w:val="7E2766A8"/>
    <w:rsid w:val="7E301A00"/>
    <w:rsid w:val="7E387DAE"/>
    <w:rsid w:val="7E3A378D"/>
    <w:rsid w:val="7E426F42"/>
    <w:rsid w:val="7E434750"/>
    <w:rsid w:val="7E533FE2"/>
    <w:rsid w:val="7E546F05"/>
    <w:rsid w:val="7E5D7C79"/>
    <w:rsid w:val="7E655B4E"/>
    <w:rsid w:val="7E6B2A38"/>
    <w:rsid w:val="7E74183B"/>
    <w:rsid w:val="7E775881"/>
    <w:rsid w:val="7E77762F"/>
    <w:rsid w:val="7E8671C3"/>
    <w:rsid w:val="7E910D6D"/>
    <w:rsid w:val="7E982E03"/>
    <w:rsid w:val="7EA52DB4"/>
    <w:rsid w:val="7EAA3118"/>
    <w:rsid w:val="7EAA3560"/>
    <w:rsid w:val="7EAF0B77"/>
    <w:rsid w:val="7EB532DF"/>
    <w:rsid w:val="7EBD0143"/>
    <w:rsid w:val="7EBD46E2"/>
    <w:rsid w:val="7EC363D0"/>
    <w:rsid w:val="7ECB248A"/>
    <w:rsid w:val="7ED02F35"/>
    <w:rsid w:val="7ED216C9"/>
    <w:rsid w:val="7ED305B1"/>
    <w:rsid w:val="7EDB7BBE"/>
    <w:rsid w:val="7EE8390A"/>
    <w:rsid w:val="7F001CE7"/>
    <w:rsid w:val="7F0426A9"/>
    <w:rsid w:val="7F160BF6"/>
    <w:rsid w:val="7F182BC0"/>
    <w:rsid w:val="7F1A57E0"/>
    <w:rsid w:val="7F1F2FEA"/>
    <w:rsid w:val="7F2D4191"/>
    <w:rsid w:val="7F391E52"/>
    <w:rsid w:val="7F3B240A"/>
    <w:rsid w:val="7F4514DB"/>
    <w:rsid w:val="7F45211C"/>
    <w:rsid w:val="7F486CD6"/>
    <w:rsid w:val="7F4A58FD"/>
    <w:rsid w:val="7F533BF8"/>
    <w:rsid w:val="7F5D6825"/>
    <w:rsid w:val="7F6C2F0C"/>
    <w:rsid w:val="7F7B4EFD"/>
    <w:rsid w:val="7F7D0C75"/>
    <w:rsid w:val="7F870EA7"/>
    <w:rsid w:val="7F8C710A"/>
    <w:rsid w:val="7F9E2C19"/>
    <w:rsid w:val="7FA501CC"/>
    <w:rsid w:val="7FAE2934"/>
    <w:rsid w:val="7FB14ABB"/>
    <w:rsid w:val="7FB4040F"/>
    <w:rsid w:val="7FB63B91"/>
    <w:rsid w:val="7FB6763B"/>
    <w:rsid w:val="7FB81CC5"/>
    <w:rsid w:val="7FB90B0A"/>
    <w:rsid w:val="7FB977D3"/>
    <w:rsid w:val="7FBB33CF"/>
    <w:rsid w:val="7FBB354B"/>
    <w:rsid w:val="7FC248DA"/>
    <w:rsid w:val="7FD85EAB"/>
    <w:rsid w:val="7FDC1E3F"/>
    <w:rsid w:val="7FDF5BAB"/>
    <w:rsid w:val="7FE47E50"/>
    <w:rsid w:val="7FE900B8"/>
    <w:rsid w:val="7FE9455C"/>
    <w:rsid w:val="7FEC1957"/>
    <w:rsid w:val="7FF55D3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qFormat="1" w:uiPriority="99" w:name="toc 1" w:locked="1"/>
    <w:lsdException w:qFormat="1" w:unhideWhenUsed="0" w:uiPriority="0" w:semiHidden="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ocked="1"/>
    <w:lsdException w:uiPriority="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iPriority="0" w:name="index heading" w:locked="1"/>
    <w:lsdException w:qFormat="1" w:unhideWhenUsed="0" w:uiPriority="35" w:semiHidden="0" w:name="caption" w:locked="1"/>
    <w:lsdException w:qFormat="1" w:uiPriority="99" w:semiHidden="0" w:name="table of figures" w:locked="1"/>
    <w:lsdException w:uiPriority="0" w:name="envelope address" w:locked="1"/>
    <w:lsdException w:uiPriority="0" w:name="envelope return" w:locked="1"/>
    <w:lsdException w:uiPriority="0" w:name="footnote reference" w:locked="1"/>
    <w:lsdException w:qFormat="1" w:unhideWhenUsed="0" w:uiPriority="0" w:name="annotation reference"/>
    <w:lsdException w:uiPriority="0" w:name="line number" w:locked="1"/>
    <w:lsdException w:qFormat="1" w:unhideWhenUsed="0" w:uiPriority="0" w:semiHidden="0" w:name="page number" w:locked="1"/>
    <w:lsdException w:uiPriority="0" w:name="endnote reference" w:locked="1"/>
    <w:lsdException w:uiPriority="0" w:name="endnote text" w:locked="1"/>
    <w:lsdException w:unhideWhenUsed="0" w:uiPriority="0" w:semiHidden="0" w:name="table of authorities" w:locked="1"/>
    <w:lsdException w:uiPriority="0" w:name="macro" w:locked="1"/>
    <w:lsdException w:uiPriority="0" w:name="toa heading" w:locked="1"/>
    <w:lsdException w:qFormat="1" w:unhideWhenUsed="0" w:uiPriority="0" w:semiHidden="0" w:name="List" w:locked="1"/>
    <w:lsdException w:unhideWhenUsed="0" w:uiPriority="0" w:semiHidden="0" w:name="List Bullet" w:locked="1"/>
    <w:lsdException w:uiPriority="0" w:name="List Number" w:locked="1"/>
    <w:lsdException w:uiPriority="0" w:name="List 2" w:locked="1"/>
    <w:lsdException w:uiPriority="0" w:name="List 3" w:locked="1"/>
    <w:lsdException w:uiPriority="0" w:name="List 4" w:locked="1"/>
    <w:lsdException w:uiPriority="0" w:name="List 5" w:locked="1"/>
    <w:lsdException w:uiPriority="0" w:name="List Bullet 2" w:locked="1"/>
    <w:lsdException w:uiPriority="0" w:name="List Bullet 3" w:locked="1"/>
    <w:lsdException w:uiPriority="0" w:name="List Bullet 4" w:locked="1"/>
    <w:lsdException w:qFormat="1"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iPriority="0" w:name="Message Header" w:locked="1"/>
    <w:lsdException w:qFormat="1" w:unhideWhenUsed="0" w:uiPriority="11" w:semiHidden="0" w:name="Subtitle" w:locked="1"/>
    <w:lsdException w:uiPriority="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qFormat="1" w:unhideWhenUsed="0" w:uiPriority="0" w:semiHidden="0" w:name="Note Heading" w:locked="1"/>
    <w:lsdException w:qFormat="1" w:unhideWhenUsed="0" w:uiPriority="0" w:semiHidden="0" w:name="Body Text 2" w:locked="1"/>
    <w:lsdException w:uiPriority="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99" w:semiHidden="0" w:name="Block Text" w:locked="1"/>
    <w:lsdException w:qFormat="1" w:unhideWhenUsed="0" w:uiPriority="0" w:semiHidden="0" w:name="Hyperlink" w:locked="1"/>
    <w:lsdException w:uiPriority="0" w:name="FollowedHyperlink" w:locked="1"/>
    <w:lsdException w:qFormat="1" w:unhideWhenUsed="0" w:uiPriority="0" w:semiHidden="0" w:name="Strong" w:locked="1"/>
    <w:lsdException w:qFormat="1" w:unhideWhenUsed="0" w:uiPriority="0" w:semiHidden="0" w:name="Emphasis" w:locked="1"/>
    <w:lsdException w:qFormat="1" w:unhideWhenUsed="0" w:uiPriority="0" w:name="Document Map" w:locked="1"/>
    <w:lsdException w:qFormat="1" w:unhideWhenUsed="0" w:uiPriority="0" w:semiHidden="0" w:name="Plain Text" w:locked="1"/>
    <w:lsdException w:uiPriority="0" w:name="E-mail Signature" w:locked="1"/>
    <w:lsdException w:qFormat="1" w:unhideWhenUsed="0" w:uiPriority="0"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qFormat="1" w:uiPriority="0" w:name="HTML Preformatted" w:locked="1"/>
    <w:lsdException w:uiPriority="0" w:name="HTML Sample" w:locked="1"/>
    <w:lsdException w:uiPriority="0" w:name="HTML Typewriter" w:locked="1"/>
    <w:lsdException w:uiPriority="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59" w:semiHidden="0" w:name="Table Grid"/>
    <w:lsdException w:uiPriority="0" w:name="Table Theme" w:locked="1"/>
    <w:lsdException w:qFormat="1" w:unhideWhenUsed="0" w:uiPriority="0" w:semiHidden="0" w:name="No Spacing"/>
    <w:lsdException w:qFormat="1"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57"/>
    <w:autoRedefine/>
    <w:qFormat/>
    <w:locked/>
    <w:uiPriority w:val="0"/>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46"/>
    <w:autoRedefine/>
    <w:qFormat/>
    <w:locked/>
    <w:uiPriority w:val="0"/>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58"/>
    <w:autoRedefine/>
    <w:qFormat/>
    <w:locked/>
    <w:uiPriority w:val="0"/>
    <w:pPr>
      <w:keepNext/>
      <w:keepLines/>
      <w:spacing w:before="260" w:after="260" w:line="416" w:lineRule="auto"/>
      <w:outlineLvl w:val="2"/>
    </w:pPr>
    <w:rPr>
      <w:b/>
      <w:bCs/>
      <w:sz w:val="32"/>
      <w:szCs w:val="32"/>
    </w:rPr>
  </w:style>
  <w:style w:type="paragraph" w:styleId="5">
    <w:name w:val="heading 4"/>
    <w:basedOn w:val="1"/>
    <w:next w:val="1"/>
    <w:link w:val="59"/>
    <w:autoRedefine/>
    <w:qFormat/>
    <w:locked/>
    <w:uiPriority w:val="0"/>
    <w:pPr>
      <w:keepNext/>
      <w:keepLines/>
      <w:tabs>
        <w:tab w:val="left" w:pos="851"/>
        <w:tab w:val="left" w:pos="960"/>
      </w:tabs>
      <w:adjustRightInd w:val="0"/>
      <w:spacing w:before="60" w:after="60"/>
      <w:ind w:left="851" w:hanging="851"/>
      <w:textAlignment w:val="baseline"/>
      <w:outlineLvl w:val="3"/>
    </w:pPr>
    <w:rPr>
      <w:rFonts w:hAnsi="Arial" w:eastAsia="黑体"/>
      <w:b/>
      <w:kern w:val="0"/>
      <w:sz w:val="28"/>
      <w:szCs w:val="20"/>
      <w:lang w:val="zh-CN"/>
    </w:rPr>
  </w:style>
  <w:style w:type="character" w:default="1" w:styleId="40">
    <w:name w:val="Default Paragraph Font"/>
    <w:autoRedefine/>
    <w:semiHidden/>
    <w:unhideWhenUsed/>
    <w:qFormat/>
    <w:uiPriority w:val="1"/>
  </w:style>
  <w:style w:type="table" w:default="1" w:styleId="37">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Note Heading"/>
    <w:basedOn w:val="1"/>
    <w:next w:val="1"/>
    <w:link w:val="118"/>
    <w:autoRedefine/>
    <w:qFormat/>
    <w:locked/>
    <w:uiPriority w:val="0"/>
    <w:pPr>
      <w:jc w:val="center"/>
    </w:pPr>
    <w:rPr>
      <w:szCs w:val="20"/>
    </w:rPr>
  </w:style>
  <w:style w:type="paragraph" w:styleId="7">
    <w:name w:val="Normal Indent"/>
    <w:basedOn w:val="1"/>
    <w:next w:val="1"/>
    <w:link w:val="96"/>
    <w:autoRedefine/>
    <w:qFormat/>
    <w:locked/>
    <w:uiPriority w:val="0"/>
    <w:pPr>
      <w:ind w:firstLine="420"/>
    </w:pPr>
    <w:rPr>
      <w:sz w:val="28"/>
      <w:szCs w:val="20"/>
    </w:rPr>
  </w:style>
  <w:style w:type="paragraph" w:styleId="8">
    <w:name w:val="caption"/>
    <w:basedOn w:val="1"/>
    <w:next w:val="1"/>
    <w:autoRedefine/>
    <w:qFormat/>
    <w:locked/>
    <w:uiPriority w:val="35"/>
    <w:pPr>
      <w:adjustRightInd w:val="0"/>
      <w:snapToGrid w:val="0"/>
      <w:jc w:val="center"/>
    </w:pPr>
    <w:rPr>
      <w:rFonts w:eastAsia="黑体"/>
      <w:sz w:val="22"/>
      <w:szCs w:val="20"/>
    </w:rPr>
  </w:style>
  <w:style w:type="paragraph" w:styleId="9">
    <w:name w:val="Document Map"/>
    <w:basedOn w:val="1"/>
    <w:link w:val="120"/>
    <w:autoRedefine/>
    <w:semiHidden/>
    <w:qFormat/>
    <w:locked/>
    <w:uiPriority w:val="0"/>
    <w:pPr>
      <w:shd w:val="clear" w:color="auto" w:fill="000080"/>
    </w:pPr>
    <w:rPr>
      <w:sz w:val="28"/>
      <w:szCs w:val="20"/>
    </w:rPr>
  </w:style>
  <w:style w:type="paragraph" w:styleId="10">
    <w:name w:val="annotation text"/>
    <w:basedOn w:val="1"/>
    <w:link w:val="66"/>
    <w:autoRedefine/>
    <w:semiHidden/>
    <w:qFormat/>
    <w:uiPriority w:val="0"/>
    <w:rPr>
      <w:kern w:val="0"/>
      <w:szCs w:val="20"/>
    </w:rPr>
  </w:style>
  <w:style w:type="paragraph" w:styleId="11">
    <w:name w:val="Body Text"/>
    <w:basedOn w:val="1"/>
    <w:link w:val="65"/>
    <w:autoRedefine/>
    <w:qFormat/>
    <w:uiPriority w:val="0"/>
    <w:pPr>
      <w:widowControl/>
      <w:snapToGrid w:val="0"/>
      <w:spacing w:before="60" w:after="160" w:line="259" w:lineRule="auto"/>
      <w:ind w:right="113"/>
    </w:pPr>
    <w:rPr>
      <w:kern w:val="0"/>
      <w:sz w:val="18"/>
      <w:szCs w:val="20"/>
    </w:rPr>
  </w:style>
  <w:style w:type="paragraph" w:styleId="12">
    <w:name w:val="Body Text Indent"/>
    <w:basedOn w:val="1"/>
    <w:next w:val="13"/>
    <w:link w:val="72"/>
    <w:autoRedefine/>
    <w:qFormat/>
    <w:uiPriority w:val="0"/>
    <w:pPr>
      <w:spacing w:after="120"/>
      <w:ind w:left="420" w:leftChars="200"/>
    </w:pPr>
    <w:rPr>
      <w:kern w:val="0"/>
      <w:szCs w:val="20"/>
    </w:rPr>
  </w:style>
  <w:style w:type="paragraph" w:styleId="13">
    <w:name w:val="header"/>
    <w:basedOn w:val="1"/>
    <w:next w:val="14"/>
    <w:link w:val="70"/>
    <w:autoRedefine/>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14">
    <w:name w:val="样式5"/>
    <w:basedOn w:val="15"/>
    <w:autoRedefine/>
    <w:qFormat/>
    <w:uiPriority w:val="0"/>
    <w:rPr>
      <w:rFonts w:ascii="黑体"/>
    </w:rPr>
  </w:style>
  <w:style w:type="paragraph" w:customStyle="1" w:styleId="15">
    <w:name w:val="样式3"/>
    <w:basedOn w:val="16"/>
    <w:autoRedefine/>
    <w:qFormat/>
    <w:uiPriority w:val="0"/>
    <w:pPr>
      <w:snapToGrid w:val="0"/>
      <w:jc w:val="center"/>
    </w:pPr>
    <w:rPr>
      <w:rFonts w:hAnsi="黑体" w:eastAsia="黑体"/>
      <w:color w:val="000000"/>
    </w:rPr>
  </w:style>
  <w:style w:type="paragraph" w:styleId="16">
    <w:name w:val="List"/>
    <w:basedOn w:val="1"/>
    <w:autoRedefine/>
    <w:qFormat/>
    <w:locked/>
    <w:uiPriority w:val="0"/>
    <w:pPr>
      <w:ind w:left="200" w:hanging="200" w:hangingChars="200"/>
    </w:pPr>
  </w:style>
  <w:style w:type="paragraph" w:styleId="17">
    <w:name w:val="Block Text"/>
    <w:basedOn w:val="1"/>
    <w:autoRedefine/>
    <w:qFormat/>
    <w:locked/>
    <w:uiPriority w:val="99"/>
    <w:pPr>
      <w:ind w:left="46" w:leftChars="22" w:right="29" w:rightChars="14" w:firstLine="210" w:firstLineChars="100"/>
    </w:pPr>
    <w:rPr>
      <w:rFonts w:ascii="宋体" w:hAnsi="宋体"/>
      <w:color w:val="FF0000"/>
    </w:rPr>
  </w:style>
  <w:style w:type="paragraph" w:styleId="18">
    <w:name w:val="Plain Text"/>
    <w:basedOn w:val="1"/>
    <w:next w:val="1"/>
    <w:link w:val="84"/>
    <w:autoRedefine/>
    <w:qFormat/>
    <w:locked/>
    <w:uiPriority w:val="0"/>
    <w:rPr>
      <w:rFonts w:ascii="宋体" w:hAnsi="Courier New"/>
      <w:szCs w:val="20"/>
    </w:rPr>
  </w:style>
  <w:style w:type="paragraph" w:styleId="19">
    <w:name w:val="List Bullet 5"/>
    <w:basedOn w:val="1"/>
    <w:autoRedefine/>
    <w:semiHidden/>
    <w:unhideWhenUsed/>
    <w:qFormat/>
    <w:locked/>
    <w:uiPriority w:val="0"/>
    <w:pPr>
      <w:numPr>
        <w:ilvl w:val="0"/>
        <w:numId w:val="1"/>
      </w:numPr>
    </w:pPr>
  </w:style>
  <w:style w:type="paragraph" w:styleId="20">
    <w:name w:val="Date"/>
    <w:basedOn w:val="1"/>
    <w:next w:val="1"/>
    <w:link w:val="61"/>
    <w:autoRedefine/>
    <w:qFormat/>
    <w:uiPriority w:val="0"/>
    <w:pPr>
      <w:ind w:left="100" w:leftChars="2500"/>
    </w:pPr>
    <w:rPr>
      <w:kern w:val="0"/>
      <w:szCs w:val="20"/>
    </w:rPr>
  </w:style>
  <w:style w:type="paragraph" w:styleId="21">
    <w:name w:val="Body Text Indent 2"/>
    <w:basedOn w:val="1"/>
    <w:next w:val="22"/>
    <w:link w:val="99"/>
    <w:autoRedefine/>
    <w:qFormat/>
    <w:locked/>
    <w:uiPriority w:val="0"/>
    <w:pPr>
      <w:spacing w:line="620" w:lineRule="exact"/>
      <w:ind w:firstLine="570"/>
    </w:pPr>
    <w:rPr>
      <w:sz w:val="28"/>
      <w:szCs w:val="20"/>
    </w:rPr>
  </w:style>
  <w:style w:type="paragraph" w:customStyle="1" w:styleId="22">
    <w:name w:val="Char"/>
    <w:basedOn w:val="1"/>
    <w:autoRedefine/>
    <w:qFormat/>
    <w:uiPriority w:val="0"/>
  </w:style>
  <w:style w:type="paragraph" w:styleId="23">
    <w:name w:val="Balloon Text"/>
    <w:basedOn w:val="1"/>
    <w:link w:val="68"/>
    <w:autoRedefine/>
    <w:semiHidden/>
    <w:qFormat/>
    <w:uiPriority w:val="0"/>
    <w:rPr>
      <w:kern w:val="0"/>
      <w:sz w:val="18"/>
      <w:szCs w:val="20"/>
    </w:rPr>
  </w:style>
  <w:style w:type="paragraph" w:styleId="24">
    <w:name w:val="footer"/>
    <w:basedOn w:val="1"/>
    <w:link w:val="60"/>
    <w:autoRedefine/>
    <w:qFormat/>
    <w:uiPriority w:val="99"/>
    <w:pPr>
      <w:tabs>
        <w:tab w:val="center" w:pos="4153"/>
        <w:tab w:val="right" w:pos="8306"/>
      </w:tabs>
      <w:snapToGrid w:val="0"/>
    </w:pPr>
    <w:rPr>
      <w:kern w:val="0"/>
      <w:sz w:val="18"/>
      <w:szCs w:val="20"/>
    </w:rPr>
  </w:style>
  <w:style w:type="paragraph" w:styleId="25">
    <w:name w:val="toc 1"/>
    <w:basedOn w:val="1"/>
    <w:next w:val="1"/>
    <w:autoRedefine/>
    <w:semiHidden/>
    <w:unhideWhenUsed/>
    <w:qFormat/>
    <w:locked/>
    <w:uiPriority w:val="99"/>
  </w:style>
  <w:style w:type="paragraph" w:styleId="26">
    <w:name w:val="Subtitle"/>
    <w:basedOn w:val="1"/>
    <w:next w:val="1"/>
    <w:link w:val="97"/>
    <w:autoRedefine/>
    <w:qFormat/>
    <w:locked/>
    <w:uiPriority w:val="11"/>
    <w:pPr>
      <w:snapToGrid w:val="0"/>
      <w:jc w:val="center"/>
    </w:pPr>
    <w:rPr>
      <w:rFonts w:ascii="Cambria" w:hAnsi="Cambria"/>
      <w:bCs/>
      <w:kern w:val="28"/>
      <w:sz w:val="20"/>
      <w:szCs w:val="32"/>
    </w:rPr>
  </w:style>
  <w:style w:type="paragraph" w:styleId="27">
    <w:name w:val="Body Text Indent 3"/>
    <w:basedOn w:val="1"/>
    <w:link w:val="119"/>
    <w:autoRedefine/>
    <w:qFormat/>
    <w:locked/>
    <w:uiPriority w:val="0"/>
    <w:pPr>
      <w:spacing w:line="500" w:lineRule="exact"/>
      <w:ind w:firstLine="570"/>
    </w:pPr>
    <w:rPr>
      <w:szCs w:val="20"/>
    </w:rPr>
  </w:style>
  <w:style w:type="paragraph" w:styleId="28">
    <w:name w:val="table of figures"/>
    <w:basedOn w:val="1"/>
    <w:next w:val="1"/>
    <w:autoRedefine/>
    <w:unhideWhenUsed/>
    <w:qFormat/>
    <w:locked/>
    <w:uiPriority w:val="99"/>
  </w:style>
  <w:style w:type="paragraph" w:styleId="29">
    <w:name w:val="toc 2"/>
    <w:basedOn w:val="1"/>
    <w:next w:val="1"/>
    <w:autoRedefine/>
    <w:qFormat/>
    <w:locked/>
    <w:uiPriority w:val="0"/>
    <w:pPr>
      <w:ind w:left="200" w:leftChars="200"/>
    </w:pPr>
    <w:rPr>
      <w:sz w:val="28"/>
      <w:szCs w:val="28"/>
    </w:rPr>
  </w:style>
  <w:style w:type="paragraph" w:styleId="30">
    <w:name w:val="Body Text 2"/>
    <w:basedOn w:val="1"/>
    <w:link w:val="125"/>
    <w:autoRedefine/>
    <w:qFormat/>
    <w:locked/>
    <w:uiPriority w:val="0"/>
    <w:rPr>
      <w:b/>
      <w:sz w:val="28"/>
      <w:szCs w:val="20"/>
    </w:rPr>
  </w:style>
  <w:style w:type="paragraph" w:styleId="31">
    <w:name w:val="HTML Preformatted"/>
    <w:basedOn w:val="1"/>
    <w:autoRedefine/>
    <w:semiHidden/>
    <w:unhideWhenUsed/>
    <w:qFormat/>
    <w:locked/>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rPr>
  </w:style>
  <w:style w:type="paragraph" w:styleId="32">
    <w:name w:val="Normal (Web)"/>
    <w:basedOn w:val="1"/>
    <w:link w:val="63"/>
    <w:autoRedefine/>
    <w:qFormat/>
    <w:uiPriority w:val="0"/>
    <w:pPr>
      <w:widowControl/>
      <w:spacing w:before="100" w:beforeAutospacing="1" w:after="100" w:afterAutospacing="1"/>
    </w:pPr>
    <w:rPr>
      <w:rFonts w:ascii="宋体" w:hAnsi="宋体"/>
      <w:kern w:val="0"/>
      <w:szCs w:val="20"/>
    </w:rPr>
  </w:style>
  <w:style w:type="paragraph" w:styleId="33">
    <w:name w:val="Title"/>
    <w:basedOn w:val="1"/>
    <w:next w:val="1"/>
    <w:link w:val="90"/>
    <w:autoRedefine/>
    <w:qFormat/>
    <w:locked/>
    <w:uiPriority w:val="0"/>
    <w:pPr>
      <w:snapToGrid w:val="0"/>
      <w:jc w:val="center"/>
    </w:pPr>
    <w:rPr>
      <w:rFonts w:ascii="黑体" w:eastAsia="黑体"/>
      <w:sz w:val="36"/>
      <w:szCs w:val="20"/>
    </w:rPr>
  </w:style>
  <w:style w:type="paragraph" w:styleId="34">
    <w:name w:val="annotation subject"/>
    <w:basedOn w:val="10"/>
    <w:next w:val="10"/>
    <w:link w:val="69"/>
    <w:autoRedefine/>
    <w:semiHidden/>
    <w:qFormat/>
    <w:uiPriority w:val="0"/>
    <w:rPr>
      <w:b/>
    </w:rPr>
  </w:style>
  <w:style w:type="paragraph" w:styleId="35">
    <w:name w:val="Body Text First Indent"/>
    <w:basedOn w:val="11"/>
    <w:next w:val="1"/>
    <w:link w:val="102"/>
    <w:autoRedefine/>
    <w:qFormat/>
    <w:locked/>
    <w:uiPriority w:val="0"/>
    <w:pPr>
      <w:widowControl w:val="0"/>
      <w:snapToGrid/>
      <w:spacing w:before="0" w:after="120" w:line="240" w:lineRule="auto"/>
      <w:ind w:right="0" w:firstLine="420" w:firstLineChars="100"/>
    </w:pPr>
    <w:rPr>
      <w:kern w:val="2"/>
      <w:sz w:val="24"/>
      <w:szCs w:val="24"/>
    </w:rPr>
  </w:style>
  <w:style w:type="paragraph" w:styleId="36">
    <w:name w:val="Body Text First Indent 2"/>
    <w:basedOn w:val="1"/>
    <w:next w:val="1"/>
    <w:link w:val="76"/>
    <w:autoRedefine/>
    <w:qFormat/>
    <w:locked/>
    <w:uiPriority w:val="0"/>
    <w:pPr>
      <w:ind w:firstLine="420"/>
    </w:pPr>
  </w:style>
  <w:style w:type="table" w:styleId="38">
    <w:name w:val="Table Grid"/>
    <w:basedOn w:val="37"/>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9">
    <w:name w:val="Light Shading"/>
    <w:basedOn w:val="37"/>
    <w:autoRedefine/>
    <w:qFormat/>
    <w:uiPriority w:val="60"/>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character" w:styleId="41">
    <w:name w:val="Strong"/>
    <w:autoRedefine/>
    <w:qFormat/>
    <w:locked/>
    <w:uiPriority w:val="0"/>
    <w:rPr>
      <w:b/>
      <w:bCs/>
    </w:rPr>
  </w:style>
  <w:style w:type="character" w:styleId="42">
    <w:name w:val="page number"/>
    <w:basedOn w:val="40"/>
    <w:autoRedefine/>
    <w:qFormat/>
    <w:locked/>
    <w:uiPriority w:val="0"/>
  </w:style>
  <w:style w:type="character" w:styleId="43">
    <w:name w:val="Emphasis"/>
    <w:basedOn w:val="40"/>
    <w:autoRedefine/>
    <w:qFormat/>
    <w:locked/>
    <w:uiPriority w:val="0"/>
    <w:rPr>
      <w:i/>
    </w:rPr>
  </w:style>
  <w:style w:type="character" w:styleId="44">
    <w:name w:val="Hyperlink"/>
    <w:autoRedefine/>
    <w:qFormat/>
    <w:locked/>
    <w:uiPriority w:val="0"/>
    <w:rPr>
      <w:color w:val="3366CC"/>
      <w:u w:val="single"/>
    </w:rPr>
  </w:style>
  <w:style w:type="character" w:styleId="45">
    <w:name w:val="annotation reference"/>
    <w:autoRedefine/>
    <w:semiHidden/>
    <w:qFormat/>
    <w:uiPriority w:val="0"/>
    <w:rPr>
      <w:sz w:val="21"/>
    </w:rPr>
  </w:style>
  <w:style w:type="character" w:customStyle="1" w:styleId="46">
    <w:name w:val="标题 2 Char"/>
    <w:basedOn w:val="40"/>
    <w:link w:val="3"/>
    <w:autoRedefine/>
    <w:qFormat/>
    <w:uiPriority w:val="0"/>
    <w:rPr>
      <w:rFonts w:ascii="Cambria" w:hAnsi="Cambria"/>
      <w:b/>
      <w:bCs/>
      <w:kern w:val="2"/>
      <w:sz w:val="32"/>
      <w:szCs w:val="32"/>
      <w:lang w:val="zh-CN" w:eastAsia="zh-CN"/>
    </w:rPr>
  </w:style>
  <w:style w:type="paragraph" w:customStyle="1" w:styleId="47">
    <w:name w:val="Default"/>
    <w:basedOn w:val="48"/>
    <w:next w:val="1"/>
    <w:autoRedefine/>
    <w:qFormat/>
    <w:uiPriority w:val="0"/>
    <w:rPr>
      <w:rFonts w:hAnsi="宋体" w:cs="宋体"/>
      <w:color w:val="000000"/>
      <w:szCs w:val="24"/>
    </w:rPr>
  </w:style>
  <w:style w:type="paragraph" w:customStyle="1" w:styleId="48">
    <w:name w:val="纯文本1"/>
    <w:basedOn w:val="1"/>
    <w:autoRedefine/>
    <w:qFormat/>
    <w:uiPriority w:val="99"/>
    <w:pPr>
      <w:autoSpaceDE w:val="0"/>
      <w:autoSpaceDN w:val="0"/>
      <w:adjustRightInd w:val="0"/>
      <w:textAlignment w:val="baseline"/>
    </w:pPr>
    <w:rPr>
      <w:rFonts w:ascii="宋体"/>
      <w:szCs w:val="20"/>
    </w:rPr>
  </w:style>
  <w:style w:type="paragraph" w:customStyle="1" w:styleId="49">
    <w:name w:val="批注文字1"/>
    <w:autoRedefine/>
    <w:qFormat/>
    <w:uiPriority w:val="0"/>
    <w:pPr>
      <w:widowControl w:val="0"/>
    </w:pPr>
    <w:rPr>
      <w:rFonts w:ascii="Times New Roman" w:hAnsi="Times New Roman" w:eastAsia="宋体" w:cs="Times New Roman"/>
      <w:color w:val="000000"/>
      <w:kern w:val="2"/>
      <w:sz w:val="21"/>
      <w:szCs w:val="24"/>
      <w:lang w:val="en-US" w:eastAsia="zh-CN" w:bidi="ar-SA"/>
    </w:rPr>
  </w:style>
  <w:style w:type="character" w:customStyle="1" w:styleId="50">
    <w:name w:val="标题 1 Char"/>
    <w:autoRedefine/>
    <w:qFormat/>
    <w:uiPriority w:val="0"/>
    <w:rPr>
      <w:b/>
      <w:bCs/>
      <w:kern w:val="44"/>
      <w:sz w:val="44"/>
      <w:szCs w:val="44"/>
    </w:rPr>
  </w:style>
  <w:style w:type="paragraph" w:customStyle="1" w:styleId="51">
    <w:name w:val="表格"/>
    <w:basedOn w:val="16"/>
    <w:next w:val="1"/>
    <w:link w:val="52"/>
    <w:autoRedefine/>
    <w:qFormat/>
    <w:uiPriority w:val="0"/>
    <w:pPr>
      <w:adjustRightInd w:val="0"/>
      <w:snapToGrid w:val="0"/>
      <w:spacing w:beforeLines="10" w:afterLines="10" w:line="259" w:lineRule="auto"/>
      <w:jc w:val="center"/>
    </w:pPr>
    <w:rPr>
      <w:rFonts w:ascii="宋体"/>
      <w:kern w:val="0"/>
      <w:szCs w:val="20"/>
    </w:rPr>
  </w:style>
  <w:style w:type="character" w:customStyle="1" w:styleId="52">
    <w:name w:val="表格 Char"/>
    <w:link w:val="51"/>
    <w:autoRedefine/>
    <w:qFormat/>
    <w:locked/>
    <w:uiPriority w:val="0"/>
    <w:rPr>
      <w:rFonts w:ascii="宋体"/>
      <w:sz w:val="21"/>
    </w:rPr>
  </w:style>
  <w:style w:type="paragraph" w:customStyle="1" w:styleId="53">
    <w:name w:val="图表名"/>
    <w:basedOn w:val="1"/>
    <w:autoRedefine/>
    <w:qFormat/>
    <w:uiPriority w:val="0"/>
    <w:pPr>
      <w:adjustRightInd w:val="0"/>
      <w:snapToGrid w:val="0"/>
      <w:spacing w:before="50" w:beforeLines="50" w:after="50" w:afterLines="50"/>
      <w:jc w:val="center"/>
    </w:pPr>
    <w:rPr>
      <w:b/>
      <w:sz w:val="32"/>
      <w:szCs w:val="20"/>
    </w:rPr>
  </w:style>
  <w:style w:type="paragraph" w:customStyle="1" w:styleId="54">
    <w:name w:val="_Style 1"/>
    <w:autoRedefine/>
    <w:qFormat/>
    <w:uiPriority w:val="0"/>
    <w:pPr>
      <w:adjustRightInd w:val="0"/>
      <w:snapToGrid w:val="0"/>
      <w:spacing w:line="480" w:lineRule="exact"/>
      <w:ind w:firstLine="480" w:firstLineChars="200"/>
    </w:pPr>
    <w:rPr>
      <w:rFonts w:ascii="Times New Roman" w:hAnsi="Times New Roman" w:eastAsia="宋体" w:cs="Times New Roman"/>
      <w:sz w:val="24"/>
      <w:szCs w:val="22"/>
      <w:lang w:val="en-US" w:eastAsia="zh-CN" w:bidi="ar-SA"/>
    </w:rPr>
  </w:style>
  <w:style w:type="paragraph" w:customStyle="1" w:styleId="55">
    <w:name w:val="样式 标题 1一级标题 + 段前: 0.5 行 段后: 0.5 行"/>
    <w:basedOn w:val="2"/>
    <w:autoRedefine/>
    <w:qFormat/>
    <w:uiPriority w:val="99"/>
    <w:pPr>
      <w:spacing w:line="320" w:lineRule="exact"/>
      <w:outlineLvl w:val="9"/>
    </w:pPr>
    <w:rPr>
      <w:spacing w:val="-6"/>
      <w:sz w:val="21"/>
      <w:szCs w:val="21"/>
    </w:rPr>
  </w:style>
  <w:style w:type="paragraph" w:customStyle="1" w:styleId="56">
    <w:name w:val="正文文字 6"/>
    <w:next w:val="1"/>
    <w:autoRedefine/>
    <w:qFormat/>
    <w:uiPriority w:val="0"/>
    <w:pPr>
      <w:widowControl w:val="0"/>
      <w:ind w:left="240"/>
      <w:jc w:val="both"/>
    </w:pPr>
    <w:rPr>
      <w:rFonts w:ascii="宋体" w:hAnsi="Calibri" w:eastAsia="宋体" w:cs="Times New Roman"/>
      <w:b/>
      <w:bCs/>
      <w:kern w:val="2"/>
      <w:sz w:val="32"/>
      <w:szCs w:val="32"/>
      <w:lang w:val="en-US" w:eastAsia="zh-CN" w:bidi="ar-SA"/>
    </w:rPr>
  </w:style>
  <w:style w:type="character" w:customStyle="1" w:styleId="57">
    <w:name w:val="标题 1 Char1"/>
    <w:link w:val="2"/>
    <w:autoRedefine/>
    <w:qFormat/>
    <w:uiPriority w:val="0"/>
    <w:rPr>
      <w:rFonts w:eastAsia="黑体"/>
      <w:b/>
      <w:bCs/>
      <w:color w:val="000000"/>
      <w:kern w:val="44"/>
      <w:sz w:val="30"/>
      <w:szCs w:val="30"/>
    </w:rPr>
  </w:style>
  <w:style w:type="character" w:customStyle="1" w:styleId="58">
    <w:name w:val="标题 3 Char"/>
    <w:basedOn w:val="40"/>
    <w:link w:val="4"/>
    <w:autoRedefine/>
    <w:qFormat/>
    <w:uiPriority w:val="0"/>
    <w:rPr>
      <w:b/>
      <w:bCs/>
      <w:kern w:val="2"/>
      <w:sz w:val="32"/>
      <w:szCs w:val="32"/>
    </w:rPr>
  </w:style>
  <w:style w:type="character" w:customStyle="1" w:styleId="59">
    <w:name w:val="标题 4 Char"/>
    <w:basedOn w:val="40"/>
    <w:link w:val="5"/>
    <w:autoRedefine/>
    <w:qFormat/>
    <w:uiPriority w:val="0"/>
    <w:rPr>
      <w:rFonts w:hAnsi="Arial" w:eastAsia="黑体"/>
      <w:b/>
      <w:sz w:val="28"/>
      <w:lang w:val="zh-CN" w:eastAsia="zh-CN"/>
    </w:rPr>
  </w:style>
  <w:style w:type="character" w:customStyle="1" w:styleId="60">
    <w:name w:val="页脚 Char"/>
    <w:link w:val="24"/>
    <w:autoRedefine/>
    <w:qFormat/>
    <w:locked/>
    <w:uiPriority w:val="99"/>
    <w:rPr>
      <w:sz w:val="18"/>
    </w:rPr>
  </w:style>
  <w:style w:type="character" w:customStyle="1" w:styleId="61">
    <w:name w:val="日期 Char"/>
    <w:link w:val="20"/>
    <w:autoRedefine/>
    <w:qFormat/>
    <w:locked/>
    <w:uiPriority w:val="0"/>
    <w:rPr>
      <w:rFonts w:ascii="Times New Roman" w:hAnsi="Times New Roman" w:eastAsia="宋体"/>
      <w:sz w:val="24"/>
    </w:rPr>
  </w:style>
  <w:style w:type="character" w:customStyle="1" w:styleId="62">
    <w:name w:val="页脚 字符"/>
    <w:basedOn w:val="40"/>
    <w:autoRedefine/>
    <w:qFormat/>
    <w:uiPriority w:val="99"/>
  </w:style>
  <w:style w:type="character" w:customStyle="1" w:styleId="63">
    <w:name w:val="普通(网站) Char"/>
    <w:link w:val="32"/>
    <w:autoRedefine/>
    <w:qFormat/>
    <w:locked/>
    <w:uiPriority w:val="0"/>
    <w:rPr>
      <w:rFonts w:ascii="宋体" w:hAnsi="宋体" w:eastAsia="宋体"/>
      <w:sz w:val="24"/>
    </w:rPr>
  </w:style>
  <w:style w:type="character" w:customStyle="1" w:styleId="64">
    <w:name w:val="正文文本 字符1"/>
    <w:autoRedefine/>
    <w:semiHidden/>
    <w:qFormat/>
    <w:uiPriority w:val="0"/>
    <w:rPr>
      <w:rFonts w:ascii="Times New Roman" w:hAnsi="Times New Roman" w:eastAsia="宋体"/>
      <w:sz w:val="24"/>
    </w:rPr>
  </w:style>
  <w:style w:type="character" w:customStyle="1" w:styleId="65">
    <w:name w:val="正文文本 Char"/>
    <w:link w:val="11"/>
    <w:autoRedefine/>
    <w:qFormat/>
    <w:locked/>
    <w:uiPriority w:val="0"/>
    <w:rPr>
      <w:sz w:val="18"/>
    </w:rPr>
  </w:style>
  <w:style w:type="character" w:customStyle="1" w:styleId="66">
    <w:name w:val="批注文字 Char"/>
    <w:link w:val="10"/>
    <w:autoRedefine/>
    <w:qFormat/>
    <w:locked/>
    <w:uiPriority w:val="0"/>
    <w:rPr>
      <w:rFonts w:ascii="Times New Roman" w:hAnsi="Times New Roman" w:eastAsia="宋体"/>
      <w:sz w:val="24"/>
    </w:rPr>
  </w:style>
  <w:style w:type="character" w:customStyle="1" w:styleId="67">
    <w:name w:val="日期 字符"/>
    <w:autoRedefine/>
    <w:semiHidden/>
    <w:qFormat/>
    <w:uiPriority w:val="0"/>
    <w:rPr>
      <w:rFonts w:ascii="Times New Roman" w:hAnsi="Times New Roman" w:eastAsia="宋体"/>
      <w:sz w:val="24"/>
    </w:rPr>
  </w:style>
  <w:style w:type="character" w:customStyle="1" w:styleId="68">
    <w:name w:val="批注框文本 Char"/>
    <w:link w:val="23"/>
    <w:autoRedefine/>
    <w:semiHidden/>
    <w:qFormat/>
    <w:locked/>
    <w:uiPriority w:val="0"/>
    <w:rPr>
      <w:rFonts w:ascii="Times New Roman" w:hAnsi="Times New Roman" w:eastAsia="宋体"/>
      <w:sz w:val="18"/>
    </w:rPr>
  </w:style>
  <w:style w:type="character" w:customStyle="1" w:styleId="69">
    <w:name w:val="批注主题 Char"/>
    <w:link w:val="34"/>
    <w:autoRedefine/>
    <w:semiHidden/>
    <w:qFormat/>
    <w:locked/>
    <w:uiPriority w:val="0"/>
    <w:rPr>
      <w:rFonts w:ascii="Times New Roman" w:hAnsi="Times New Roman" w:eastAsia="宋体"/>
      <w:b/>
      <w:kern w:val="2"/>
      <w:sz w:val="24"/>
    </w:rPr>
  </w:style>
  <w:style w:type="character" w:customStyle="1" w:styleId="70">
    <w:name w:val="页眉 Char"/>
    <w:link w:val="13"/>
    <w:autoRedefine/>
    <w:qFormat/>
    <w:locked/>
    <w:uiPriority w:val="0"/>
    <w:rPr>
      <w:sz w:val="18"/>
    </w:rPr>
  </w:style>
  <w:style w:type="character" w:customStyle="1" w:styleId="71">
    <w:name w:val="批注文字 字符1"/>
    <w:autoRedefine/>
    <w:semiHidden/>
    <w:qFormat/>
    <w:uiPriority w:val="0"/>
    <w:rPr>
      <w:rFonts w:ascii="Times New Roman" w:hAnsi="Times New Roman" w:eastAsia="宋体"/>
      <w:sz w:val="24"/>
    </w:rPr>
  </w:style>
  <w:style w:type="character" w:customStyle="1" w:styleId="72">
    <w:name w:val="正文文本缩进 Char"/>
    <w:link w:val="12"/>
    <w:autoRedefine/>
    <w:qFormat/>
    <w:locked/>
    <w:uiPriority w:val="0"/>
    <w:rPr>
      <w:rFonts w:ascii="Times New Roman" w:hAnsi="Times New Roman" w:eastAsia="宋体"/>
      <w:sz w:val="24"/>
    </w:rPr>
  </w:style>
  <w:style w:type="paragraph" w:customStyle="1" w:styleId="73">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4">
    <w:name w:val="普通(网站)2"/>
    <w:basedOn w:val="1"/>
    <w:autoRedefine/>
    <w:qFormat/>
    <w:uiPriority w:val="0"/>
    <w:pPr>
      <w:widowControl/>
      <w:spacing w:before="100" w:beforeAutospacing="1" w:after="100" w:afterAutospacing="1"/>
    </w:pPr>
    <w:rPr>
      <w:rFonts w:ascii="宋体" w:hAnsi="宋体"/>
      <w:szCs w:val="20"/>
    </w:rPr>
  </w:style>
  <w:style w:type="paragraph" w:customStyle="1" w:styleId="75">
    <w:name w:val="xl24"/>
    <w:basedOn w:val="1"/>
    <w:autoRedefine/>
    <w:qFormat/>
    <w:uiPriority w:val="0"/>
    <w:pPr>
      <w:widowControl/>
      <w:spacing w:before="100" w:beforeAutospacing="1" w:after="100" w:afterAutospacing="1"/>
      <w:jc w:val="center"/>
    </w:pPr>
    <w:rPr>
      <w:rFonts w:ascii="Arial Unicode MS" w:hAnsi="Arial Unicode MS" w:eastAsia="Arial Unicode MS" w:cs="Arial Unicode MS"/>
      <w:kern w:val="0"/>
    </w:rPr>
  </w:style>
  <w:style w:type="character" w:customStyle="1" w:styleId="76">
    <w:name w:val="正文首行缩进 2 Char"/>
    <w:basedOn w:val="72"/>
    <w:link w:val="36"/>
    <w:autoRedefine/>
    <w:qFormat/>
    <w:uiPriority w:val="0"/>
    <w:rPr>
      <w:rFonts w:ascii="Times New Roman" w:hAnsi="Times New Roman" w:eastAsia="宋体"/>
      <w:kern w:val="2"/>
      <w:sz w:val="21"/>
      <w:szCs w:val="24"/>
    </w:rPr>
  </w:style>
  <w:style w:type="paragraph" w:customStyle="1" w:styleId="77">
    <w:name w:val="图表标题"/>
    <w:autoRedefine/>
    <w:qFormat/>
    <w:uiPriority w:val="0"/>
    <w:pPr>
      <w:spacing w:before="50" w:beforeLines="50" w:line="360" w:lineRule="auto"/>
      <w:jc w:val="center"/>
    </w:pPr>
    <w:rPr>
      <w:rFonts w:ascii="Times New Roman" w:hAnsi="Times New Roman" w:eastAsia="黑体" w:cs="Times New Roman"/>
      <w:kern w:val="2"/>
      <w:sz w:val="24"/>
      <w:szCs w:val="22"/>
      <w:lang w:val="en-US" w:eastAsia="zh-CN" w:bidi="ar-SA"/>
    </w:rPr>
  </w:style>
  <w:style w:type="paragraph" w:customStyle="1" w:styleId="78">
    <w:name w:val="图表文字"/>
    <w:basedOn w:val="11"/>
    <w:next w:val="1"/>
    <w:autoRedefine/>
    <w:qFormat/>
    <w:uiPriority w:val="0"/>
    <w:pPr>
      <w:widowControl w:val="0"/>
      <w:snapToGrid/>
      <w:spacing w:before="0" w:after="0" w:line="240" w:lineRule="auto"/>
      <w:ind w:right="0"/>
      <w:jc w:val="center"/>
    </w:pPr>
    <w:rPr>
      <w:snapToGrid w:val="0"/>
      <w:kern w:val="2"/>
      <w:sz w:val="21"/>
      <w:szCs w:val="24"/>
    </w:rPr>
  </w:style>
  <w:style w:type="character" w:customStyle="1" w:styleId="79">
    <w:name w:val="报告表格 Char"/>
    <w:link w:val="80"/>
    <w:autoRedefine/>
    <w:qFormat/>
    <w:uiPriority w:val="0"/>
    <w:rPr>
      <w:sz w:val="21"/>
    </w:rPr>
  </w:style>
  <w:style w:type="paragraph" w:customStyle="1" w:styleId="80">
    <w:name w:val="报告表格"/>
    <w:link w:val="79"/>
    <w:autoRedefine/>
    <w:qFormat/>
    <w:uiPriority w:val="0"/>
    <w:pPr>
      <w:autoSpaceDE w:val="0"/>
      <w:autoSpaceDN w:val="0"/>
      <w:adjustRightInd w:val="0"/>
      <w:jc w:val="center"/>
      <w:textAlignment w:val="bottom"/>
    </w:pPr>
    <w:rPr>
      <w:rFonts w:ascii="Times New Roman" w:hAnsi="Times New Roman" w:eastAsia="宋体" w:cs="Times New Roman"/>
      <w:sz w:val="21"/>
      <w:lang w:val="en-US" w:eastAsia="zh-CN" w:bidi="ar-SA"/>
    </w:rPr>
  </w:style>
  <w:style w:type="character" w:customStyle="1" w:styleId="81">
    <w:name w:val="报告 Char"/>
    <w:link w:val="82"/>
    <w:autoRedefine/>
    <w:qFormat/>
    <w:uiPriority w:val="0"/>
    <w:rPr>
      <w:rFonts w:ascii="TimesNewRoman" w:hAnsi="TimesNewRoman"/>
      <w:sz w:val="24"/>
    </w:rPr>
  </w:style>
  <w:style w:type="paragraph" w:customStyle="1" w:styleId="82">
    <w:name w:val="报告"/>
    <w:basedOn w:val="1"/>
    <w:link w:val="81"/>
    <w:autoRedefine/>
    <w:qFormat/>
    <w:uiPriority w:val="0"/>
    <w:pPr>
      <w:adjustRightInd w:val="0"/>
      <w:ind w:firstLine="505"/>
      <w:textAlignment w:val="center"/>
    </w:pPr>
    <w:rPr>
      <w:rFonts w:ascii="TimesNewRoman" w:hAnsi="TimesNewRoman"/>
      <w:kern w:val="0"/>
      <w:szCs w:val="20"/>
    </w:rPr>
  </w:style>
  <w:style w:type="character" w:customStyle="1" w:styleId="83">
    <w:name w:val="文本 Char"/>
    <w:autoRedefine/>
    <w:qFormat/>
    <w:uiPriority w:val="0"/>
    <w:rPr>
      <w:rFonts w:eastAsia="宋体"/>
      <w:kern w:val="2"/>
      <w:sz w:val="21"/>
      <w:szCs w:val="24"/>
      <w:lang w:val="en-US" w:eastAsia="zh-CN" w:bidi="ar-SA"/>
    </w:rPr>
  </w:style>
  <w:style w:type="character" w:customStyle="1" w:styleId="84">
    <w:name w:val="纯文本 Char"/>
    <w:link w:val="18"/>
    <w:autoRedefine/>
    <w:qFormat/>
    <w:uiPriority w:val="0"/>
    <w:rPr>
      <w:rFonts w:ascii="宋体" w:hAnsi="Courier New"/>
      <w:kern w:val="2"/>
      <w:sz w:val="21"/>
    </w:rPr>
  </w:style>
  <w:style w:type="character" w:customStyle="1" w:styleId="85">
    <w:name w:val="表格 Char Char"/>
    <w:autoRedefine/>
    <w:qFormat/>
    <w:uiPriority w:val="0"/>
    <w:rPr>
      <w:kern w:val="2"/>
      <w:sz w:val="21"/>
      <w:szCs w:val="21"/>
    </w:rPr>
  </w:style>
  <w:style w:type="character" w:customStyle="1" w:styleId="86">
    <w:name w:val="xl26 Char"/>
    <w:link w:val="87"/>
    <w:autoRedefine/>
    <w:qFormat/>
    <w:uiPriority w:val="0"/>
    <w:rPr>
      <w:rFonts w:ascii="宋体" w:hAnsi="宋体"/>
      <w:sz w:val="21"/>
      <w:szCs w:val="21"/>
    </w:rPr>
  </w:style>
  <w:style w:type="paragraph" w:customStyle="1" w:styleId="87">
    <w:name w:val="xl26"/>
    <w:basedOn w:val="1"/>
    <w:link w:val="86"/>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Cs w:val="21"/>
    </w:rPr>
  </w:style>
  <w:style w:type="character" w:customStyle="1" w:styleId="88">
    <w:name w:val="节标题 Char1"/>
    <w:autoRedefine/>
    <w:qFormat/>
    <w:uiPriority w:val="0"/>
    <w:rPr>
      <w:rFonts w:eastAsia="黑体"/>
      <w:b/>
      <w:kern w:val="32"/>
      <w:sz w:val="32"/>
      <w:lang w:val="en-US" w:eastAsia="zh-CN" w:bidi="ar-SA"/>
    </w:rPr>
  </w:style>
  <w:style w:type="character" w:customStyle="1" w:styleId="89">
    <w:name w:val="副标题 Char1"/>
    <w:autoRedefine/>
    <w:qFormat/>
    <w:uiPriority w:val="0"/>
    <w:rPr>
      <w:rFonts w:ascii="Cambria" w:hAnsi="Cambria" w:cs="Times New Roman"/>
      <w:b/>
      <w:bCs/>
      <w:kern w:val="28"/>
      <w:sz w:val="32"/>
      <w:szCs w:val="32"/>
    </w:rPr>
  </w:style>
  <w:style w:type="character" w:customStyle="1" w:styleId="90">
    <w:name w:val="标题 Char"/>
    <w:link w:val="33"/>
    <w:autoRedefine/>
    <w:qFormat/>
    <w:uiPriority w:val="0"/>
    <w:rPr>
      <w:rFonts w:ascii="黑体" w:eastAsia="黑体"/>
      <w:kern w:val="2"/>
      <w:sz w:val="36"/>
    </w:rPr>
  </w:style>
  <w:style w:type="character" w:customStyle="1" w:styleId="91">
    <w:name w:val="表格内文字 Char"/>
    <w:link w:val="92"/>
    <w:autoRedefine/>
    <w:qFormat/>
    <w:uiPriority w:val="0"/>
    <w:rPr>
      <w:rFonts w:eastAsia="仿宋_GB2312"/>
      <w:kern w:val="2"/>
      <w:sz w:val="24"/>
      <w:szCs w:val="28"/>
    </w:rPr>
  </w:style>
  <w:style w:type="paragraph" w:customStyle="1" w:styleId="92">
    <w:name w:val="表格内文字"/>
    <w:basedOn w:val="1"/>
    <w:link w:val="91"/>
    <w:autoRedefine/>
    <w:qFormat/>
    <w:uiPriority w:val="0"/>
    <w:pPr>
      <w:tabs>
        <w:tab w:val="left" w:pos="0"/>
      </w:tabs>
      <w:adjustRightInd w:val="0"/>
      <w:snapToGrid w:val="0"/>
      <w:jc w:val="center"/>
    </w:pPr>
    <w:rPr>
      <w:rFonts w:eastAsia="仿宋_GB2312"/>
      <w:szCs w:val="28"/>
    </w:rPr>
  </w:style>
  <w:style w:type="character" w:customStyle="1" w:styleId="93">
    <w:name w:val="unnamed1"/>
    <w:autoRedefine/>
    <w:qFormat/>
    <w:uiPriority w:val="0"/>
  </w:style>
  <w:style w:type="character" w:customStyle="1" w:styleId="94">
    <w:name w:val="样式 正文缩进表正文正文非缩进 + Char"/>
    <w:link w:val="95"/>
    <w:autoRedefine/>
    <w:qFormat/>
    <w:uiPriority w:val="0"/>
    <w:rPr>
      <w:rFonts w:ascii="宋体" w:hAnsi="宋体"/>
      <w:kern w:val="2"/>
      <w:sz w:val="28"/>
      <w:szCs w:val="24"/>
    </w:rPr>
  </w:style>
  <w:style w:type="paragraph" w:customStyle="1" w:styleId="95">
    <w:name w:val="样式 正文缩进表正文正文非缩进 +"/>
    <w:basedOn w:val="7"/>
    <w:link w:val="94"/>
    <w:autoRedefine/>
    <w:qFormat/>
    <w:uiPriority w:val="0"/>
    <w:pPr>
      <w:ind w:firstLine="200"/>
    </w:pPr>
    <w:rPr>
      <w:rFonts w:ascii="宋体" w:hAnsi="宋体"/>
      <w:szCs w:val="24"/>
    </w:rPr>
  </w:style>
  <w:style w:type="character" w:customStyle="1" w:styleId="96">
    <w:name w:val="正文缩进 Char"/>
    <w:link w:val="7"/>
    <w:autoRedefine/>
    <w:qFormat/>
    <w:uiPriority w:val="0"/>
    <w:rPr>
      <w:kern w:val="2"/>
      <w:sz w:val="28"/>
    </w:rPr>
  </w:style>
  <w:style w:type="character" w:customStyle="1" w:styleId="97">
    <w:name w:val="副标题 Char"/>
    <w:link w:val="26"/>
    <w:autoRedefine/>
    <w:qFormat/>
    <w:uiPriority w:val="11"/>
    <w:rPr>
      <w:rFonts w:ascii="Cambria" w:hAnsi="Cambria"/>
      <w:bCs/>
      <w:kern w:val="28"/>
      <w:szCs w:val="32"/>
    </w:rPr>
  </w:style>
  <w:style w:type="character" w:customStyle="1" w:styleId="98">
    <w:name w:val="apple-converted-space"/>
    <w:basedOn w:val="40"/>
    <w:autoRedefine/>
    <w:qFormat/>
    <w:uiPriority w:val="0"/>
  </w:style>
  <w:style w:type="character" w:customStyle="1" w:styleId="99">
    <w:name w:val="正文文本缩进 2 Char"/>
    <w:link w:val="21"/>
    <w:autoRedefine/>
    <w:qFormat/>
    <w:uiPriority w:val="0"/>
    <w:rPr>
      <w:kern w:val="2"/>
      <w:sz w:val="28"/>
    </w:rPr>
  </w:style>
  <w:style w:type="character" w:customStyle="1" w:styleId="100">
    <w:name w:val="word16b1"/>
    <w:autoRedefine/>
    <w:qFormat/>
    <w:uiPriority w:val="0"/>
    <w:rPr>
      <w:rFonts w:hint="default" w:ascii="Arial" w:hAnsi="Arial" w:cs="Arial"/>
      <w:b/>
      <w:bCs/>
      <w:spacing w:val="15"/>
      <w:sz w:val="24"/>
      <w:szCs w:val="24"/>
    </w:rPr>
  </w:style>
  <w:style w:type="character" w:customStyle="1" w:styleId="101">
    <w:name w:val="标题 3 Char1"/>
    <w:autoRedefine/>
    <w:qFormat/>
    <w:uiPriority w:val="0"/>
    <w:rPr>
      <w:rFonts w:eastAsia="宋体"/>
      <w:b/>
      <w:bCs/>
      <w:kern w:val="2"/>
      <w:sz w:val="32"/>
      <w:szCs w:val="32"/>
      <w:lang w:val="en-US" w:eastAsia="zh-CN" w:bidi="ar-SA"/>
    </w:rPr>
  </w:style>
  <w:style w:type="character" w:customStyle="1" w:styleId="102">
    <w:name w:val="正文首行缩进 Char"/>
    <w:link w:val="35"/>
    <w:autoRedefine/>
    <w:qFormat/>
    <w:uiPriority w:val="0"/>
    <w:rPr>
      <w:kern w:val="2"/>
      <w:sz w:val="24"/>
      <w:szCs w:val="24"/>
    </w:rPr>
  </w:style>
  <w:style w:type="character" w:customStyle="1" w:styleId="103">
    <w:name w:val="0正文 Char"/>
    <w:link w:val="104"/>
    <w:autoRedefine/>
    <w:qFormat/>
    <w:uiPriority w:val="0"/>
    <w:rPr>
      <w:rFonts w:cs="宋体"/>
      <w:sz w:val="24"/>
    </w:rPr>
  </w:style>
  <w:style w:type="paragraph" w:customStyle="1" w:styleId="104">
    <w:name w:val="0正文"/>
    <w:basedOn w:val="12"/>
    <w:link w:val="103"/>
    <w:autoRedefine/>
    <w:qFormat/>
    <w:uiPriority w:val="0"/>
    <w:pPr>
      <w:spacing w:after="0"/>
      <w:ind w:left="0" w:leftChars="0"/>
    </w:pPr>
    <w:rPr>
      <w:rFonts w:cs="宋体"/>
    </w:rPr>
  </w:style>
  <w:style w:type="character" w:customStyle="1" w:styleId="105">
    <w:name w:val="正文格式 Char"/>
    <w:link w:val="106"/>
    <w:autoRedefine/>
    <w:qFormat/>
    <w:uiPriority w:val="0"/>
    <w:rPr>
      <w:rFonts w:cs="宋体"/>
      <w:kern w:val="2"/>
      <w:sz w:val="24"/>
      <w:szCs w:val="24"/>
    </w:rPr>
  </w:style>
  <w:style w:type="paragraph" w:customStyle="1" w:styleId="106">
    <w:name w:val="正文格式"/>
    <w:basedOn w:val="1"/>
    <w:link w:val="105"/>
    <w:autoRedefine/>
    <w:qFormat/>
    <w:uiPriority w:val="0"/>
    <w:rPr>
      <w:rFonts w:cs="宋体"/>
    </w:rPr>
  </w:style>
  <w:style w:type="character" w:customStyle="1" w:styleId="107">
    <w:name w:val="Char Char Char Char1"/>
    <w:link w:val="108"/>
    <w:autoRedefine/>
    <w:qFormat/>
    <w:locked/>
    <w:uiPriority w:val="0"/>
    <w:rPr>
      <w:kern w:val="2"/>
      <w:sz w:val="28"/>
    </w:rPr>
  </w:style>
  <w:style w:type="paragraph" w:customStyle="1" w:styleId="108">
    <w:name w:val="Char Char Char"/>
    <w:basedOn w:val="1"/>
    <w:link w:val="107"/>
    <w:autoRedefine/>
    <w:qFormat/>
    <w:uiPriority w:val="0"/>
    <w:rPr>
      <w:sz w:val="28"/>
      <w:szCs w:val="20"/>
    </w:rPr>
  </w:style>
  <w:style w:type="paragraph" w:customStyle="1" w:styleId="109">
    <w:name w:val="表体（富士康）"/>
    <w:autoRedefine/>
    <w:qFormat/>
    <w:uiPriority w:val="0"/>
    <w:pPr>
      <w:adjustRightInd w:val="0"/>
      <w:snapToGrid w:val="0"/>
      <w:jc w:val="center"/>
    </w:pPr>
    <w:rPr>
      <w:rFonts w:ascii="Times New Roman" w:hAnsi="Times New Roman" w:eastAsia="宋体" w:cs="宋体"/>
      <w:bCs/>
      <w:kern w:val="2"/>
      <w:lang w:val="en-US" w:eastAsia="zh-CN" w:bidi="ar-SA"/>
    </w:rPr>
  </w:style>
  <w:style w:type="paragraph" w:customStyle="1" w:styleId="110">
    <w:name w:val="2007正文"/>
    <w:autoRedefine/>
    <w:qFormat/>
    <w:uiPriority w:val="0"/>
    <w:pPr>
      <w:spacing w:line="500" w:lineRule="exact"/>
      <w:ind w:firstLine="560" w:firstLineChars="200"/>
      <w:jc w:val="both"/>
    </w:pPr>
    <w:rPr>
      <w:rFonts w:ascii="Times New Roman" w:hAnsi="Times New Roman" w:eastAsia="仿宋_GB2312" w:cs="Times New Roman"/>
      <w:kern w:val="2"/>
      <w:sz w:val="28"/>
      <w:lang w:val="en-GB" w:eastAsia="zh-CN" w:bidi="ar-SA"/>
    </w:rPr>
  </w:style>
  <w:style w:type="paragraph" w:customStyle="1" w:styleId="111">
    <w:name w:val="10"/>
    <w:basedOn w:val="1"/>
    <w:next w:val="12"/>
    <w:autoRedefine/>
    <w:qFormat/>
    <w:uiPriority w:val="0"/>
    <w:pPr>
      <w:ind w:firstLine="540"/>
    </w:pPr>
    <w:rPr>
      <w:rFonts w:ascii="宋体"/>
      <w:sz w:val="28"/>
      <w:szCs w:val="20"/>
    </w:rPr>
  </w:style>
  <w:style w:type="paragraph" w:customStyle="1" w:styleId="112">
    <w:name w:val="Char11"/>
    <w:basedOn w:val="1"/>
    <w:autoRedefine/>
    <w:qFormat/>
    <w:uiPriority w:val="0"/>
    <w:rPr>
      <w:rFonts w:ascii="宋体" w:hAnsi="宋体" w:cs="宋体"/>
    </w:rPr>
  </w:style>
  <w:style w:type="character" w:customStyle="1" w:styleId="113">
    <w:name w:val="副标题 Char2"/>
    <w:basedOn w:val="40"/>
    <w:autoRedefine/>
    <w:qFormat/>
    <w:uiPriority w:val="0"/>
    <w:rPr>
      <w:rFonts w:asciiTheme="majorHAnsi" w:hAnsiTheme="majorHAnsi" w:cstheme="majorBidi"/>
      <w:b/>
      <w:bCs/>
      <w:kern w:val="28"/>
      <w:sz w:val="32"/>
      <w:szCs w:val="32"/>
    </w:rPr>
  </w:style>
  <w:style w:type="paragraph" w:customStyle="1" w:styleId="114">
    <w:name w:val="封面正文"/>
    <w:autoRedefine/>
    <w:qFormat/>
    <w:uiPriority w:val="0"/>
    <w:pPr>
      <w:jc w:val="both"/>
    </w:pPr>
    <w:rPr>
      <w:rFonts w:ascii="Times New Roman" w:hAnsi="Times New Roman" w:eastAsia="宋体" w:cs="Times New Roman"/>
      <w:lang w:val="en-US" w:eastAsia="zh-CN" w:bidi="ar-SA"/>
    </w:rPr>
  </w:style>
  <w:style w:type="paragraph" w:customStyle="1" w:styleId="115">
    <w:name w:val="Char Char Char Char11"/>
    <w:basedOn w:val="1"/>
    <w:autoRedefine/>
    <w:qFormat/>
    <w:uiPriority w:val="0"/>
    <w:rPr>
      <w:rFonts w:ascii="宋体" w:hAnsi="宋体" w:cs="宋体"/>
    </w:rPr>
  </w:style>
  <w:style w:type="paragraph" w:customStyle="1" w:styleId="116">
    <w:name w:val="注释"/>
    <w:basedOn w:val="1"/>
    <w:autoRedefine/>
    <w:qFormat/>
    <w:uiPriority w:val="0"/>
    <w:pPr>
      <w:adjustRightInd w:val="0"/>
      <w:snapToGrid w:val="0"/>
      <w:textAlignment w:val="baseline"/>
    </w:pPr>
    <w:rPr>
      <w:rFonts w:ascii="宋体" w:eastAsia="仿宋_GB2312" w:cs="宋体"/>
      <w:snapToGrid w:val="0"/>
      <w:spacing w:val="4"/>
      <w:kern w:val="0"/>
      <w:szCs w:val="20"/>
    </w:rPr>
  </w:style>
  <w:style w:type="character" w:customStyle="1" w:styleId="117">
    <w:name w:val="正文首行缩进 Char1"/>
    <w:basedOn w:val="65"/>
    <w:autoRedefine/>
    <w:semiHidden/>
    <w:qFormat/>
    <w:uiPriority w:val="0"/>
    <w:rPr>
      <w:kern w:val="2"/>
      <w:sz w:val="21"/>
      <w:szCs w:val="24"/>
    </w:rPr>
  </w:style>
  <w:style w:type="character" w:customStyle="1" w:styleId="118">
    <w:name w:val="注释标题 Char"/>
    <w:basedOn w:val="40"/>
    <w:link w:val="6"/>
    <w:autoRedefine/>
    <w:qFormat/>
    <w:uiPriority w:val="0"/>
    <w:rPr>
      <w:kern w:val="2"/>
      <w:sz w:val="21"/>
    </w:rPr>
  </w:style>
  <w:style w:type="character" w:customStyle="1" w:styleId="119">
    <w:name w:val="正文文本缩进 3 Char"/>
    <w:basedOn w:val="40"/>
    <w:link w:val="27"/>
    <w:autoRedefine/>
    <w:qFormat/>
    <w:uiPriority w:val="0"/>
    <w:rPr>
      <w:kern w:val="2"/>
      <w:sz w:val="24"/>
    </w:rPr>
  </w:style>
  <w:style w:type="character" w:customStyle="1" w:styleId="120">
    <w:name w:val="文档结构图 Char"/>
    <w:basedOn w:val="40"/>
    <w:link w:val="9"/>
    <w:autoRedefine/>
    <w:semiHidden/>
    <w:qFormat/>
    <w:uiPriority w:val="0"/>
    <w:rPr>
      <w:kern w:val="2"/>
      <w:sz w:val="28"/>
      <w:shd w:val="clear" w:color="auto" w:fill="000080"/>
    </w:rPr>
  </w:style>
  <w:style w:type="paragraph" w:customStyle="1" w:styleId="121">
    <w:name w:val="样式8"/>
    <w:basedOn w:val="1"/>
    <w:autoRedefine/>
    <w:qFormat/>
    <w:uiPriority w:val="0"/>
    <w:pPr>
      <w:ind w:firstLine="499"/>
    </w:pPr>
    <w:rPr>
      <w:rFonts w:ascii="宋体"/>
      <w:szCs w:val="20"/>
    </w:rPr>
  </w:style>
  <w:style w:type="character" w:customStyle="1" w:styleId="122">
    <w:name w:val="纯文本 Char1"/>
    <w:basedOn w:val="40"/>
    <w:autoRedefine/>
    <w:semiHidden/>
    <w:qFormat/>
    <w:uiPriority w:val="0"/>
    <w:rPr>
      <w:rFonts w:ascii="宋体" w:hAnsi="Courier New" w:cs="Courier New"/>
      <w:kern w:val="2"/>
      <w:sz w:val="21"/>
      <w:szCs w:val="21"/>
    </w:rPr>
  </w:style>
  <w:style w:type="paragraph" w:customStyle="1" w:styleId="123">
    <w:name w:val="样式 (中文) 仿宋_GB2312 小四 首行缩进:  0.85 厘米 行距: 1.5 倍行距"/>
    <w:basedOn w:val="1"/>
    <w:autoRedefine/>
    <w:qFormat/>
    <w:uiPriority w:val="0"/>
    <w:pPr>
      <w:ind w:firstLine="482"/>
    </w:pPr>
    <w:rPr>
      <w:rFonts w:eastAsia="仿宋_GB2312" w:cs="宋体"/>
      <w:szCs w:val="20"/>
    </w:rPr>
  </w:style>
  <w:style w:type="paragraph" w:customStyle="1" w:styleId="124">
    <w:name w:val="表格文字2"/>
    <w:basedOn w:val="1"/>
    <w:autoRedefine/>
    <w:qFormat/>
    <w:uiPriority w:val="0"/>
    <w:pPr>
      <w:tabs>
        <w:tab w:val="left" w:pos="277"/>
        <w:tab w:val="left" w:pos="600"/>
        <w:tab w:val="left" w:pos="780"/>
        <w:tab w:val="left" w:pos="2517"/>
      </w:tabs>
      <w:adjustRightInd w:val="0"/>
      <w:spacing w:before="60"/>
      <w:jc w:val="center"/>
      <w:textAlignment w:val="baseline"/>
    </w:pPr>
    <w:rPr>
      <w:kern w:val="0"/>
      <w:szCs w:val="21"/>
    </w:rPr>
  </w:style>
  <w:style w:type="character" w:customStyle="1" w:styleId="125">
    <w:name w:val="正文文本 2 Char"/>
    <w:basedOn w:val="40"/>
    <w:link w:val="30"/>
    <w:autoRedefine/>
    <w:qFormat/>
    <w:uiPriority w:val="0"/>
    <w:rPr>
      <w:b/>
      <w:kern w:val="2"/>
      <w:sz w:val="28"/>
    </w:rPr>
  </w:style>
  <w:style w:type="paragraph" w:customStyle="1" w:styleId="126">
    <w:name w:val="样式 首行缩进:  0.77 厘米 行距: 固定值 20 磅"/>
    <w:basedOn w:val="1"/>
    <w:autoRedefine/>
    <w:qFormat/>
    <w:uiPriority w:val="0"/>
    <w:pPr>
      <w:ind w:firstLine="435"/>
    </w:pPr>
    <w:rPr>
      <w:szCs w:val="20"/>
    </w:rPr>
  </w:style>
  <w:style w:type="paragraph" w:customStyle="1" w:styleId="127">
    <w:name w:val="2 Char Char Char Char Char Char Char Char Char Char"/>
    <w:basedOn w:val="1"/>
    <w:autoRedefine/>
    <w:qFormat/>
    <w:uiPriority w:val="0"/>
  </w:style>
  <w:style w:type="paragraph" w:customStyle="1" w:styleId="128">
    <w:name w:val="Char Char Char Char Char Char Char"/>
    <w:basedOn w:val="1"/>
    <w:autoRedefine/>
    <w:qFormat/>
    <w:uiPriority w:val="0"/>
  </w:style>
  <w:style w:type="paragraph" w:customStyle="1" w:styleId="129">
    <w:name w:val="Char Char Char Char Char Char Char Char Char Char Char"/>
    <w:autoRedefine/>
    <w:qFormat/>
    <w:uiPriority w:val="0"/>
    <w:pPr>
      <w:widowControl w:val="0"/>
      <w:spacing w:line="30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0">
    <w:name w:val="Char2 Char Char Char"/>
    <w:basedOn w:val="1"/>
    <w:autoRedefine/>
    <w:qFormat/>
    <w:uiPriority w:val="0"/>
    <w:pPr>
      <w:tabs>
        <w:tab w:val="left" w:pos="1360"/>
      </w:tabs>
      <w:ind w:left="1360" w:hanging="720"/>
    </w:pPr>
  </w:style>
  <w:style w:type="paragraph" w:customStyle="1" w:styleId="131">
    <w:name w:val="Char Char Char Char"/>
    <w:basedOn w:val="1"/>
    <w:next w:val="1"/>
    <w:autoRedefine/>
    <w:qFormat/>
    <w:uiPriority w:val="0"/>
    <w:pPr>
      <w:pBdr>
        <w:right w:val="single" w:color="auto" w:sz="12" w:space="4"/>
      </w:pBdr>
    </w:pPr>
    <w:rPr>
      <w:szCs w:val="20"/>
    </w:rPr>
  </w:style>
  <w:style w:type="paragraph" w:customStyle="1" w:styleId="132">
    <w:name w:val="Char Char1"/>
    <w:basedOn w:val="1"/>
    <w:autoRedefine/>
    <w:semiHidden/>
    <w:qFormat/>
    <w:uiPriority w:val="0"/>
    <w:pPr>
      <w:adjustRightInd w:val="0"/>
      <w:snapToGrid w:val="0"/>
    </w:pPr>
    <w:rPr>
      <w:rFonts w:ascii="宋体" w:hAnsi="宋体" w:cs="宋体"/>
      <w:szCs w:val="26"/>
    </w:rPr>
  </w:style>
  <w:style w:type="paragraph" w:customStyle="1" w:styleId="133">
    <w:name w:val="正文 + 宋体"/>
    <w:basedOn w:val="1"/>
    <w:autoRedefine/>
    <w:qFormat/>
    <w:uiPriority w:val="0"/>
    <w:pPr>
      <w:snapToGrid w:val="0"/>
      <w:ind w:firstLine="648" w:firstLineChars="245"/>
    </w:pPr>
    <w:rPr>
      <w:rFonts w:ascii="宋体" w:hAnsi="宋体"/>
    </w:rPr>
  </w:style>
  <w:style w:type="paragraph" w:customStyle="1" w:styleId="134">
    <w:name w:val="Char Char Char1"/>
    <w:basedOn w:val="1"/>
    <w:autoRedefine/>
    <w:qFormat/>
    <w:uiPriority w:val="99"/>
    <w:rPr>
      <w:rFonts w:ascii="宋体"/>
    </w:rPr>
  </w:style>
  <w:style w:type="paragraph" w:customStyle="1" w:styleId="135">
    <w:name w:val="表格1"/>
    <w:autoRedefine/>
    <w:qFormat/>
    <w:uiPriority w:val="0"/>
    <w:pPr>
      <w:spacing w:line="300" w:lineRule="auto"/>
    </w:pPr>
    <w:rPr>
      <w:rFonts w:ascii="Times New Roman" w:hAnsi="Times New Roman" w:eastAsia="宋体" w:cs="Times New Roman"/>
      <w:kern w:val="2"/>
      <w:sz w:val="21"/>
      <w:szCs w:val="24"/>
      <w:lang w:val="en-US" w:eastAsia="zh-CN" w:bidi="ar-SA"/>
    </w:rPr>
  </w:style>
  <w:style w:type="paragraph" w:customStyle="1" w:styleId="136">
    <w:name w:val="pvc1.1"/>
    <w:basedOn w:val="3"/>
    <w:next w:val="3"/>
    <w:autoRedefine/>
    <w:qFormat/>
    <w:uiPriority w:val="0"/>
    <w:pPr>
      <w:tabs>
        <w:tab w:val="left" w:pos="576"/>
        <w:tab w:val="left" w:pos="768"/>
      </w:tabs>
      <w:adjustRightInd w:val="0"/>
      <w:spacing w:before="312" w:beforeLines="100" w:after="312" w:afterLines="100" w:line="324" w:lineRule="auto"/>
      <w:ind w:left="576" w:hanging="576"/>
    </w:pPr>
    <w:rPr>
      <w:rFonts w:ascii="Arial" w:hAnsi="Arial" w:eastAsia="黑体"/>
      <w:bCs w:val="0"/>
      <w:color w:val="000000"/>
      <w:sz w:val="28"/>
      <w:szCs w:val="20"/>
    </w:rPr>
  </w:style>
  <w:style w:type="paragraph" w:customStyle="1" w:styleId="137">
    <w:name w:val="样式 小四 首行缩进:  1.01 厘米 行距: 1.5 倍行距"/>
    <w:basedOn w:val="1"/>
    <w:autoRedefine/>
    <w:qFormat/>
    <w:uiPriority w:val="0"/>
    <w:pPr>
      <w:adjustRightInd w:val="0"/>
      <w:snapToGrid w:val="0"/>
    </w:pPr>
    <w:rPr>
      <w:snapToGrid w:val="0"/>
      <w:kern w:val="24"/>
      <w:szCs w:val="20"/>
    </w:rPr>
  </w:style>
  <w:style w:type="paragraph" w:customStyle="1" w:styleId="138">
    <w:name w:val="表格内容居中"/>
    <w:autoRedefine/>
    <w:qFormat/>
    <w:uiPriority w:val="0"/>
    <w:pPr>
      <w:adjustRightInd w:val="0"/>
      <w:snapToGrid w:val="0"/>
      <w:jc w:val="center"/>
    </w:pPr>
    <w:rPr>
      <w:rFonts w:ascii="Times New Roman" w:hAnsi="Times New Roman" w:eastAsia="宋体" w:cs="Times New Roman"/>
      <w:snapToGrid w:val="0"/>
      <w:sz w:val="21"/>
      <w:lang w:val="en-US" w:eastAsia="zh-CN" w:bidi="ar-SA"/>
    </w:rPr>
  </w:style>
  <w:style w:type="paragraph" w:customStyle="1" w:styleId="139">
    <w:name w:val="xl72"/>
    <w:basedOn w:val="1"/>
    <w:autoRedefine/>
    <w:qFormat/>
    <w:uiPriority w:val="0"/>
    <w:pPr>
      <w:widowControl/>
      <w:spacing w:before="100" w:beforeAutospacing="1" w:after="100" w:afterAutospacing="1"/>
      <w:jc w:val="center"/>
      <w:textAlignment w:val="center"/>
    </w:pPr>
    <w:rPr>
      <w:rFonts w:ascii="宋体" w:hAnsi="宋体" w:eastAsia="仿宋_GB2312"/>
      <w:b/>
      <w:kern w:val="0"/>
      <w:sz w:val="32"/>
      <w:szCs w:val="20"/>
    </w:rPr>
  </w:style>
  <w:style w:type="paragraph" w:customStyle="1" w:styleId="140">
    <w:name w:val="表格文字"/>
    <w:basedOn w:val="11"/>
    <w:link w:val="141"/>
    <w:autoRedefine/>
    <w:qFormat/>
    <w:uiPriority w:val="0"/>
    <w:pPr>
      <w:widowControl w:val="0"/>
      <w:tabs>
        <w:tab w:val="left" w:pos="972"/>
      </w:tabs>
      <w:snapToGrid/>
      <w:spacing w:before="0" w:after="0" w:line="240" w:lineRule="auto"/>
      <w:ind w:right="0"/>
      <w:jc w:val="center"/>
    </w:pPr>
    <w:rPr>
      <w:rFonts w:ascii="宋体" w:hAnsi="宋体"/>
      <w:color w:val="000000"/>
      <w:kern w:val="40"/>
      <w:szCs w:val="30"/>
      <w:lang w:val="zh-CN"/>
    </w:rPr>
  </w:style>
  <w:style w:type="character" w:customStyle="1" w:styleId="141">
    <w:name w:val="表格文字 Char"/>
    <w:link w:val="140"/>
    <w:autoRedefine/>
    <w:qFormat/>
    <w:uiPriority w:val="0"/>
    <w:rPr>
      <w:rFonts w:ascii="宋体" w:hAnsi="宋体"/>
      <w:color w:val="000000"/>
      <w:kern w:val="40"/>
      <w:sz w:val="18"/>
      <w:szCs w:val="30"/>
      <w:lang w:val="zh-CN" w:eastAsia="zh-CN"/>
    </w:rPr>
  </w:style>
  <w:style w:type="paragraph" w:customStyle="1" w:styleId="142">
    <w:name w:val="简单回函地址"/>
    <w:basedOn w:val="1"/>
    <w:autoRedefine/>
    <w:qFormat/>
    <w:uiPriority w:val="0"/>
    <w:pPr>
      <w:adjustRightInd w:val="0"/>
      <w:spacing w:line="312" w:lineRule="atLeast"/>
      <w:textAlignment w:val="baseline"/>
    </w:pPr>
    <w:rPr>
      <w:kern w:val="0"/>
      <w:szCs w:val="20"/>
    </w:rPr>
  </w:style>
  <w:style w:type="paragraph" w:customStyle="1" w:styleId="143">
    <w:name w:val="默认段落字体 Para Char Char Char Char"/>
    <w:basedOn w:val="1"/>
    <w:autoRedefine/>
    <w:qFormat/>
    <w:uiPriority w:val="0"/>
  </w:style>
  <w:style w:type="paragraph" w:customStyle="1" w:styleId="144">
    <w:name w:val="正文文本首行缩进2字符"/>
    <w:basedOn w:val="1"/>
    <w:autoRedefine/>
    <w:qFormat/>
    <w:uiPriority w:val="0"/>
    <w:pPr>
      <w:adjustRightInd w:val="0"/>
      <w:snapToGrid w:val="0"/>
      <w:ind w:firstLine="480"/>
    </w:pPr>
    <w:rPr>
      <w:rFonts w:ascii="宋体"/>
      <w:color w:val="FF0000"/>
    </w:rPr>
  </w:style>
  <w:style w:type="paragraph" w:customStyle="1" w:styleId="145">
    <w:name w:val="表头（富士康1）"/>
    <w:autoRedefine/>
    <w:qFormat/>
    <w:uiPriority w:val="99"/>
    <w:pPr>
      <w:jc w:val="center"/>
    </w:pPr>
    <w:rPr>
      <w:rFonts w:ascii="Times New Roman" w:hAnsi="Times New Roman" w:eastAsia="黑体" w:cs="Times New Roman"/>
      <w:kern w:val="2"/>
      <w:sz w:val="22"/>
      <w:szCs w:val="21"/>
      <w:lang w:val="en-US" w:eastAsia="zh-CN" w:bidi="ar-SA"/>
    </w:rPr>
  </w:style>
  <w:style w:type="character" w:customStyle="1" w:styleId="146">
    <w:name w:val="标题 Char1"/>
    <w:basedOn w:val="40"/>
    <w:autoRedefine/>
    <w:qFormat/>
    <w:uiPriority w:val="0"/>
    <w:rPr>
      <w:rFonts w:asciiTheme="majorHAnsi" w:hAnsiTheme="majorHAnsi" w:cstheme="majorBidi"/>
      <w:b/>
      <w:bCs/>
      <w:kern w:val="2"/>
      <w:sz w:val="32"/>
      <w:szCs w:val="32"/>
    </w:rPr>
  </w:style>
  <w:style w:type="paragraph" w:customStyle="1" w:styleId="147">
    <w:name w:val="Char Char13 Char Char Char Char Char Char Char Char Char Char"/>
    <w:basedOn w:val="1"/>
    <w:autoRedefine/>
    <w:qFormat/>
    <w:uiPriority w:val="0"/>
    <w:pPr>
      <w:adjustRightInd w:val="0"/>
      <w:snapToGrid w:val="0"/>
    </w:pPr>
  </w:style>
  <w:style w:type="paragraph" w:styleId="148">
    <w:name w:val="List Paragraph"/>
    <w:basedOn w:val="1"/>
    <w:autoRedefine/>
    <w:qFormat/>
    <w:uiPriority w:val="0"/>
    <w:pPr>
      <w:ind w:firstLine="420"/>
    </w:pPr>
    <w:rPr>
      <w:rFonts w:ascii="Calibri" w:hAnsi="Calibri"/>
      <w:szCs w:val="22"/>
    </w:rPr>
  </w:style>
  <w:style w:type="character" w:customStyle="1" w:styleId="149">
    <w:name w:val="正文文本缩进 2 Char1"/>
    <w:basedOn w:val="40"/>
    <w:autoRedefine/>
    <w:semiHidden/>
    <w:qFormat/>
    <w:uiPriority w:val="0"/>
    <w:rPr>
      <w:kern w:val="2"/>
      <w:sz w:val="21"/>
      <w:szCs w:val="24"/>
    </w:rPr>
  </w:style>
  <w:style w:type="paragraph" w:customStyle="1" w:styleId="150">
    <w:name w:val="Char Char Char2 Char"/>
    <w:basedOn w:val="1"/>
    <w:autoRedefine/>
    <w:qFormat/>
    <w:uiPriority w:val="0"/>
    <w:rPr>
      <w:rFonts w:ascii="宋体" w:hAnsi="宋体" w:cs="宋体"/>
    </w:rPr>
  </w:style>
  <w:style w:type="paragraph" w:customStyle="1" w:styleId="151">
    <w:name w:val="9"/>
    <w:basedOn w:val="1"/>
    <w:next w:val="12"/>
    <w:autoRedefine/>
    <w:qFormat/>
    <w:uiPriority w:val="0"/>
    <w:pPr>
      <w:ind w:firstLine="540"/>
    </w:pPr>
    <w:rPr>
      <w:rFonts w:ascii="宋体"/>
      <w:sz w:val="28"/>
      <w:szCs w:val="20"/>
    </w:rPr>
  </w:style>
  <w:style w:type="paragraph" w:customStyle="1" w:styleId="152">
    <w:name w:val="1 Char"/>
    <w:basedOn w:val="1"/>
    <w:autoRedefine/>
    <w:qFormat/>
    <w:uiPriority w:val="0"/>
  </w:style>
  <w:style w:type="paragraph" w:customStyle="1" w:styleId="153">
    <w:name w:val="默认段落字体 Para Char"/>
    <w:basedOn w:val="1"/>
    <w:autoRedefine/>
    <w:qFormat/>
    <w:uiPriority w:val="0"/>
    <w:rPr>
      <w:rFonts w:ascii="宋体" w:hAnsi="宋体" w:cs="宋体"/>
    </w:rPr>
  </w:style>
  <w:style w:type="paragraph" w:customStyle="1" w:styleId="154">
    <w:name w:val="正文样式3"/>
    <w:basedOn w:val="1"/>
    <w:autoRedefine/>
    <w:qFormat/>
    <w:uiPriority w:val="0"/>
    <w:pPr>
      <w:adjustRightInd w:val="0"/>
      <w:spacing w:line="20" w:lineRule="atLeast"/>
      <w:jc w:val="center"/>
    </w:pPr>
    <w:rPr>
      <w:kern w:val="0"/>
      <w:szCs w:val="20"/>
    </w:rPr>
  </w:style>
  <w:style w:type="paragraph" w:customStyle="1" w:styleId="155">
    <w:name w:val="正文（富士康）"/>
    <w:basedOn w:val="1"/>
    <w:autoRedefine/>
    <w:qFormat/>
    <w:uiPriority w:val="99"/>
    <w:pPr>
      <w:adjustRightInd w:val="0"/>
      <w:snapToGrid w:val="0"/>
      <w:spacing w:beforeLines="30"/>
    </w:pPr>
  </w:style>
  <w:style w:type="paragraph" w:customStyle="1" w:styleId="156">
    <w:name w:val="表中"/>
    <w:basedOn w:val="1"/>
    <w:autoRedefine/>
    <w:qFormat/>
    <w:uiPriority w:val="0"/>
    <w:pPr>
      <w:adjustRightInd w:val="0"/>
      <w:snapToGrid w:val="0"/>
      <w:spacing w:line="360" w:lineRule="atLeast"/>
      <w:jc w:val="center"/>
      <w:textAlignment w:val="baseline"/>
    </w:pPr>
    <w:rPr>
      <w:rFonts w:ascii="宋体" w:hAnsi="宋体" w:cs="宋体"/>
      <w:kern w:val="0"/>
      <w:szCs w:val="21"/>
    </w:rPr>
  </w:style>
  <w:style w:type="paragraph" w:customStyle="1" w:styleId="157">
    <w:name w:val="Char1"/>
    <w:basedOn w:val="1"/>
    <w:autoRedefine/>
    <w:qFormat/>
    <w:uiPriority w:val="0"/>
    <w:pPr>
      <w:snapToGrid w:val="0"/>
      <w:ind w:firstLine="529"/>
    </w:pPr>
    <w:rPr>
      <w:rFonts w:ascii="宋体" w:hAnsi="宋体"/>
      <w:b/>
    </w:rPr>
  </w:style>
  <w:style w:type="paragraph" w:customStyle="1" w:styleId="158">
    <w:name w:val="Char Char Char Char2"/>
    <w:basedOn w:val="1"/>
    <w:autoRedefine/>
    <w:qFormat/>
    <w:uiPriority w:val="0"/>
    <w:rPr>
      <w:szCs w:val="21"/>
    </w:rPr>
  </w:style>
  <w:style w:type="paragraph" w:customStyle="1" w:styleId="159">
    <w:name w:val="Char2"/>
    <w:basedOn w:val="1"/>
    <w:autoRedefine/>
    <w:qFormat/>
    <w:uiPriority w:val="0"/>
    <w:rPr>
      <w:rFonts w:ascii="宋体" w:hAnsi="宋体" w:cs="宋体"/>
    </w:rPr>
  </w:style>
  <w:style w:type="paragraph" w:customStyle="1" w:styleId="160">
    <w:name w:val="正文01"/>
    <w:basedOn w:val="1"/>
    <w:autoRedefine/>
    <w:qFormat/>
    <w:uiPriority w:val="0"/>
    <w:pPr>
      <w:spacing w:before="60" w:line="460" w:lineRule="exact"/>
    </w:pPr>
  </w:style>
  <w:style w:type="paragraph" w:customStyle="1" w:styleId="161">
    <w:name w:val="word"/>
    <w:basedOn w:val="1"/>
    <w:autoRedefine/>
    <w:qFormat/>
    <w:uiPriority w:val="0"/>
    <w:pPr>
      <w:ind w:firstLine="480"/>
    </w:pPr>
    <w:rPr>
      <w:color w:val="000000"/>
    </w:rPr>
  </w:style>
  <w:style w:type="paragraph" w:customStyle="1" w:styleId="162">
    <w:name w:val="妇幼正文"/>
    <w:basedOn w:val="1"/>
    <w:autoRedefine/>
    <w:qFormat/>
    <w:uiPriority w:val="0"/>
    <w:pPr>
      <w:adjustRightInd w:val="0"/>
      <w:ind w:firstLine="480"/>
    </w:pPr>
    <w:rPr>
      <w:color w:val="000000"/>
      <w:kern w:val="0"/>
    </w:rPr>
  </w:style>
  <w:style w:type="character" w:customStyle="1" w:styleId="163">
    <w:name w:val="我的正文 Char"/>
    <w:link w:val="164"/>
    <w:autoRedefine/>
    <w:qFormat/>
    <w:uiPriority w:val="0"/>
    <w:rPr>
      <w:kern w:val="2"/>
      <w:sz w:val="28"/>
    </w:rPr>
  </w:style>
  <w:style w:type="paragraph" w:customStyle="1" w:styleId="164">
    <w:name w:val="我的正文"/>
    <w:basedOn w:val="1"/>
    <w:link w:val="163"/>
    <w:autoRedefine/>
    <w:qFormat/>
    <w:uiPriority w:val="0"/>
    <w:pPr>
      <w:ind w:firstLine="560"/>
    </w:pPr>
    <w:rPr>
      <w:sz w:val="28"/>
      <w:szCs w:val="20"/>
    </w:rPr>
  </w:style>
  <w:style w:type="paragraph" w:customStyle="1" w:styleId="165">
    <w:name w:val="p0"/>
    <w:basedOn w:val="1"/>
    <w:autoRedefine/>
    <w:qFormat/>
    <w:uiPriority w:val="0"/>
    <w:pPr>
      <w:widowControl/>
    </w:pPr>
    <w:rPr>
      <w:rFonts w:ascii="Calibri" w:hAnsi="Calibri"/>
      <w:kern w:val="0"/>
      <w:szCs w:val="21"/>
    </w:rPr>
  </w:style>
  <w:style w:type="character" w:customStyle="1" w:styleId="166">
    <w:name w:val="Font Style221"/>
    <w:autoRedefine/>
    <w:qFormat/>
    <w:uiPriority w:val="0"/>
    <w:rPr>
      <w:rFonts w:ascii="宋体" w:eastAsia="宋体" w:cs="宋体"/>
      <w:sz w:val="22"/>
      <w:szCs w:val="22"/>
      <w:lang w:bidi="ar-SA"/>
    </w:rPr>
  </w:style>
  <w:style w:type="paragraph" w:customStyle="1" w:styleId="167">
    <w:name w:val="惠泽表格"/>
    <w:basedOn w:val="1"/>
    <w:autoRedefine/>
    <w:qFormat/>
    <w:uiPriority w:val="0"/>
    <w:pPr>
      <w:spacing w:line="480" w:lineRule="exact"/>
      <w:jc w:val="center"/>
    </w:pPr>
    <w:rPr>
      <w:rFonts w:ascii="黑体" w:hAnsi="黑体" w:eastAsia="黑体" w:cs="宋体"/>
      <w:szCs w:val="20"/>
    </w:rPr>
  </w:style>
  <w:style w:type="character" w:customStyle="1" w:styleId="168">
    <w:name w:val="font01"/>
    <w:basedOn w:val="40"/>
    <w:autoRedefine/>
    <w:qFormat/>
    <w:uiPriority w:val="0"/>
    <w:rPr>
      <w:rFonts w:hint="default" w:ascii="Times New Roman" w:hAnsi="Times New Roman" w:cs="Times New Roman"/>
      <w:color w:val="000000"/>
      <w:sz w:val="21"/>
      <w:szCs w:val="21"/>
      <w:u w:val="none"/>
    </w:rPr>
  </w:style>
  <w:style w:type="paragraph" w:customStyle="1" w:styleId="169">
    <w:name w:val="Default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70">
    <w:name w:val="惠泽正文"/>
    <w:basedOn w:val="1"/>
    <w:autoRedefine/>
    <w:qFormat/>
    <w:uiPriority w:val="0"/>
    <w:pPr>
      <w:spacing w:line="480" w:lineRule="exact"/>
      <w:ind w:firstLine="480"/>
    </w:pPr>
    <w:rPr>
      <w:rFonts w:hAnsi="宋体" w:cs="宋体"/>
      <w:szCs w:val="20"/>
    </w:rPr>
  </w:style>
  <w:style w:type="paragraph" w:styleId="171">
    <w:name w:val="No Spacing"/>
    <w:autoRedefine/>
    <w:qFormat/>
    <w:uiPriority w:val="0"/>
    <w:pPr>
      <w:widowControl w:val="0"/>
      <w:adjustRightInd w:val="0"/>
      <w:snapToGrid w:val="0"/>
      <w:spacing w:line="360" w:lineRule="auto"/>
      <w:ind w:firstLine="200" w:firstLineChars="200"/>
      <w:jc w:val="both"/>
    </w:pPr>
    <w:rPr>
      <w:rFonts w:ascii="Times New Roman" w:hAnsi="Times New Roman" w:eastAsia="宋体" w:cs="Times New Roman"/>
      <w:kern w:val="2"/>
      <w:sz w:val="24"/>
      <w:szCs w:val="22"/>
      <w:lang w:val="en-US" w:eastAsia="zh-CN" w:bidi="ar-SA"/>
    </w:rPr>
  </w:style>
  <w:style w:type="paragraph" w:customStyle="1" w:styleId="172">
    <w:name w:val="Table Paragraph"/>
    <w:basedOn w:val="1"/>
    <w:autoRedefine/>
    <w:qFormat/>
    <w:uiPriority w:val="1"/>
    <w:rPr>
      <w:rFonts w:ascii="宋体" w:hAnsi="宋体" w:cs="宋体"/>
      <w:lang w:val="zh-CN" w:bidi="zh-CN"/>
    </w:rPr>
  </w:style>
  <w:style w:type="paragraph" w:customStyle="1" w:styleId="173">
    <w:name w:val="Body text|2"/>
    <w:basedOn w:val="1"/>
    <w:autoRedefine/>
    <w:qFormat/>
    <w:uiPriority w:val="0"/>
    <w:pPr>
      <w:spacing w:line="355" w:lineRule="exact"/>
      <w:ind w:firstLine="580"/>
    </w:pPr>
    <w:rPr>
      <w:rFonts w:ascii="宋体" w:hAnsi="宋体" w:cs="宋体"/>
      <w:sz w:val="22"/>
      <w:szCs w:val="22"/>
      <w:lang w:val="zh-TW" w:eastAsia="zh-TW" w:bidi="zh-TW"/>
    </w:rPr>
  </w:style>
  <w:style w:type="paragraph" w:customStyle="1" w:styleId="174">
    <w:name w:val="Body text|1"/>
    <w:basedOn w:val="1"/>
    <w:autoRedefine/>
    <w:qFormat/>
    <w:uiPriority w:val="0"/>
    <w:pPr>
      <w:spacing w:line="468" w:lineRule="auto"/>
      <w:ind w:firstLine="400"/>
    </w:pPr>
    <w:rPr>
      <w:rFonts w:ascii="宋体" w:hAnsi="宋体" w:cs="宋体"/>
      <w:sz w:val="28"/>
      <w:szCs w:val="28"/>
      <w:lang w:val="zh-TW" w:eastAsia="zh-TW" w:bidi="zh-TW"/>
    </w:rPr>
  </w:style>
  <w:style w:type="paragraph" w:customStyle="1" w:styleId="175">
    <w:name w:val="表名"/>
    <w:autoRedefine/>
    <w:qFormat/>
    <w:uiPriority w:val="0"/>
    <w:pPr>
      <w:overflowPunct w:val="0"/>
      <w:spacing w:line="300" w:lineRule="auto"/>
      <w:jc w:val="center"/>
      <w:textAlignment w:val="baseline"/>
    </w:pPr>
    <w:rPr>
      <w:rFonts w:ascii="Times New Roman" w:hAnsi="Times New Roman" w:eastAsia="宋体" w:cs="Times New Roman"/>
      <w:b/>
      <w:kern w:val="2"/>
      <w:sz w:val="21"/>
      <w:szCs w:val="24"/>
      <w:lang w:val="en-US" w:eastAsia="zh-CN" w:bidi="ar-SA"/>
    </w:rPr>
  </w:style>
  <w:style w:type="character" w:customStyle="1" w:styleId="176">
    <w:name w:val="font21"/>
    <w:basedOn w:val="40"/>
    <w:autoRedefine/>
    <w:qFormat/>
    <w:uiPriority w:val="0"/>
    <w:rPr>
      <w:rFonts w:hint="default" w:ascii="Times New Roman" w:hAnsi="Times New Roman" w:cs="Times New Roman"/>
      <w:color w:val="000000"/>
      <w:sz w:val="21"/>
      <w:szCs w:val="21"/>
      <w:u w:val="none"/>
      <w:vertAlign w:val="superscript"/>
    </w:rPr>
  </w:style>
  <w:style w:type="character" w:customStyle="1" w:styleId="177">
    <w:name w:val="font11"/>
    <w:basedOn w:val="40"/>
    <w:autoRedefine/>
    <w:qFormat/>
    <w:uiPriority w:val="0"/>
    <w:rPr>
      <w:rFonts w:hint="default" w:ascii="Times New Roman" w:hAnsi="Times New Roman" w:cs="Times New Roman"/>
      <w:color w:val="000000"/>
      <w:sz w:val="21"/>
      <w:szCs w:val="21"/>
      <w:u w:val="none"/>
    </w:rPr>
  </w:style>
  <w:style w:type="character" w:customStyle="1" w:styleId="178">
    <w:name w:val="font31"/>
    <w:basedOn w:val="40"/>
    <w:autoRedefine/>
    <w:qFormat/>
    <w:uiPriority w:val="0"/>
    <w:rPr>
      <w:rFonts w:hint="eastAsia" w:ascii="宋体" w:hAnsi="宋体" w:eastAsia="宋体" w:cs="宋体"/>
      <w:color w:val="000000"/>
      <w:sz w:val="21"/>
      <w:szCs w:val="21"/>
      <w:u w:val="none"/>
    </w:rPr>
  </w:style>
  <w:style w:type="paragraph" w:customStyle="1" w:styleId="179">
    <w:name w:val="样式 正文文本 + 首行缩进:  2 字符"/>
    <w:basedOn w:val="11"/>
    <w:autoRedefine/>
    <w:qFormat/>
    <w:uiPriority w:val="99"/>
    <w:pPr>
      <w:spacing w:after="200" w:line="480" w:lineRule="exact"/>
      <w:ind w:firstLine="480"/>
    </w:pPr>
    <w:rPr>
      <w:rFonts w:eastAsia="微软雅黑"/>
      <w:sz w:val="24"/>
      <w:szCs w:val="22"/>
    </w:rPr>
  </w:style>
  <w:style w:type="paragraph" w:customStyle="1" w:styleId="180">
    <w:name w:val="法规"/>
    <w:basedOn w:val="1"/>
    <w:autoRedefine/>
    <w:qFormat/>
    <w:uiPriority w:val="0"/>
    <w:pPr>
      <w:tabs>
        <w:tab w:val="left" w:pos="400"/>
      </w:tabs>
      <w:spacing w:line="440" w:lineRule="exact"/>
      <w:ind w:firstLine="400"/>
    </w:pPr>
    <w:rPr>
      <w:sz w:val="25"/>
      <w:szCs w:val="20"/>
    </w:rPr>
  </w:style>
  <w:style w:type="paragraph" w:customStyle="1" w:styleId="181">
    <w:name w:val="3"/>
    <w:basedOn w:val="1"/>
    <w:next w:val="21"/>
    <w:autoRedefine/>
    <w:qFormat/>
    <w:uiPriority w:val="0"/>
    <w:pPr>
      <w:tabs>
        <w:tab w:val="left" w:pos="6855"/>
      </w:tabs>
      <w:ind w:firstLine="560"/>
    </w:pPr>
    <w:rPr>
      <w:rFonts w:eastAsia="仿宋_GB2312"/>
      <w:sz w:val="28"/>
    </w:rPr>
  </w:style>
  <w:style w:type="paragraph" w:customStyle="1" w:styleId="182">
    <w:name w:val="【正文】"/>
    <w:basedOn w:val="1"/>
    <w:link w:val="184"/>
    <w:autoRedefine/>
    <w:qFormat/>
    <w:uiPriority w:val="0"/>
    <w:pPr>
      <w:autoSpaceDE w:val="0"/>
      <w:autoSpaceDN w:val="0"/>
      <w:spacing w:before="120" w:beforeLines="50"/>
      <w:ind w:firstLine="480"/>
    </w:pPr>
  </w:style>
  <w:style w:type="paragraph" w:customStyle="1" w:styleId="183">
    <w:name w:val="正文-ls"/>
    <w:basedOn w:val="1"/>
    <w:autoRedefine/>
    <w:qFormat/>
    <w:uiPriority w:val="0"/>
    <w:rPr>
      <w:rFonts w:hAnsi="宋体"/>
      <w:kern w:val="0"/>
      <w:szCs w:val="20"/>
    </w:rPr>
  </w:style>
  <w:style w:type="character" w:customStyle="1" w:styleId="184">
    <w:name w:val="【正文】 Char"/>
    <w:link w:val="182"/>
    <w:autoRedefine/>
    <w:qFormat/>
    <w:uiPriority w:val="0"/>
    <w:rPr>
      <w:kern w:val="2"/>
      <w:sz w:val="24"/>
      <w:szCs w:val="24"/>
    </w:rPr>
  </w:style>
  <w:style w:type="paragraph" w:customStyle="1" w:styleId="185">
    <w:name w:val="表格文字我要的"/>
    <w:basedOn w:val="1"/>
    <w:autoRedefine/>
    <w:qFormat/>
    <w:uiPriority w:val="0"/>
    <w:pPr>
      <w:jc w:val="center"/>
    </w:pPr>
    <w:rPr>
      <w:kern w:val="0"/>
      <w:szCs w:val="21"/>
    </w:rPr>
  </w:style>
  <w:style w:type="table" w:customStyle="1" w:styleId="186">
    <w:name w:val="Table Normal"/>
    <w:autoRedefine/>
    <w:semiHidden/>
    <w:unhideWhenUsed/>
    <w:qFormat/>
    <w:uiPriority w:val="0"/>
    <w:tblPr>
      <w:tblCellMar>
        <w:top w:w="0" w:type="dxa"/>
        <w:left w:w="0" w:type="dxa"/>
        <w:bottom w:w="0" w:type="dxa"/>
        <w:right w:w="0" w:type="dxa"/>
      </w:tblCellMar>
    </w:tblPr>
  </w:style>
  <w:style w:type="paragraph" w:customStyle="1" w:styleId="187">
    <w:name w:val="样式 样式 样式 样式 小四 左 首行缩进:  2 字符 + 首行缩进:  2 字符 Char + 右  0 字符1 + 首行缩...3"/>
    <w:basedOn w:val="1"/>
    <w:autoRedefine/>
    <w:qFormat/>
    <w:uiPriority w:val="0"/>
    <w:pPr>
      <w:adjustRightInd w:val="0"/>
      <w:ind w:firstLine="480"/>
      <w:textAlignment w:val="baseline"/>
    </w:pPr>
    <w:rPr>
      <w:rFonts w:cs="宋体"/>
      <w:szCs w:val="20"/>
    </w:rPr>
  </w:style>
  <w:style w:type="paragraph" w:customStyle="1" w:styleId="188">
    <w:name w:val="22222"/>
    <w:basedOn w:val="1"/>
    <w:autoRedefine/>
    <w:qFormat/>
    <w:uiPriority w:val="0"/>
    <w:pPr>
      <w:spacing w:line="480" w:lineRule="exact"/>
      <w:ind w:firstLine="480"/>
    </w:pPr>
    <w:rPr>
      <w:rFonts w:hAnsi="宋体"/>
    </w:rPr>
  </w:style>
  <w:style w:type="paragraph" w:customStyle="1" w:styleId="189">
    <w:name w:val="表格2"/>
    <w:basedOn w:val="1"/>
    <w:autoRedefine/>
    <w:qFormat/>
    <w:uiPriority w:val="0"/>
    <w:pPr>
      <w:jc w:val="center"/>
    </w:pPr>
  </w:style>
  <w:style w:type="paragraph" w:customStyle="1" w:styleId="190">
    <w:name w:val="6表头"/>
    <w:basedOn w:val="1"/>
    <w:autoRedefine/>
    <w:qFormat/>
    <w:uiPriority w:val="0"/>
    <w:pPr>
      <w:widowControl/>
      <w:spacing w:before="156" w:beforeLines="50"/>
      <w:jc w:val="center"/>
    </w:pPr>
    <w:rPr>
      <w:rFonts w:eastAsia="黑体"/>
      <w:szCs w:val="21"/>
    </w:rPr>
  </w:style>
  <w:style w:type="paragraph" w:customStyle="1" w:styleId="191">
    <w:name w:val="应填表格"/>
    <w:basedOn w:val="1"/>
    <w:autoRedefine/>
    <w:qFormat/>
    <w:uiPriority w:val="0"/>
    <w:pPr>
      <w:adjustRightInd w:val="0"/>
      <w:spacing w:before="40" w:after="40"/>
      <w:textAlignment w:val="baseline"/>
    </w:pPr>
    <w:rPr>
      <w:kern w:val="0"/>
    </w:rPr>
  </w:style>
  <w:style w:type="character" w:customStyle="1" w:styleId="192">
    <w:name w:val="NormalCharacter"/>
    <w:autoRedefine/>
    <w:semiHidden/>
    <w:qFormat/>
    <w:uiPriority w:val="0"/>
  </w:style>
  <w:style w:type="paragraph" w:customStyle="1" w:styleId="193">
    <w:name w:val="样式1"/>
    <w:basedOn w:val="25"/>
    <w:autoRedefine/>
    <w:qFormat/>
    <w:uiPriority w:val="0"/>
    <w:pPr>
      <w:spacing w:before="20" w:after="20"/>
    </w:pPr>
    <w:rPr>
      <w:szCs w:val="21"/>
    </w:rPr>
  </w:style>
  <w:style w:type="paragraph" w:customStyle="1" w:styleId="194">
    <w:name w:val="小表格"/>
    <w:basedOn w:val="4"/>
    <w:next w:val="1"/>
    <w:qFormat/>
    <w:uiPriority w:val="0"/>
    <w:pPr>
      <w:spacing w:line="240" w:lineRule="auto"/>
      <w:ind w:firstLine="0" w:firstLineChars="0"/>
      <w:jc w:val="center"/>
      <w:outlineLvl w:val="9"/>
    </w:pPr>
    <w:rPr>
      <w:sz w:val="21"/>
      <w:szCs w:val="21"/>
    </w:rPr>
  </w:style>
  <w:style w:type="paragraph" w:customStyle="1" w:styleId="195">
    <w:name w:val="gao"/>
    <w:basedOn w:val="1"/>
    <w:qFormat/>
    <w:uiPriority w:val="0"/>
    <w:pPr>
      <w:autoSpaceDE w:val="0"/>
      <w:autoSpaceDN w:val="0"/>
      <w:adjustRightInd w:val="0"/>
      <w:spacing w:line="360" w:lineRule="auto"/>
    </w:pPr>
    <w:rPr>
      <w:rFonts w:ascii="宋体" w:hAnsi="Calibri" w:eastAsia="宋体" w:cs="Times New Roman"/>
      <w:spacing w:val="-20"/>
      <w:kern w:val="0"/>
      <w:sz w:val="28"/>
      <w:szCs w:val="24"/>
    </w:rPr>
  </w:style>
  <w:style w:type="paragraph" w:customStyle="1" w:styleId="196">
    <w:name w:val="+正文"/>
    <w:basedOn w:val="1"/>
    <w:qFormat/>
    <w:uiPriority w:val="0"/>
    <w:pPr>
      <w:spacing w:after="0" w:line="360" w:lineRule="auto"/>
      <w:ind w:firstLine="200" w:firstLineChars="200"/>
    </w:pPr>
    <w:rPr>
      <w:sz w:val="24"/>
      <w:szCs w:val="28"/>
    </w:rPr>
  </w:style>
  <w:style w:type="paragraph" w:customStyle="1" w:styleId="197">
    <w:name w:val="样式 样式 首行缩进:  2 字符 + 首行缩进:  2 字符"/>
    <w:basedOn w:val="1"/>
    <w:qFormat/>
    <w:uiPriority w:val="0"/>
    <w:pPr>
      <w:spacing w:line="360" w:lineRule="auto"/>
      <w:ind w:firstLine="200" w:firstLineChars="200"/>
      <w:jc w:val="left"/>
    </w:pPr>
    <w:rPr>
      <w:rFonts w:cs="宋体"/>
      <w:sz w:val="24"/>
    </w:rPr>
  </w:style>
  <w:style w:type="table" w:customStyle="1" w:styleId="198">
    <w:name w:val="网格型1"/>
    <w:basedOn w:val="199"/>
    <w:autoRedefine/>
    <w:qFormat/>
    <w:uiPriority w:val="0"/>
    <w:pPr>
      <w:widowControl w:val="0"/>
      <w:jc w:val="both"/>
    </w:pPr>
  </w:style>
  <w:style w:type="table" w:customStyle="1" w:styleId="199">
    <w:name w:val="普通表格1"/>
    <w:autoRedefine/>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8" Type="http://schemas.openxmlformats.org/officeDocument/2006/relationships/fontTable" Target="fontTable.xml"/><Relationship Id="rId37" Type="http://schemas.openxmlformats.org/officeDocument/2006/relationships/customXml" Target="../customXml/item2.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12.wmf"/><Relationship Id="rId33" Type="http://schemas.openxmlformats.org/officeDocument/2006/relationships/oleObject" Target="embeddings/oleObject8.bin"/><Relationship Id="rId32" Type="http://schemas.openxmlformats.org/officeDocument/2006/relationships/image" Target="media/image11.jpeg"/><Relationship Id="rId31" Type="http://schemas.openxmlformats.org/officeDocument/2006/relationships/image" Target="media/image10.png"/><Relationship Id="rId30" Type="http://schemas.openxmlformats.org/officeDocument/2006/relationships/image" Target="media/image9.png"/><Relationship Id="rId3" Type="http://schemas.openxmlformats.org/officeDocument/2006/relationships/footnotes" Target="footnotes.xml"/><Relationship Id="rId29" Type="http://schemas.openxmlformats.org/officeDocument/2006/relationships/image" Target="media/image8.emf"/><Relationship Id="rId28" Type="http://schemas.openxmlformats.org/officeDocument/2006/relationships/oleObject" Target="embeddings/oleObject7.bin"/><Relationship Id="rId27" Type="http://schemas.openxmlformats.org/officeDocument/2006/relationships/image" Target="media/image7.emf"/><Relationship Id="rId26" Type="http://schemas.openxmlformats.org/officeDocument/2006/relationships/oleObject" Target="embeddings/oleObject6.bin"/><Relationship Id="rId25" Type="http://schemas.openxmlformats.org/officeDocument/2006/relationships/image" Target="media/image6.emf"/><Relationship Id="rId24" Type="http://schemas.openxmlformats.org/officeDocument/2006/relationships/oleObject" Target="embeddings/oleObject5.bin"/><Relationship Id="rId23" Type="http://schemas.openxmlformats.org/officeDocument/2006/relationships/image" Target="media/image5.emf"/><Relationship Id="rId22" Type="http://schemas.openxmlformats.org/officeDocument/2006/relationships/oleObject" Target="embeddings/oleObject4.bin"/><Relationship Id="rId21" Type="http://schemas.openxmlformats.org/officeDocument/2006/relationships/image" Target="media/image4.emf"/><Relationship Id="rId20" Type="http://schemas.openxmlformats.org/officeDocument/2006/relationships/oleObject" Target="embeddings/oleObject3.bin"/><Relationship Id="rId2" Type="http://schemas.openxmlformats.org/officeDocument/2006/relationships/settings" Target="settings.xml"/><Relationship Id="rId19" Type="http://schemas.openxmlformats.org/officeDocument/2006/relationships/image" Target="media/image3.emf"/><Relationship Id="rId18" Type="http://schemas.openxmlformats.org/officeDocument/2006/relationships/oleObject" Target="embeddings/oleObject2.bin"/><Relationship Id="rId17" Type="http://schemas.openxmlformats.org/officeDocument/2006/relationships/image" Target="media/image2.emf"/><Relationship Id="rId16" Type="http://schemas.openxmlformats.org/officeDocument/2006/relationships/oleObject" Target="embeddings/oleObject1.bin"/><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7A96AE-8D2D-4085-923C-E09A78E1CB11}">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67</Pages>
  <Words>9431</Words>
  <Characters>9937</Characters>
  <Lines>1</Lines>
  <Paragraphs>1</Paragraphs>
  <TotalTime>8</TotalTime>
  <ScaleCrop>false</ScaleCrop>
  <LinksUpToDate>false</LinksUpToDate>
  <CharactersWithSpaces>10038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2024-01-27T14:02:00Z</dcterms:created>
  <dc:creator>lhj</dc:creator>
  <cp:lastModifiedBy>柒柒</cp:lastModifiedBy>
  <cp:lastPrinted>2024-11-05T01:49:25Z</cp:lastPrinted>
  <dcterms:modified xsi:type="dcterms:W3CDTF">2024-11-05T01:49:32Z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39ED14A929D0466CBD44DD756FCC607A_13</vt:lpwstr>
  </property>
</Properties>
</file>