
<file path=[Content_Types].xml><?xml version="1.0" encoding="utf-8"?>
<Types xmlns="http://schemas.openxmlformats.org/package/2006/content-types">
  <Default Extension="xml" ContentType="application/xml"/>
  <Default Extension="bin" ContentType="application/vnd.openxmlformats-officedocument.oleObject"/>
  <Default Extension="png" ContentType="image/png"/>
  <Default Extension="wmf" ContentType="image/x-w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A1521AC">
      <w:pPr>
        <w:rPr>
          <w:rFonts w:ascii="仿宋_GB2312" w:hAnsi="仿宋_GB2312" w:eastAsia="仿宋_GB2312" w:cs="仿宋_GB2312"/>
          <w:color w:val="auto"/>
          <w:sz w:val="36"/>
          <w:szCs w:val="36"/>
        </w:rPr>
      </w:pPr>
    </w:p>
    <w:p w14:paraId="1BCD2F1E">
      <w:pPr>
        <w:rPr>
          <w:rFonts w:ascii="仿宋_GB2312" w:hAnsi="仿宋_GB2312" w:eastAsia="仿宋_GB2312" w:cs="仿宋_GB2312"/>
          <w:color w:val="auto"/>
          <w:sz w:val="36"/>
          <w:szCs w:val="36"/>
        </w:rPr>
      </w:pPr>
    </w:p>
    <w:p w14:paraId="5C8D89AD">
      <w:pPr>
        <w:rPr>
          <w:rFonts w:ascii="仿宋_GB2312" w:hAnsi="仿宋_GB2312" w:eastAsia="仿宋_GB2312" w:cs="仿宋_GB2312"/>
          <w:color w:val="auto"/>
          <w:sz w:val="36"/>
          <w:szCs w:val="36"/>
        </w:rPr>
      </w:pPr>
    </w:p>
    <w:p w14:paraId="32A67DF7">
      <w:pPr>
        <w:adjustRightInd w:val="0"/>
        <w:snapToGrid w:val="0"/>
        <w:jc w:val="center"/>
        <w:outlineLvl w:val="0"/>
        <w:rPr>
          <w:rFonts w:ascii="方正小标宋_GBK" w:eastAsia="方正小标宋_GBK"/>
          <w:bCs/>
          <w:color w:val="auto"/>
          <w:sz w:val="72"/>
          <w:szCs w:val="72"/>
        </w:rPr>
      </w:pPr>
      <w:r>
        <w:rPr>
          <w:rFonts w:hint="eastAsia" w:ascii="方正小标宋_GBK" w:eastAsia="方正小标宋_GBK"/>
          <w:bCs/>
          <w:color w:val="auto"/>
          <w:sz w:val="72"/>
          <w:szCs w:val="72"/>
        </w:rPr>
        <w:t>建设项目环境影响报告表</w:t>
      </w:r>
    </w:p>
    <w:p w14:paraId="08D7E201">
      <w:pPr>
        <w:adjustRightInd w:val="0"/>
        <w:snapToGrid w:val="0"/>
        <w:spacing w:line="288" w:lineRule="auto"/>
        <w:jc w:val="center"/>
        <w:rPr>
          <w:rFonts w:ascii="华文仿宋" w:hAnsi="华文仿宋" w:eastAsia="华文仿宋" w:cs="华文仿宋"/>
          <w:color w:val="auto"/>
          <w:kern w:val="44"/>
          <w:sz w:val="44"/>
          <w:szCs w:val="44"/>
        </w:rPr>
      </w:pPr>
      <w:r>
        <w:rPr>
          <w:rFonts w:hint="eastAsia" w:ascii="华文仿宋" w:hAnsi="华文仿宋" w:eastAsia="华文仿宋" w:cs="华文仿宋"/>
          <w:color w:val="auto"/>
          <w:kern w:val="44"/>
          <w:sz w:val="44"/>
          <w:szCs w:val="44"/>
        </w:rPr>
        <w:t>（污染影响类）</w:t>
      </w:r>
    </w:p>
    <w:p w14:paraId="3F105A4D">
      <w:pPr>
        <w:jc w:val="center"/>
        <w:rPr>
          <w:rFonts w:eastAsia="仿宋"/>
          <w:color w:val="auto"/>
          <w:sz w:val="52"/>
          <w:szCs w:val="52"/>
        </w:rPr>
      </w:pPr>
    </w:p>
    <w:p w14:paraId="73FC3AE7">
      <w:pPr>
        <w:ind w:firstLine="1040"/>
        <w:rPr>
          <w:rFonts w:eastAsia="仿宋"/>
          <w:color w:val="auto"/>
          <w:sz w:val="44"/>
          <w:szCs w:val="44"/>
        </w:rPr>
      </w:pPr>
    </w:p>
    <w:p w14:paraId="3389E2D7">
      <w:pPr>
        <w:ind w:firstLine="1040"/>
        <w:rPr>
          <w:rFonts w:eastAsia="仿宋"/>
          <w:color w:val="auto"/>
          <w:sz w:val="44"/>
          <w:szCs w:val="44"/>
        </w:rPr>
      </w:pPr>
    </w:p>
    <w:p w14:paraId="05DEF45C">
      <w:pPr>
        <w:ind w:firstLine="1040"/>
        <w:rPr>
          <w:rFonts w:eastAsia="仿宋"/>
          <w:color w:val="auto"/>
          <w:sz w:val="44"/>
          <w:szCs w:val="44"/>
        </w:rPr>
      </w:pPr>
    </w:p>
    <w:p w14:paraId="148B643E">
      <w:pPr>
        <w:ind w:firstLine="1040"/>
        <w:rPr>
          <w:rFonts w:eastAsia="仿宋"/>
          <w:color w:val="auto"/>
          <w:sz w:val="44"/>
          <w:szCs w:val="44"/>
        </w:rPr>
      </w:pPr>
    </w:p>
    <w:p w14:paraId="7D984579">
      <w:pPr>
        <w:adjustRightInd w:val="0"/>
        <w:snapToGrid w:val="0"/>
        <w:spacing w:line="360" w:lineRule="auto"/>
        <w:ind w:left="1800" w:hanging="1800" w:hangingChars="500"/>
        <w:rPr>
          <w:rFonts w:ascii="仿宋_GB2312" w:eastAsia="仿宋_GB2312"/>
          <w:color w:val="auto"/>
          <w:sz w:val="36"/>
          <w:szCs w:val="36"/>
          <w:u w:val="single"/>
        </w:rPr>
      </w:pPr>
      <w:r>
        <w:rPr>
          <w:rFonts w:hint="eastAsia" w:ascii="仿宋_GB2312" w:eastAsia="仿宋_GB2312"/>
          <w:color w:val="auto"/>
          <w:sz w:val="36"/>
          <w:szCs w:val="36"/>
        </w:rPr>
        <w:t>项目名称：</w:t>
      </w:r>
      <w:r>
        <w:rPr>
          <w:rFonts w:hint="eastAsia" w:ascii="仿宋_GB2312" w:eastAsia="仿宋_GB2312"/>
          <w:color w:val="auto"/>
          <w:sz w:val="36"/>
          <w:szCs w:val="36"/>
          <w:u w:val="single"/>
        </w:rPr>
        <w:t xml:space="preserve"> </w:t>
      </w:r>
      <w:r>
        <w:rPr>
          <w:rFonts w:hint="eastAsia" w:ascii="仿宋_GB2312" w:eastAsia="仿宋_GB2312"/>
          <w:color w:val="auto"/>
          <w:sz w:val="36"/>
          <w:szCs w:val="36"/>
          <w:u w:val="single"/>
          <w:lang w:val="en-US" w:eastAsia="zh-CN"/>
        </w:rPr>
        <w:t xml:space="preserve">  </w:t>
      </w:r>
      <w:r>
        <w:rPr>
          <w:rFonts w:hint="eastAsia" w:ascii="仿宋_GB2312" w:eastAsia="仿宋_GB2312"/>
          <w:color w:val="auto"/>
          <w:sz w:val="36"/>
          <w:szCs w:val="36"/>
          <w:u w:val="single"/>
          <w:lang w:eastAsia="zh-CN"/>
        </w:rPr>
        <w:t>新隆钛金属年产3000件钛棒及1500件钛及钛合金板坯生产项目</w:t>
      </w:r>
      <w:r>
        <w:rPr>
          <w:rFonts w:hint="eastAsia" w:ascii="仿宋_GB2312" w:eastAsia="仿宋_GB2312"/>
          <w:color w:val="auto"/>
          <w:sz w:val="36"/>
          <w:szCs w:val="36"/>
          <w:u w:val="single"/>
          <w:lang w:val="en-US" w:eastAsia="zh-CN"/>
        </w:rPr>
        <w:t xml:space="preserve">                   </w:t>
      </w:r>
    </w:p>
    <w:p w14:paraId="03829BE3">
      <w:pPr>
        <w:adjustRightInd w:val="0"/>
        <w:snapToGrid w:val="0"/>
        <w:spacing w:line="360" w:lineRule="auto"/>
        <w:rPr>
          <w:rFonts w:ascii="仿宋_GB2312" w:eastAsia="仿宋_GB2312"/>
          <w:color w:val="auto"/>
          <w:sz w:val="36"/>
          <w:szCs w:val="36"/>
          <w:u w:val="single"/>
        </w:rPr>
      </w:pPr>
      <w:r>
        <w:rPr>
          <w:rFonts w:hint="eastAsia" w:ascii="仿宋_GB2312" w:eastAsia="仿宋_GB2312"/>
          <w:color w:val="auto"/>
          <w:sz w:val="36"/>
          <w:szCs w:val="36"/>
        </w:rPr>
        <w:t>建设单位（盖章）：</w:t>
      </w:r>
      <w:r>
        <w:rPr>
          <w:rFonts w:hint="eastAsia" w:ascii="仿宋_GB2312" w:eastAsia="仿宋_GB2312"/>
          <w:color w:val="auto"/>
          <w:sz w:val="36"/>
          <w:szCs w:val="36"/>
          <w:u w:val="single"/>
        </w:rPr>
        <w:t xml:space="preserve"> </w:t>
      </w:r>
      <w:r>
        <w:rPr>
          <w:rFonts w:hint="eastAsia" w:ascii="仿宋_GB2312" w:eastAsia="仿宋_GB2312"/>
          <w:color w:val="auto"/>
          <w:sz w:val="36"/>
          <w:szCs w:val="36"/>
          <w:u w:val="single"/>
          <w:lang w:eastAsia="zh-CN"/>
        </w:rPr>
        <w:t>陕西新隆钛金属材料有限公司</w:t>
      </w:r>
      <w:r>
        <w:rPr>
          <w:rFonts w:hint="eastAsia" w:ascii="仿宋_GB2312" w:eastAsia="仿宋_GB2312"/>
          <w:color w:val="auto"/>
          <w:sz w:val="36"/>
          <w:szCs w:val="36"/>
          <w:u w:val="single"/>
        </w:rPr>
        <w:t xml:space="preserve">  </w:t>
      </w:r>
      <w:r>
        <w:rPr>
          <w:rFonts w:hint="eastAsia" w:ascii="仿宋_GB2312" w:eastAsia="仿宋_GB2312"/>
          <w:color w:val="auto"/>
          <w:sz w:val="36"/>
          <w:szCs w:val="36"/>
          <w:u w:val="single"/>
          <w:lang w:val="en-US" w:eastAsia="zh-CN"/>
        </w:rPr>
        <w:t xml:space="preserve"> </w:t>
      </w:r>
      <w:r>
        <w:rPr>
          <w:rFonts w:hint="eastAsia" w:ascii="仿宋_GB2312" w:eastAsia="仿宋_GB2312"/>
          <w:color w:val="auto"/>
          <w:sz w:val="36"/>
          <w:szCs w:val="36"/>
          <w:u w:val="single"/>
        </w:rPr>
        <w:t xml:space="preserve"> </w:t>
      </w:r>
    </w:p>
    <w:p w14:paraId="28E10A28">
      <w:pPr>
        <w:adjustRightInd w:val="0"/>
        <w:snapToGrid w:val="0"/>
        <w:spacing w:line="360" w:lineRule="auto"/>
        <w:rPr>
          <w:rFonts w:hint="default" w:ascii="仿宋_GB2312" w:eastAsia="仿宋_GB2312"/>
          <w:color w:val="auto"/>
          <w:sz w:val="36"/>
          <w:szCs w:val="36"/>
          <w:u w:val="single"/>
          <w:lang w:val="en-US" w:eastAsia="zh-CN"/>
        </w:rPr>
      </w:pPr>
      <w:r>
        <w:rPr>
          <w:rFonts w:hint="eastAsia" w:ascii="仿宋_GB2312" w:eastAsia="仿宋_GB2312"/>
          <w:color w:val="auto"/>
          <w:sz w:val="36"/>
          <w:szCs w:val="36"/>
        </w:rPr>
        <w:t>编制日期：</w:t>
      </w:r>
      <w:r>
        <w:rPr>
          <w:rFonts w:hint="eastAsia" w:ascii="仿宋_GB2312" w:eastAsia="仿宋_GB2312"/>
          <w:color w:val="auto"/>
          <w:sz w:val="36"/>
          <w:szCs w:val="36"/>
          <w:u w:val="single"/>
          <w:lang w:val="en-US" w:eastAsia="zh-CN"/>
        </w:rPr>
        <w:t xml:space="preserve">         </w:t>
      </w:r>
      <w:r>
        <w:rPr>
          <w:rFonts w:hint="eastAsia" w:eastAsia="仿宋_GB2312" w:cs="Times New Roman"/>
          <w:color w:val="auto"/>
          <w:sz w:val="36"/>
          <w:szCs w:val="36"/>
          <w:u w:val="single"/>
          <w:lang w:val="en-US" w:eastAsia="zh-CN"/>
        </w:rPr>
        <w:t>二零二四</w:t>
      </w:r>
      <w:r>
        <w:rPr>
          <w:rFonts w:hint="default" w:ascii="Times New Roman" w:hAnsi="Times New Roman" w:eastAsia="仿宋_GB2312" w:cs="Times New Roman"/>
          <w:color w:val="auto"/>
          <w:sz w:val="36"/>
          <w:szCs w:val="36"/>
          <w:u w:val="single"/>
        </w:rPr>
        <w:t>年</w:t>
      </w:r>
      <w:r>
        <w:rPr>
          <w:rFonts w:hint="eastAsia" w:eastAsia="仿宋_GB2312" w:cs="Times New Roman"/>
          <w:color w:val="auto"/>
          <w:sz w:val="36"/>
          <w:szCs w:val="36"/>
          <w:u w:val="single"/>
          <w:lang w:val="en-US" w:eastAsia="zh-CN"/>
        </w:rPr>
        <w:t>十一</w:t>
      </w:r>
      <w:r>
        <w:rPr>
          <w:rFonts w:hint="default" w:ascii="Times New Roman" w:hAnsi="Times New Roman" w:eastAsia="仿宋_GB2312" w:cs="Times New Roman"/>
          <w:color w:val="auto"/>
          <w:sz w:val="36"/>
          <w:szCs w:val="36"/>
          <w:u w:val="single"/>
        </w:rPr>
        <w:t>月</w:t>
      </w:r>
      <w:r>
        <w:rPr>
          <w:rFonts w:hint="default" w:ascii="Times New Roman" w:hAnsi="Times New Roman" w:eastAsia="仿宋_GB2312" w:cs="Times New Roman"/>
          <w:color w:val="auto"/>
          <w:sz w:val="36"/>
          <w:szCs w:val="36"/>
          <w:u w:val="single"/>
          <w:lang w:val="en-US" w:eastAsia="zh-CN"/>
        </w:rPr>
        <w:t xml:space="preserve"> </w:t>
      </w:r>
      <w:r>
        <w:rPr>
          <w:rFonts w:hint="eastAsia" w:ascii="仿宋_GB2312" w:eastAsia="仿宋_GB2312"/>
          <w:color w:val="auto"/>
          <w:sz w:val="36"/>
          <w:szCs w:val="36"/>
          <w:u w:val="single"/>
          <w:lang w:val="en-US" w:eastAsia="zh-CN"/>
        </w:rPr>
        <w:t xml:space="preserve">             </w:t>
      </w:r>
    </w:p>
    <w:p w14:paraId="7447CA66">
      <w:pPr>
        <w:adjustRightInd w:val="0"/>
        <w:snapToGrid w:val="0"/>
        <w:spacing w:line="288" w:lineRule="auto"/>
        <w:ind w:firstLine="1040"/>
        <w:rPr>
          <w:rFonts w:ascii="仿宋_GB2312" w:eastAsia="仿宋_GB2312"/>
          <w:color w:val="auto"/>
          <w:sz w:val="36"/>
          <w:szCs w:val="36"/>
          <w:u w:val="single"/>
        </w:rPr>
      </w:pPr>
      <w:bookmarkStart w:id="0" w:name="_Hlk57884087"/>
    </w:p>
    <w:p w14:paraId="419C569A">
      <w:pPr>
        <w:adjustRightInd w:val="0"/>
        <w:snapToGrid w:val="0"/>
        <w:spacing w:line="288" w:lineRule="auto"/>
        <w:ind w:firstLine="1040"/>
        <w:rPr>
          <w:rFonts w:ascii="仿宋_GB2312" w:eastAsia="仿宋_GB2312"/>
          <w:color w:val="auto"/>
          <w:sz w:val="36"/>
          <w:szCs w:val="36"/>
        </w:rPr>
      </w:pPr>
    </w:p>
    <w:p w14:paraId="118CD174">
      <w:pPr>
        <w:adjustRightInd w:val="0"/>
        <w:snapToGrid w:val="0"/>
        <w:spacing w:line="288" w:lineRule="auto"/>
        <w:ind w:firstLine="1040"/>
        <w:rPr>
          <w:rFonts w:ascii="仿宋_GB2312" w:eastAsia="仿宋_GB2312"/>
          <w:color w:val="auto"/>
          <w:sz w:val="36"/>
          <w:szCs w:val="36"/>
        </w:rPr>
      </w:pPr>
    </w:p>
    <w:p w14:paraId="4E40164E">
      <w:pPr>
        <w:adjustRightInd w:val="0"/>
        <w:snapToGrid w:val="0"/>
        <w:spacing w:line="288" w:lineRule="auto"/>
        <w:ind w:firstLine="1040"/>
        <w:rPr>
          <w:rFonts w:ascii="仿宋_GB2312" w:eastAsia="仿宋_GB2312"/>
          <w:color w:val="auto"/>
          <w:sz w:val="36"/>
          <w:szCs w:val="36"/>
        </w:rPr>
      </w:pPr>
    </w:p>
    <w:p w14:paraId="0AAE2872">
      <w:pPr>
        <w:pStyle w:val="16"/>
        <w:ind w:firstLine="480"/>
        <w:rPr>
          <w:color w:val="auto"/>
        </w:rPr>
      </w:pPr>
    </w:p>
    <w:p w14:paraId="5846EC39">
      <w:pPr>
        <w:adjustRightInd w:val="0"/>
        <w:snapToGrid w:val="0"/>
        <w:spacing w:line="288" w:lineRule="auto"/>
        <w:rPr>
          <w:rFonts w:ascii="仿宋_GB2312" w:eastAsia="仿宋_GB2312"/>
          <w:color w:val="auto"/>
          <w:sz w:val="36"/>
          <w:szCs w:val="36"/>
        </w:rPr>
      </w:pPr>
    </w:p>
    <w:bookmarkEnd w:id="0"/>
    <w:p w14:paraId="2875D28D">
      <w:pPr>
        <w:adjustRightInd w:val="0"/>
        <w:snapToGrid w:val="0"/>
        <w:spacing w:line="288" w:lineRule="auto"/>
        <w:jc w:val="center"/>
        <w:rPr>
          <w:rFonts w:hint="eastAsia" w:ascii="楷体_GB2312" w:eastAsia="楷体_GB2312"/>
          <w:color w:val="auto"/>
          <w:sz w:val="36"/>
          <w:szCs w:val="36"/>
        </w:rPr>
      </w:pPr>
      <w:r>
        <w:rPr>
          <w:rFonts w:hint="eastAsia" w:ascii="楷体_GB2312" w:eastAsia="楷体_GB2312"/>
          <w:color w:val="auto"/>
          <w:sz w:val="36"/>
          <w:szCs w:val="36"/>
        </w:rPr>
        <w:t>中华人民共和国生态环境部制</w:t>
      </w:r>
    </w:p>
    <w:p w14:paraId="2ECA9FAF">
      <w:pPr>
        <w:rPr>
          <w:rFonts w:hint="eastAsia" w:ascii="楷体_GB2312" w:eastAsia="楷体_GB2312"/>
          <w:color w:val="auto"/>
          <w:sz w:val="36"/>
          <w:szCs w:val="36"/>
        </w:rPr>
      </w:pPr>
      <w:r>
        <w:rPr>
          <w:rFonts w:hint="eastAsia" w:ascii="楷体_GB2312" w:eastAsia="楷体_GB2312"/>
          <w:color w:val="auto"/>
          <w:sz w:val="36"/>
          <w:szCs w:val="36"/>
        </w:rPr>
        <w:br w:type="page"/>
      </w:r>
    </w:p>
    <w:p w14:paraId="2E81B136">
      <w:pPr>
        <w:adjustRightInd w:val="0"/>
        <w:snapToGrid w:val="0"/>
        <w:spacing w:line="288" w:lineRule="auto"/>
        <w:jc w:val="center"/>
        <w:rPr>
          <w:rFonts w:hint="eastAsia" w:ascii="楷体_GB2312" w:eastAsia="楷体_GB2312"/>
          <w:color w:val="auto"/>
          <w:sz w:val="36"/>
          <w:szCs w:val="36"/>
        </w:rPr>
      </w:pPr>
    </w:p>
    <w:p w14:paraId="6D33D63D">
      <w:pPr>
        <w:pStyle w:val="13"/>
        <w:jc w:val="center"/>
        <w:outlineLvl w:val="0"/>
        <w:rPr>
          <w:rFonts w:ascii="黑体" w:hAnsi="黑体" w:eastAsia="黑体"/>
          <w:snapToGrid w:val="0"/>
          <w:color w:val="auto"/>
          <w:sz w:val="30"/>
          <w:szCs w:val="30"/>
        </w:rPr>
        <w:sectPr>
          <w:footerReference r:id="rId3" w:type="default"/>
          <w:pgSz w:w="11906" w:h="16838"/>
          <w:pgMar w:top="1701" w:right="1531" w:bottom="1701" w:left="1531" w:header="851" w:footer="1077" w:gutter="0"/>
          <w:pgNumType w:fmt="numberInDash" w:start="1"/>
          <w:cols w:space="720" w:num="1"/>
          <w:docGrid w:linePitch="312" w:charSpace="0"/>
        </w:sectPr>
      </w:pPr>
    </w:p>
    <w:p w14:paraId="673A9374">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auto"/>
        <w:outlineLvl w:val="0"/>
        <w:rPr>
          <w:rFonts w:eastAsia="黑体"/>
          <w:snapToGrid w:val="0"/>
          <w:color w:val="auto"/>
          <w:kern w:val="0"/>
          <w:sz w:val="30"/>
          <w:szCs w:val="30"/>
        </w:rPr>
      </w:pPr>
      <w:r>
        <w:rPr>
          <w:rFonts w:eastAsia="黑体"/>
          <w:snapToGrid w:val="0"/>
          <w:color w:val="auto"/>
          <w:kern w:val="0"/>
          <w:sz w:val="30"/>
          <w:szCs w:val="30"/>
        </w:rPr>
        <w:t>一、建设项目基本情况</w:t>
      </w:r>
    </w:p>
    <w:tbl>
      <w:tblPr>
        <w:tblStyle w:val="17"/>
        <w:tblW w:w="8932"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
      <w:tblGrid>
        <w:gridCol w:w="1907"/>
        <w:gridCol w:w="1751"/>
        <w:gridCol w:w="2081"/>
        <w:gridCol w:w="3193"/>
      </w:tblGrid>
      <w:tr w14:paraId="158D978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54" w:hRule="atLeast"/>
        </w:trPr>
        <w:tc>
          <w:tcPr>
            <w:tcW w:w="1907" w:type="dxa"/>
            <w:tcMar>
              <w:top w:w="16" w:type="dxa"/>
              <w:left w:w="16" w:type="dxa"/>
              <w:right w:w="16" w:type="dxa"/>
            </w:tcMar>
            <w:vAlign w:val="center"/>
          </w:tcPr>
          <w:p w14:paraId="02CDED75">
            <w:pPr>
              <w:adjustRightInd w:val="0"/>
              <w:snapToGrid w:val="0"/>
              <w:jc w:val="center"/>
              <w:rPr>
                <w:color w:val="auto"/>
                <w:sz w:val="24"/>
              </w:rPr>
            </w:pPr>
            <w:r>
              <w:rPr>
                <w:color w:val="auto"/>
                <w:sz w:val="24"/>
              </w:rPr>
              <w:t>建设项目名称</w:t>
            </w:r>
          </w:p>
        </w:tc>
        <w:tc>
          <w:tcPr>
            <w:tcW w:w="7025" w:type="dxa"/>
            <w:gridSpan w:val="3"/>
            <w:vAlign w:val="center"/>
          </w:tcPr>
          <w:p w14:paraId="773CF76A">
            <w:pPr>
              <w:adjustRightInd w:val="0"/>
              <w:snapToGrid w:val="0"/>
              <w:jc w:val="center"/>
              <w:rPr>
                <w:rFonts w:hint="eastAsia" w:eastAsia="宋体"/>
                <w:color w:val="auto"/>
                <w:sz w:val="24"/>
                <w:lang w:eastAsia="zh-CN"/>
              </w:rPr>
            </w:pPr>
            <w:r>
              <w:rPr>
                <w:rFonts w:hint="eastAsia"/>
                <w:color w:val="auto"/>
                <w:sz w:val="24"/>
                <w:lang w:val="en-US" w:eastAsia="zh-CN"/>
              </w:rPr>
              <w:t>新隆钛金属年产3000件钛棒及1500件钛及钛合金板坯生产项目</w:t>
            </w:r>
          </w:p>
        </w:tc>
      </w:tr>
      <w:tr w14:paraId="0BCDB66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93" w:hRule="atLeast"/>
        </w:trPr>
        <w:tc>
          <w:tcPr>
            <w:tcW w:w="1907" w:type="dxa"/>
            <w:tcMar>
              <w:top w:w="16" w:type="dxa"/>
              <w:left w:w="16" w:type="dxa"/>
              <w:right w:w="16" w:type="dxa"/>
            </w:tcMar>
            <w:vAlign w:val="center"/>
          </w:tcPr>
          <w:p w14:paraId="73909DA7">
            <w:pPr>
              <w:adjustRightInd w:val="0"/>
              <w:snapToGrid w:val="0"/>
              <w:jc w:val="center"/>
              <w:rPr>
                <w:color w:val="auto"/>
                <w:sz w:val="24"/>
              </w:rPr>
            </w:pPr>
            <w:r>
              <w:rPr>
                <w:color w:val="auto"/>
                <w:sz w:val="24"/>
              </w:rPr>
              <w:t>项目代码</w:t>
            </w:r>
          </w:p>
        </w:tc>
        <w:tc>
          <w:tcPr>
            <w:tcW w:w="7025" w:type="dxa"/>
            <w:gridSpan w:val="3"/>
            <w:vAlign w:val="center"/>
          </w:tcPr>
          <w:p w14:paraId="192ACEBA">
            <w:pPr>
              <w:adjustRightInd w:val="0"/>
              <w:snapToGrid w:val="0"/>
              <w:jc w:val="center"/>
              <w:rPr>
                <w:rFonts w:hint="eastAsia" w:eastAsia="宋体"/>
                <w:color w:val="auto"/>
                <w:sz w:val="24"/>
                <w:lang w:eastAsia="zh-CN"/>
              </w:rPr>
            </w:pPr>
            <w:r>
              <w:rPr>
                <w:rFonts w:hint="eastAsia" w:eastAsia="宋体"/>
                <w:color w:val="auto"/>
                <w:sz w:val="24"/>
                <w:lang w:val="en-US" w:eastAsia="zh-CN"/>
              </w:rPr>
              <w:t>2408-611206-04-01-647742</w:t>
            </w:r>
          </w:p>
        </w:tc>
      </w:tr>
      <w:tr w14:paraId="130E42F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26" w:hRule="atLeast"/>
        </w:trPr>
        <w:tc>
          <w:tcPr>
            <w:tcW w:w="1907" w:type="dxa"/>
            <w:tcMar>
              <w:top w:w="16" w:type="dxa"/>
              <w:left w:w="16" w:type="dxa"/>
              <w:right w:w="16" w:type="dxa"/>
            </w:tcMar>
            <w:vAlign w:val="center"/>
          </w:tcPr>
          <w:p w14:paraId="57EC613C">
            <w:pPr>
              <w:adjustRightInd w:val="0"/>
              <w:snapToGrid w:val="0"/>
              <w:jc w:val="center"/>
              <w:rPr>
                <w:color w:val="auto"/>
                <w:sz w:val="24"/>
              </w:rPr>
            </w:pPr>
            <w:r>
              <w:rPr>
                <w:color w:val="auto"/>
                <w:sz w:val="24"/>
              </w:rPr>
              <w:t>建设单位联系人</w:t>
            </w:r>
          </w:p>
        </w:tc>
        <w:tc>
          <w:tcPr>
            <w:tcW w:w="1751" w:type="dxa"/>
            <w:vAlign w:val="center"/>
          </w:tcPr>
          <w:p w14:paraId="1EB7AB11">
            <w:pPr>
              <w:spacing w:line="360" w:lineRule="exact"/>
              <w:jc w:val="center"/>
              <w:rPr>
                <w:color w:val="auto"/>
                <w:sz w:val="24"/>
              </w:rPr>
            </w:pPr>
            <w:r>
              <w:rPr>
                <w:rFonts w:hint="eastAsia"/>
                <w:color w:val="auto"/>
                <w:sz w:val="24"/>
                <w:lang w:val="en-US" w:eastAsia="zh-CN"/>
              </w:rPr>
              <w:t>吴晓龙</w:t>
            </w:r>
          </w:p>
        </w:tc>
        <w:tc>
          <w:tcPr>
            <w:tcW w:w="2081" w:type="dxa"/>
            <w:vAlign w:val="center"/>
          </w:tcPr>
          <w:p w14:paraId="6C523E22">
            <w:pPr>
              <w:spacing w:line="360" w:lineRule="exact"/>
              <w:jc w:val="center"/>
              <w:rPr>
                <w:color w:val="auto"/>
                <w:sz w:val="24"/>
              </w:rPr>
            </w:pPr>
            <w:r>
              <w:rPr>
                <w:color w:val="auto"/>
                <w:sz w:val="24"/>
              </w:rPr>
              <w:t>联系电话</w:t>
            </w:r>
          </w:p>
        </w:tc>
        <w:tc>
          <w:tcPr>
            <w:tcW w:w="3193" w:type="dxa"/>
            <w:vAlign w:val="center"/>
          </w:tcPr>
          <w:p w14:paraId="038B6FD1">
            <w:pPr>
              <w:spacing w:line="360" w:lineRule="exact"/>
              <w:jc w:val="center"/>
              <w:rPr>
                <w:color w:val="auto"/>
                <w:sz w:val="24"/>
              </w:rPr>
            </w:pPr>
            <w:r>
              <w:rPr>
                <w:rFonts w:hint="default"/>
                <w:color w:val="auto"/>
                <w:sz w:val="24"/>
                <w:lang w:val="en-US" w:eastAsia="zh-CN"/>
              </w:rPr>
              <w:t>13108290072</w:t>
            </w:r>
          </w:p>
        </w:tc>
      </w:tr>
      <w:tr w14:paraId="19F815A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22" w:hRule="atLeast"/>
        </w:trPr>
        <w:tc>
          <w:tcPr>
            <w:tcW w:w="1907" w:type="dxa"/>
            <w:tcMar>
              <w:top w:w="16" w:type="dxa"/>
              <w:left w:w="16" w:type="dxa"/>
              <w:right w:w="16" w:type="dxa"/>
            </w:tcMar>
            <w:vAlign w:val="center"/>
          </w:tcPr>
          <w:p w14:paraId="124273FF">
            <w:pPr>
              <w:adjustRightInd w:val="0"/>
              <w:snapToGrid w:val="0"/>
              <w:jc w:val="center"/>
              <w:rPr>
                <w:color w:val="auto"/>
                <w:sz w:val="24"/>
              </w:rPr>
            </w:pPr>
            <w:r>
              <w:rPr>
                <w:color w:val="auto"/>
                <w:sz w:val="24"/>
              </w:rPr>
              <w:t>建设地点</w:t>
            </w:r>
          </w:p>
        </w:tc>
        <w:tc>
          <w:tcPr>
            <w:tcW w:w="7025" w:type="dxa"/>
            <w:gridSpan w:val="3"/>
            <w:vAlign w:val="center"/>
          </w:tcPr>
          <w:p w14:paraId="17710BE3">
            <w:pPr>
              <w:adjustRightInd w:val="0"/>
              <w:snapToGrid w:val="0"/>
              <w:jc w:val="center"/>
              <w:rPr>
                <w:rFonts w:hint="eastAsia" w:eastAsia="宋体"/>
                <w:color w:val="auto"/>
                <w:sz w:val="24"/>
                <w:lang w:eastAsia="zh-CN"/>
              </w:rPr>
            </w:pPr>
            <w:r>
              <w:rPr>
                <w:rFonts w:hint="eastAsia"/>
                <w:color w:val="auto"/>
                <w:sz w:val="24"/>
                <w:lang w:val="en-US" w:eastAsia="zh-CN"/>
              </w:rPr>
              <w:t>陕西省西咸新区泾河新城崇文镇焦村泾科路1号</w:t>
            </w:r>
          </w:p>
        </w:tc>
      </w:tr>
      <w:tr w14:paraId="5E01083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77" w:hRule="atLeast"/>
        </w:trPr>
        <w:tc>
          <w:tcPr>
            <w:tcW w:w="1907" w:type="dxa"/>
            <w:tcMar>
              <w:top w:w="16" w:type="dxa"/>
              <w:left w:w="16" w:type="dxa"/>
              <w:right w:w="16" w:type="dxa"/>
            </w:tcMar>
            <w:vAlign w:val="center"/>
          </w:tcPr>
          <w:p w14:paraId="52EC6D69">
            <w:pPr>
              <w:adjustRightInd w:val="0"/>
              <w:snapToGrid w:val="0"/>
              <w:jc w:val="center"/>
              <w:rPr>
                <w:color w:val="auto"/>
                <w:sz w:val="24"/>
              </w:rPr>
            </w:pPr>
            <w:r>
              <w:rPr>
                <w:color w:val="auto"/>
                <w:sz w:val="24"/>
              </w:rPr>
              <w:t>地理坐标</w:t>
            </w:r>
          </w:p>
        </w:tc>
        <w:tc>
          <w:tcPr>
            <w:tcW w:w="7025" w:type="dxa"/>
            <w:gridSpan w:val="3"/>
            <w:vAlign w:val="center"/>
          </w:tcPr>
          <w:p w14:paraId="08850E91">
            <w:pPr>
              <w:jc w:val="center"/>
              <w:rPr>
                <w:color w:val="auto"/>
                <w:sz w:val="24"/>
              </w:rPr>
            </w:pPr>
            <w:r>
              <w:rPr>
                <w:color w:val="auto"/>
                <w:sz w:val="24"/>
              </w:rPr>
              <w:t>（E</w:t>
            </w:r>
            <w:r>
              <w:rPr>
                <w:color w:val="auto"/>
                <w:sz w:val="24"/>
                <w:u w:val="single"/>
              </w:rPr>
              <w:t>10</w:t>
            </w:r>
            <w:r>
              <w:rPr>
                <w:rFonts w:hint="eastAsia"/>
                <w:color w:val="auto"/>
                <w:sz w:val="24"/>
                <w:u w:val="single"/>
                <w:lang w:val="en-US" w:eastAsia="zh-CN"/>
              </w:rPr>
              <w:t>8</w:t>
            </w:r>
            <w:r>
              <w:rPr>
                <w:color w:val="auto"/>
                <w:sz w:val="24"/>
              </w:rPr>
              <w:t>度</w:t>
            </w:r>
            <w:r>
              <w:rPr>
                <w:rFonts w:hint="eastAsia"/>
                <w:color w:val="auto"/>
                <w:sz w:val="24"/>
                <w:u w:val="single"/>
                <w:lang w:val="en-US" w:eastAsia="zh-CN"/>
              </w:rPr>
              <w:t>58</w:t>
            </w:r>
            <w:r>
              <w:rPr>
                <w:color w:val="auto"/>
                <w:sz w:val="24"/>
              </w:rPr>
              <w:t>分</w:t>
            </w:r>
            <w:r>
              <w:rPr>
                <w:rFonts w:hint="eastAsia"/>
                <w:strike w:val="0"/>
                <w:dstrike w:val="0"/>
                <w:color w:val="auto"/>
                <w:sz w:val="24"/>
                <w:u w:val="single"/>
                <w:lang w:val="en-US" w:eastAsia="zh-CN"/>
              </w:rPr>
              <w:t>16.472</w:t>
            </w:r>
            <w:r>
              <w:rPr>
                <w:color w:val="auto"/>
                <w:sz w:val="24"/>
              </w:rPr>
              <w:t>秒，N</w:t>
            </w:r>
            <w:r>
              <w:rPr>
                <w:color w:val="auto"/>
                <w:sz w:val="24"/>
                <w:u w:val="single"/>
              </w:rPr>
              <w:t>34</w:t>
            </w:r>
            <w:r>
              <w:rPr>
                <w:color w:val="auto"/>
                <w:sz w:val="24"/>
              </w:rPr>
              <w:t>度</w:t>
            </w:r>
            <w:r>
              <w:rPr>
                <w:rFonts w:hint="eastAsia"/>
                <w:color w:val="auto"/>
                <w:sz w:val="24"/>
                <w:u w:val="single"/>
                <w:lang w:val="en-US" w:eastAsia="zh-CN"/>
              </w:rPr>
              <w:t>28</w:t>
            </w:r>
            <w:r>
              <w:rPr>
                <w:color w:val="auto"/>
                <w:sz w:val="24"/>
              </w:rPr>
              <w:t>分</w:t>
            </w:r>
            <w:r>
              <w:rPr>
                <w:rFonts w:hint="eastAsia"/>
                <w:color w:val="auto"/>
                <w:sz w:val="24"/>
                <w:u w:val="single"/>
                <w:lang w:val="en-US" w:eastAsia="zh-CN"/>
              </w:rPr>
              <w:t>32.915</w:t>
            </w:r>
            <w:r>
              <w:rPr>
                <w:color w:val="auto"/>
                <w:sz w:val="24"/>
              </w:rPr>
              <w:t>秒）</w:t>
            </w:r>
          </w:p>
        </w:tc>
      </w:tr>
      <w:tr w14:paraId="7C711B8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23" w:hRule="atLeast"/>
        </w:trPr>
        <w:tc>
          <w:tcPr>
            <w:tcW w:w="1907" w:type="dxa"/>
            <w:tcMar>
              <w:top w:w="16" w:type="dxa"/>
              <w:left w:w="16" w:type="dxa"/>
              <w:right w:w="16" w:type="dxa"/>
            </w:tcMar>
            <w:vAlign w:val="center"/>
          </w:tcPr>
          <w:p w14:paraId="19BAE888">
            <w:pPr>
              <w:widowControl/>
              <w:jc w:val="center"/>
              <w:rPr>
                <w:bCs/>
                <w:color w:val="auto"/>
                <w:sz w:val="24"/>
              </w:rPr>
            </w:pPr>
            <w:r>
              <w:rPr>
                <w:bCs/>
                <w:color w:val="auto"/>
                <w:sz w:val="24"/>
              </w:rPr>
              <w:t>国民经济</w:t>
            </w:r>
          </w:p>
          <w:p w14:paraId="12A67C42">
            <w:pPr>
              <w:widowControl/>
              <w:jc w:val="center"/>
              <w:rPr>
                <w:bCs/>
                <w:color w:val="auto"/>
                <w:sz w:val="24"/>
              </w:rPr>
            </w:pPr>
            <w:r>
              <w:rPr>
                <w:bCs/>
                <w:color w:val="auto"/>
                <w:sz w:val="24"/>
              </w:rPr>
              <w:t>行业类别</w:t>
            </w:r>
          </w:p>
        </w:tc>
        <w:tc>
          <w:tcPr>
            <w:tcW w:w="1751" w:type="dxa"/>
            <w:vAlign w:val="center"/>
          </w:tcPr>
          <w:p w14:paraId="6F1FB423">
            <w:pPr>
              <w:adjustRightInd w:val="0"/>
              <w:snapToGrid w:val="0"/>
              <w:jc w:val="center"/>
              <w:rPr>
                <w:rFonts w:hint="default" w:eastAsia="宋体"/>
                <w:bCs/>
                <w:color w:val="auto"/>
                <w:sz w:val="24"/>
                <w:lang w:val="en-US" w:eastAsia="zh-CN"/>
              </w:rPr>
            </w:pPr>
            <w:r>
              <w:rPr>
                <w:rFonts w:hint="default" w:eastAsia="宋体"/>
                <w:bCs/>
                <w:color w:val="auto"/>
                <w:sz w:val="24"/>
                <w:lang w:val="en-US" w:eastAsia="zh-CN"/>
              </w:rPr>
              <w:t>C3360 金属表面处理及热处理加工</w:t>
            </w:r>
          </w:p>
        </w:tc>
        <w:tc>
          <w:tcPr>
            <w:tcW w:w="2081" w:type="dxa"/>
            <w:vAlign w:val="center"/>
          </w:tcPr>
          <w:p w14:paraId="7960A57A">
            <w:pPr>
              <w:adjustRightInd w:val="0"/>
              <w:snapToGrid w:val="0"/>
              <w:jc w:val="center"/>
              <w:rPr>
                <w:color w:val="auto"/>
                <w:sz w:val="24"/>
              </w:rPr>
            </w:pPr>
            <w:r>
              <w:rPr>
                <w:color w:val="auto"/>
                <w:sz w:val="24"/>
              </w:rPr>
              <w:t>建设项目</w:t>
            </w:r>
          </w:p>
          <w:p w14:paraId="3F1F6F81">
            <w:pPr>
              <w:adjustRightInd w:val="0"/>
              <w:snapToGrid w:val="0"/>
              <w:jc w:val="center"/>
              <w:rPr>
                <w:bCs/>
                <w:color w:val="auto"/>
                <w:sz w:val="24"/>
                <w:lang w:val="en-GB"/>
              </w:rPr>
            </w:pPr>
            <w:r>
              <w:rPr>
                <w:color w:val="auto"/>
                <w:sz w:val="24"/>
              </w:rPr>
              <w:t>行业类别</w:t>
            </w:r>
          </w:p>
        </w:tc>
        <w:tc>
          <w:tcPr>
            <w:tcW w:w="3193" w:type="dxa"/>
            <w:vAlign w:val="center"/>
          </w:tcPr>
          <w:p w14:paraId="7C02ACF8">
            <w:pPr>
              <w:pStyle w:val="16"/>
              <w:keepNext w:val="0"/>
              <w:keepLines w:val="0"/>
              <w:pageBreakBefore w:val="0"/>
              <w:widowControl w:val="0"/>
              <w:kinsoku/>
              <w:wordWrap/>
              <w:overflowPunct/>
              <w:topLinePunct w:val="0"/>
              <w:autoSpaceDE/>
              <w:autoSpaceDN/>
              <w:bidi w:val="0"/>
              <w:adjustRightInd w:val="0"/>
              <w:snapToGrid w:val="0"/>
              <w:spacing w:after="0" w:line="240" w:lineRule="auto"/>
              <w:ind w:left="0" w:leftChars="0" w:firstLine="0" w:firstLineChars="0"/>
              <w:textAlignment w:val="auto"/>
              <w:rPr>
                <w:rFonts w:hint="default" w:eastAsia="宋体"/>
                <w:color w:val="auto"/>
                <w:sz w:val="24"/>
                <w:lang w:val="en-US" w:eastAsia="zh-CN"/>
              </w:rPr>
            </w:pPr>
            <w:r>
              <w:rPr>
                <w:rFonts w:hint="default" w:eastAsia="宋体"/>
                <w:color w:val="auto"/>
                <w:sz w:val="24"/>
                <w:lang w:val="en-US" w:eastAsia="zh-CN"/>
              </w:rPr>
              <w:t>67、金属表面处理及热处理加工</w:t>
            </w:r>
          </w:p>
        </w:tc>
      </w:tr>
      <w:tr w14:paraId="54BB498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1278" w:hRule="atLeast"/>
        </w:trPr>
        <w:tc>
          <w:tcPr>
            <w:tcW w:w="1907" w:type="dxa"/>
            <w:tcMar>
              <w:top w:w="16" w:type="dxa"/>
              <w:left w:w="16" w:type="dxa"/>
              <w:right w:w="16" w:type="dxa"/>
            </w:tcMar>
            <w:vAlign w:val="center"/>
          </w:tcPr>
          <w:p w14:paraId="069C24B3">
            <w:pPr>
              <w:adjustRightInd w:val="0"/>
              <w:snapToGrid w:val="0"/>
              <w:jc w:val="center"/>
              <w:rPr>
                <w:color w:val="auto"/>
                <w:sz w:val="24"/>
              </w:rPr>
            </w:pPr>
            <w:r>
              <w:rPr>
                <w:color w:val="auto"/>
                <w:sz w:val="24"/>
              </w:rPr>
              <w:t>建设性质</w:t>
            </w:r>
          </w:p>
        </w:tc>
        <w:tc>
          <w:tcPr>
            <w:tcW w:w="1751" w:type="dxa"/>
            <w:vAlign w:val="center"/>
          </w:tcPr>
          <w:p w14:paraId="69AABA38">
            <w:pPr>
              <w:jc w:val="left"/>
              <w:rPr>
                <w:rFonts w:hint="eastAsia" w:eastAsia="宋体"/>
                <w:color w:val="auto"/>
                <w:sz w:val="24"/>
                <w:lang w:eastAsia="zh-CN"/>
              </w:rPr>
            </w:pPr>
            <w:r>
              <w:rPr>
                <w:rFonts w:hint="eastAsia"/>
                <w:color w:val="auto"/>
                <w:sz w:val="24"/>
                <w:lang w:eastAsia="zh-CN"/>
              </w:rPr>
              <w:t>☑</w:t>
            </w:r>
            <w:r>
              <w:rPr>
                <w:color w:val="auto"/>
                <w:sz w:val="24"/>
              </w:rPr>
              <w:t>新建</w:t>
            </w:r>
            <w:r>
              <w:rPr>
                <w:rFonts w:hint="eastAsia"/>
                <w:color w:val="auto"/>
                <w:sz w:val="24"/>
                <w:lang w:eastAsia="zh-CN"/>
              </w:rPr>
              <w:t>（</w:t>
            </w:r>
            <w:r>
              <w:rPr>
                <w:rFonts w:hint="eastAsia"/>
                <w:color w:val="auto"/>
                <w:sz w:val="24"/>
                <w:lang w:val="en-US" w:eastAsia="zh-CN"/>
              </w:rPr>
              <w:t>迁建</w:t>
            </w:r>
            <w:r>
              <w:rPr>
                <w:rFonts w:hint="eastAsia"/>
                <w:color w:val="auto"/>
                <w:sz w:val="24"/>
                <w:lang w:eastAsia="zh-CN"/>
              </w:rPr>
              <w:t>）</w:t>
            </w:r>
          </w:p>
          <w:p w14:paraId="0B306A04">
            <w:pPr>
              <w:jc w:val="left"/>
              <w:rPr>
                <w:color w:val="auto"/>
                <w:sz w:val="24"/>
              </w:rPr>
            </w:pPr>
            <w:r>
              <w:rPr>
                <w:rFonts w:hint="eastAsia"/>
                <w:color w:val="auto"/>
                <w:sz w:val="24"/>
                <w:lang w:eastAsia="zh-CN"/>
              </w:rPr>
              <w:t>□</w:t>
            </w:r>
            <w:r>
              <w:rPr>
                <w:color w:val="auto"/>
                <w:sz w:val="24"/>
              </w:rPr>
              <w:t>改建</w:t>
            </w:r>
          </w:p>
          <w:p w14:paraId="6E7EBA9E">
            <w:pPr>
              <w:jc w:val="left"/>
              <w:rPr>
                <w:color w:val="auto"/>
                <w:sz w:val="24"/>
              </w:rPr>
            </w:pPr>
            <w:r>
              <w:rPr>
                <w:rFonts w:hint="eastAsia"/>
                <w:color w:val="auto"/>
                <w:sz w:val="24"/>
                <w:lang w:eastAsia="zh-CN"/>
              </w:rPr>
              <w:t>□</w:t>
            </w:r>
            <w:r>
              <w:rPr>
                <w:color w:val="auto"/>
                <w:sz w:val="24"/>
              </w:rPr>
              <w:t>扩建</w:t>
            </w:r>
          </w:p>
          <w:p w14:paraId="2621B8A3">
            <w:pPr>
              <w:jc w:val="left"/>
              <w:rPr>
                <w:color w:val="auto"/>
                <w:sz w:val="24"/>
              </w:rPr>
            </w:pPr>
            <w:r>
              <w:rPr>
                <w:rFonts w:hint="eastAsia"/>
                <w:color w:val="auto"/>
                <w:sz w:val="24"/>
                <w:lang w:eastAsia="zh-CN"/>
              </w:rPr>
              <w:t>□</w:t>
            </w:r>
            <w:r>
              <w:rPr>
                <w:color w:val="auto"/>
                <w:sz w:val="24"/>
              </w:rPr>
              <w:t>技术改造</w:t>
            </w:r>
          </w:p>
        </w:tc>
        <w:tc>
          <w:tcPr>
            <w:tcW w:w="2081" w:type="dxa"/>
            <w:vAlign w:val="center"/>
          </w:tcPr>
          <w:p w14:paraId="164263BD">
            <w:pPr>
              <w:adjustRightInd w:val="0"/>
              <w:snapToGrid w:val="0"/>
              <w:jc w:val="center"/>
              <w:rPr>
                <w:color w:val="auto"/>
                <w:sz w:val="24"/>
              </w:rPr>
            </w:pPr>
            <w:r>
              <w:rPr>
                <w:color w:val="auto"/>
                <w:sz w:val="24"/>
              </w:rPr>
              <w:t>建设项目</w:t>
            </w:r>
          </w:p>
          <w:p w14:paraId="6E5D6541">
            <w:pPr>
              <w:adjustRightInd w:val="0"/>
              <w:snapToGrid w:val="0"/>
              <w:jc w:val="center"/>
              <w:rPr>
                <w:color w:val="auto"/>
                <w:sz w:val="24"/>
              </w:rPr>
            </w:pPr>
            <w:r>
              <w:rPr>
                <w:color w:val="auto"/>
                <w:sz w:val="24"/>
              </w:rPr>
              <w:t>申报情形</w:t>
            </w:r>
          </w:p>
        </w:tc>
        <w:tc>
          <w:tcPr>
            <w:tcW w:w="3193" w:type="dxa"/>
            <w:vAlign w:val="center"/>
          </w:tcPr>
          <w:p w14:paraId="4A3D920D">
            <w:pPr>
              <w:jc w:val="left"/>
              <w:rPr>
                <w:color w:val="auto"/>
                <w:sz w:val="24"/>
              </w:rPr>
            </w:pPr>
            <w:r>
              <w:rPr>
                <w:color w:val="auto"/>
                <w:sz w:val="24"/>
              </w:rPr>
              <w:t>☑首次申报项目</w:t>
            </w:r>
          </w:p>
          <w:p w14:paraId="0D130DC5">
            <w:pPr>
              <w:jc w:val="left"/>
              <w:rPr>
                <w:color w:val="auto"/>
                <w:sz w:val="24"/>
              </w:rPr>
            </w:pPr>
            <w:r>
              <w:rPr>
                <w:color w:val="auto"/>
                <w:sz w:val="24"/>
              </w:rPr>
              <w:t>□不予批准后再次申报项目</w:t>
            </w:r>
          </w:p>
          <w:p w14:paraId="42830070">
            <w:pPr>
              <w:jc w:val="left"/>
              <w:rPr>
                <w:color w:val="auto"/>
                <w:sz w:val="24"/>
              </w:rPr>
            </w:pPr>
            <w:r>
              <w:rPr>
                <w:color w:val="auto"/>
                <w:sz w:val="24"/>
              </w:rPr>
              <w:t>□超五年重新审核项目</w:t>
            </w:r>
          </w:p>
          <w:p w14:paraId="3AC777D9">
            <w:pPr>
              <w:jc w:val="left"/>
              <w:rPr>
                <w:color w:val="auto"/>
                <w:sz w:val="24"/>
              </w:rPr>
            </w:pPr>
            <w:r>
              <w:rPr>
                <w:color w:val="auto"/>
                <w:sz w:val="24"/>
              </w:rPr>
              <w:t>□重大变动重新报批项目</w:t>
            </w:r>
          </w:p>
        </w:tc>
      </w:tr>
      <w:tr w14:paraId="50C4FAD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748" w:hRule="atLeast"/>
        </w:trPr>
        <w:tc>
          <w:tcPr>
            <w:tcW w:w="1907" w:type="dxa"/>
            <w:tcMar>
              <w:top w:w="16" w:type="dxa"/>
              <w:left w:w="16" w:type="dxa"/>
              <w:right w:w="16" w:type="dxa"/>
            </w:tcMar>
            <w:vAlign w:val="center"/>
          </w:tcPr>
          <w:p w14:paraId="76AD4D4D">
            <w:pPr>
              <w:adjustRightInd w:val="0"/>
              <w:snapToGrid w:val="0"/>
              <w:jc w:val="center"/>
              <w:rPr>
                <w:color w:val="auto"/>
                <w:sz w:val="24"/>
              </w:rPr>
            </w:pPr>
            <w:r>
              <w:rPr>
                <w:color w:val="auto"/>
                <w:sz w:val="24"/>
              </w:rPr>
              <w:t>项目审批（核准/备案）部门（选填）</w:t>
            </w:r>
          </w:p>
        </w:tc>
        <w:tc>
          <w:tcPr>
            <w:tcW w:w="1751" w:type="dxa"/>
            <w:vAlign w:val="center"/>
          </w:tcPr>
          <w:p w14:paraId="2D062A95">
            <w:pPr>
              <w:adjustRightInd w:val="0"/>
              <w:snapToGrid w:val="0"/>
              <w:jc w:val="center"/>
              <w:rPr>
                <w:color w:val="auto"/>
                <w:sz w:val="24"/>
              </w:rPr>
            </w:pPr>
            <w:r>
              <w:rPr>
                <w:color w:val="auto"/>
                <w:sz w:val="24"/>
                <w:lang w:val="en-US" w:eastAsia="zh-CN"/>
              </w:rPr>
              <w:t>陕西省西咸新区泾河新城</w:t>
            </w:r>
            <w:r>
              <w:rPr>
                <w:rFonts w:hint="eastAsia"/>
                <w:color w:val="auto"/>
                <w:sz w:val="24"/>
                <w:lang w:val="en-US" w:eastAsia="zh-CN"/>
              </w:rPr>
              <w:t>管理委员会</w:t>
            </w:r>
          </w:p>
        </w:tc>
        <w:tc>
          <w:tcPr>
            <w:tcW w:w="2081" w:type="dxa"/>
            <w:vAlign w:val="center"/>
          </w:tcPr>
          <w:p w14:paraId="3A0646D8">
            <w:pPr>
              <w:adjustRightInd w:val="0"/>
              <w:snapToGrid w:val="0"/>
              <w:jc w:val="center"/>
              <w:rPr>
                <w:color w:val="auto"/>
                <w:sz w:val="24"/>
              </w:rPr>
            </w:pPr>
            <w:r>
              <w:rPr>
                <w:color w:val="auto"/>
                <w:sz w:val="24"/>
              </w:rPr>
              <w:t>项目审批（核准/</w:t>
            </w:r>
          </w:p>
          <w:p w14:paraId="42E67AB6">
            <w:pPr>
              <w:adjustRightInd w:val="0"/>
              <w:snapToGrid w:val="0"/>
              <w:jc w:val="center"/>
              <w:rPr>
                <w:color w:val="auto"/>
                <w:sz w:val="24"/>
              </w:rPr>
            </w:pPr>
            <w:r>
              <w:rPr>
                <w:color w:val="auto"/>
                <w:sz w:val="24"/>
              </w:rPr>
              <w:t>备案）文号（选填）</w:t>
            </w:r>
          </w:p>
        </w:tc>
        <w:tc>
          <w:tcPr>
            <w:tcW w:w="3193" w:type="dxa"/>
            <w:vAlign w:val="center"/>
          </w:tcPr>
          <w:p w14:paraId="67A8CC9B">
            <w:pPr>
              <w:adjustRightInd w:val="0"/>
              <w:snapToGrid w:val="0"/>
              <w:jc w:val="center"/>
              <w:rPr>
                <w:color w:val="auto"/>
                <w:sz w:val="24"/>
              </w:rPr>
            </w:pPr>
            <w:r>
              <w:rPr>
                <w:rFonts w:hint="eastAsia"/>
                <w:color w:val="auto"/>
                <w:sz w:val="24"/>
              </w:rPr>
              <w:t>/</w:t>
            </w:r>
          </w:p>
        </w:tc>
      </w:tr>
      <w:tr w14:paraId="0740E7E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54" w:hRule="atLeast"/>
        </w:trPr>
        <w:tc>
          <w:tcPr>
            <w:tcW w:w="1907" w:type="dxa"/>
            <w:tcMar>
              <w:top w:w="16" w:type="dxa"/>
              <w:left w:w="16" w:type="dxa"/>
              <w:right w:w="16" w:type="dxa"/>
            </w:tcMar>
            <w:vAlign w:val="center"/>
          </w:tcPr>
          <w:p w14:paraId="62277427">
            <w:pPr>
              <w:adjustRightInd w:val="0"/>
              <w:snapToGrid w:val="0"/>
              <w:jc w:val="center"/>
              <w:rPr>
                <w:color w:val="auto"/>
                <w:sz w:val="24"/>
              </w:rPr>
            </w:pPr>
            <w:r>
              <w:rPr>
                <w:color w:val="auto"/>
                <w:sz w:val="24"/>
              </w:rPr>
              <w:t>总投资（万元）</w:t>
            </w:r>
          </w:p>
        </w:tc>
        <w:tc>
          <w:tcPr>
            <w:tcW w:w="1751" w:type="dxa"/>
            <w:vAlign w:val="center"/>
          </w:tcPr>
          <w:p w14:paraId="28B66E66">
            <w:pPr>
              <w:adjustRightInd w:val="0"/>
              <w:snapToGrid w:val="0"/>
              <w:jc w:val="center"/>
              <w:rPr>
                <w:rFonts w:hint="default" w:eastAsia="宋体"/>
                <w:color w:val="auto"/>
                <w:sz w:val="24"/>
                <w:lang w:val="en-US" w:eastAsia="zh-CN"/>
              </w:rPr>
            </w:pPr>
            <w:r>
              <w:rPr>
                <w:rFonts w:hint="eastAsia"/>
                <w:color w:val="auto"/>
                <w:sz w:val="24"/>
                <w:lang w:val="en-US" w:eastAsia="zh-CN"/>
              </w:rPr>
              <w:t>100</w:t>
            </w:r>
          </w:p>
        </w:tc>
        <w:tc>
          <w:tcPr>
            <w:tcW w:w="2081" w:type="dxa"/>
            <w:tcMar>
              <w:top w:w="16" w:type="dxa"/>
              <w:left w:w="16" w:type="dxa"/>
              <w:right w:w="16" w:type="dxa"/>
            </w:tcMar>
            <w:vAlign w:val="center"/>
          </w:tcPr>
          <w:p w14:paraId="77E74421">
            <w:pPr>
              <w:adjustRightInd w:val="0"/>
              <w:snapToGrid w:val="0"/>
              <w:jc w:val="center"/>
              <w:rPr>
                <w:color w:val="auto"/>
                <w:sz w:val="24"/>
              </w:rPr>
            </w:pPr>
            <w:r>
              <w:rPr>
                <w:color w:val="auto"/>
                <w:sz w:val="24"/>
              </w:rPr>
              <w:t>环保投资（万元）</w:t>
            </w:r>
          </w:p>
        </w:tc>
        <w:tc>
          <w:tcPr>
            <w:tcW w:w="3193" w:type="dxa"/>
            <w:vAlign w:val="center"/>
          </w:tcPr>
          <w:p w14:paraId="27FF5249">
            <w:pPr>
              <w:adjustRightInd w:val="0"/>
              <w:snapToGrid w:val="0"/>
              <w:jc w:val="center"/>
              <w:rPr>
                <w:rFonts w:hint="default" w:eastAsia="宋体"/>
                <w:color w:val="auto"/>
                <w:sz w:val="24"/>
                <w:lang w:val="en-US" w:eastAsia="zh-CN"/>
              </w:rPr>
            </w:pPr>
            <w:r>
              <w:rPr>
                <w:rFonts w:hint="eastAsia"/>
                <w:color w:val="auto"/>
                <w:sz w:val="24"/>
                <w:lang w:val="en-US" w:eastAsia="zh-CN"/>
              </w:rPr>
              <w:t>50</w:t>
            </w:r>
          </w:p>
        </w:tc>
      </w:tr>
      <w:tr w14:paraId="6A910A9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23" w:hRule="atLeast"/>
        </w:trPr>
        <w:tc>
          <w:tcPr>
            <w:tcW w:w="1907" w:type="dxa"/>
            <w:tcMar>
              <w:top w:w="16" w:type="dxa"/>
              <w:left w:w="16" w:type="dxa"/>
              <w:right w:w="16" w:type="dxa"/>
            </w:tcMar>
            <w:vAlign w:val="center"/>
          </w:tcPr>
          <w:p w14:paraId="17B59A49">
            <w:pPr>
              <w:adjustRightInd w:val="0"/>
              <w:snapToGrid w:val="0"/>
              <w:jc w:val="center"/>
              <w:rPr>
                <w:color w:val="auto"/>
                <w:sz w:val="24"/>
              </w:rPr>
            </w:pPr>
            <w:r>
              <w:rPr>
                <w:color w:val="auto"/>
                <w:sz w:val="24"/>
              </w:rPr>
              <w:t>环保投资占比（%）</w:t>
            </w:r>
          </w:p>
        </w:tc>
        <w:tc>
          <w:tcPr>
            <w:tcW w:w="1751" w:type="dxa"/>
            <w:vAlign w:val="center"/>
          </w:tcPr>
          <w:p w14:paraId="08EFD418">
            <w:pPr>
              <w:adjustRightInd w:val="0"/>
              <w:snapToGrid w:val="0"/>
              <w:jc w:val="center"/>
              <w:rPr>
                <w:rFonts w:hint="default" w:eastAsia="宋体"/>
                <w:color w:val="auto"/>
                <w:sz w:val="24"/>
                <w:lang w:val="en-US" w:eastAsia="zh-CN"/>
              </w:rPr>
            </w:pPr>
            <w:r>
              <w:rPr>
                <w:rFonts w:hint="eastAsia"/>
                <w:color w:val="auto"/>
                <w:sz w:val="24"/>
                <w:lang w:val="en-US" w:eastAsia="zh-CN"/>
              </w:rPr>
              <w:t>50%</w:t>
            </w:r>
          </w:p>
        </w:tc>
        <w:tc>
          <w:tcPr>
            <w:tcW w:w="2081" w:type="dxa"/>
            <w:tcMar>
              <w:top w:w="16" w:type="dxa"/>
              <w:left w:w="16" w:type="dxa"/>
              <w:right w:w="16" w:type="dxa"/>
            </w:tcMar>
            <w:vAlign w:val="center"/>
          </w:tcPr>
          <w:p w14:paraId="080DB0C5">
            <w:pPr>
              <w:adjustRightInd w:val="0"/>
              <w:snapToGrid w:val="0"/>
              <w:jc w:val="center"/>
              <w:rPr>
                <w:color w:val="auto"/>
                <w:sz w:val="24"/>
              </w:rPr>
            </w:pPr>
            <w:r>
              <w:rPr>
                <w:color w:val="auto"/>
                <w:sz w:val="24"/>
              </w:rPr>
              <w:t>施工工期</w:t>
            </w:r>
          </w:p>
        </w:tc>
        <w:tc>
          <w:tcPr>
            <w:tcW w:w="3193" w:type="dxa"/>
            <w:vAlign w:val="center"/>
          </w:tcPr>
          <w:p w14:paraId="2726E17A">
            <w:pPr>
              <w:adjustRightInd w:val="0"/>
              <w:snapToGrid w:val="0"/>
              <w:jc w:val="center"/>
              <w:rPr>
                <w:rFonts w:hint="default" w:eastAsia="宋体"/>
                <w:color w:val="auto"/>
                <w:sz w:val="24"/>
                <w:lang w:val="en-US" w:eastAsia="zh-CN"/>
              </w:rPr>
            </w:pPr>
            <w:r>
              <w:rPr>
                <w:rFonts w:hint="eastAsia"/>
                <w:color w:val="auto"/>
                <w:sz w:val="24"/>
                <w:lang w:val="en-US" w:eastAsia="zh-CN"/>
              </w:rPr>
              <w:t>2个月</w:t>
            </w:r>
          </w:p>
        </w:tc>
      </w:tr>
      <w:tr w14:paraId="4442E92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23" w:hRule="atLeast"/>
        </w:trPr>
        <w:tc>
          <w:tcPr>
            <w:tcW w:w="1907" w:type="dxa"/>
            <w:tcMar>
              <w:top w:w="16" w:type="dxa"/>
              <w:left w:w="16" w:type="dxa"/>
              <w:right w:w="16" w:type="dxa"/>
            </w:tcMar>
            <w:vAlign w:val="center"/>
          </w:tcPr>
          <w:p w14:paraId="73563C58">
            <w:pPr>
              <w:adjustRightInd w:val="0"/>
              <w:snapToGrid w:val="0"/>
              <w:jc w:val="center"/>
              <w:rPr>
                <w:color w:val="auto"/>
                <w:sz w:val="24"/>
              </w:rPr>
            </w:pPr>
            <w:r>
              <w:rPr>
                <w:color w:val="auto"/>
                <w:sz w:val="24"/>
              </w:rPr>
              <w:t>是否开工建设</w:t>
            </w:r>
          </w:p>
        </w:tc>
        <w:tc>
          <w:tcPr>
            <w:tcW w:w="1751" w:type="dxa"/>
            <w:vAlign w:val="center"/>
          </w:tcPr>
          <w:p w14:paraId="1DB7CA20">
            <w:pPr>
              <w:adjustRightInd w:val="0"/>
              <w:snapToGrid w:val="0"/>
              <w:rPr>
                <w:color w:val="auto"/>
                <w:sz w:val="24"/>
              </w:rPr>
            </w:pPr>
            <w:r>
              <w:rPr>
                <w:rFonts w:hint="eastAsia"/>
                <w:color w:val="auto"/>
                <w:sz w:val="24"/>
                <w:lang w:eastAsia="zh-CN"/>
              </w:rPr>
              <w:t>☑</w:t>
            </w:r>
            <w:r>
              <w:rPr>
                <w:color w:val="auto"/>
                <w:sz w:val="24"/>
              </w:rPr>
              <w:t>否</w:t>
            </w:r>
          </w:p>
          <w:p w14:paraId="36573BED">
            <w:pPr>
              <w:adjustRightInd w:val="0"/>
              <w:snapToGrid w:val="0"/>
              <w:rPr>
                <w:rFonts w:hint="default"/>
                <w:color w:val="auto"/>
                <w:sz w:val="24"/>
                <w:u w:val="single"/>
                <w:lang w:val="en-US"/>
              </w:rPr>
            </w:pPr>
            <w:r>
              <w:rPr>
                <w:rFonts w:hint="eastAsia"/>
                <w:color w:val="auto"/>
                <w:sz w:val="24"/>
                <w:lang w:eastAsia="zh-CN"/>
              </w:rPr>
              <w:t>□</w:t>
            </w:r>
            <w:r>
              <w:rPr>
                <w:color w:val="auto"/>
                <w:sz w:val="24"/>
              </w:rPr>
              <w:t>是：</w:t>
            </w:r>
            <w:r>
              <w:rPr>
                <w:rFonts w:hint="eastAsia"/>
                <w:color w:val="auto"/>
                <w:sz w:val="24"/>
                <w:u w:val="single"/>
                <w:lang w:val="en-US" w:eastAsia="zh-CN"/>
              </w:rPr>
              <w:t xml:space="preserve">     </w:t>
            </w:r>
          </w:p>
        </w:tc>
        <w:tc>
          <w:tcPr>
            <w:tcW w:w="2081" w:type="dxa"/>
            <w:tcMar>
              <w:top w:w="16" w:type="dxa"/>
              <w:left w:w="16" w:type="dxa"/>
              <w:right w:w="16" w:type="dxa"/>
            </w:tcMar>
            <w:vAlign w:val="center"/>
          </w:tcPr>
          <w:p w14:paraId="56714128">
            <w:pPr>
              <w:adjustRightInd w:val="0"/>
              <w:snapToGrid w:val="0"/>
              <w:jc w:val="center"/>
              <w:rPr>
                <w:color w:val="auto"/>
                <w:sz w:val="24"/>
              </w:rPr>
            </w:pPr>
            <w:r>
              <w:rPr>
                <w:color w:val="auto"/>
                <w:spacing w:val="-6"/>
                <w:sz w:val="24"/>
              </w:rPr>
              <w:t>用地面积（m</w:t>
            </w:r>
            <w:r>
              <w:rPr>
                <w:color w:val="auto"/>
                <w:spacing w:val="-6"/>
                <w:sz w:val="24"/>
                <w:vertAlign w:val="superscript"/>
              </w:rPr>
              <w:t>2</w:t>
            </w:r>
            <w:r>
              <w:rPr>
                <w:color w:val="auto"/>
                <w:spacing w:val="-6"/>
                <w:sz w:val="24"/>
              </w:rPr>
              <w:t>）</w:t>
            </w:r>
          </w:p>
        </w:tc>
        <w:tc>
          <w:tcPr>
            <w:tcW w:w="3193" w:type="dxa"/>
            <w:vAlign w:val="center"/>
          </w:tcPr>
          <w:p w14:paraId="0266236C">
            <w:pPr>
              <w:adjustRightInd w:val="0"/>
              <w:snapToGrid w:val="0"/>
              <w:jc w:val="center"/>
              <w:rPr>
                <w:rFonts w:hint="default" w:eastAsia="宋体"/>
                <w:color w:val="auto"/>
                <w:sz w:val="24"/>
                <w:lang w:val="en-US" w:eastAsia="zh-CN"/>
              </w:rPr>
            </w:pPr>
            <w:r>
              <w:rPr>
                <w:rFonts w:hint="eastAsia"/>
                <w:color w:val="auto"/>
                <w:sz w:val="24"/>
              </w:rPr>
              <w:t>厂房面积</w:t>
            </w:r>
            <w:r>
              <w:rPr>
                <w:rFonts w:hint="eastAsia"/>
                <w:color w:val="auto"/>
                <w:sz w:val="24"/>
                <w:lang w:val="en-US" w:eastAsia="zh-CN"/>
              </w:rPr>
              <w:t>1200</w:t>
            </w:r>
          </w:p>
        </w:tc>
      </w:tr>
      <w:tr w14:paraId="42CA570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907" w:type="dxa"/>
            <w:vAlign w:val="center"/>
          </w:tcPr>
          <w:p w14:paraId="08EA442C">
            <w:pPr>
              <w:autoSpaceDE w:val="0"/>
              <w:autoSpaceDN w:val="0"/>
              <w:adjustRightInd w:val="0"/>
              <w:snapToGrid w:val="0"/>
              <w:jc w:val="center"/>
              <w:rPr>
                <w:color w:val="auto"/>
                <w:kern w:val="0"/>
                <w:sz w:val="24"/>
              </w:rPr>
            </w:pPr>
            <w:r>
              <w:rPr>
                <w:color w:val="auto"/>
                <w:kern w:val="0"/>
                <w:sz w:val="24"/>
              </w:rPr>
              <w:t>专项评价设置情况</w:t>
            </w:r>
          </w:p>
        </w:tc>
        <w:tc>
          <w:tcPr>
            <w:tcW w:w="7025" w:type="dxa"/>
            <w:gridSpan w:val="3"/>
            <w:vAlign w:val="center"/>
          </w:tcPr>
          <w:p w14:paraId="0876D9C9">
            <w:pPr>
              <w:autoSpaceDE w:val="0"/>
              <w:autoSpaceDN w:val="0"/>
              <w:adjustRightInd w:val="0"/>
              <w:snapToGrid w:val="0"/>
              <w:jc w:val="center"/>
              <w:rPr>
                <w:color w:val="auto"/>
                <w:kern w:val="0"/>
                <w:sz w:val="24"/>
              </w:rPr>
            </w:pPr>
            <w:r>
              <w:rPr>
                <w:color w:val="auto"/>
                <w:sz w:val="24"/>
              </w:rPr>
              <w:t>无</w:t>
            </w:r>
          </w:p>
        </w:tc>
      </w:tr>
      <w:tr w14:paraId="616CE75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96" w:hRule="atLeast"/>
        </w:trPr>
        <w:tc>
          <w:tcPr>
            <w:tcW w:w="1907" w:type="dxa"/>
            <w:vAlign w:val="center"/>
          </w:tcPr>
          <w:p w14:paraId="726B9419">
            <w:pPr>
              <w:autoSpaceDE w:val="0"/>
              <w:autoSpaceDN w:val="0"/>
              <w:adjustRightInd w:val="0"/>
              <w:snapToGrid w:val="0"/>
              <w:jc w:val="center"/>
              <w:rPr>
                <w:color w:val="auto"/>
                <w:kern w:val="0"/>
                <w:sz w:val="24"/>
              </w:rPr>
            </w:pPr>
            <w:r>
              <w:rPr>
                <w:color w:val="auto"/>
                <w:sz w:val="24"/>
              </w:rPr>
              <w:t>规划情况</w:t>
            </w:r>
          </w:p>
        </w:tc>
        <w:tc>
          <w:tcPr>
            <w:tcW w:w="7025" w:type="dxa"/>
            <w:gridSpan w:val="3"/>
            <w:vAlign w:val="center"/>
          </w:tcPr>
          <w:p w14:paraId="5B98343A">
            <w:pPr>
              <w:keepNext w:val="0"/>
              <w:keepLines w:val="0"/>
              <w:pageBreakBefore w:val="0"/>
              <w:widowControl w:val="0"/>
              <w:kinsoku/>
              <w:wordWrap/>
              <w:overflowPunct/>
              <w:topLinePunct w:val="0"/>
              <w:autoSpaceDE w:val="0"/>
              <w:autoSpaceDN w:val="0"/>
              <w:bidi w:val="0"/>
              <w:adjustRightInd w:val="0"/>
              <w:snapToGrid/>
              <w:spacing w:line="360" w:lineRule="auto"/>
              <w:textAlignment w:val="auto"/>
              <w:rPr>
                <w:color w:val="auto"/>
                <w:kern w:val="0"/>
                <w:sz w:val="24"/>
                <w:szCs w:val="24"/>
              </w:rPr>
            </w:pPr>
            <w:r>
              <w:rPr>
                <w:rFonts w:hint="eastAsia"/>
                <w:color w:val="auto"/>
                <w:kern w:val="0"/>
                <w:sz w:val="24"/>
                <w:szCs w:val="24"/>
              </w:rPr>
              <w:t>规划名称：</w:t>
            </w:r>
            <w:r>
              <w:rPr>
                <w:color w:val="auto"/>
                <w:kern w:val="0"/>
                <w:sz w:val="24"/>
                <w:szCs w:val="24"/>
              </w:rPr>
              <w:t>《西咸新区</w:t>
            </w:r>
            <w:r>
              <w:rPr>
                <w:rFonts w:hint="eastAsia"/>
                <w:color w:val="auto"/>
                <w:kern w:val="0"/>
                <w:sz w:val="24"/>
                <w:szCs w:val="24"/>
                <w:lang w:val="en-US" w:eastAsia="zh-CN"/>
              </w:rPr>
              <w:t>-</w:t>
            </w:r>
            <w:r>
              <w:rPr>
                <w:color w:val="auto"/>
                <w:kern w:val="0"/>
                <w:sz w:val="24"/>
                <w:szCs w:val="24"/>
              </w:rPr>
              <w:t>泾河新城分区规划</w:t>
            </w:r>
            <w:r>
              <w:rPr>
                <w:rFonts w:hint="eastAsia"/>
                <w:color w:val="auto"/>
                <w:kern w:val="0"/>
                <w:sz w:val="24"/>
                <w:szCs w:val="24"/>
              </w:rPr>
              <w:t>修编</w:t>
            </w:r>
            <w:r>
              <w:rPr>
                <w:color w:val="auto"/>
                <w:kern w:val="0"/>
                <w:sz w:val="24"/>
                <w:szCs w:val="24"/>
              </w:rPr>
              <w:t>（2016年～2035年）》</w:t>
            </w:r>
          </w:p>
          <w:p w14:paraId="5381D106">
            <w:pPr>
              <w:keepNext w:val="0"/>
              <w:keepLines w:val="0"/>
              <w:pageBreakBefore w:val="0"/>
              <w:widowControl w:val="0"/>
              <w:kinsoku/>
              <w:wordWrap/>
              <w:overflowPunct/>
              <w:topLinePunct w:val="0"/>
              <w:autoSpaceDE w:val="0"/>
              <w:autoSpaceDN w:val="0"/>
              <w:bidi w:val="0"/>
              <w:adjustRightInd w:val="0"/>
              <w:snapToGrid/>
              <w:spacing w:line="360" w:lineRule="auto"/>
              <w:textAlignment w:val="auto"/>
              <w:rPr>
                <w:color w:val="0000FF"/>
                <w:kern w:val="0"/>
                <w:sz w:val="24"/>
                <w:szCs w:val="24"/>
              </w:rPr>
            </w:pPr>
            <w:r>
              <w:rPr>
                <w:rFonts w:hint="eastAsia"/>
                <w:color w:val="auto"/>
                <w:kern w:val="0"/>
                <w:sz w:val="24"/>
                <w:szCs w:val="24"/>
              </w:rPr>
              <w:t>规划审批机关：西咸新区开发建设管理委员会</w:t>
            </w:r>
          </w:p>
        </w:tc>
      </w:tr>
      <w:tr w14:paraId="5BC710F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007" w:hRule="atLeast"/>
        </w:trPr>
        <w:tc>
          <w:tcPr>
            <w:tcW w:w="1907" w:type="dxa"/>
            <w:vAlign w:val="center"/>
          </w:tcPr>
          <w:p w14:paraId="34FF8C9C">
            <w:pPr>
              <w:adjustRightInd w:val="0"/>
              <w:snapToGrid w:val="0"/>
              <w:jc w:val="center"/>
              <w:rPr>
                <w:color w:val="auto"/>
                <w:kern w:val="0"/>
                <w:sz w:val="24"/>
              </w:rPr>
            </w:pPr>
            <w:r>
              <w:rPr>
                <w:color w:val="auto"/>
                <w:sz w:val="24"/>
              </w:rPr>
              <w:t>规划环境影响评价情况</w:t>
            </w:r>
          </w:p>
        </w:tc>
        <w:tc>
          <w:tcPr>
            <w:tcW w:w="7025" w:type="dxa"/>
            <w:gridSpan w:val="3"/>
            <w:vAlign w:val="center"/>
          </w:tcPr>
          <w:p w14:paraId="538E6225">
            <w:pPr>
              <w:keepNext w:val="0"/>
              <w:keepLines w:val="0"/>
              <w:pageBreakBefore w:val="0"/>
              <w:widowControl w:val="0"/>
              <w:kinsoku/>
              <w:wordWrap/>
              <w:overflowPunct/>
              <w:topLinePunct w:val="0"/>
              <w:autoSpaceDE w:val="0"/>
              <w:autoSpaceDN w:val="0"/>
              <w:bidi w:val="0"/>
              <w:adjustRightInd w:val="0"/>
              <w:snapToGrid w:val="0"/>
              <w:spacing w:line="360" w:lineRule="auto"/>
              <w:textAlignment w:val="auto"/>
              <w:rPr>
                <w:rFonts w:hint="default" w:ascii="Times New Roman" w:hAnsi="Times New Roman" w:cs="Times New Roman"/>
                <w:kern w:val="0"/>
                <w:sz w:val="24"/>
                <w:szCs w:val="24"/>
              </w:rPr>
            </w:pPr>
            <w:r>
              <w:rPr>
                <w:rFonts w:hint="default" w:ascii="Times New Roman" w:hAnsi="Times New Roman" w:cs="Times New Roman"/>
                <w:kern w:val="0"/>
                <w:sz w:val="24"/>
                <w:szCs w:val="24"/>
              </w:rPr>
              <w:t>规划环境影响评价文件名称：《陕西省西咸新区泾河新城分区规划（2016-2035）环境影响报告书》</w:t>
            </w:r>
          </w:p>
          <w:p w14:paraId="06555FFE">
            <w:pPr>
              <w:keepNext w:val="0"/>
              <w:keepLines w:val="0"/>
              <w:pageBreakBefore w:val="0"/>
              <w:widowControl w:val="0"/>
              <w:kinsoku/>
              <w:wordWrap/>
              <w:overflowPunct/>
              <w:topLinePunct w:val="0"/>
              <w:autoSpaceDE w:val="0"/>
              <w:autoSpaceDN w:val="0"/>
              <w:bidi w:val="0"/>
              <w:adjustRightInd w:val="0"/>
              <w:snapToGrid w:val="0"/>
              <w:spacing w:line="360" w:lineRule="auto"/>
              <w:textAlignment w:val="auto"/>
              <w:rPr>
                <w:rFonts w:hint="default" w:ascii="Times New Roman" w:hAnsi="Times New Roman" w:cs="Times New Roman"/>
                <w:kern w:val="0"/>
                <w:sz w:val="24"/>
                <w:szCs w:val="24"/>
              </w:rPr>
            </w:pPr>
            <w:r>
              <w:rPr>
                <w:rFonts w:hint="default" w:ascii="Times New Roman" w:hAnsi="Times New Roman" w:cs="Times New Roman"/>
                <w:kern w:val="0"/>
                <w:sz w:val="24"/>
                <w:szCs w:val="24"/>
              </w:rPr>
              <w:t>审查机关：陕西省西咸新区生态环境局</w:t>
            </w:r>
          </w:p>
          <w:p w14:paraId="013F38F7">
            <w:pPr>
              <w:keepNext w:val="0"/>
              <w:keepLines w:val="0"/>
              <w:pageBreakBefore w:val="0"/>
              <w:widowControl w:val="0"/>
              <w:kinsoku/>
              <w:wordWrap/>
              <w:overflowPunct/>
              <w:topLinePunct w:val="0"/>
              <w:autoSpaceDE w:val="0"/>
              <w:autoSpaceDN w:val="0"/>
              <w:bidi w:val="0"/>
              <w:adjustRightInd w:val="0"/>
              <w:snapToGrid w:val="0"/>
              <w:spacing w:line="360" w:lineRule="auto"/>
              <w:textAlignment w:val="auto"/>
              <w:rPr>
                <w:color w:val="0000FF"/>
                <w:kern w:val="0"/>
                <w:sz w:val="24"/>
                <w:szCs w:val="24"/>
              </w:rPr>
            </w:pPr>
            <w:r>
              <w:rPr>
                <w:rFonts w:hint="default" w:ascii="Times New Roman" w:hAnsi="Times New Roman" w:cs="Times New Roman"/>
                <w:kern w:val="0"/>
                <w:sz w:val="24"/>
                <w:szCs w:val="24"/>
              </w:rPr>
              <w:t>审查文件名称及文号：《关于〈西咸新区泾河新城分区规划（2016～2035）环境影响报告书〉审查意见的函》（陕西咸环函</w:t>
            </w:r>
            <w:r>
              <w:rPr>
                <w:rFonts w:hint="eastAsia" w:ascii="宋体" w:hAnsi="宋体" w:eastAsia="宋体" w:cs="宋体"/>
                <w:kern w:val="0"/>
                <w:sz w:val="24"/>
                <w:szCs w:val="24"/>
              </w:rPr>
              <w:t>〔</w:t>
            </w:r>
            <w:r>
              <w:rPr>
                <w:rFonts w:hint="default" w:ascii="Times New Roman" w:hAnsi="Times New Roman" w:cs="Times New Roman"/>
                <w:kern w:val="0"/>
                <w:sz w:val="24"/>
                <w:szCs w:val="24"/>
              </w:rPr>
              <w:t>2021</w:t>
            </w:r>
            <w:r>
              <w:rPr>
                <w:rFonts w:hint="eastAsia" w:ascii="宋体" w:hAnsi="宋体" w:eastAsia="宋体" w:cs="宋体"/>
                <w:kern w:val="0"/>
                <w:sz w:val="24"/>
                <w:szCs w:val="24"/>
              </w:rPr>
              <w:t>〕</w:t>
            </w:r>
            <w:r>
              <w:rPr>
                <w:rFonts w:hint="default" w:ascii="Times New Roman" w:hAnsi="Times New Roman" w:cs="Times New Roman"/>
                <w:kern w:val="0"/>
                <w:sz w:val="24"/>
                <w:szCs w:val="24"/>
              </w:rPr>
              <w:t>41号）</w:t>
            </w:r>
          </w:p>
        </w:tc>
      </w:tr>
      <w:tr w14:paraId="233D9EC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1907" w:type="dxa"/>
            <w:vAlign w:val="center"/>
          </w:tcPr>
          <w:p w14:paraId="3B5D5B8F">
            <w:pPr>
              <w:autoSpaceDE w:val="0"/>
              <w:autoSpaceDN w:val="0"/>
              <w:adjustRightInd w:val="0"/>
              <w:snapToGrid w:val="0"/>
              <w:jc w:val="center"/>
              <w:rPr>
                <w:color w:val="auto"/>
                <w:kern w:val="0"/>
                <w:sz w:val="24"/>
              </w:rPr>
            </w:pPr>
            <w:r>
              <w:rPr>
                <w:color w:val="auto"/>
                <w:kern w:val="0"/>
                <w:sz w:val="24"/>
              </w:rPr>
              <w:t>规划及规划环境影响评价符合性分析</w:t>
            </w:r>
          </w:p>
        </w:tc>
        <w:tc>
          <w:tcPr>
            <w:tcW w:w="7025" w:type="dxa"/>
            <w:gridSpan w:val="3"/>
            <w:vAlign w:val="center"/>
          </w:tcPr>
          <w:p w14:paraId="1DCEE079">
            <w:pPr>
              <w:autoSpaceDE w:val="0"/>
              <w:autoSpaceDN w:val="0"/>
              <w:adjustRightInd w:val="0"/>
              <w:snapToGrid w:val="0"/>
              <w:jc w:val="center"/>
              <w:rPr>
                <w:rFonts w:hint="default" w:ascii="Times New Roman" w:hAnsi="Times New Roman" w:cs="Times New Roman"/>
                <w:b/>
                <w:bCs/>
                <w:kern w:val="0"/>
                <w:szCs w:val="21"/>
              </w:rPr>
            </w:pPr>
            <w:r>
              <w:rPr>
                <w:rFonts w:hint="default" w:ascii="Times New Roman" w:hAnsi="Times New Roman" w:cs="Times New Roman"/>
                <w:b/>
                <w:bCs/>
                <w:kern w:val="0"/>
                <w:szCs w:val="21"/>
              </w:rPr>
              <w:t xml:space="preserve">表1-1  </w:t>
            </w:r>
            <w:r>
              <w:rPr>
                <w:rFonts w:hint="eastAsia" w:cs="Times New Roman"/>
                <w:b/>
                <w:bCs/>
                <w:kern w:val="0"/>
                <w:szCs w:val="21"/>
                <w:lang w:val="en-US" w:eastAsia="zh-CN"/>
              </w:rPr>
              <w:t xml:space="preserve"> </w:t>
            </w:r>
            <w:r>
              <w:rPr>
                <w:rFonts w:hint="default" w:ascii="Times New Roman" w:hAnsi="Times New Roman" w:cs="Times New Roman"/>
                <w:b/>
                <w:bCs/>
                <w:kern w:val="0"/>
                <w:szCs w:val="21"/>
              </w:rPr>
              <w:t>项目与规划及规划环评的相符性</w:t>
            </w:r>
          </w:p>
          <w:tbl>
            <w:tblPr>
              <w:tblStyle w:val="17"/>
              <w:tblW w:w="5000" w:type="pct"/>
              <w:jc w:val="center"/>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57" w:type="dxa"/>
                <w:bottom w:w="0" w:type="dxa"/>
                <w:right w:w="57" w:type="dxa"/>
              </w:tblCellMar>
            </w:tblPr>
            <w:tblGrid>
              <w:gridCol w:w="772"/>
              <w:gridCol w:w="3420"/>
              <w:gridCol w:w="1950"/>
              <w:gridCol w:w="657"/>
            </w:tblGrid>
            <w:tr w14:paraId="534A3455">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7" w:type="dxa"/>
                  <w:bottom w:w="0" w:type="dxa"/>
                  <w:right w:w="57" w:type="dxa"/>
                </w:tblCellMar>
              </w:tblPrEx>
              <w:trPr>
                <w:jc w:val="center"/>
              </w:trPr>
              <w:tc>
                <w:tcPr>
                  <w:tcW w:w="567" w:type="pct"/>
                  <w:noWrap w:val="0"/>
                  <w:vAlign w:val="center"/>
                </w:tcPr>
                <w:p w14:paraId="0EBDAAB4">
                  <w:pPr>
                    <w:jc w:val="center"/>
                    <w:rPr>
                      <w:rFonts w:hint="default" w:ascii="Times New Roman" w:hAnsi="Times New Roman" w:cs="Times New Roman"/>
                      <w:b w:val="0"/>
                      <w:bCs w:val="0"/>
                      <w:color w:val="auto"/>
                      <w:sz w:val="21"/>
                      <w:szCs w:val="21"/>
                    </w:rPr>
                  </w:pPr>
                  <w:r>
                    <w:rPr>
                      <w:rFonts w:hint="default" w:ascii="Times New Roman" w:hAnsi="Times New Roman" w:cs="Times New Roman"/>
                      <w:b w:val="0"/>
                      <w:bCs w:val="0"/>
                      <w:color w:val="auto"/>
                      <w:sz w:val="21"/>
                      <w:szCs w:val="21"/>
                    </w:rPr>
                    <w:t>文件</w:t>
                  </w:r>
                </w:p>
              </w:tc>
              <w:tc>
                <w:tcPr>
                  <w:tcW w:w="2515" w:type="pct"/>
                  <w:noWrap w:val="0"/>
                  <w:vAlign w:val="center"/>
                </w:tcPr>
                <w:p w14:paraId="64101CEE">
                  <w:pPr>
                    <w:jc w:val="center"/>
                    <w:rPr>
                      <w:rFonts w:hint="default" w:ascii="Times New Roman" w:hAnsi="Times New Roman" w:cs="Times New Roman"/>
                      <w:b w:val="0"/>
                      <w:bCs w:val="0"/>
                      <w:color w:val="auto"/>
                      <w:sz w:val="21"/>
                      <w:szCs w:val="21"/>
                    </w:rPr>
                  </w:pPr>
                  <w:r>
                    <w:rPr>
                      <w:rFonts w:hint="default" w:ascii="Times New Roman" w:hAnsi="Times New Roman" w:cs="Times New Roman"/>
                      <w:b w:val="0"/>
                      <w:bCs w:val="0"/>
                      <w:color w:val="auto"/>
                      <w:sz w:val="21"/>
                      <w:szCs w:val="21"/>
                    </w:rPr>
                    <w:t>政策要求</w:t>
                  </w:r>
                </w:p>
              </w:tc>
              <w:tc>
                <w:tcPr>
                  <w:tcW w:w="1434" w:type="pct"/>
                  <w:noWrap w:val="0"/>
                  <w:vAlign w:val="center"/>
                </w:tcPr>
                <w:p w14:paraId="1BA80D66">
                  <w:pPr>
                    <w:jc w:val="center"/>
                    <w:rPr>
                      <w:rFonts w:hint="default" w:ascii="Times New Roman" w:hAnsi="Times New Roman" w:cs="Times New Roman"/>
                      <w:b w:val="0"/>
                      <w:bCs w:val="0"/>
                      <w:color w:val="auto"/>
                      <w:sz w:val="21"/>
                      <w:szCs w:val="21"/>
                    </w:rPr>
                  </w:pPr>
                  <w:r>
                    <w:rPr>
                      <w:rFonts w:hint="default" w:ascii="Times New Roman" w:hAnsi="Times New Roman" w:cs="Times New Roman"/>
                      <w:b w:val="0"/>
                      <w:bCs w:val="0"/>
                      <w:color w:val="auto"/>
                      <w:sz w:val="21"/>
                      <w:szCs w:val="21"/>
                    </w:rPr>
                    <w:t>本项目情况</w:t>
                  </w:r>
                </w:p>
              </w:tc>
              <w:tc>
                <w:tcPr>
                  <w:tcW w:w="483" w:type="pct"/>
                  <w:noWrap w:val="0"/>
                  <w:vAlign w:val="center"/>
                </w:tcPr>
                <w:p w14:paraId="1D719284">
                  <w:pPr>
                    <w:jc w:val="center"/>
                    <w:rPr>
                      <w:rFonts w:hint="default" w:ascii="Times New Roman" w:hAnsi="Times New Roman" w:cs="Times New Roman"/>
                      <w:b w:val="0"/>
                      <w:bCs w:val="0"/>
                      <w:color w:val="auto"/>
                      <w:sz w:val="21"/>
                      <w:szCs w:val="21"/>
                    </w:rPr>
                  </w:pPr>
                  <w:r>
                    <w:rPr>
                      <w:rFonts w:hint="default" w:ascii="Times New Roman" w:hAnsi="Times New Roman" w:cs="Times New Roman"/>
                      <w:b w:val="0"/>
                      <w:bCs w:val="0"/>
                      <w:color w:val="auto"/>
                      <w:sz w:val="21"/>
                      <w:szCs w:val="21"/>
                    </w:rPr>
                    <w:t>相符性</w:t>
                  </w:r>
                </w:p>
              </w:tc>
            </w:tr>
            <w:tr w14:paraId="1A219921">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7" w:type="dxa"/>
                  <w:bottom w:w="0" w:type="dxa"/>
                  <w:right w:w="57" w:type="dxa"/>
                </w:tblCellMar>
              </w:tblPrEx>
              <w:trPr>
                <w:jc w:val="center"/>
              </w:trPr>
              <w:tc>
                <w:tcPr>
                  <w:tcW w:w="567" w:type="pct"/>
                  <w:noWrap w:val="0"/>
                  <w:vAlign w:val="center"/>
                </w:tcPr>
                <w:p w14:paraId="7CCAED27">
                  <w:pPr>
                    <w:jc w:val="center"/>
                    <w:rPr>
                      <w:rFonts w:hint="default" w:ascii="Times New Roman" w:hAnsi="Times New Roman" w:cs="Times New Roman"/>
                      <w:b w:val="0"/>
                      <w:bCs w:val="0"/>
                      <w:color w:val="auto"/>
                      <w:sz w:val="21"/>
                      <w:szCs w:val="21"/>
                    </w:rPr>
                  </w:pPr>
                  <w:r>
                    <w:rPr>
                      <w:rFonts w:hint="default" w:ascii="Times New Roman" w:hAnsi="Times New Roman" w:cs="Times New Roman"/>
                      <w:b w:val="0"/>
                      <w:bCs w:val="0"/>
                      <w:color w:val="auto"/>
                      <w:sz w:val="21"/>
                      <w:szCs w:val="21"/>
                    </w:rPr>
                    <w:t>《西咸新区-泾河新城分区规划修编（2016-2035）》</w:t>
                  </w:r>
                </w:p>
              </w:tc>
              <w:tc>
                <w:tcPr>
                  <w:tcW w:w="2515" w:type="pct"/>
                  <w:noWrap w:val="0"/>
                  <w:vAlign w:val="center"/>
                </w:tcPr>
                <w:p w14:paraId="65D83F12">
                  <w:pPr>
                    <w:rPr>
                      <w:rFonts w:hint="default" w:ascii="Times New Roman" w:hAnsi="Times New Roman" w:cs="Times New Roman"/>
                      <w:b w:val="0"/>
                      <w:bCs w:val="0"/>
                      <w:color w:val="auto"/>
                      <w:sz w:val="21"/>
                      <w:szCs w:val="21"/>
                    </w:rPr>
                  </w:pPr>
                  <w:r>
                    <w:rPr>
                      <w:rFonts w:hint="default" w:ascii="Times New Roman" w:hAnsi="Times New Roman" w:cs="Times New Roman"/>
                      <w:b w:val="0"/>
                      <w:bCs w:val="0"/>
                      <w:color w:val="auto"/>
                      <w:sz w:val="21"/>
                      <w:szCs w:val="21"/>
                    </w:rPr>
                    <w:t>规划将泾河新城总体定位为：以先进制造业、现代服务业、现代农业为主导产业，以智能制造、生产性服务、文化旅游和茯茶产业为特色产业，具有浓厚古今文化韵味、智慧宜居氛围的大西安北部生态休闲示范区和渭北创新产业服务高地。</w:t>
                  </w:r>
                </w:p>
              </w:tc>
              <w:tc>
                <w:tcPr>
                  <w:tcW w:w="1434" w:type="pct"/>
                  <w:noWrap w:val="0"/>
                  <w:vAlign w:val="center"/>
                </w:tcPr>
                <w:p w14:paraId="746FE9E9">
                  <w:pPr>
                    <w:rPr>
                      <w:rFonts w:hint="default" w:ascii="Times New Roman" w:hAnsi="Times New Roman" w:eastAsia="宋体" w:cs="Times New Roman"/>
                      <w:b w:val="0"/>
                      <w:bCs w:val="0"/>
                      <w:color w:val="auto"/>
                      <w:sz w:val="21"/>
                      <w:szCs w:val="21"/>
                      <w:lang w:val="en-US" w:eastAsia="zh-CN"/>
                    </w:rPr>
                  </w:pPr>
                  <w:r>
                    <w:rPr>
                      <w:rFonts w:hint="default" w:ascii="Times New Roman" w:hAnsi="Times New Roman" w:cs="Times New Roman"/>
                      <w:b w:val="0"/>
                      <w:bCs w:val="0"/>
                      <w:color w:val="auto"/>
                      <w:sz w:val="21"/>
                      <w:szCs w:val="21"/>
                    </w:rPr>
                    <w:t>本项目位于西咸新区泾河新城崇文镇</w:t>
                  </w:r>
                  <w:r>
                    <w:rPr>
                      <w:rFonts w:hint="default" w:ascii="Times New Roman" w:hAnsi="Times New Roman" w:cs="Times New Roman"/>
                      <w:b w:val="0"/>
                      <w:bCs w:val="0"/>
                      <w:color w:val="auto"/>
                      <w:sz w:val="21"/>
                      <w:szCs w:val="21"/>
                      <w:lang w:val="en-US" w:eastAsia="zh-CN"/>
                    </w:rPr>
                    <w:t>焦村泾科路1号</w:t>
                  </w:r>
                  <w:r>
                    <w:rPr>
                      <w:rFonts w:hint="default" w:ascii="Times New Roman" w:hAnsi="Times New Roman" w:cs="Times New Roman"/>
                      <w:b w:val="0"/>
                      <w:bCs w:val="0"/>
                      <w:color w:val="auto"/>
                      <w:sz w:val="21"/>
                      <w:szCs w:val="21"/>
                    </w:rPr>
                    <w:t>，</w:t>
                  </w:r>
                  <w:r>
                    <w:rPr>
                      <w:rFonts w:hint="eastAsia" w:cs="Times New Roman"/>
                      <w:b w:val="0"/>
                      <w:bCs w:val="0"/>
                      <w:color w:val="auto"/>
                      <w:sz w:val="21"/>
                      <w:szCs w:val="21"/>
                      <w:lang w:val="en-US" w:eastAsia="zh-CN"/>
                    </w:rPr>
                    <w:t>属于</w:t>
                  </w:r>
                  <w:r>
                    <w:rPr>
                      <w:rFonts w:hint="default" w:ascii="Times New Roman" w:hAnsi="Times New Roman" w:cs="Times New Roman"/>
                      <w:b w:val="0"/>
                      <w:bCs w:val="0"/>
                      <w:color w:val="auto"/>
                      <w:sz w:val="21"/>
                      <w:szCs w:val="21"/>
                    </w:rPr>
                    <w:t>规划范围内</w:t>
                  </w:r>
                  <w:r>
                    <w:rPr>
                      <w:rFonts w:hint="eastAsia" w:cs="Times New Roman"/>
                      <w:b w:val="0"/>
                      <w:bCs w:val="0"/>
                      <w:color w:val="auto"/>
                      <w:sz w:val="21"/>
                      <w:szCs w:val="21"/>
                      <w:lang w:eastAsia="zh-CN"/>
                    </w:rPr>
                    <w:t>。</w:t>
                  </w:r>
                  <w:r>
                    <w:rPr>
                      <w:rFonts w:hint="eastAsia" w:cs="Times New Roman"/>
                      <w:b w:val="0"/>
                      <w:bCs w:val="0"/>
                      <w:color w:val="auto"/>
                      <w:sz w:val="21"/>
                      <w:szCs w:val="21"/>
                      <w:lang w:val="en-US" w:eastAsia="zh-CN"/>
                    </w:rPr>
                    <w:t>本项目为新建项目，主要进行钛材表面处理，属于制造业，符合产业定位。</w:t>
                  </w:r>
                </w:p>
              </w:tc>
              <w:tc>
                <w:tcPr>
                  <w:tcW w:w="483" w:type="pct"/>
                  <w:noWrap w:val="0"/>
                  <w:vAlign w:val="center"/>
                </w:tcPr>
                <w:p w14:paraId="21198F48">
                  <w:pPr>
                    <w:jc w:val="center"/>
                    <w:rPr>
                      <w:rFonts w:hint="default" w:ascii="Times New Roman" w:hAnsi="Times New Roman" w:cs="Times New Roman"/>
                      <w:b w:val="0"/>
                      <w:bCs w:val="0"/>
                      <w:color w:val="auto"/>
                      <w:sz w:val="21"/>
                      <w:szCs w:val="21"/>
                    </w:rPr>
                  </w:pPr>
                  <w:r>
                    <w:rPr>
                      <w:rFonts w:hint="default" w:ascii="Times New Roman" w:hAnsi="Times New Roman" w:cs="Times New Roman"/>
                      <w:b w:val="0"/>
                      <w:bCs w:val="0"/>
                      <w:color w:val="auto"/>
                      <w:sz w:val="21"/>
                      <w:szCs w:val="21"/>
                    </w:rPr>
                    <w:t>相符</w:t>
                  </w:r>
                </w:p>
              </w:tc>
            </w:tr>
            <w:tr w14:paraId="29FD8721">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7" w:type="dxa"/>
                  <w:bottom w:w="0" w:type="dxa"/>
                  <w:right w:w="57" w:type="dxa"/>
                </w:tblCellMar>
              </w:tblPrEx>
              <w:trPr>
                <w:trHeight w:val="3931" w:hRule="atLeast"/>
                <w:jc w:val="center"/>
              </w:trPr>
              <w:tc>
                <w:tcPr>
                  <w:tcW w:w="567" w:type="pct"/>
                  <w:noWrap w:val="0"/>
                  <w:vAlign w:val="center"/>
                </w:tcPr>
                <w:p w14:paraId="39B4B09D">
                  <w:pPr>
                    <w:jc w:val="center"/>
                    <w:rPr>
                      <w:rFonts w:hint="default" w:ascii="Times New Roman" w:hAnsi="Times New Roman" w:cs="Times New Roman"/>
                      <w:b w:val="0"/>
                      <w:bCs w:val="0"/>
                      <w:color w:val="auto"/>
                      <w:sz w:val="21"/>
                      <w:szCs w:val="21"/>
                    </w:rPr>
                  </w:pPr>
                  <w:r>
                    <w:rPr>
                      <w:rFonts w:hint="default" w:ascii="Times New Roman" w:hAnsi="Times New Roman" w:cs="Times New Roman"/>
                      <w:b w:val="0"/>
                      <w:bCs w:val="0"/>
                      <w:color w:val="auto"/>
                      <w:sz w:val="21"/>
                      <w:szCs w:val="21"/>
                    </w:rPr>
                    <w:t>《陕西省西咸新区泾河新城控制性详细规划（2016-2035）》</w:t>
                  </w:r>
                </w:p>
              </w:tc>
              <w:tc>
                <w:tcPr>
                  <w:tcW w:w="2515" w:type="pct"/>
                  <w:noWrap w:val="0"/>
                  <w:vAlign w:val="center"/>
                </w:tcPr>
                <w:p w14:paraId="06AAA465">
                  <w:pPr>
                    <w:rPr>
                      <w:rFonts w:hint="default" w:ascii="Times New Roman" w:hAnsi="Times New Roman" w:cs="Times New Roman"/>
                      <w:b w:val="0"/>
                      <w:bCs w:val="0"/>
                      <w:color w:val="auto"/>
                      <w:sz w:val="21"/>
                      <w:szCs w:val="21"/>
                    </w:rPr>
                  </w:pPr>
                  <w:r>
                    <w:rPr>
                      <w:rFonts w:hint="default" w:ascii="Times New Roman" w:hAnsi="Times New Roman" w:cs="Times New Roman"/>
                      <w:b w:val="0"/>
                      <w:bCs w:val="0"/>
                      <w:color w:val="auto"/>
                      <w:sz w:val="21"/>
                      <w:szCs w:val="21"/>
                    </w:rPr>
                    <w:t>规划将泾河新城总体定位为：以先进制造业、现代服务业、现代农业为主导产业，以智能制造、生产性服务、文化旅游和茯茶产业为特色产业，具有浓厚古今文化韵味、智慧宜居氛围的大西安北部生态休闲示范区和渭北创新产业服务高地。</w:t>
                  </w:r>
                </w:p>
                <w:p w14:paraId="08439935">
                  <w:pPr>
                    <w:rPr>
                      <w:rFonts w:hint="default" w:ascii="Times New Roman" w:hAnsi="Times New Roman" w:cs="Times New Roman"/>
                      <w:b w:val="0"/>
                      <w:bCs w:val="0"/>
                      <w:color w:val="auto"/>
                      <w:sz w:val="21"/>
                      <w:szCs w:val="21"/>
                    </w:rPr>
                  </w:pPr>
                  <w:r>
                    <w:rPr>
                      <w:rFonts w:hint="default" w:ascii="Times New Roman" w:hAnsi="Times New Roman" w:cs="Times New Roman"/>
                      <w:b w:val="0"/>
                      <w:bCs w:val="0"/>
                      <w:color w:val="auto"/>
                      <w:sz w:val="21"/>
                      <w:szCs w:val="21"/>
                    </w:rPr>
                    <w:t>第二产业重点构建</w:t>
                  </w:r>
                  <w:r>
                    <w:rPr>
                      <w:rFonts w:hint="eastAsia" w:ascii="Times New Roman" w:hAnsi="Times New Roman" w:cs="Times New Roman"/>
                      <w:b w:val="0"/>
                      <w:bCs w:val="0"/>
                      <w:color w:val="auto"/>
                      <w:sz w:val="21"/>
                      <w:szCs w:val="21"/>
                      <w:lang w:eastAsia="zh-CN"/>
                    </w:rPr>
                    <w:t>“</w:t>
                  </w:r>
                  <w:r>
                    <w:rPr>
                      <w:rFonts w:hint="default" w:ascii="Times New Roman" w:hAnsi="Times New Roman" w:cs="Times New Roman"/>
                      <w:b w:val="0"/>
                      <w:bCs w:val="0"/>
                      <w:color w:val="auto"/>
                      <w:sz w:val="21"/>
                      <w:szCs w:val="21"/>
                    </w:rPr>
                    <w:t>两大</w:t>
                  </w:r>
                  <w:r>
                    <w:rPr>
                      <w:rFonts w:hint="eastAsia" w:ascii="Times New Roman" w:hAnsi="Times New Roman" w:cs="Times New Roman"/>
                      <w:b w:val="0"/>
                      <w:bCs w:val="0"/>
                      <w:color w:val="auto"/>
                      <w:sz w:val="21"/>
                      <w:szCs w:val="21"/>
                      <w:lang w:eastAsia="zh-CN"/>
                    </w:rPr>
                    <w:t>”</w:t>
                  </w:r>
                  <w:r>
                    <w:rPr>
                      <w:rFonts w:hint="default" w:ascii="Times New Roman" w:hAnsi="Times New Roman" w:cs="Times New Roman"/>
                      <w:b w:val="0"/>
                      <w:bCs w:val="0"/>
                      <w:color w:val="auto"/>
                      <w:sz w:val="21"/>
                      <w:szCs w:val="21"/>
                    </w:rPr>
                    <w:t>产业板块：第一板块，为新能源新材料装备制造业园区，园区位于沣经大道以北，高泾大道以南，县东路以东，包茂高速复线以西。以中国锂产业园、温商高端制造产业园为龙头，不断延伸产业链，加速产业聚集，最终形成以新能源、新材料、高端装备、地理信息、生物制药、现代物流等主导产业为主的战略性新兴产业聚集区。</w:t>
                  </w:r>
                </w:p>
              </w:tc>
              <w:tc>
                <w:tcPr>
                  <w:tcW w:w="1434" w:type="pct"/>
                  <w:noWrap w:val="0"/>
                  <w:vAlign w:val="center"/>
                </w:tcPr>
                <w:p w14:paraId="16CBB971">
                  <w:pPr>
                    <w:rPr>
                      <w:rFonts w:hint="default" w:ascii="Times New Roman" w:hAnsi="Times New Roman" w:cs="Times New Roman"/>
                      <w:b w:val="0"/>
                      <w:bCs w:val="0"/>
                      <w:color w:val="auto"/>
                      <w:sz w:val="21"/>
                      <w:szCs w:val="21"/>
                    </w:rPr>
                  </w:pPr>
                  <w:r>
                    <w:rPr>
                      <w:rFonts w:hint="default" w:ascii="Times New Roman" w:hAnsi="Times New Roman" w:cs="Times New Roman"/>
                      <w:b w:val="0"/>
                      <w:bCs w:val="0"/>
                      <w:color w:val="auto"/>
                      <w:sz w:val="21"/>
                      <w:szCs w:val="21"/>
                    </w:rPr>
                    <w:t>本项目位于西咸新区泾河新城崇文镇</w:t>
                  </w:r>
                  <w:r>
                    <w:rPr>
                      <w:rFonts w:hint="default" w:ascii="Times New Roman" w:hAnsi="Times New Roman" w:cs="Times New Roman"/>
                      <w:b w:val="0"/>
                      <w:bCs w:val="0"/>
                      <w:color w:val="auto"/>
                      <w:sz w:val="21"/>
                      <w:szCs w:val="21"/>
                      <w:lang w:val="en-US" w:eastAsia="zh-CN"/>
                    </w:rPr>
                    <w:t>焦村泾科路1号</w:t>
                  </w:r>
                  <w:r>
                    <w:rPr>
                      <w:rFonts w:hint="default" w:ascii="Times New Roman" w:hAnsi="Times New Roman" w:cs="Times New Roman"/>
                      <w:b w:val="0"/>
                      <w:bCs w:val="0"/>
                      <w:color w:val="auto"/>
                      <w:sz w:val="21"/>
                      <w:szCs w:val="21"/>
                    </w:rPr>
                    <w:t>，</w:t>
                  </w:r>
                  <w:r>
                    <w:rPr>
                      <w:rFonts w:hint="eastAsia" w:cs="Times New Roman"/>
                      <w:b w:val="0"/>
                      <w:bCs w:val="0"/>
                      <w:color w:val="auto"/>
                      <w:sz w:val="21"/>
                      <w:szCs w:val="21"/>
                      <w:lang w:val="en-US" w:eastAsia="zh-CN"/>
                    </w:rPr>
                    <w:t>属于</w:t>
                  </w:r>
                  <w:r>
                    <w:rPr>
                      <w:rFonts w:hint="default" w:ascii="Times New Roman" w:hAnsi="Times New Roman" w:cs="Times New Roman"/>
                      <w:b w:val="0"/>
                      <w:bCs w:val="0"/>
                      <w:color w:val="auto"/>
                      <w:sz w:val="21"/>
                      <w:szCs w:val="21"/>
                    </w:rPr>
                    <w:t>规划范围内。</w:t>
                  </w:r>
                </w:p>
                <w:p w14:paraId="0F0335F0">
                  <w:pPr>
                    <w:rPr>
                      <w:rFonts w:hint="default" w:ascii="Times New Roman" w:hAnsi="Times New Roman" w:cs="Times New Roman"/>
                      <w:b w:val="0"/>
                      <w:bCs w:val="0"/>
                      <w:color w:val="auto"/>
                      <w:sz w:val="21"/>
                      <w:szCs w:val="21"/>
                    </w:rPr>
                  </w:pPr>
                  <w:r>
                    <w:rPr>
                      <w:rFonts w:hint="eastAsia" w:cs="Times New Roman"/>
                      <w:b w:val="0"/>
                      <w:bCs w:val="0"/>
                      <w:color w:val="auto"/>
                      <w:sz w:val="21"/>
                      <w:szCs w:val="21"/>
                      <w:lang w:val="en-US" w:eastAsia="zh-CN"/>
                    </w:rPr>
                    <w:t>本项目为新建项目，主要进行钛材表面处理，属于制造业，符合产业定位。</w:t>
                  </w:r>
                </w:p>
              </w:tc>
              <w:tc>
                <w:tcPr>
                  <w:tcW w:w="483" w:type="pct"/>
                  <w:noWrap w:val="0"/>
                  <w:vAlign w:val="center"/>
                </w:tcPr>
                <w:p w14:paraId="72A1B674">
                  <w:pPr>
                    <w:jc w:val="center"/>
                    <w:rPr>
                      <w:rFonts w:hint="default" w:ascii="Times New Roman" w:hAnsi="Times New Roman" w:cs="Times New Roman"/>
                      <w:b w:val="0"/>
                      <w:bCs w:val="0"/>
                      <w:color w:val="auto"/>
                      <w:sz w:val="21"/>
                      <w:szCs w:val="21"/>
                    </w:rPr>
                  </w:pPr>
                  <w:r>
                    <w:rPr>
                      <w:rFonts w:hint="default" w:ascii="Times New Roman" w:hAnsi="Times New Roman" w:cs="Times New Roman"/>
                      <w:b w:val="0"/>
                      <w:bCs w:val="0"/>
                      <w:color w:val="auto"/>
                      <w:sz w:val="21"/>
                      <w:szCs w:val="21"/>
                    </w:rPr>
                    <w:t>相符</w:t>
                  </w:r>
                </w:p>
              </w:tc>
            </w:tr>
            <w:tr w14:paraId="2BEE56A0">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7" w:type="dxa"/>
                  <w:bottom w:w="0" w:type="dxa"/>
                  <w:right w:w="57" w:type="dxa"/>
                </w:tblCellMar>
              </w:tblPrEx>
              <w:trPr>
                <w:jc w:val="center"/>
              </w:trPr>
              <w:tc>
                <w:tcPr>
                  <w:tcW w:w="567" w:type="pct"/>
                  <w:vMerge w:val="restart"/>
                  <w:noWrap w:val="0"/>
                  <w:vAlign w:val="center"/>
                </w:tcPr>
                <w:p w14:paraId="009A5173">
                  <w:pPr>
                    <w:jc w:val="center"/>
                    <w:rPr>
                      <w:rFonts w:hint="default" w:ascii="Times New Roman" w:hAnsi="Times New Roman" w:cs="Times New Roman"/>
                      <w:b w:val="0"/>
                      <w:bCs w:val="0"/>
                      <w:color w:val="auto"/>
                      <w:sz w:val="21"/>
                      <w:szCs w:val="21"/>
                    </w:rPr>
                  </w:pPr>
                  <w:r>
                    <w:rPr>
                      <w:rFonts w:hint="default" w:ascii="Times New Roman" w:hAnsi="Times New Roman" w:cs="Times New Roman"/>
                      <w:b w:val="0"/>
                      <w:bCs w:val="0"/>
                      <w:color w:val="auto"/>
                      <w:sz w:val="21"/>
                      <w:szCs w:val="21"/>
                    </w:rPr>
                    <w:t>《陕西省西咸新区泾河新城分区规划（2016-2035）环境影响报告书》及审查意见</w:t>
                  </w:r>
                </w:p>
              </w:tc>
              <w:tc>
                <w:tcPr>
                  <w:tcW w:w="2515" w:type="pct"/>
                  <w:noWrap w:val="0"/>
                  <w:vAlign w:val="center"/>
                </w:tcPr>
                <w:p w14:paraId="6DA274CA">
                  <w:pPr>
                    <w:rPr>
                      <w:rFonts w:hint="default" w:ascii="Times New Roman" w:hAnsi="Times New Roman" w:cs="Times New Roman"/>
                      <w:b w:val="0"/>
                      <w:bCs w:val="0"/>
                      <w:color w:val="auto"/>
                      <w:sz w:val="21"/>
                      <w:szCs w:val="21"/>
                    </w:rPr>
                  </w:pPr>
                  <w:r>
                    <w:rPr>
                      <w:rFonts w:hint="default" w:ascii="Times New Roman" w:hAnsi="Times New Roman" w:cs="Times New Roman"/>
                      <w:b w:val="0"/>
                      <w:bCs w:val="0"/>
                      <w:color w:val="auto"/>
                      <w:sz w:val="21"/>
                      <w:szCs w:val="21"/>
                    </w:rPr>
                    <w:t>规划实施后区域污水集中收集处理，部分污水经处理作为中水回用，水污染物排放现状大幅降低，泾河能够满足水环境容量要求。</w:t>
                  </w:r>
                </w:p>
              </w:tc>
              <w:tc>
                <w:tcPr>
                  <w:tcW w:w="1434" w:type="pct"/>
                  <w:noWrap w:val="0"/>
                  <w:vAlign w:val="center"/>
                </w:tcPr>
                <w:p w14:paraId="7EA436EF">
                  <w:pPr>
                    <w:rPr>
                      <w:rFonts w:hint="default" w:ascii="Times New Roman" w:hAnsi="Times New Roman" w:cs="Times New Roman"/>
                      <w:b w:val="0"/>
                      <w:bCs w:val="0"/>
                      <w:color w:val="auto"/>
                      <w:sz w:val="21"/>
                      <w:szCs w:val="21"/>
                    </w:rPr>
                  </w:pPr>
                  <w:r>
                    <w:rPr>
                      <w:rFonts w:hint="default" w:ascii="Times New Roman" w:hAnsi="Times New Roman" w:cs="Times New Roman"/>
                      <w:b w:val="0"/>
                      <w:bCs w:val="0"/>
                      <w:color w:val="auto"/>
                      <w:sz w:val="21"/>
                      <w:szCs w:val="21"/>
                    </w:rPr>
                    <w:t>本项目生活污水依托陕西重型机械制造有限公司处理后</w:t>
                  </w:r>
                  <w:r>
                    <w:rPr>
                      <w:rFonts w:hint="eastAsia" w:cs="Times New Roman"/>
                      <w:b w:val="0"/>
                      <w:bCs w:val="0"/>
                      <w:color w:val="auto"/>
                      <w:sz w:val="21"/>
                      <w:szCs w:val="21"/>
                      <w:lang w:val="en-US" w:eastAsia="zh-CN"/>
                    </w:rPr>
                    <w:t>经</w:t>
                  </w:r>
                  <w:r>
                    <w:rPr>
                      <w:rFonts w:hint="default" w:ascii="Times New Roman" w:hAnsi="Times New Roman" w:cs="Times New Roman"/>
                      <w:b w:val="0"/>
                      <w:bCs w:val="0"/>
                      <w:color w:val="auto"/>
                      <w:sz w:val="21"/>
                      <w:szCs w:val="21"/>
                    </w:rPr>
                    <w:t>市政管网排入西安工业资产经营公司泾河产业基地污水处理站。</w:t>
                  </w:r>
                </w:p>
              </w:tc>
              <w:tc>
                <w:tcPr>
                  <w:tcW w:w="483" w:type="pct"/>
                  <w:noWrap w:val="0"/>
                  <w:vAlign w:val="center"/>
                </w:tcPr>
                <w:p w14:paraId="0E089996">
                  <w:pPr>
                    <w:jc w:val="center"/>
                    <w:rPr>
                      <w:rFonts w:hint="default" w:ascii="Times New Roman" w:hAnsi="Times New Roman" w:cs="Times New Roman"/>
                      <w:b w:val="0"/>
                      <w:bCs w:val="0"/>
                      <w:color w:val="auto"/>
                      <w:sz w:val="21"/>
                      <w:szCs w:val="21"/>
                    </w:rPr>
                  </w:pPr>
                  <w:r>
                    <w:rPr>
                      <w:rFonts w:hint="default" w:ascii="Times New Roman" w:hAnsi="Times New Roman" w:cs="Times New Roman"/>
                      <w:b w:val="0"/>
                      <w:bCs w:val="0"/>
                      <w:color w:val="auto"/>
                      <w:sz w:val="21"/>
                      <w:szCs w:val="21"/>
                    </w:rPr>
                    <w:t>相符</w:t>
                  </w:r>
                </w:p>
              </w:tc>
            </w:tr>
            <w:tr w14:paraId="4F4144D1">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7" w:type="dxa"/>
                  <w:bottom w:w="0" w:type="dxa"/>
                  <w:right w:w="57" w:type="dxa"/>
                </w:tblCellMar>
              </w:tblPrEx>
              <w:trPr>
                <w:jc w:val="center"/>
              </w:trPr>
              <w:tc>
                <w:tcPr>
                  <w:tcW w:w="567" w:type="pct"/>
                  <w:vMerge w:val="continue"/>
                  <w:noWrap w:val="0"/>
                  <w:vAlign w:val="center"/>
                </w:tcPr>
                <w:p w14:paraId="744E85F5">
                  <w:pPr>
                    <w:widowControl/>
                    <w:ind w:firstLine="420" w:firstLineChars="200"/>
                    <w:rPr>
                      <w:rFonts w:hint="default" w:ascii="Times New Roman" w:hAnsi="Times New Roman" w:cs="Times New Roman"/>
                      <w:b w:val="0"/>
                      <w:bCs w:val="0"/>
                      <w:color w:val="auto"/>
                      <w:sz w:val="21"/>
                      <w:szCs w:val="21"/>
                    </w:rPr>
                  </w:pPr>
                </w:p>
              </w:tc>
              <w:tc>
                <w:tcPr>
                  <w:tcW w:w="2515" w:type="pct"/>
                  <w:noWrap w:val="0"/>
                  <w:vAlign w:val="center"/>
                </w:tcPr>
                <w:p w14:paraId="1A2375EB">
                  <w:pPr>
                    <w:rPr>
                      <w:rFonts w:hint="default" w:ascii="Times New Roman" w:hAnsi="Times New Roman" w:cs="Times New Roman"/>
                      <w:b w:val="0"/>
                      <w:bCs w:val="0"/>
                      <w:color w:val="auto"/>
                      <w:sz w:val="21"/>
                      <w:szCs w:val="21"/>
                    </w:rPr>
                  </w:pPr>
                  <w:r>
                    <w:rPr>
                      <w:rFonts w:hint="default" w:ascii="Times New Roman" w:hAnsi="Times New Roman" w:cs="Times New Roman"/>
                      <w:b w:val="0"/>
                      <w:bCs w:val="0"/>
                      <w:color w:val="auto"/>
                      <w:sz w:val="21"/>
                      <w:szCs w:val="21"/>
                    </w:rPr>
                    <w:t>加强运输车辆的管理，如对运输土方、建筑垃圾或散装建材等的车辆，控制其装载量，并要求其采用篷布覆盖或密闭方式等，可减少路面尘源。</w:t>
                  </w:r>
                </w:p>
              </w:tc>
              <w:tc>
                <w:tcPr>
                  <w:tcW w:w="1434" w:type="pct"/>
                  <w:noWrap w:val="0"/>
                  <w:vAlign w:val="center"/>
                </w:tcPr>
                <w:p w14:paraId="5490A043">
                  <w:pPr>
                    <w:rPr>
                      <w:rFonts w:hint="default" w:ascii="Times New Roman" w:hAnsi="Times New Roman" w:cs="Times New Roman"/>
                      <w:b w:val="0"/>
                      <w:bCs w:val="0"/>
                      <w:color w:val="auto"/>
                      <w:sz w:val="21"/>
                      <w:szCs w:val="21"/>
                    </w:rPr>
                  </w:pPr>
                  <w:r>
                    <w:rPr>
                      <w:rFonts w:hint="default" w:ascii="Times New Roman" w:hAnsi="Times New Roman" w:cs="Times New Roman"/>
                      <w:b w:val="0"/>
                      <w:bCs w:val="0"/>
                      <w:color w:val="auto"/>
                      <w:sz w:val="21"/>
                      <w:szCs w:val="21"/>
                    </w:rPr>
                    <w:t>项目在</w:t>
                  </w:r>
                  <w:r>
                    <w:rPr>
                      <w:rFonts w:hint="eastAsia" w:ascii="Times New Roman" w:hAnsi="Times New Roman" w:cs="Times New Roman"/>
                      <w:b w:val="0"/>
                      <w:bCs w:val="0"/>
                      <w:color w:val="auto"/>
                      <w:sz w:val="21"/>
                      <w:szCs w:val="21"/>
                      <w:lang w:val="en-US" w:eastAsia="zh-CN"/>
                    </w:rPr>
                    <w:t>已建成</w:t>
                  </w:r>
                  <w:r>
                    <w:rPr>
                      <w:rFonts w:hint="default" w:ascii="Times New Roman" w:hAnsi="Times New Roman" w:cs="Times New Roman"/>
                      <w:b w:val="0"/>
                      <w:bCs w:val="0"/>
                      <w:color w:val="auto"/>
                      <w:sz w:val="21"/>
                      <w:szCs w:val="21"/>
                    </w:rPr>
                    <w:t>厂房内进行</w:t>
                  </w:r>
                  <w:r>
                    <w:rPr>
                      <w:rFonts w:hint="eastAsia" w:ascii="Times New Roman" w:hAnsi="Times New Roman" w:cs="Times New Roman"/>
                      <w:b w:val="0"/>
                      <w:bCs w:val="0"/>
                      <w:color w:val="auto"/>
                      <w:sz w:val="21"/>
                      <w:szCs w:val="21"/>
                      <w:lang w:val="en-US" w:eastAsia="zh-CN"/>
                    </w:rPr>
                    <w:t>建设</w:t>
                  </w:r>
                  <w:r>
                    <w:rPr>
                      <w:rFonts w:hint="default" w:ascii="Times New Roman" w:hAnsi="Times New Roman" w:cs="Times New Roman"/>
                      <w:b w:val="0"/>
                      <w:bCs w:val="0"/>
                      <w:color w:val="auto"/>
                      <w:sz w:val="21"/>
                      <w:szCs w:val="21"/>
                    </w:rPr>
                    <w:t>，不涉及土方、建筑垃圾、散装建材的运输。</w:t>
                  </w:r>
                </w:p>
              </w:tc>
              <w:tc>
                <w:tcPr>
                  <w:tcW w:w="483" w:type="pct"/>
                  <w:noWrap w:val="0"/>
                  <w:vAlign w:val="center"/>
                </w:tcPr>
                <w:p w14:paraId="06D6F478">
                  <w:pPr>
                    <w:jc w:val="center"/>
                    <w:rPr>
                      <w:rFonts w:hint="default" w:ascii="Times New Roman" w:hAnsi="Times New Roman" w:cs="Times New Roman"/>
                      <w:b w:val="0"/>
                      <w:bCs w:val="0"/>
                      <w:color w:val="auto"/>
                      <w:sz w:val="21"/>
                      <w:szCs w:val="21"/>
                    </w:rPr>
                  </w:pPr>
                  <w:r>
                    <w:rPr>
                      <w:rFonts w:hint="default" w:ascii="Times New Roman" w:hAnsi="Times New Roman" w:cs="Times New Roman"/>
                      <w:b w:val="0"/>
                      <w:bCs w:val="0"/>
                      <w:color w:val="auto"/>
                      <w:sz w:val="21"/>
                      <w:szCs w:val="21"/>
                    </w:rPr>
                    <w:t>相符</w:t>
                  </w:r>
                </w:p>
              </w:tc>
            </w:tr>
            <w:tr w14:paraId="27913568">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7" w:type="dxa"/>
                  <w:bottom w:w="0" w:type="dxa"/>
                  <w:right w:w="57" w:type="dxa"/>
                </w:tblCellMar>
              </w:tblPrEx>
              <w:trPr>
                <w:jc w:val="center"/>
              </w:trPr>
              <w:tc>
                <w:tcPr>
                  <w:tcW w:w="567" w:type="pct"/>
                  <w:vMerge w:val="continue"/>
                  <w:noWrap w:val="0"/>
                  <w:vAlign w:val="center"/>
                </w:tcPr>
                <w:p w14:paraId="6AD73F5B">
                  <w:pPr>
                    <w:widowControl/>
                    <w:ind w:firstLine="420" w:firstLineChars="200"/>
                    <w:rPr>
                      <w:rFonts w:hint="default" w:ascii="Times New Roman" w:hAnsi="Times New Roman" w:cs="Times New Roman"/>
                      <w:b w:val="0"/>
                      <w:bCs w:val="0"/>
                      <w:color w:val="auto"/>
                      <w:sz w:val="21"/>
                      <w:szCs w:val="21"/>
                    </w:rPr>
                  </w:pPr>
                </w:p>
              </w:tc>
              <w:tc>
                <w:tcPr>
                  <w:tcW w:w="2515" w:type="pct"/>
                  <w:noWrap w:val="0"/>
                  <w:vAlign w:val="center"/>
                </w:tcPr>
                <w:p w14:paraId="6C46E339">
                  <w:pPr>
                    <w:rPr>
                      <w:rFonts w:hint="default" w:ascii="Times New Roman" w:hAnsi="Times New Roman" w:cs="Times New Roman"/>
                      <w:b w:val="0"/>
                      <w:bCs w:val="0"/>
                      <w:color w:val="auto"/>
                      <w:sz w:val="21"/>
                      <w:szCs w:val="21"/>
                    </w:rPr>
                  </w:pPr>
                  <w:r>
                    <w:rPr>
                      <w:rFonts w:hint="default" w:ascii="Times New Roman" w:hAnsi="Times New Roman" w:cs="Times New Roman"/>
                      <w:b w:val="0"/>
                      <w:bCs w:val="0"/>
                      <w:color w:val="auto"/>
                      <w:sz w:val="21"/>
                      <w:szCs w:val="21"/>
                    </w:rPr>
                    <w:t>规划新增项目产生的一般工业固体废物可以回收利用的，企业直接回收利用，或送厂家进行回收再利用，或外卖其他企业回收利用；无法综合利用的一般工业固体废物按《一般工业固体废物贮存和填埋污染控制标准》（GB18599-2020）要求，进行贮存。对于涉及危险废物的企业应建立危险废物暂存库并严格按照重点防渗区进行防渗处理，防止污染地下水，并定期及时交由有资质单位处置，应与有危险废物处置资质单位建立长期合作关系。</w:t>
                  </w:r>
                </w:p>
              </w:tc>
              <w:tc>
                <w:tcPr>
                  <w:tcW w:w="1434" w:type="pct"/>
                  <w:noWrap w:val="0"/>
                  <w:vAlign w:val="center"/>
                </w:tcPr>
                <w:p w14:paraId="11DDD6AF">
                  <w:pPr>
                    <w:rPr>
                      <w:rFonts w:hint="default" w:ascii="Times New Roman" w:hAnsi="Times New Roman" w:eastAsia="宋体" w:cs="Times New Roman"/>
                      <w:b w:val="0"/>
                      <w:bCs w:val="0"/>
                      <w:color w:val="auto"/>
                      <w:sz w:val="21"/>
                      <w:szCs w:val="21"/>
                      <w:lang w:val="en-US" w:eastAsia="zh-CN"/>
                    </w:rPr>
                  </w:pPr>
                  <w:r>
                    <w:rPr>
                      <w:rFonts w:hint="default" w:ascii="Times New Roman" w:hAnsi="Times New Roman" w:cs="Times New Roman"/>
                      <w:b w:val="0"/>
                      <w:bCs w:val="0"/>
                      <w:color w:val="auto"/>
                      <w:sz w:val="21"/>
                      <w:szCs w:val="21"/>
                    </w:rPr>
                    <w:t>本项目产生的一般固废</w:t>
                  </w:r>
                  <w:r>
                    <w:rPr>
                      <w:rFonts w:hint="eastAsia" w:cs="Times New Roman"/>
                      <w:b w:val="0"/>
                      <w:bCs w:val="0"/>
                      <w:color w:val="auto"/>
                      <w:sz w:val="21"/>
                      <w:szCs w:val="21"/>
                      <w:lang w:val="en-US" w:eastAsia="zh-CN"/>
                    </w:rPr>
                    <w:t>暂</w:t>
                  </w:r>
                  <w:r>
                    <w:rPr>
                      <w:rFonts w:hint="default" w:ascii="Times New Roman" w:hAnsi="Times New Roman" w:cs="Times New Roman"/>
                      <w:b w:val="0"/>
                      <w:bCs w:val="0"/>
                      <w:color w:val="auto"/>
                      <w:sz w:val="21"/>
                      <w:szCs w:val="21"/>
                    </w:rPr>
                    <w:t>存于一般固废暂存区后</w:t>
                  </w:r>
                  <w:r>
                    <w:rPr>
                      <w:rFonts w:hint="eastAsia" w:ascii="Times New Roman" w:hAnsi="Times New Roman" w:cs="Times New Roman"/>
                      <w:b w:val="0"/>
                      <w:bCs w:val="0"/>
                      <w:color w:val="auto"/>
                      <w:sz w:val="21"/>
                      <w:szCs w:val="21"/>
                      <w:lang w:val="en-US" w:eastAsia="zh-CN"/>
                    </w:rPr>
                    <w:t>统一</w:t>
                  </w:r>
                  <w:r>
                    <w:rPr>
                      <w:rFonts w:hint="default" w:ascii="Times New Roman" w:hAnsi="Times New Roman" w:cs="Times New Roman"/>
                      <w:b w:val="0"/>
                      <w:bCs w:val="0"/>
                      <w:color w:val="auto"/>
                      <w:sz w:val="21"/>
                      <w:szCs w:val="21"/>
                    </w:rPr>
                    <w:t>外售</w:t>
                  </w:r>
                  <w:r>
                    <w:rPr>
                      <w:rFonts w:hint="eastAsia" w:cs="Times New Roman"/>
                      <w:b w:val="0"/>
                      <w:bCs w:val="0"/>
                      <w:color w:val="auto"/>
                      <w:sz w:val="21"/>
                      <w:szCs w:val="21"/>
                      <w:lang w:val="en-US" w:eastAsia="zh-CN"/>
                    </w:rPr>
                    <w:t>。</w:t>
                  </w:r>
                </w:p>
              </w:tc>
              <w:tc>
                <w:tcPr>
                  <w:tcW w:w="483" w:type="pct"/>
                  <w:noWrap w:val="0"/>
                  <w:vAlign w:val="center"/>
                </w:tcPr>
                <w:p w14:paraId="661AE531">
                  <w:pPr>
                    <w:jc w:val="center"/>
                    <w:rPr>
                      <w:rFonts w:hint="default" w:ascii="Times New Roman" w:hAnsi="Times New Roman" w:cs="Times New Roman"/>
                      <w:b w:val="0"/>
                      <w:bCs w:val="0"/>
                      <w:color w:val="auto"/>
                      <w:sz w:val="21"/>
                      <w:szCs w:val="21"/>
                    </w:rPr>
                  </w:pPr>
                  <w:r>
                    <w:rPr>
                      <w:rFonts w:hint="default" w:ascii="Times New Roman" w:hAnsi="Times New Roman" w:cs="Times New Roman"/>
                      <w:b w:val="0"/>
                      <w:bCs w:val="0"/>
                      <w:color w:val="auto"/>
                      <w:sz w:val="21"/>
                      <w:szCs w:val="21"/>
                    </w:rPr>
                    <w:t>相符</w:t>
                  </w:r>
                </w:p>
              </w:tc>
            </w:tr>
          </w:tbl>
          <w:p w14:paraId="7CC7C1B0">
            <w:pPr>
              <w:autoSpaceDE w:val="0"/>
              <w:autoSpaceDN w:val="0"/>
              <w:adjustRightInd w:val="0"/>
              <w:snapToGrid w:val="0"/>
              <w:rPr>
                <w:color w:val="0000FF"/>
                <w:kern w:val="0"/>
                <w:sz w:val="24"/>
              </w:rPr>
            </w:pPr>
          </w:p>
        </w:tc>
      </w:tr>
      <w:tr w14:paraId="1D12BF1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1907" w:type="dxa"/>
            <w:vAlign w:val="center"/>
          </w:tcPr>
          <w:p w14:paraId="6E908D9B">
            <w:pPr>
              <w:autoSpaceDE w:val="0"/>
              <w:autoSpaceDN w:val="0"/>
              <w:adjustRightInd w:val="0"/>
              <w:snapToGrid w:val="0"/>
              <w:jc w:val="center"/>
              <w:rPr>
                <w:color w:val="auto"/>
                <w:kern w:val="0"/>
                <w:szCs w:val="21"/>
              </w:rPr>
            </w:pPr>
            <w:r>
              <w:rPr>
                <w:color w:val="auto"/>
                <w:kern w:val="0"/>
                <w:sz w:val="24"/>
              </w:rPr>
              <w:t>其他符合性分析</w:t>
            </w:r>
          </w:p>
        </w:tc>
        <w:tc>
          <w:tcPr>
            <w:tcW w:w="7025" w:type="dxa"/>
            <w:gridSpan w:val="3"/>
            <w:vAlign w:val="center"/>
          </w:tcPr>
          <w:p w14:paraId="2F576C30">
            <w:pPr>
              <w:spacing w:line="360" w:lineRule="auto"/>
              <w:ind w:firstLine="482" w:firstLineChars="200"/>
              <w:rPr>
                <w:b/>
                <w:bCs/>
                <w:color w:val="auto"/>
                <w:kern w:val="0"/>
                <w:sz w:val="24"/>
                <w:szCs w:val="20"/>
              </w:rPr>
            </w:pPr>
            <w:r>
              <w:rPr>
                <w:rFonts w:hint="eastAsia"/>
                <w:b/>
                <w:bCs/>
                <w:color w:val="auto"/>
                <w:kern w:val="0"/>
                <w:sz w:val="24"/>
                <w:szCs w:val="20"/>
              </w:rPr>
              <w:t>1、</w:t>
            </w:r>
            <w:r>
              <w:rPr>
                <w:b/>
                <w:bCs/>
                <w:color w:val="auto"/>
                <w:kern w:val="0"/>
                <w:sz w:val="24"/>
                <w:szCs w:val="20"/>
              </w:rPr>
              <w:t>产业政策相符性分析</w:t>
            </w:r>
          </w:p>
          <w:p w14:paraId="6B6531D9">
            <w:pPr>
              <w:spacing w:line="360" w:lineRule="auto"/>
              <w:ind w:firstLine="480" w:firstLineChars="200"/>
              <w:rPr>
                <w:color w:val="auto"/>
                <w:sz w:val="24"/>
              </w:rPr>
            </w:pPr>
            <w:r>
              <w:rPr>
                <w:color w:val="auto"/>
                <w:sz w:val="24"/>
              </w:rPr>
              <w:t>根据《产业结构调整指导目录（20</w:t>
            </w:r>
            <w:r>
              <w:rPr>
                <w:rFonts w:hint="eastAsia"/>
                <w:color w:val="auto"/>
                <w:sz w:val="24"/>
                <w:lang w:val="en-US" w:eastAsia="zh-CN"/>
              </w:rPr>
              <w:t>24</w:t>
            </w:r>
            <w:r>
              <w:rPr>
                <w:color w:val="auto"/>
                <w:sz w:val="24"/>
              </w:rPr>
              <w:t>年本）》，经查阅本项目不属于其中规定的</w:t>
            </w:r>
            <w:r>
              <w:rPr>
                <w:rFonts w:hint="eastAsia"/>
                <w:color w:val="auto"/>
                <w:sz w:val="24"/>
                <w:lang w:eastAsia="zh-CN"/>
              </w:rPr>
              <w:t>“</w:t>
            </w:r>
            <w:r>
              <w:rPr>
                <w:color w:val="auto"/>
                <w:sz w:val="24"/>
              </w:rPr>
              <w:t>鼓励类</w:t>
            </w:r>
            <w:r>
              <w:rPr>
                <w:rFonts w:hint="eastAsia"/>
                <w:color w:val="auto"/>
                <w:sz w:val="24"/>
                <w:lang w:eastAsia="zh-CN"/>
              </w:rPr>
              <w:t>”</w:t>
            </w:r>
            <w:r>
              <w:rPr>
                <w:color w:val="auto"/>
                <w:sz w:val="24"/>
              </w:rPr>
              <w:t>、</w:t>
            </w:r>
            <w:r>
              <w:rPr>
                <w:rFonts w:hint="eastAsia"/>
                <w:color w:val="auto"/>
                <w:sz w:val="24"/>
                <w:lang w:eastAsia="zh-CN"/>
              </w:rPr>
              <w:t>“</w:t>
            </w:r>
            <w:r>
              <w:rPr>
                <w:color w:val="auto"/>
                <w:sz w:val="24"/>
              </w:rPr>
              <w:t>限制类</w:t>
            </w:r>
            <w:r>
              <w:rPr>
                <w:rFonts w:hint="eastAsia"/>
                <w:color w:val="auto"/>
                <w:sz w:val="24"/>
                <w:lang w:eastAsia="zh-CN"/>
              </w:rPr>
              <w:t>”</w:t>
            </w:r>
            <w:r>
              <w:rPr>
                <w:color w:val="auto"/>
                <w:sz w:val="24"/>
              </w:rPr>
              <w:t>和</w:t>
            </w:r>
            <w:r>
              <w:rPr>
                <w:rFonts w:hint="eastAsia"/>
                <w:color w:val="auto"/>
                <w:sz w:val="24"/>
                <w:lang w:eastAsia="zh-CN"/>
              </w:rPr>
              <w:t>“</w:t>
            </w:r>
            <w:r>
              <w:rPr>
                <w:color w:val="auto"/>
                <w:sz w:val="24"/>
              </w:rPr>
              <w:t>淘汰类</w:t>
            </w:r>
            <w:r>
              <w:rPr>
                <w:rFonts w:hint="eastAsia"/>
                <w:color w:val="auto"/>
                <w:sz w:val="24"/>
                <w:lang w:eastAsia="zh-CN"/>
              </w:rPr>
              <w:t>”</w:t>
            </w:r>
            <w:r>
              <w:rPr>
                <w:color w:val="auto"/>
                <w:sz w:val="24"/>
              </w:rPr>
              <w:t>项目。</w:t>
            </w:r>
          </w:p>
          <w:p w14:paraId="22866194">
            <w:pPr>
              <w:spacing w:line="360" w:lineRule="auto"/>
              <w:ind w:firstLine="480" w:firstLineChars="200"/>
              <w:rPr>
                <w:color w:val="auto"/>
                <w:sz w:val="24"/>
              </w:rPr>
            </w:pPr>
            <w:r>
              <w:rPr>
                <w:color w:val="auto"/>
                <w:kern w:val="0"/>
                <w:sz w:val="24"/>
              </w:rPr>
              <w:t>经查阅，</w:t>
            </w:r>
            <w:r>
              <w:rPr>
                <w:color w:val="auto"/>
                <w:kern w:val="0"/>
                <w:sz w:val="24"/>
                <w:szCs w:val="20"/>
              </w:rPr>
              <w:t>本项目不属于《市场准入负面清单（2022年版）》</w:t>
            </w:r>
            <w:r>
              <w:rPr>
                <w:color w:val="auto"/>
                <w:sz w:val="24"/>
              </w:rPr>
              <w:t>中禁止或许可准入类；本项目已取得</w:t>
            </w:r>
            <w:r>
              <w:rPr>
                <w:color w:val="auto"/>
                <w:sz w:val="24"/>
                <w:lang w:val="en-US" w:eastAsia="zh-CN"/>
              </w:rPr>
              <w:t>陕西省西咸新区泾河新城</w:t>
            </w:r>
            <w:r>
              <w:rPr>
                <w:rFonts w:hint="eastAsia"/>
                <w:color w:val="auto"/>
                <w:sz w:val="24"/>
                <w:lang w:val="en-US" w:eastAsia="zh-CN"/>
              </w:rPr>
              <w:t>管理委员会</w:t>
            </w:r>
            <w:r>
              <w:rPr>
                <w:color w:val="auto"/>
                <w:sz w:val="24"/>
              </w:rPr>
              <w:t>关于本项目下发的陕西省</w:t>
            </w:r>
            <w:r>
              <w:rPr>
                <w:rFonts w:hint="eastAsia"/>
                <w:color w:val="auto"/>
                <w:sz w:val="24"/>
                <w:lang w:val="en-US" w:eastAsia="zh-CN"/>
              </w:rPr>
              <w:t>企业</w:t>
            </w:r>
            <w:r>
              <w:rPr>
                <w:color w:val="auto"/>
                <w:sz w:val="24"/>
              </w:rPr>
              <w:t>投资项目备案确认书，项目代码为</w:t>
            </w:r>
            <w:r>
              <w:rPr>
                <w:rFonts w:hint="eastAsia" w:eastAsia="宋体"/>
                <w:color w:val="auto"/>
                <w:sz w:val="24"/>
                <w:lang w:val="en-US" w:eastAsia="zh-CN"/>
              </w:rPr>
              <w:t>2408-611206-04-01-647742</w:t>
            </w:r>
            <w:r>
              <w:rPr>
                <w:color w:val="auto"/>
                <w:sz w:val="24"/>
              </w:rPr>
              <w:t>。</w:t>
            </w:r>
          </w:p>
          <w:p w14:paraId="35D865A9">
            <w:pPr>
              <w:spacing w:line="360" w:lineRule="auto"/>
              <w:ind w:firstLine="480" w:firstLineChars="200"/>
              <w:rPr>
                <w:color w:val="auto"/>
                <w:kern w:val="0"/>
                <w:sz w:val="24"/>
              </w:rPr>
            </w:pPr>
            <w:r>
              <w:rPr>
                <w:color w:val="auto"/>
                <w:kern w:val="0"/>
                <w:sz w:val="24"/>
              </w:rPr>
              <w:t>综上，本项目符合相关产业政策。</w:t>
            </w:r>
          </w:p>
          <w:p w14:paraId="0A076EFE">
            <w:pPr>
              <w:spacing w:line="360" w:lineRule="auto"/>
              <w:ind w:firstLine="482" w:firstLineChars="200"/>
              <w:rPr>
                <w:b/>
                <w:bCs w:val="0"/>
                <w:color w:val="auto"/>
                <w:kern w:val="0"/>
                <w:sz w:val="24"/>
                <w:lang w:val="en-GB" w:eastAsia="zh-TW"/>
              </w:rPr>
            </w:pPr>
            <w:r>
              <w:rPr>
                <w:rFonts w:hint="eastAsia"/>
                <w:b/>
                <w:bCs w:val="0"/>
                <w:color w:val="auto"/>
                <w:kern w:val="0"/>
                <w:sz w:val="24"/>
              </w:rPr>
              <w:t>2、</w:t>
            </w:r>
            <w:r>
              <w:rPr>
                <w:rFonts w:hint="eastAsia"/>
                <w:b/>
                <w:bCs w:val="0"/>
                <w:color w:val="auto"/>
                <w:kern w:val="0"/>
                <w:sz w:val="24"/>
                <w:lang w:val="en-GB"/>
              </w:rPr>
              <w:t>“</w:t>
            </w:r>
            <w:r>
              <w:rPr>
                <w:b/>
                <w:bCs w:val="0"/>
                <w:color w:val="auto"/>
                <w:kern w:val="0"/>
                <w:sz w:val="24"/>
                <w:lang w:val="en-GB" w:eastAsia="zh-TW"/>
              </w:rPr>
              <w:t>三线一单</w:t>
            </w:r>
            <w:r>
              <w:rPr>
                <w:rFonts w:hint="eastAsia"/>
                <w:b/>
                <w:bCs w:val="0"/>
                <w:color w:val="auto"/>
                <w:kern w:val="0"/>
                <w:sz w:val="24"/>
                <w:lang w:val="en-GB"/>
              </w:rPr>
              <w:t>”</w:t>
            </w:r>
            <w:r>
              <w:rPr>
                <w:b/>
                <w:bCs w:val="0"/>
                <w:color w:val="auto"/>
                <w:kern w:val="0"/>
                <w:sz w:val="24"/>
                <w:lang w:val="en-GB" w:eastAsia="zh-TW"/>
              </w:rPr>
              <w:t>符合性分析</w:t>
            </w:r>
          </w:p>
          <w:p w14:paraId="2E189494">
            <w:pPr>
              <w:pStyle w:val="35"/>
              <w:tabs>
                <w:tab w:val="left" w:pos="1624"/>
              </w:tabs>
              <w:spacing w:line="360" w:lineRule="auto"/>
              <w:ind w:firstLine="480" w:firstLineChars="200"/>
              <w:jc w:val="left"/>
              <w:rPr>
                <w:rFonts w:hint="eastAsia"/>
                <w:b w:val="0"/>
                <w:bCs/>
                <w:color w:val="auto"/>
                <w:sz w:val="24"/>
                <w:szCs w:val="22"/>
                <w:lang w:eastAsia="zh-CN"/>
              </w:rPr>
            </w:pPr>
            <w:r>
              <w:rPr>
                <w:rFonts w:hint="eastAsia"/>
                <w:b w:val="0"/>
                <w:bCs/>
                <w:color w:val="auto"/>
                <w:sz w:val="24"/>
                <w:szCs w:val="22"/>
                <w:lang w:eastAsia="zh-CN"/>
              </w:rPr>
              <w:t>（1）与陕西省“三线一单”符合性分析</w:t>
            </w:r>
          </w:p>
          <w:p w14:paraId="25F52C0F">
            <w:pPr>
              <w:pStyle w:val="35"/>
              <w:tabs>
                <w:tab w:val="left" w:pos="1624"/>
              </w:tabs>
              <w:spacing w:line="360" w:lineRule="auto"/>
              <w:ind w:firstLine="480" w:firstLineChars="200"/>
              <w:jc w:val="left"/>
              <w:rPr>
                <w:rFonts w:hint="eastAsia" w:eastAsia="宋体"/>
                <w:b w:val="0"/>
                <w:bCs/>
                <w:color w:val="auto"/>
                <w:sz w:val="24"/>
                <w:szCs w:val="22"/>
                <w:lang w:eastAsia="zh-CN"/>
              </w:rPr>
            </w:pPr>
            <w:r>
              <w:rPr>
                <w:rFonts w:hint="eastAsia"/>
                <w:b w:val="0"/>
                <w:bCs/>
                <w:color w:val="auto"/>
                <w:sz w:val="24"/>
                <w:szCs w:val="22"/>
                <w:lang w:eastAsia="zh-CN"/>
              </w:rPr>
              <w:t>根据《陕西省人民政府关于加快实施“三线一单”生态环境分区管控的意见》（陕政发</w:t>
            </w:r>
            <w:r>
              <w:rPr>
                <w:rFonts w:hint="eastAsia" w:ascii="宋体" w:hAnsi="宋体" w:eastAsia="宋体" w:cs="宋体"/>
                <w:b w:val="0"/>
                <w:bCs/>
                <w:color w:val="auto"/>
                <w:sz w:val="24"/>
                <w:szCs w:val="22"/>
                <w:lang w:eastAsia="zh-CN"/>
              </w:rPr>
              <w:t>〔</w:t>
            </w:r>
            <w:r>
              <w:rPr>
                <w:rFonts w:hint="eastAsia"/>
                <w:b w:val="0"/>
                <w:bCs/>
                <w:color w:val="auto"/>
                <w:sz w:val="24"/>
                <w:szCs w:val="22"/>
                <w:lang w:eastAsia="zh-CN"/>
              </w:rPr>
              <w:t>2020</w:t>
            </w:r>
            <w:r>
              <w:rPr>
                <w:rFonts w:hint="eastAsia" w:ascii="宋体" w:hAnsi="宋体" w:eastAsia="宋体" w:cs="宋体"/>
                <w:b w:val="0"/>
                <w:bCs/>
                <w:color w:val="auto"/>
                <w:sz w:val="24"/>
                <w:szCs w:val="22"/>
                <w:lang w:eastAsia="zh-CN"/>
              </w:rPr>
              <w:t>〕</w:t>
            </w:r>
            <w:r>
              <w:rPr>
                <w:rFonts w:hint="eastAsia"/>
                <w:b w:val="0"/>
                <w:bCs/>
                <w:color w:val="auto"/>
                <w:sz w:val="24"/>
                <w:szCs w:val="22"/>
                <w:lang w:eastAsia="zh-CN"/>
              </w:rPr>
              <w:t>11号），本项目建设与陕西省“三线一单”符合性分析见表1-</w:t>
            </w:r>
            <w:r>
              <w:rPr>
                <w:rFonts w:hint="eastAsia"/>
                <w:b w:val="0"/>
                <w:bCs/>
                <w:color w:val="auto"/>
                <w:sz w:val="24"/>
                <w:szCs w:val="22"/>
                <w:lang w:val="en-US" w:eastAsia="zh-CN"/>
              </w:rPr>
              <w:t>2</w:t>
            </w:r>
            <w:r>
              <w:rPr>
                <w:rFonts w:hint="eastAsia"/>
                <w:b w:val="0"/>
                <w:bCs/>
                <w:color w:val="auto"/>
                <w:sz w:val="24"/>
                <w:szCs w:val="22"/>
                <w:lang w:eastAsia="zh-CN"/>
              </w:rPr>
              <w:t>。</w:t>
            </w:r>
          </w:p>
          <w:p w14:paraId="4ED83B6A">
            <w:pPr>
              <w:pStyle w:val="35"/>
              <w:spacing w:line="240" w:lineRule="auto"/>
              <w:rPr>
                <w:color w:val="auto"/>
                <w:sz w:val="21"/>
              </w:rPr>
            </w:pPr>
            <w:r>
              <w:rPr>
                <w:color w:val="auto"/>
                <w:sz w:val="21"/>
              </w:rPr>
              <w:t>表1-</w:t>
            </w:r>
            <w:r>
              <w:rPr>
                <w:rFonts w:hint="eastAsia"/>
                <w:color w:val="auto"/>
                <w:sz w:val="21"/>
                <w:lang w:val="en-US" w:eastAsia="zh-CN"/>
              </w:rPr>
              <w:t xml:space="preserve">2   </w:t>
            </w:r>
            <w:r>
              <w:rPr>
                <w:color w:val="auto"/>
                <w:sz w:val="21"/>
              </w:rPr>
              <w:t>陕西省“三线一单”符合性分析</w:t>
            </w:r>
          </w:p>
          <w:tbl>
            <w:tblPr>
              <w:tblStyle w:val="17"/>
              <w:tblW w:w="4970"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57" w:type="dxa"/>
                <w:bottom w:w="0" w:type="dxa"/>
                <w:right w:w="57" w:type="dxa"/>
              </w:tblCellMar>
            </w:tblPr>
            <w:tblGrid>
              <w:gridCol w:w="789"/>
              <w:gridCol w:w="5432"/>
              <w:gridCol w:w="537"/>
            </w:tblGrid>
            <w:tr w14:paraId="2D005F1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trHeight w:val="23" w:hRule="atLeast"/>
                <w:jc w:val="center"/>
              </w:trPr>
              <w:tc>
                <w:tcPr>
                  <w:tcW w:w="583" w:type="pct"/>
                  <w:tcBorders>
                    <w:top w:val="single" w:color="000000" w:sz="2" w:space="0"/>
                    <w:left w:val="single" w:color="000000" w:sz="2" w:space="0"/>
                    <w:bottom w:val="single" w:color="000000" w:sz="4" w:space="0"/>
                    <w:right w:val="single" w:color="000000" w:sz="4" w:space="0"/>
                  </w:tcBorders>
                  <w:noWrap w:val="0"/>
                  <w:vAlign w:val="center"/>
                </w:tcPr>
                <w:p w14:paraId="154F139C">
                  <w:pPr>
                    <w:pStyle w:val="16"/>
                    <w:keepNext w:val="0"/>
                    <w:keepLines w:val="0"/>
                    <w:pageBreakBefore w:val="0"/>
                    <w:widowControl w:val="0"/>
                    <w:kinsoku/>
                    <w:wordWrap/>
                    <w:overflowPunct/>
                    <w:topLinePunct w:val="0"/>
                    <w:bidi w:val="0"/>
                    <w:adjustRightInd w:val="0"/>
                    <w:snapToGrid w:val="0"/>
                    <w:spacing w:after="0"/>
                    <w:ind w:left="0" w:leftChars="0" w:firstLine="0" w:firstLineChars="0"/>
                    <w:jc w:val="center"/>
                    <w:rPr>
                      <w:bCs/>
                      <w:snapToGrid w:val="0"/>
                      <w:color w:val="auto"/>
                      <w:kern w:val="0"/>
                      <w:sz w:val="21"/>
                      <w:szCs w:val="21"/>
                      <w:lang w:val="en-US" w:eastAsia="zh-CN"/>
                    </w:rPr>
                  </w:pPr>
                  <w:r>
                    <w:rPr>
                      <w:bCs/>
                      <w:snapToGrid w:val="0"/>
                      <w:color w:val="auto"/>
                      <w:kern w:val="0"/>
                      <w:sz w:val="21"/>
                      <w:szCs w:val="21"/>
                      <w:lang w:val="en-US" w:eastAsia="zh-CN"/>
                    </w:rPr>
                    <w:t>“三线一单”</w:t>
                  </w:r>
                </w:p>
              </w:tc>
              <w:tc>
                <w:tcPr>
                  <w:tcW w:w="4018" w:type="pct"/>
                  <w:tcBorders>
                    <w:top w:val="single" w:color="000000" w:sz="2" w:space="0"/>
                    <w:left w:val="single" w:color="000000" w:sz="4" w:space="0"/>
                    <w:bottom w:val="single" w:color="000000" w:sz="4" w:space="0"/>
                    <w:right w:val="single" w:color="000000" w:sz="4" w:space="0"/>
                  </w:tcBorders>
                  <w:noWrap w:val="0"/>
                  <w:vAlign w:val="center"/>
                </w:tcPr>
                <w:p w14:paraId="43EB0D94">
                  <w:pPr>
                    <w:pStyle w:val="16"/>
                    <w:keepNext w:val="0"/>
                    <w:keepLines w:val="0"/>
                    <w:pageBreakBefore w:val="0"/>
                    <w:widowControl w:val="0"/>
                    <w:kinsoku/>
                    <w:wordWrap/>
                    <w:overflowPunct/>
                    <w:topLinePunct w:val="0"/>
                    <w:bidi w:val="0"/>
                    <w:adjustRightInd w:val="0"/>
                    <w:snapToGrid w:val="0"/>
                    <w:spacing w:after="0"/>
                    <w:ind w:left="0" w:leftChars="0" w:firstLine="0" w:firstLineChars="0"/>
                    <w:jc w:val="center"/>
                    <w:rPr>
                      <w:bCs/>
                      <w:snapToGrid w:val="0"/>
                      <w:color w:val="auto"/>
                      <w:kern w:val="0"/>
                      <w:sz w:val="21"/>
                      <w:szCs w:val="21"/>
                      <w:lang w:val="en-US" w:eastAsia="zh-CN"/>
                    </w:rPr>
                  </w:pPr>
                  <w:r>
                    <w:rPr>
                      <w:bCs/>
                      <w:snapToGrid w:val="0"/>
                      <w:color w:val="auto"/>
                      <w:kern w:val="0"/>
                      <w:sz w:val="21"/>
                      <w:szCs w:val="21"/>
                      <w:lang w:val="en-US" w:eastAsia="zh-CN"/>
                    </w:rPr>
                    <w:t>本项目情况</w:t>
                  </w:r>
                </w:p>
              </w:tc>
              <w:tc>
                <w:tcPr>
                  <w:tcW w:w="397" w:type="pct"/>
                  <w:tcBorders>
                    <w:top w:val="single" w:color="000000" w:sz="2" w:space="0"/>
                    <w:left w:val="single" w:color="000000" w:sz="4" w:space="0"/>
                    <w:bottom w:val="single" w:color="000000" w:sz="4" w:space="0"/>
                    <w:right w:val="single" w:color="000000" w:sz="2" w:space="0"/>
                  </w:tcBorders>
                  <w:noWrap w:val="0"/>
                  <w:vAlign w:val="center"/>
                </w:tcPr>
                <w:p w14:paraId="04896022">
                  <w:pPr>
                    <w:pStyle w:val="16"/>
                    <w:keepNext w:val="0"/>
                    <w:keepLines w:val="0"/>
                    <w:pageBreakBefore w:val="0"/>
                    <w:widowControl w:val="0"/>
                    <w:kinsoku/>
                    <w:wordWrap/>
                    <w:overflowPunct/>
                    <w:topLinePunct w:val="0"/>
                    <w:bidi w:val="0"/>
                    <w:adjustRightInd w:val="0"/>
                    <w:snapToGrid w:val="0"/>
                    <w:spacing w:after="0"/>
                    <w:ind w:left="0" w:leftChars="0" w:firstLine="0" w:firstLineChars="0"/>
                    <w:jc w:val="center"/>
                    <w:rPr>
                      <w:bCs/>
                      <w:snapToGrid w:val="0"/>
                      <w:color w:val="auto"/>
                      <w:kern w:val="0"/>
                      <w:sz w:val="21"/>
                      <w:szCs w:val="21"/>
                      <w:lang w:val="en-US" w:eastAsia="zh-CN"/>
                    </w:rPr>
                  </w:pPr>
                  <w:r>
                    <w:rPr>
                      <w:bCs/>
                      <w:snapToGrid w:val="0"/>
                      <w:color w:val="auto"/>
                      <w:kern w:val="0"/>
                      <w:sz w:val="21"/>
                      <w:szCs w:val="21"/>
                      <w:lang w:val="en-US" w:eastAsia="zh-CN"/>
                    </w:rPr>
                    <w:t>符合性</w:t>
                  </w:r>
                </w:p>
              </w:tc>
            </w:tr>
            <w:tr w14:paraId="2F5C391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trHeight w:val="23" w:hRule="atLeast"/>
                <w:jc w:val="center"/>
              </w:trPr>
              <w:tc>
                <w:tcPr>
                  <w:tcW w:w="583" w:type="pct"/>
                  <w:tcBorders>
                    <w:top w:val="single" w:color="000000" w:sz="4" w:space="0"/>
                    <w:left w:val="single" w:color="000000" w:sz="2" w:space="0"/>
                    <w:bottom w:val="single" w:color="000000" w:sz="4" w:space="0"/>
                    <w:right w:val="single" w:color="000000" w:sz="4" w:space="0"/>
                  </w:tcBorders>
                  <w:noWrap w:val="0"/>
                  <w:vAlign w:val="center"/>
                </w:tcPr>
                <w:p w14:paraId="1DE13C8E">
                  <w:pPr>
                    <w:pStyle w:val="16"/>
                    <w:keepNext w:val="0"/>
                    <w:keepLines w:val="0"/>
                    <w:pageBreakBefore w:val="0"/>
                    <w:widowControl w:val="0"/>
                    <w:kinsoku/>
                    <w:wordWrap/>
                    <w:overflowPunct/>
                    <w:topLinePunct w:val="0"/>
                    <w:bidi w:val="0"/>
                    <w:adjustRightInd w:val="0"/>
                    <w:snapToGrid w:val="0"/>
                    <w:spacing w:after="0"/>
                    <w:ind w:left="0" w:leftChars="0" w:firstLine="0" w:firstLineChars="0"/>
                    <w:jc w:val="center"/>
                    <w:rPr>
                      <w:bCs/>
                      <w:snapToGrid w:val="0"/>
                      <w:color w:val="auto"/>
                      <w:kern w:val="0"/>
                      <w:sz w:val="21"/>
                      <w:szCs w:val="21"/>
                      <w:lang w:val="en-US" w:eastAsia="zh-CN"/>
                    </w:rPr>
                  </w:pPr>
                  <w:r>
                    <w:rPr>
                      <w:bCs/>
                      <w:snapToGrid w:val="0"/>
                      <w:color w:val="auto"/>
                      <w:kern w:val="0"/>
                      <w:sz w:val="21"/>
                      <w:szCs w:val="21"/>
                      <w:lang w:val="en-US" w:eastAsia="zh-CN"/>
                    </w:rPr>
                    <w:t>生态保护红线</w:t>
                  </w:r>
                </w:p>
              </w:tc>
              <w:tc>
                <w:tcPr>
                  <w:tcW w:w="4018" w:type="pct"/>
                  <w:tcBorders>
                    <w:top w:val="single" w:color="000000" w:sz="4" w:space="0"/>
                    <w:left w:val="single" w:color="000000" w:sz="4" w:space="0"/>
                    <w:bottom w:val="single" w:color="000000" w:sz="4" w:space="0"/>
                    <w:right w:val="single" w:color="000000" w:sz="4" w:space="0"/>
                  </w:tcBorders>
                  <w:noWrap w:val="0"/>
                  <w:vAlign w:val="center"/>
                </w:tcPr>
                <w:p w14:paraId="58ED8F05">
                  <w:pPr>
                    <w:keepNext w:val="0"/>
                    <w:keepLines w:val="0"/>
                    <w:pageBreakBefore w:val="0"/>
                    <w:widowControl w:val="0"/>
                    <w:kinsoku/>
                    <w:wordWrap/>
                    <w:overflowPunct/>
                    <w:topLinePunct w:val="0"/>
                    <w:autoSpaceDE w:val="0"/>
                    <w:autoSpaceDN w:val="0"/>
                    <w:bidi w:val="0"/>
                    <w:adjustRightInd w:val="0"/>
                    <w:snapToGrid w:val="0"/>
                    <w:jc w:val="both"/>
                    <w:rPr>
                      <w:color w:val="auto"/>
                      <w:sz w:val="21"/>
                      <w:szCs w:val="21"/>
                    </w:rPr>
                  </w:pPr>
                  <w:r>
                    <w:rPr>
                      <w:rFonts w:ascii="Times New Roman" w:hAnsi="Times New Roman" w:cs="Times New Roman"/>
                      <w:color w:val="auto"/>
                      <w:sz w:val="21"/>
                      <w:szCs w:val="21"/>
                    </w:rPr>
                    <w:t>本项目位于</w:t>
                  </w:r>
                  <w:r>
                    <w:rPr>
                      <w:rFonts w:hint="eastAsia" w:cs="Times New Roman"/>
                      <w:color w:val="auto"/>
                      <w:sz w:val="21"/>
                      <w:szCs w:val="21"/>
                      <w:lang w:eastAsia="zh-CN"/>
                    </w:rPr>
                    <w:t>陕西省西咸新区泾河新城崇文镇焦村泾科路1号</w:t>
                  </w:r>
                  <w:r>
                    <w:rPr>
                      <w:rFonts w:ascii="Times New Roman" w:hAnsi="Times New Roman" w:cs="Times New Roman"/>
                      <w:color w:val="auto"/>
                      <w:sz w:val="21"/>
                      <w:szCs w:val="21"/>
                    </w:rPr>
                    <w:t>，</w:t>
                  </w:r>
                  <w:r>
                    <w:rPr>
                      <w:rFonts w:ascii="Times New Roman" w:hAnsi="Times New Roman" w:cs="Times New Roman"/>
                      <w:bCs/>
                      <w:color w:val="auto"/>
                      <w:kern w:val="21"/>
                      <w:sz w:val="21"/>
                      <w:szCs w:val="21"/>
                    </w:rPr>
                    <w:t>属于重点管控单元，</w:t>
                  </w:r>
                  <w:r>
                    <w:rPr>
                      <w:rFonts w:ascii="Times New Roman" w:hAnsi="Times New Roman" w:cs="Times New Roman"/>
                      <w:color w:val="auto"/>
                      <w:sz w:val="21"/>
                      <w:szCs w:val="21"/>
                    </w:rPr>
                    <w:t>项目地周围无自然保护区、风景名胜区等环境敏感点，</w:t>
                  </w:r>
                  <w:r>
                    <w:rPr>
                      <w:rFonts w:ascii="Times New Roman" w:hAnsi="Times New Roman" w:cs="Times New Roman"/>
                      <w:bCs/>
                      <w:color w:val="auto"/>
                      <w:kern w:val="21"/>
                      <w:sz w:val="21"/>
                      <w:szCs w:val="21"/>
                    </w:rPr>
                    <w:t>不涉及生态保护红线。</w:t>
                  </w:r>
                </w:p>
              </w:tc>
              <w:tc>
                <w:tcPr>
                  <w:tcW w:w="397" w:type="pct"/>
                  <w:tcBorders>
                    <w:top w:val="single" w:color="000000" w:sz="4" w:space="0"/>
                    <w:left w:val="single" w:color="000000" w:sz="4" w:space="0"/>
                    <w:bottom w:val="single" w:color="000000" w:sz="4" w:space="0"/>
                    <w:right w:val="single" w:color="000000" w:sz="2" w:space="0"/>
                  </w:tcBorders>
                  <w:noWrap w:val="0"/>
                  <w:vAlign w:val="center"/>
                </w:tcPr>
                <w:p w14:paraId="48CA8CA2">
                  <w:pPr>
                    <w:pStyle w:val="16"/>
                    <w:keepNext w:val="0"/>
                    <w:keepLines w:val="0"/>
                    <w:pageBreakBefore w:val="0"/>
                    <w:widowControl w:val="0"/>
                    <w:kinsoku/>
                    <w:wordWrap/>
                    <w:overflowPunct/>
                    <w:topLinePunct w:val="0"/>
                    <w:bidi w:val="0"/>
                    <w:adjustRightInd w:val="0"/>
                    <w:snapToGrid w:val="0"/>
                    <w:spacing w:after="0"/>
                    <w:ind w:left="0" w:leftChars="0" w:firstLine="0" w:firstLineChars="0"/>
                    <w:jc w:val="center"/>
                    <w:rPr>
                      <w:bCs/>
                      <w:snapToGrid w:val="0"/>
                      <w:color w:val="auto"/>
                      <w:kern w:val="0"/>
                      <w:sz w:val="21"/>
                      <w:szCs w:val="21"/>
                      <w:lang w:val="en-US" w:eastAsia="zh-CN"/>
                    </w:rPr>
                  </w:pPr>
                  <w:r>
                    <w:rPr>
                      <w:bCs/>
                      <w:snapToGrid w:val="0"/>
                      <w:color w:val="auto"/>
                      <w:kern w:val="0"/>
                      <w:sz w:val="21"/>
                      <w:szCs w:val="21"/>
                      <w:lang w:val="en-US" w:eastAsia="zh-CN"/>
                    </w:rPr>
                    <w:t>符合</w:t>
                  </w:r>
                </w:p>
              </w:tc>
            </w:tr>
            <w:tr w14:paraId="0A000B6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trHeight w:val="23" w:hRule="atLeast"/>
                <w:jc w:val="center"/>
              </w:trPr>
              <w:tc>
                <w:tcPr>
                  <w:tcW w:w="583" w:type="pct"/>
                  <w:tcBorders>
                    <w:top w:val="single" w:color="000000" w:sz="4" w:space="0"/>
                    <w:left w:val="single" w:color="000000" w:sz="2" w:space="0"/>
                    <w:bottom w:val="single" w:color="000000" w:sz="4" w:space="0"/>
                    <w:right w:val="single" w:color="000000" w:sz="4" w:space="0"/>
                  </w:tcBorders>
                  <w:noWrap w:val="0"/>
                  <w:vAlign w:val="center"/>
                </w:tcPr>
                <w:p w14:paraId="1F4ABD9B">
                  <w:pPr>
                    <w:pStyle w:val="36"/>
                    <w:keepNext w:val="0"/>
                    <w:keepLines w:val="0"/>
                    <w:pageBreakBefore w:val="0"/>
                    <w:widowControl w:val="0"/>
                    <w:kinsoku/>
                    <w:wordWrap/>
                    <w:overflowPunct/>
                    <w:topLinePunct w:val="0"/>
                    <w:bidi w:val="0"/>
                    <w:adjustRightInd w:val="0"/>
                    <w:snapToGrid w:val="0"/>
                    <w:rPr>
                      <w:color w:val="auto"/>
                      <w:sz w:val="21"/>
                      <w:szCs w:val="21"/>
                    </w:rPr>
                  </w:pPr>
                  <w:r>
                    <w:rPr>
                      <w:color w:val="auto"/>
                      <w:sz w:val="21"/>
                      <w:szCs w:val="21"/>
                    </w:rPr>
                    <w:t>环境质量底线</w:t>
                  </w:r>
                </w:p>
              </w:tc>
              <w:tc>
                <w:tcPr>
                  <w:tcW w:w="4018" w:type="pct"/>
                  <w:tcBorders>
                    <w:top w:val="single" w:color="000000" w:sz="4" w:space="0"/>
                    <w:left w:val="single" w:color="000000" w:sz="4" w:space="0"/>
                    <w:bottom w:val="single" w:color="000000" w:sz="4" w:space="0"/>
                    <w:right w:val="single" w:color="000000" w:sz="4" w:space="0"/>
                  </w:tcBorders>
                  <w:noWrap w:val="0"/>
                  <w:vAlign w:val="center"/>
                </w:tcPr>
                <w:p w14:paraId="7B81739F">
                  <w:pPr>
                    <w:keepNext w:val="0"/>
                    <w:keepLines w:val="0"/>
                    <w:pageBreakBefore w:val="0"/>
                    <w:widowControl w:val="0"/>
                    <w:kinsoku/>
                    <w:wordWrap/>
                    <w:overflowPunct/>
                    <w:topLinePunct w:val="0"/>
                    <w:autoSpaceDE w:val="0"/>
                    <w:autoSpaceDN w:val="0"/>
                    <w:bidi w:val="0"/>
                    <w:adjustRightInd w:val="0"/>
                    <w:snapToGrid w:val="0"/>
                    <w:jc w:val="both"/>
                    <w:rPr>
                      <w:color w:val="auto"/>
                      <w:sz w:val="21"/>
                      <w:szCs w:val="21"/>
                    </w:rPr>
                  </w:pPr>
                  <w:r>
                    <w:rPr>
                      <w:rFonts w:ascii="Times New Roman" w:hAnsi="Times New Roman" w:cs="Times New Roman"/>
                      <w:color w:val="auto"/>
                      <w:sz w:val="21"/>
                      <w:szCs w:val="21"/>
                    </w:rPr>
                    <w:t>本项目产生的废气采取环保措施后达标排放，满足污染物排放标准要求，不触及环境质量底线。</w:t>
                  </w:r>
                </w:p>
              </w:tc>
              <w:tc>
                <w:tcPr>
                  <w:tcW w:w="397" w:type="pct"/>
                  <w:tcBorders>
                    <w:top w:val="single" w:color="000000" w:sz="4" w:space="0"/>
                    <w:left w:val="single" w:color="000000" w:sz="4" w:space="0"/>
                    <w:bottom w:val="single" w:color="000000" w:sz="4" w:space="0"/>
                    <w:right w:val="single" w:color="000000" w:sz="2" w:space="0"/>
                  </w:tcBorders>
                  <w:noWrap w:val="0"/>
                  <w:vAlign w:val="center"/>
                </w:tcPr>
                <w:p w14:paraId="6CA173BD">
                  <w:pPr>
                    <w:pStyle w:val="16"/>
                    <w:keepNext w:val="0"/>
                    <w:keepLines w:val="0"/>
                    <w:pageBreakBefore w:val="0"/>
                    <w:widowControl w:val="0"/>
                    <w:kinsoku/>
                    <w:wordWrap/>
                    <w:overflowPunct/>
                    <w:topLinePunct w:val="0"/>
                    <w:bidi w:val="0"/>
                    <w:adjustRightInd w:val="0"/>
                    <w:snapToGrid w:val="0"/>
                    <w:spacing w:after="0"/>
                    <w:ind w:left="0" w:leftChars="0" w:firstLine="0" w:firstLineChars="0"/>
                    <w:jc w:val="center"/>
                    <w:rPr>
                      <w:bCs/>
                      <w:snapToGrid w:val="0"/>
                      <w:color w:val="auto"/>
                      <w:kern w:val="0"/>
                      <w:sz w:val="21"/>
                      <w:szCs w:val="21"/>
                      <w:lang w:val="en-US" w:eastAsia="zh-CN"/>
                    </w:rPr>
                  </w:pPr>
                  <w:r>
                    <w:rPr>
                      <w:bCs/>
                      <w:snapToGrid w:val="0"/>
                      <w:color w:val="auto"/>
                      <w:kern w:val="0"/>
                      <w:sz w:val="21"/>
                      <w:szCs w:val="21"/>
                      <w:lang w:val="en-US" w:eastAsia="zh-CN"/>
                    </w:rPr>
                    <w:t>符合</w:t>
                  </w:r>
                </w:p>
              </w:tc>
            </w:tr>
            <w:tr w14:paraId="6045575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trHeight w:val="23" w:hRule="atLeast"/>
                <w:jc w:val="center"/>
              </w:trPr>
              <w:tc>
                <w:tcPr>
                  <w:tcW w:w="583" w:type="pct"/>
                  <w:tcBorders>
                    <w:top w:val="single" w:color="000000" w:sz="4" w:space="0"/>
                    <w:left w:val="single" w:color="000000" w:sz="2" w:space="0"/>
                    <w:bottom w:val="single" w:color="000000" w:sz="4" w:space="0"/>
                    <w:right w:val="single" w:color="000000" w:sz="4" w:space="0"/>
                  </w:tcBorders>
                  <w:noWrap w:val="0"/>
                  <w:vAlign w:val="center"/>
                </w:tcPr>
                <w:p w14:paraId="501A8B5F">
                  <w:pPr>
                    <w:pStyle w:val="16"/>
                    <w:keepNext w:val="0"/>
                    <w:keepLines w:val="0"/>
                    <w:pageBreakBefore w:val="0"/>
                    <w:widowControl w:val="0"/>
                    <w:kinsoku/>
                    <w:wordWrap/>
                    <w:overflowPunct/>
                    <w:topLinePunct w:val="0"/>
                    <w:bidi w:val="0"/>
                    <w:adjustRightInd w:val="0"/>
                    <w:snapToGrid w:val="0"/>
                    <w:spacing w:after="0"/>
                    <w:ind w:left="0" w:leftChars="0" w:firstLine="0" w:firstLineChars="0"/>
                    <w:jc w:val="center"/>
                    <w:rPr>
                      <w:bCs/>
                      <w:snapToGrid w:val="0"/>
                      <w:color w:val="auto"/>
                      <w:kern w:val="0"/>
                      <w:sz w:val="21"/>
                      <w:szCs w:val="21"/>
                      <w:lang w:val="en-US" w:eastAsia="zh-CN"/>
                    </w:rPr>
                  </w:pPr>
                  <w:r>
                    <w:rPr>
                      <w:bCs/>
                      <w:snapToGrid w:val="0"/>
                      <w:color w:val="auto"/>
                      <w:kern w:val="0"/>
                      <w:sz w:val="21"/>
                      <w:szCs w:val="21"/>
                      <w:lang w:val="en-US" w:eastAsia="zh-CN"/>
                    </w:rPr>
                    <w:t>资源利用上线</w:t>
                  </w:r>
                </w:p>
              </w:tc>
              <w:tc>
                <w:tcPr>
                  <w:tcW w:w="4018" w:type="pct"/>
                  <w:tcBorders>
                    <w:top w:val="single" w:color="000000" w:sz="4" w:space="0"/>
                    <w:left w:val="single" w:color="000000" w:sz="4" w:space="0"/>
                    <w:bottom w:val="single" w:color="000000" w:sz="4" w:space="0"/>
                    <w:right w:val="single" w:color="000000" w:sz="4" w:space="0"/>
                  </w:tcBorders>
                  <w:noWrap w:val="0"/>
                  <w:vAlign w:val="center"/>
                </w:tcPr>
                <w:p w14:paraId="4284E40C">
                  <w:pPr>
                    <w:keepNext w:val="0"/>
                    <w:keepLines w:val="0"/>
                    <w:pageBreakBefore w:val="0"/>
                    <w:widowControl w:val="0"/>
                    <w:kinsoku/>
                    <w:wordWrap/>
                    <w:overflowPunct/>
                    <w:topLinePunct w:val="0"/>
                    <w:autoSpaceDE w:val="0"/>
                    <w:autoSpaceDN w:val="0"/>
                    <w:bidi w:val="0"/>
                    <w:adjustRightInd w:val="0"/>
                    <w:snapToGrid w:val="0"/>
                    <w:jc w:val="both"/>
                    <w:rPr>
                      <w:bCs/>
                      <w:snapToGrid w:val="0"/>
                      <w:color w:val="auto"/>
                      <w:kern w:val="0"/>
                      <w:sz w:val="21"/>
                      <w:szCs w:val="21"/>
                    </w:rPr>
                  </w:pPr>
                  <w:r>
                    <w:rPr>
                      <w:rFonts w:ascii="Times New Roman" w:hAnsi="Times New Roman" w:cs="Times New Roman"/>
                      <w:bCs/>
                      <w:color w:val="auto"/>
                      <w:kern w:val="21"/>
                      <w:sz w:val="21"/>
                      <w:szCs w:val="21"/>
                    </w:rPr>
                    <w:t>本项目主要消耗能源为电，</w:t>
                  </w:r>
                  <w:r>
                    <w:rPr>
                      <w:rFonts w:hint="eastAsia" w:ascii="Times New Roman" w:hAnsi="Times New Roman" w:cs="Times New Roman"/>
                      <w:bCs/>
                      <w:color w:val="auto"/>
                      <w:kern w:val="21"/>
                      <w:sz w:val="21"/>
                      <w:szCs w:val="21"/>
                    </w:rPr>
                    <w:t>本项目的实施不新增能源消耗，</w:t>
                  </w:r>
                  <w:r>
                    <w:rPr>
                      <w:rFonts w:ascii="Times New Roman" w:hAnsi="Times New Roman" w:cs="Times New Roman"/>
                      <w:color w:val="auto"/>
                      <w:sz w:val="21"/>
                      <w:szCs w:val="21"/>
                    </w:rPr>
                    <w:t>不会突破资源利用上线。</w:t>
                  </w:r>
                </w:p>
              </w:tc>
              <w:tc>
                <w:tcPr>
                  <w:tcW w:w="397" w:type="pct"/>
                  <w:tcBorders>
                    <w:top w:val="single" w:color="000000" w:sz="4" w:space="0"/>
                    <w:left w:val="single" w:color="000000" w:sz="4" w:space="0"/>
                    <w:bottom w:val="single" w:color="000000" w:sz="4" w:space="0"/>
                    <w:right w:val="single" w:color="000000" w:sz="2" w:space="0"/>
                  </w:tcBorders>
                  <w:noWrap w:val="0"/>
                  <w:vAlign w:val="center"/>
                </w:tcPr>
                <w:p w14:paraId="64AF3819">
                  <w:pPr>
                    <w:pStyle w:val="16"/>
                    <w:keepNext w:val="0"/>
                    <w:keepLines w:val="0"/>
                    <w:pageBreakBefore w:val="0"/>
                    <w:widowControl w:val="0"/>
                    <w:kinsoku/>
                    <w:wordWrap/>
                    <w:overflowPunct/>
                    <w:topLinePunct w:val="0"/>
                    <w:bidi w:val="0"/>
                    <w:adjustRightInd w:val="0"/>
                    <w:snapToGrid w:val="0"/>
                    <w:spacing w:after="0"/>
                    <w:ind w:left="0" w:leftChars="0" w:firstLine="0" w:firstLineChars="0"/>
                    <w:jc w:val="center"/>
                    <w:rPr>
                      <w:bCs/>
                      <w:snapToGrid w:val="0"/>
                      <w:color w:val="auto"/>
                      <w:kern w:val="0"/>
                      <w:sz w:val="21"/>
                      <w:szCs w:val="21"/>
                      <w:lang w:val="en-US" w:eastAsia="zh-CN"/>
                    </w:rPr>
                  </w:pPr>
                  <w:r>
                    <w:rPr>
                      <w:bCs/>
                      <w:snapToGrid w:val="0"/>
                      <w:color w:val="auto"/>
                      <w:kern w:val="0"/>
                      <w:sz w:val="21"/>
                      <w:szCs w:val="21"/>
                      <w:lang w:val="en-US" w:eastAsia="zh-CN"/>
                    </w:rPr>
                    <w:t>符合</w:t>
                  </w:r>
                </w:p>
              </w:tc>
            </w:tr>
            <w:tr w14:paraId="1C07991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trHeight w:val="23" w:hRule="atLeast"/>
                <w:jc w:val="center"/>
              </w:trPr>
              <w:tc>
                <w:tcPr>
                  <w:tcW w:w="583" w:type="pct"/>
                  <w:tcBorders>
                    <w:top w:val="single" w:color="000000" w:sz="4" w:space="0"/>
                    <w:left w:val="single" w:color="000000" w:sz="2" w:space="0"/>
                    <w:bottom w:val="single" w:color="000000" w:sz="2" w:space="0"/>
                    <w:right w:val="single" w:color="000000" w:sz="4" w:space="0"/>
                  </w:tcBorders>
                  <w:noWrap w:val="0"/>
                  <w:vAlign w:val="center"/>
                </w:tcPr>
                <w:p w14:paraId="5E2CD9BE">
                  <w:pPr>
                    <w:pStyle w:val="16"/>
                    <w:keepNext w:val="0"/>
                    <w:keepLines w:val="0"/>
                    <w:pageBreakBefore w:val="0"/>
                    <w:widowControl w:val="0"/>
                    <w:kinsoku/>
                    <w:wordWrap/>
                    <w:overflowPunct/>
                    <w:topLinePunct w:val="0"/>
                    <w:bidi w:val="0"/>
                    <w:adjustRightInd w:val="0"/>
                    <w:snapToGrid w:val="0"/>
                    <w:spacing w:after="0"/>
                    <w:ind w:left="0" w:leftChars="0" w:firstLine="0" w:firstLineChars="0"/>
                    <w:jc w:val="center"/>
                    <w:rPr>
                      <w:bCs/>
                      <w:snapToGrid w:val="0"/>
                      <w:color w:val="auto"/>
                      <w:kern w:val="0"/>
                      <w:sz w:val="21"/>
                      <w:szCs w:val="21"/>
                      <w:lang w:val="en-US" w:eastAsia="zh-CN"/>
                    </w:rPr>
                  </w:pPr>
                  <w:r>
                    <w:rPr>
                      <w:bCs/>
                      <w:snapToGrid w:val="0"/>
                      <w:color w:val="auto"/>
                      <w:kern w:val="0"/>
                      <w:sz w:val="21"/>
                      <w:szCs w:val="21"/>
                      <w:lang w:val="en-US" w:eastAsia="zh-CN"/>
                    </w:rPr>
                    <w:t>环境准入负面清单</w:t>
                  </w:r>
                </w:p>
              </w:tc>
              <w:tc>
                <w:tcPr>
                  <w:tcW w:w="4018" w:type="pct"/>
                  <w:tcBorders>
                    <w:top w:val="single" w:color="000000" w:sz="4" w:space="0"/>
                    <w:left w:val="single" w:color="000000" w:sz="4" w:space="0"/>
                    <w:bottom w:val="single" w:color="000000" w:sz="2" w:space="0"/>
                    <w:right w:val="single" w:color="000000" w:sz="4" w:space="0"/>
                  </w:tcBorders>
                  <w:noWrap w:val="0"/>
                  <w:vAlign w:val="center"/>
                </w:tcPr>
                <w:p w14:paraId="35B0534A">
                  <w:pPr>
                    <w:keepNext w:val="0"/>
                    <w:keepLines w:val="0"/>
                    <w:pageBreakBefore w:val="0"/>
                    <w:widowControl w:val="0"/>
                    <w:kinsoku/>
                    <w:wordWrap/>
                    <w:overflowPunct/>
                    <w:topLinePunct w:val="0"/>
                    <w:autoSpaceDE w:val="0"/>
                    <w:autoSpaceDN w:val="0"/>
                    <w:bidi w:val="0"/>
                    <w:adjustRightInd w:val="0"/>
                    <w:snapToGrid w:val="0"/>
                    <w:jc w:val="both"/>
                    <w:rPr>
                      <w:bCs/>
                      <w:snapToGrid w:val="0"/>
                      <w:color w:val="auto"/>
                      <w:sz w:val="21"/>
                      <w:szCs w:val="21"/>
                    </w:rPr>
                  </w:pPr>
                  <w:r>
                    <w:rPr>
                      <w:rFonts w:ascii="Times New Roman" w:hAnsi="Times New Roman" w:cs="Times New Roman"/>
                      <w:color w:val="auto"/>
                      <w:sz w:val="21"/>
                      <w:szCs w:val="21"/>
                    </w:rPr>
                    <w:t>经查阅《陕西省国家重点生态功能区产业准入负面清单（试行）》（陕发改规划</w:t>
                  </w:r>
                  <w:r>
                    <w:rPr>
                      <w:rFonts w:hint="eastAsia" w:ascii="宋体" w:hAnsi="宋体" w:eastAsia="宋体" w:cs="宋体"/>
                      <w:color w:val="auto"/>
                      <w:sz w:val="21"/>
                      <w:szCs w:val="21"/>
                    </w:rPr>
                    <w:t>〔</w:t>
                  </w:r>
                  <w:r>
                    <w:rPr>
                      <w:rFonts w:ascii="Times New Roman" w:hAnsi="Times New Roman" w:cs="Times New Roman"/>
                      <w:color w:val="auto"/>
                      <w:sz w:val="21"/>
                      <w:szCs w:val="21"/>
                    </w:rPr>
                    <w:t>2018</w:t>
                  </w:r>
                  <w:r>
                    <w:rPr>
                      <w:rFonts w:hint="eastAsia" w:ascii="宋体" w:hAnsi="宋体" w:eastAsia="宋体" w:cs="宋体"/>
                      <w:color w:val="auto"/>
                      <w:sz w:val="21"/>
                      <w:szCs w:val="21"/>
                    </w:rPr>
                    <w:t>〕</w:t>
                  </w:r>
                  <w:r>
                    <w:rPr>
                      <w:rFonts w:ascii="Times New Roman" w:hAnsi="Times New Roman" w:cs="Times New Roman"/>
                      <w:color w:val="auto"/>
                      <w:sz w:val="21"/>
                      <w:szCs w:val="21"/>
                    </w:rPr>
                    <w:t>213号），</w:t>
                  </w:r>
                  <w:r>
                    <w:rPr>
                      <w:rFonts w:hint="eastAsia" w:cs="Times New Roman"/>
                      <w:color w:val="auto"/>
                      <w:sz w:val="21"/>
                      <w:szCs w:val="21"/>
                      <w:lang w:val="en-US" w:eastAsia="zh-CN"/>
                    </w:rPr>
                    <w:t>泾河新城</w:t>
                  </w:r>
                  <w:r>
                    <w:rPr>
                      <w:rFonts w:ascii="Times New Roman" w:hAnsi="Times New Roman" w:cs="Times New Roman"/>
                      <w:color w:val="auto"/>
                      <w:sz w:val="21"/>
                      <w:szCs w:val="21"/>
                    </w:rPr>
                    <w:t>不在清单内容管理范围内，因此本项目不属于负面清单禁止项目。</w:t>
                  </w:r>
                </w:p>
              </w:tc>
              <w:tc>
                <w:tcPr>
                  <w:tcW w:w="397" w:type="pct"/>
                  <w:tcBorders>
                    <w:top w:val="single" w:color="000000" w:sz="4" w:space="0"/>
                    <w:left w:val="single" w:color="000000" w:sz="4" w:space="0"/>
                    <w:bottom w:val="single" w:color="000000" w:sz="2" w:space="0"/>
                    <w:right w:val="single" w:color="000000" w:sz="2" w:space="0"/>
                  </w:tcBorders>
                  <w:noWrap w:val="0"/>
                  <w:vAlign w:val="center"/>
                </w:tcPr>
                <w:p w14:paraId="3778BFB6">
                  <w:pPr>
                    <w:pStyle w:val="16"/>
                    <w:keepNext w:val="0"/>
                    <w:keepLines w:val="0"/>
                    <w:pageBreakBefore w:val="0"/>
                    <w:widowControl w:val="0"/>
                    <w:kinsoku/>
                    <w:wordWrap/>
                    <w:overflowPunct/>
                    <w:topLinePunct w:val="0"/>
                    <w:bidi w:val="0"/>
                    <w:adjustRightInd w:val="0"/>
                    <w:snapToGrid w:val="0"/>
                    <w:spacing w:after="0"/>
                    <w:ind w:left="0" w:leftChars="0" w:firstLine="0" w:firstLineChars="0"/>
                    <w:jc w:val="center"/>
                    <w:rPr>
                      <w:bCs/>
                      <w:snapToGrid w:val="0"/>
                      <w:color w:val="auto"/>
                      <w:kern w:val="0"/>
                      <w:sz w:val="21"/>
                      <w:szCs w:val="21"/>
                      <w:lang w:val="en-US" w:eastAsia="zh-CN"/>
                    </w:rPr>
                  </w:pPr>
                  <w:r>
                    <w:rPr>
                      <w:bCs/>
                      <w:snapToGrid w:val="0"/>
                      <w:color w:val="auto"/>
                      <w:kern w:val="0"/>
                      <w:sz w:val="21"/>
                      <w:szCs w:val="21"/>
                      <w:lang w:val="en-US" w:eastAsia="zh-CN"/>
                    </w:rPr>
                    <w:t>符合</w:t>
                  </w:r>
                </w:p>
              </w:tc>
            </w:tr>
          </w:tbl>
          <w:p w14:paraId="55CC36A4">
            <w:pPr>
              <w:pStyle w:val="16"/>
              <w:keepNext w:val="0"/>
              <w:keepLines w:val="0"/>
              <w:pageBreakBefore w:val="0"/>
              <w:widowControl w:val="0"/>
              <w:kinsoku/>
              <w:wordWrap/>
              <w:overflowPunct/>
              <w:topLinePunct w:val="0"/>
              <w:autoSpaceDE/>
              <w:autoSpaceDN/>
              <w:bidi w:val="0"/>
              <w:adjustRightInd w:val="0"/>
              <w:snapToGrid w:val="0"/>
              <w:spacing w:after="0" w:line="360" w:lineRule="auto"/>
              <w:ind w:left="0" w:leftChars="0" w:firstLine="480" w:firstLineChars="200"/>
              <w:textAlignment w:val="auto"/>
              <w:rPr>
                <w:color w:val="auto"/>
                <w:sz w:val="24"/>
                <w:szCs w:val="24"/>
              </w:rPr>
            </w:pPr>
            <w:r>
              <w:rPr>
                <w:color w:val="auto"/>
                <w:sz w:val="24"/>
                <w:szCs w:val="24"/>
              </w:rPr>
              <w:t>（2）与</w:t>
            </w:r>
            <w:r>
              <w:rPr>
                <w:rFonts w:hint="eastAsia"/>
                <w:color w:val="auto"/>
                <w:sz w:val="24"/>
                <w:szCs w:val="24"/>
                <w:lang w:val="en-US" w:eastAsia="zh-CN"/>
              </w:rPr>
              <w:t>西安市</w:t>
            </w:r>
            <w:r>
              <w:rPr>
                <w:color w:val="auto"/>
                <w:sz w:val="24"/>
                <w:szCs w:val="24"/>
              </w:rPr>
              <w:t>生态环境总体准入清单符合性分析</w:t>
            </w:r>
          </w:p>
          <w:p w14:paraId="5BFBB6A5">
            <w:pPr>
              <w:pStyle w:val="16"/>
              <w:keepNext w:val="0"/>
              <w:keepLines w:val="0"/>
              <w:pageBreakBefore w:val="0"/>
              <w:widowControl w:val="0"/>
              <w:kinsoku/>
              <w:wordWrap/>
              <w:overflowPunct/>
              <w:topLinePunct w:val="0"/>
              <w:autoSpaceDE/>
              <w:autoSpaceDN/>
              <w:bidi w:val="0"/>
              <w:adjustRightInd w:val="0"/>
              <w:snapToGrid w:val="0"/>
              <w:spacing w:after="0" w:line="360" w:lineRule="auto"/>
              <w:ind w:left="0" w:leftChars="0" w:firstLine="480" w:firstLineChars="200"/>
              <w:textAlignment w:val="auto"/>
              <w:rPr>
                <w:color w:val="auto"/>
                <w:sz w:val="24"/>
                <w:szCs w:val="24"/>
              </w:rPr>
            </w:pPr>
            <w:r>
              <w:rPr>
                <w:rFonts w:hint="eastAsia"/>
                <w:color w:val="auto"/>
                <w:sz w:val="24"/>
                <w:szCs w:val="24"/>
              </w:rPr>
              <w:t>本项目与</w:t>
            </w:r>
            <w:r>
              <w:rPr>
                <w:color w:val="auto"/>
                <w:sz w:val="24"/>
              </w:rPr>
              <w:t>《西安市人民政府关于印发“三线一单”生态环境分区管控方案的通知》（市政发〔2021〕22号）</w:t>
            </w:r>
            <w:r>
              <w:rPr>
                <w:rFonts w:hint="eastAsia"/>
                <w:color w:val="auto"/>
                <w:sz w:val="24"/>
                <w:szCs w:val="24"/>
              </w:rPr>
              <w:t>符合性分析如下：</w:t>
            </w:r>
          </w:p>
          <w:p w14:paraId="07F42156">
            <w:pPr>
              <w:pStyle w:val="16"/>
              <w:keepNext w:val="0"/>
              <w:keepLines w:val="0"/>
              <w:pageBreakBefore w:val="0"/>
              <w:widowControl w:val="0"/>
              <w:kinsoku/>
              <w:wordWrap/>
              <w:overflowPunct/>
              <w:topLinePunct w:val="0"/>
              <w:autoSpaceDE/>
              <w:autoSpaceDN/>
              <w:bidi w:val="0"/>
              <w:adjustRightInd w:val="0"/>
              <w:snapToGrid w:val="0"/>
              <w:spacing w:after="0" w:line="360" w:lineRule="auto"/>
              <w:ind w:left="0" w:leftChars="0" w:firstLine="480" w:firstLineChars="200"/>
              <w:textAlignment w:val="auto"/>
              <w:rPr>
                <w:color w:val="auto"/>
                <w:sz w:val="24"/>
                <w:szCs w:val="24"/>
              </w:rPr>
            </w:pPr>
            <w:r>
              <w:rPr>
                <w:rFonts w:hint="eastAsia"/>
                <w:color w:val="auto"/>
                <w:sz w:val="24"/>
                <w:szCs w:val="24"/>
              </w:rPr>
              <w:t>①“一图”：项目与环境管控单元对照分析示意图</w:t>
            </w:r>
          </w:p>
          <w:p w14:paraId="5012A524">
            <w:pPr>
              <w:spacing w:line="360" w:lineRule="auto"/>
              <w:ind w:firstLine="480" w:firstLineChars="200"/>
              <w:jc w:val="both"/>
              <w:rPr>
                <w:rFonts w:hint="eastAsia" w:ascii="宋体" w:hAnsi="宋体" w:eastAsia="宋体" w:cs="宋体"/>
                <w:color w:val="auto"/>
                <w:kern w:val="0"/>
                <w:sz w:val="24"/>
                <w:szCs w:val="24"/>
                <w:lang w:val="en-US" w:eastAsia="zh-CN" w:bidi="ar"/>
              </w:rPr>
            </w:pPr>
            <w:r>
              <w:rPr>
                <w:color w:val="auto"/>
                <w:sz w:val="24"/>
                <w:szCs w:val="24"/>
              </w:rPr>
              <w:t>根据</w:t>
            </w:r>
            <w:r>
              <w:rPr>
                <w:color w:val="auto"/>
                <w:sz w:val="24"/>
              </w:rPr>
              <w:t>《西安市人民政府关于印发“三线一单”生态环境分区管控方案的通知》（市政发〔2021〕22号）</w:t>
            </w:r>
            <w:r>
              <w:rPr>
                <w:color w:val="auto"/>
                <w:sz w:val="24"/>
                <w:szCs w:val="24"/>
              </w:rPr>
              <w:t>，本项目位于重点管控单元内。</w:t>
            </w:r>
          </w:p>
          <w:p w14:paraId="6F607B2A">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color w:val="auto"/>
                <w:kern w:val="0"/>
                <w:sz w:val="24"/>
                <w:szCs w:val="24"/>
                <w:lang w:val="en-US" w:eastAsia="zh-CN" w:bidi="ar"/>
              </w:rPr>
            </w:pPr>
            <w:r>
              <w:drawing>
                <wp:inline distT="0" distB="0" distL="114300" distR="114300">
                  <wp:extent cx="4057015" cy="5203190"/>
                  <wp:effectExtent l="0" t="0" r="635" b="1651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8"/>
                          <a:srcRect l="2089" t="2288" r="3928"/>
                          <a:stretch>
                            <a:fillRect/>
                          </a:stretch>
                        </pic:blipFill>
                        <pic:spPr>
                          <a:xfrm>
                            <a:off x="0" y="0"/>
                            <a:ext cx="4057015" cy="5203190"/>
                          </a:xfrm>
                          <a:prstGeom prst="rect">
                            <a:avLst/>
                          </a:prstGeom>
                          <a:noFill/>
                          <a:ln>
                            <a:noFill/>
                          </a:ln>
                        </pic:spPr>
                      </pic:pic>
                    </a:graphicData>
                  </a:graphic>
                </wp:inline>
              </w:drawing>
            </w:r>
          </w:p>
          <w:p w14:paraId="6599C95A">
            <w:pPr>
              <w:keepNext w:val="0"/>
              <w:keepLines w:val="0"/>
              <w:pageBreakBefore w:val="0"/>
              <w:widowControl w:val="0"/>
              <w:kinsoku/>
              <w:wordWrap/>
              <w:overflowPunct/>
              <w:topLinePunct w:val="0"/>
              <w:autoSpaceDE/>
              <w:autoSpaceDN/>
              <w:bidi w:val="0"/>
              <w:adjustRightInd/>
              <w:snapToGrid/>
              <w:spacing w:line="360" w:lineRule="auto"/>
              <w:ind w:left="0" w:firstLine="480" w:firstLineChars="200"/>
              <w:jc w:val="both"/>
              <w:textAlignment w:val="auto"/>
              <w:rPr>
                <w:rFonts w:hint="default" w:ascii="Times New Roman" w:hAnsi="Times New Roman" w:eastAsia="宋体" w:cs="Times New Roman"/>
                <w:color w:val="auto"/>
                <w:kern w:val="0"/>
                <w:sz w:val="24"/>
                <w:szCs w:val="24"/>
                <w:lang w:val="en-US" w:eastAsia="zh-CN" w:bidi="ar"/>
              </w:rPr>
            </w:pPr>
            <w:r>
              <w:rPr>
                <w:rFonts w:hint="default" w:ascii="Times New Roman" w:hAnsi="Times New Roman" w:eastAsia="宋体" w:cs="Times New Roman"/>
                <w:color w:val="auto"/>
                <w:kern w:val="0"/>
                <w:sz w:val="24"/>
                <w:szCs w:val="24"/>
                <w:lang w:val="en-US" w:eastAsia="zh-CN" w:bidi="ar"/>
              </w:rPr>
              <w:t>②“一表”：项目或规划范围涉及的生态环境分区管控准入要求符合性分析。</w:t>
            </w:r>
          </w:p>
          <w:p w14:paraId="638F0532">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color w:val="auto"/>
                <w:kern w:val="0"/>
                <w:sz w:val="24"/>
                <w:szCs w:val="24"/>
                <w:lang w:val="en-US" w:eastAsia="zh-CN" w:bidi="ar"/>
              </w:rPr>
            </w:pPr>
            <w:r>
              <w:rPr>
                <w:rFonts w:hint="default" w:ascii="Times New Roman" w:hAnsi="Times New Roman" w:eastAsia="宋体" w:cs="Times New Roman"/>
                <w:color w:val="auto"/>
                <w:kern w:val="0"/>
                <w:sz w:val="24"/>
                <w:szCs w:val="24"/>
                <w:lang w:val="en-US" w:eastAsia="zh-CN" w:bidi="ar"/>
              </w:rPr>
              <w:t>本项目与</w:t>
            </w:r>
            <w:r>
              <w:rPr>
                <w:rFonts w:hint="eastAsia" w:cs="Times New Roman"/>
                <w:color w:val="auto"/>
                <w:kern w:val="0"/>
                <w:sz w:val="24"/>
                <w:szCs w:val="24"/>
                <w:lang w:val="en-US" w:eastAsia="zh-CN" w:bidi="ar"/>
              </w:rPr>
              <w:t>西安</w:t>
            </w:r>
            <w:r>
              <w:rPr>
                <w:rFonts w:hint="default" w:ascii="Times New Roman" w:hAnsi="Times New Roman" w:eastAsia="宋体" w:cs="Times New Roman"/>
                <w:color w:val="auto"/>
                <w:kern w:val="0"/>
                <w:sz w:val="24"/>
                <w:szCs w:val="24"/>
                <w:lang w:val="en-US" w:eastAsia="zh-CN" w:bidi="ar"/>
              </w:rPr>
              <w:t>市生态环境总体准入清单符合性分析见表1-</w:t>
            </w:r>
            <w:r>
              <w:rPr>
                <w:rFonts w:hint="eastAsia" w:cs="Times New Roman"/>
                <w:color w:val="auto"/>
                <w:kern w:val="0"/>
                <w:sz w:val="24"/>
                <w:szCs w:val="24"/>
                <w:lang w:val="en-US" w:eastAsia="zh-CN" w:bidi="ar"/>
              </w:rPr>
              <w:t>3</w:t>
            </w:r>
            <w:r>
              <w:rPr>
                <w:rFonts w:hint="default" w:ascii="Times New Roman" w:hAnsi="Times New Roman" w:eastAsia="宋体" w:cs="Times New Roman"/>
                <w:color w:val="auto"/>
                <w:kern w:val="0"/>
                <w:sz w:val="24"/>
                <w:szCs w:val="24"/>
                <w:lang w:val="en-US" w:eastAsia="zh-CN" w:bidi="ar"/>
              </w:rPr>
              <w:t>。</w:t>
            </w:r>
          </w:p>
          <w:p w14:paraId="19BC5091">
            <w:pPr>
              <w:jc w:val="center"/>
              <w:rPr>
                <w:b/>
                <w:bCs/>
                <w:color w:val="auto"/>
                <w:kern w:val="0"/>
                <w:szCs w:val="21"/>
              </w:rPr>
            </w:pPr>
            <w:r>
              <w:rPr>
                <w:b/>
                <w:bCs/>
                <w:color w:val="auto"/>
                <w:kern w:val="0"/>
                <w:szCs w:val="21"/>
              </w:rPr>
              <w:t>表1</w:t>
            </w:r>
            <w:r>
              <w:rPr>
                <w:rFonts w:hint="eastAsia"/>
                <w:b/>
                <w:bCs/>
                <w:color w:val="auto"/>
                <w:kern w:val="0"/>
                <w:szCs w:val="21"/>
              </w:rPr>
              <w:t>-</w:t>
            </w:r>
            <w:r>
              <w:rPr>
                <w:rFonts w:hint="eastAsia"/>
                <w:b/>
                <w:bCs/>
                <w:color w:val="auto"/>
                <w:kern w:val="0"/>
                <w:szCs w:val="21"/>
                <w:lang w:val="en-US" w:eastAsia="zh-CN"/>
              </w:rPr>
              <w:t>3</w:t>
            </w:r>
            <w:r>
              <w:rPr>
                <w:rFonts w:hint="eastAsia"/>
                <w:b/>
                <w:bCs/>
                <w:color w:val="auto"/>
                <w:kern w:val="0"/>
                <w:szCs w:val="21"/>
              </w:rPr>
              <w:t xml:space="preserve">   </w:t>
            </w:r>
            <w:r>
              <w:rPr>
                <w:b/>
                <w:bCs/>
                <w:color w:val="auto"/>
                <w:kern w:val="0"/>
                <w:szCs w:val="21"/>
              </w:rPr>
              <w:t>本项目范围涉及的生态环境管控单元准入清单</w:t>
            </w:r>
          </w:p>
          <w:tbl>
            <w:tblPr>
              <w:tblStyle w:val="18"/>
              <w:tblW w:w="683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
            <w:tblGrid>
              <w:gridCol w:w="579"/>
              <w:gridCol w:w="306"/>
              <w:gridCol w:w="270"/>
              <w:gridCol w:w="712"/>
              <w:gridCol w:w="564"/>
              <w:gridCol w:w="2910"/>
              <w:gridCol w:w="570"/>
              <w:gridCol w:w="687"/>
              <w:gridCol w:w="240"/>
            </w:tblGrid>
            <w:tr w14:paraId="547EA1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423" w:type="pct"/>
                  <w:vAlign w:val="center"/>
                </w:tcPr>
                <w:p w14:paraId="793EE23E">
                  <w:pPr>
                    <w:keepNext w:val="0"/>
                    <w:keepLines w:val="0"/>
                    <w:pageBreakBefore w:val="0"/>
                    <w:widowControl w:val="0"/>
                    <w:kinsoku/>
                    <w:wordWrap/>
                    <w:overflowPunct/>
                    <w:topLinePunct w:val="0"/>
                    <w:autoSpaceDE w:val="0"/>
                    <w:autoSpaceDN w:val="0"/>
                    <w:bidi w:val="0"/>
                    <w:adjustRightInd w:val="0"/>
                    <w:snapToGrid w:val="0"/>
                    <w:spacing w:line="240" w:lineRule="auto"/>
                    <w:ind w:firstLine="0" w:firstLineChars="0"/>
                    <w:jc w:val="center"/>
                    <w:textAlignment w:val="auto"/>
                    <w:rPr>
                      <w:rFonts w:ascii="Times New Roman" w:hAnsi="Times New Roman" w:eastAsia="宋体" w:cs="Times New Roman"/>
                      <w:color w:val="auto"/>
                      <w:kern w:val="0"/>
                      <w:sz w:val="21"/>
                      <w:szCs w:val="21"/>
                      <w:lang w:val="en-US" w:eastAsia="zh-CN" w:bidi="ar-SA"/>
                    </w:rPr>
                  </w:pPr>
                  <w:r>
                    <w:rPr>
                      <w:color w:val="auto"/>
                      <w:kern w:val="0"/>
                      <w:szCs w:val="21"/>
                    </w:rPr>
                    <w:t>环境管控单元名称</w:t>
                  </w:r>
                </w:p>
              </w:tc>
              <w:tc>
                <w:tcPr>
                  <w:tcW w:w="223" w:type="pct"/>
                  <w:vAlign w:val="center"/>
                </w:tcPr>
                <w:p w14:paraId="36585AAB">
                  <w:pPr>
                    <w:keepNext w:val="0"/>
                    <w:keepLines w:val="0"/>
                    <w:pageBreakBefore w:val="0"/>
                    <w:widowControl w:val="0"/>
                    <w:kinsoku/>
                    <w:wordWrap/>
                    <w:overflowPunct/>
                    <w:topLinePunct w:val="0"/>
                    <w:autoSpaceDE w:val="0"/>
                    <w:autoSpaceDN w:val="0"/>
                    <w:bidi w:val="0"/>
                    <w:adjustRightInd w:val="0"/>
                    <w:snapToGrid w:val="0"/>
                    <w:spacing w:line="240" w:lineRule="auto"/>
                    <w:ind w:firstLine="0" w:firstLineChars="0"/>
                    <w:jc w:val="center"/>
                    <w:textAlignment w:val="auto"/>
                    <w:rPr>
                      <w:color w:val="auto"/>
                      <w:kern w:val="0"/>
                      <w:szCs w:val="21"/>
                    </w:rPr>
                  </w:pPr>
                  <w:r>
                    <w:rPr>
                      <w:color w:val="auto"/>
                      <w:kern w:val="0"/>
                      <w:szCs w:val="21"/>
                    </w:rPr>
                    <w:t>市</w:t>
                  </w:r>
                </w:p>
              </w:tc>
              <w:tc>
                <w:tcPr>
                  <w:tcW w:w="197" w:type="pct"/>
                  <w:vAlign w:val="center"/>
                </w:tcPr>
                <w:p w14:paraId="3DAE94ED">
                  <w:pPr>
                    <w:keepNext w:val="0"/>
                    <w:keepLines w:val="0"/>
                    <w:pageBreakBefore w:val="0"/>
                    <w:widowControl w:val="0"/>
                    <w:kinsoku/>
                    <w:wordWrap/>
                    <w:overflowPunct/>
                    <w:topLinePunct w:val="0"/>
                    <w:autoSpaceDE w:val="0"/>
                    <w:autoSpaceDN w:val="0"/>
                    <w:bidi w:val="0"/>
                    <w:adjustRightInd w:val="0"/>
                    <w:snapToGrid w:val="0"/>
                    <w:spacing w:line="240" w:lineRule="auto"/>
                    <w:ind w:firstLine="0" w:firstLineChars="0"/>
                    <w:jc w:val="center"/>
                    <w:textAlignment w:val="auto"/>
                    <w:rPr>
                      <w:color w:val="auto"/>
                      <w:kern w:val="0"/>
                      <w:szCs w:val="21"/>
                    </w:rPr>
                  </w:pPr>
                  <w:r>
                    <w:rPr>
                      <w:color w:val="auto"/>
                      <w:kern w:val="0"/>
                      <w:szCs w:val="21"/>
                    </w:rPr>
                    <w:t>区县</w:t>
                  </w:r>
                </w:p>
              </w:tc>
              <w:tc>
                <w:tcPr>
                  <w:tcW w:w="520" w:type="pct"/>
                  <w:vAlign w:val="center"/>
                </w:tcPr>
                <w:p w14:paraId="44556086">
                  <w:pPr>
                    <w:keepNext w:val="0"/>
                    <w:keepLines w:val="0"/>
                    <w:pageBreakBefore w:val="0"/>
                    <w:widowControl w:val="0"/>
                    <w:kinsoku/>
                    <w:wordWrap/>
                    <w:overflowPunct/>
                    <w:topLinePunct w:val="0"/>
                    <w:autoSpaceDE w:val="0"/>
                    <w:autoSpaceDN w:val="0"/>
                    <w:bidi w:val="0"/>
                    <w:adjustRightInd w:val="0"/>
                    <w:snapToGrid w:val="0"/>
                    <w:spacing w:line="240" w:lineRule="auto"/>
                    <w:ind w:firstLine="0" w:firstLineChars="0"/>
                    <w:jc w:val="center"/>
                    <w:textAlignment w:val="auto"/>
                    <w:rPr>
                      <w:color w:val="auto"/>
                      <w:kern w:val="0"/>
                      <w:szCs w:val="21"/>
                    </w:rPr>
                  </w:pPr>
                  <w:r>
                    <w:rPr>
                      <w:color w:val="auto"/>
                      <w:kern w:val="0"/>
                      <w:szCs w:val="21"/>
                    </w:rPr>
                    <w:t>单元要素属性</w:t>
                  </w:r>
                </w:p>
              </w:tc>
              <w:tc>
                <w:tcPr>
                  <w:tcW w:w="412" w:type="pct"/>
                  <w:vAlign w:val="center"/>
                </w:tcPr>
                <w:p w14:paraId="29DC33CE">
                  <w:pPr>
                    <w:keepNext w:val="0"/>
                    <w:keepLines w:val="0"/>
                    <w:pageBreakBefore w:val="0"/>
                    <w:widowControl w:val="0"/>
                    <w:kinsoku/>
                    <w:wordWrap/>
                    <w:overflowPunct/>
                    <w:topLinePunct w:val="0"/>
                    <w:autoSpaceDE w:val="0"/>
                    <w:autoSpaceDN w:val="0"/>
                    <w:bidi w:val="0"/>
                    <w:adjustRightInd w:val="0"/>
                    <w:snapToGrid w:val="0"/>
                    <w:spacing w:line="240" w:lineRule="auto"/>
                    <w:ind w:firstLine="0" w:firstLineChars="0"/>
                    <w:jc w:val="center"/>
                    <w:textAlignment w:val="auto"/>
                    <w:rPr>
                      <w:rFonts w:hint="default" w:eastAsia="宋体"/>
                      <w:color w:val="auto"/>
                      <w:kern w:val="0"/>
                      <w:szCs w:val="21"/>
                      <w:lang w:val="en-US" w:eastAsia="zh-CN"/>
                    </w:rPr>
                  </w:pPr>
                  <w:r>
                    <w:rPr>
                      <w:rFonts w:hint="eastAsia"/>
                      <w:color w:val="auto"/>
                      <w:kern w:val="0"/>
                      <w:szCs w:val="21"/>
                      <w:lang w:val="en-US" w:eastAsia="zh-CN"/>
                    </w:rPr>
                    <w:t>管控要求分类</w:t>
                  </w:r>
                </w:p>
              </w:tc>
              <w:tc>
                <w:tcPr>
                  <w:tcW w:w="2127" w:type="pct"/>
                  <w:vAlign w:val="center"/>
                </w:tcPr>
                <w:p w14:paraId="38612B23">
                  <w:pPr>
                    <w:keepNext w:val="0"/>
                    <w:keepLines w:val="0"/>
                    <w:pageBreakBefore w:val="0"/>
                    <w:widowControl w:val="0"/>
                    <w:kinsoku/>
                    <w:wordWrap/>
                    <w:overflowPunct/>
                    <w:topLinePunct w:val="0"/>
                    <w:autoSpaceDE w:val="0"/>
                    <w:autoSpaceDN w:val="0"/>
                    <w:bidi w:val="0"/>
                    <w:adjustRightInd w:val="0"/>
                    <w:snapToGrid w:val="0"/>
                    <w:spacing w:line="240" w:lineRule="auto"/>
                    <w:ind w:firstLine="0" w:firstLineChars="0"/>
                    <w:jc w:val="center"/>
                    <w:textAlignment w:val="auto"/>
                    <w:rPr>
                      <w:color w:val="auto"/>
                      <w:kern w:val="0"/>
                      <w:szCs w:val="21"/>
                    </w:rPr>
                  </w:pPr>
                  <w:r>
                    <w:rPr>
                      <w:color w:val="auto"/>
                      <w:kern w:val="0"/>
                      <w:szCs w:val="21"/>
                    </w:rPr>
                    <w:t>管控要求</w:t>
                  </w:r>
                </w:p>
              </w:tc>
              <w:tc>
                <w:tcPr>
                  <w:tcW w:w="416" w:type="pct"/>
                  <w:vAlign w:val="center"/>
                </w:tcPr>
                <w:p w14:paraId="5C32155E">
                  <w:pPr>
                    <w:keepNext w:val="0"/>
                    <w:keepLines w:val="0"/>
                    <w:pageBreakBefore w:val="0"/>
                    <w:widowControl w:val="0"/>
                    <w:kinsoku/>
                    <w:wordWrap/>
                    <w:overflowPunct/>
                    <w:topLinePunct w:val="0"/>
                    <w:autoSpaceDE w:val="0"/>
                    <w:autoSpaceDN w:val="0"/>
                    <w:bidi w:val="0"/>
                    <w:adjustRightInd w:val="0"/>
                    <w:snapToGrid w:val="0"/>
                    <w:spacing w:line="240" w:lineRule="auto"/>
                    <w:ind w:firstLine="0" w:firstLineChars="0"/>
                    <w:jc w:val="center"/>
                    <w:textAlignment w:val="auto"/>
                    <w:rPr>
                      <w:color w:val="auto"/>
                      <w:kern w:val="0"/>
                      <w:szCs w:val="21"/>
                    </w:rPr>
                  </w:pPr>
                  <w:r>
                    <w:rPr>
                      <w:color w:val="auto"/>
                      <w:kern w:val="0"/>
                      <w:szCs w:val="21"/>
                    </w:rPr>
                    <w:t>面积/长度</w:t>
                  </w:r>
                </w:p>
              </w:tc>
              <w:tc>
                <w:tcPr>
                  <w:tcW w:w="502" w:type="pct"/>
                  <w:vAlign w:val="center"/>
                </w:tcPr>
                <w:p w14:paraId="533678EC">
                  <w:pPr>
                    <w:keepNext w:val="0"/>
                    <w:keepLines w:val="0"/>
                    <w:pageBreakBefore w:val="0"/>
                    <w:widowControl w:val="0"/>
                    <w:kinsoku/>
                    <w:wordWrap/>
                    <w:overflowPunct/>
                    <w:topLinePunct w:val="0"/>
                    <w:autoSpaceDE w:val="0"/>
                    <w:autoSpaceDN w:val="0"/>
                    <w:bidi w:val="0"/>
                    <w:adjustRightInd w:val="0"/>
                    <w:snapToGrid w:val="0"/>
                    <w:spacing w:line="240" w:lineRule="auto"/>
                    <w:ind w:firstLine="0" w:firstLineChars="0"/>
                    <w:jc w:val="center"/>
                    <w:textAlignment w:val="auto"/>
                    <w:rPr>
                      <w:color w:val="auto"/>
                      <w:kern w:val="0"/>
                      <w:szCs w:val="21"/>
                    </w:rPr>
                  </w:pPr>
                  <w:r>
                    <w:rPr>
                      <w:color w:val="auto"/>
                      <w:kern w:val="0"/>
                      <w:szCs w:val="21"/>
                    </w:rPr>
                    <w:t>本项目情况说明</w:t>
                  </w:r>
                </w:p>
              </w:tc>
              <w:tc>
                <w:tcPr>
                  <w:tcW w:w="175" w:type="pct"/>
                  <w:vAlign w:val="center"/>
                </w:tcPr>
                <w:p w14:paraId="78822BC2">
                  <w:pPr>
                    <w:keepNext w:val="0"/>
                    <w:keepLines w:val="0"/>
                    <w:pageBreakBefore w:val="0"/>
                    <w:widowControl w:val="0"/>
                    <w:kinsoku/>
                    <w:wordWrap/>
                    <w:overflowPunct/>
                    <w:topLinePunct w:val="0"/>
                    <w:autoSpaceDE w:val="0"/>
                    <w:autoSpaceDN w:val="0"/>
                    <w:bidi w:val="0"/>
                    <w:adjustRightInd w:val="0"/>
                    <w:snapToGrid w:val="0"/>
                    <w:spacing w:line="240" w:lineRule="auto"/>
                    <w:ind w:firstLine="0" w:firstLineChars="0"/>
                    <w:jc w:val="center"/>
                    <w:textAlignment w:val="auto"/>
                    <w:rPr>
                      <w:color w:val="auto"/>
                      <w:kern w:val="0"/>
                      <w:szCs w:val="21"/>
                    </w:rPr>
                  </w:pPr>
                  <w:r>
                    <w:rPr>
                      <w:color w:val="auto"/>
                      <w:kern w:val="0"/>
                      <w:szCs w:val="21"/>
                    </w:rPr>
                    <w:t>相符性</w:t>
                  </w:r>
                </w:p>
              </w:tc>
            </w:tr>
            <w:tr w14:paraId="55A9E9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0" w:hRule="atLeast"/>
                <w:jc w:val="center"/>
              </w:trPr>
              <w:tc>
                <w:tcPr>
                  <w:tcW w:w="423" w:type="pct"/>
                  <w:vMerge w:val="restart"/>
                  <w:vAlign w:val="center"/>
                </w:tcPr>
                <w:p w14:paraId="7738AF14">
                  <w:pPr>
                    <w:keepNext w:val="0"/>
                    <w:keepLines w:val="0"/>
                    <w:pageBreakBefore w:val="0"/>
                    <w:widowControl w:val="0"/>
                    <w:kinsoku/>
                    <w:wordWrap/>
                    <w:overflowPunct/>
                    <w:topLinePunct w:val="0"/>
                    <w:autoSpaceDE w:val="0"/>
                    <w:autoSpaceDN w:val="0"/>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cs="Times New Roman"/>
                      <w:color w:val="auto"/>
                      <w:kern w:val="0"/>
                      <w:sz w:val="21"/>
                      <w:szCs w:val="21"/>
                      <w:lang w:val="en-US" w:eastAsia="zh-CN" w:bidi="ar-SA"/>
                    </w:rPr>
                    <w:t>陕西省西安市高陵区重点管控单元3</w:t>
                  </w:r>
                </w:p>
              </w:tc>
              <w:tc>
                <w:tcPr>
                  <w:tcW w:w="223" w:type="pct"/>
                  <w:vMerge w:val="restart"/>
                  <w:vAlign w:val="center"/>
                </w:tcPr>
                <w:p w14:paraId="621C8F2E">
                  <w:pPr>
                    <w:keepNext w:val="0"/>
                    <w:keepLines w:val="0"/>
                    <w:pageBreakBefore w:val="0"/>
                    <w:widowControl w:val="0"/>
                    <w:kinsoku/>
                    <w:wordWrap/>
                    <w:overflowPunct/>
                    <w:topLinePunct w:val="0"/>
                    <w:autoSpaceDE w:val="0"/>
                    <w:autoSpaceDN w:val="0"/>
                    <w:bidi w:val="0"/>
                    <w:adjustRightInd w:val="0"/>
                    <w:snapToGrid w:val="0"/>
                    <w:spacing w:line="240" w:lineRule="auto"/>
                    <w:ind w:firstLine="0" w:firstLineChars="0"/>
                    <w:jc w:val="center"/>
                    <w:textAlignment w:val="auto"/>
                    <w:rPr>
                      <w:rFonts w:hint="eastAsia" w:eastAsia="宋体"/>
                      <w:color w:val="auto"/>
                      <w:kern w:val="0"/>
                      <w:szCs w:val="21"/>
                      <w:lang w:val="en-US" w:eastAsia="zh-CN"/>
                    </w:rPr>
                  </w:pPr>
                  <w:r>
                    <w:rPr>
                      <w:rFonts w:hint="eastAsia"/>
                      <w:color w:val="auto"/>
                      <w:kern w:val="0"/>
                      <w:szCs w:val="21"/>
                      <w:lang w:val="en-US" w:eastAsia="zh-CN"/>
                    </w:rPr>
                    <w:t>西安市</w:t>
                  </w:r>
                </w:p>
              </w:tc>
              <w:tc>
                <w:tcPr>
                  <w:tcW w:w="197" w:type="pct"/>
                  <w:vMerge w:val="restart"/>
                  <w:vAlign w:val="center"/>
                </w:tcPr>
                <w:p w14:paraId="65CBFA4F">
                  <w:pPr>
                    <w:keepNext w:val="0"/>
                    <w:keepLines w:val="0"/>
                    <w:pageBreakBefore w:val="0"/>
                    <w:widowControl w:val="0"/>
                    <w:kinsoku/>
                    <w:wordWrap/>
                    <w:overflowPunct/>
                    <w:topLinePunct w:val="0"/>
                    <w:autoSpaceDE w:val="0"/>
                    <w:autoSpaceDN w:val="0"/>
                    <w:bidi w:val="0"/>
                    <w:adjustRightInd w:val="0"/>
                    <w:snapToGrid w:val="0"/>
                    <w:spacing w:line="240" w:lineRule="auto"/>
                    <w:ind w:firstLine="0" w:firstLineChars="0"/>
                    <w:jc w:val="center"/>
                    <w:textAlignment w:val="auto"/>
                    <w:rPr>
                      <w:rFonts w:hint="eastAsia" w:eastAsia="宋体"/>
                      <w:color w:val="auto"/>
                      <w:kern w:val="0"/>
                      <w:szCs w:val="21"/>
                      <w:lang w:val="en-US" w:eastAsia="zh-CN"/>
                    </w:rPr>
                  </w:pPr>
                  <w:r>
                    <w:rPr>
                      <w:rFonts w:hint="eastAsia"/>
                      <w:color w:val="auto"/>
                      <w:kern w:val="0"/>
                      <w:szCs w:val="21"/>
                      <w:lang w:val="en-US" w:eastAsia="zh-CN"/>
                    </w:rPr>
                    <w:t>高陵区</w:t>
                  </w:r>
                </w:p>
              </w:tc>
              <w:tc>
                <w:tcPr>
                  <w:tcW w:w="520" w:type="pct"/>
                  <w:vAlign w:val="center"/>
                </w:tcPr>
                <w:p w14:paraId="18147E06">
                  <w:pPr>
                    <w:keepNext w:val="0"/>
                    <w:keepLines w:val="0"/>
                    <w:pageBreakBefore w:val="0"/>
                    <w:widowControl w:val="0"/>
                    <w:kinsoku/>
                    <w:wordWrap/>
                    <w:overflowPunct/>
                    <w:topLinePunct w:val="0"/>
                    <w:autoSpaceDE w:val="0"/>
                    <w:autoSpaceDN w:val="0"/>
                    <w:bidi w:val="0"/>
                    <w:adjustRightInd w:val="0"/>
                    <w:snapToGrid w:val="0"/>
                    <w:spacing w:line="240" w:lineRule="auto"/>
                    <w:ind w:firstLine="0" w:firstLineChars="0"/>
                    <w:jc w:val="center"/>
                    <w:textAlignment w:val="auto"/>
                    <w:rPr>
                      <w:rFonts w:hint="default" w:eastAsia="宋体"/>
                      <w:color w:val="auto"/>
                      <w:kern w:val="0"/>
                      <w:szCs w:val="21"/>
                      <w:lang w:val="en-US" w:eastAsia="zh-CN"/>
                    </w:rPr>
                  </w:pPr>
                  <w:r>
                    <w:rPr>
                      <w:rFonts w:hint="eastAsia"/>
                      <w:color w:val="auto"/>
                      <w:kern w:val="0"/>
                      <w:szCs w:val="21"/>
                      <w:lang w:val="en-GB" w:eastAsia="zh-TW"/>
                    </w:rPr>
                    <w:t>大气环境布局敏感重点管控区、</w:t>
                  </w:r>
                  <w:r>
                    <w:rPr>
                      <w:rFonts w:hint="eastAsia"/>
                      <w:color w:val="auto"/>
                      <w:kern w:val="0"/>
                      <w:szCs w:val="21"/>
                      <w:lang w:val="en-US" w:eastAsia="zh-CN"/>
                    </w:rPr>
                    <w:t>水环境城镇生活污染重点管控区</w:t>
                  </w:r>
                </w:p>
              </w:tc>
              <w:tc>
                <w:tcPr>
                  <w:tcW w:w="412" w:type="pct"/>
                  <w:vAlign w:val="center"/>
                </w:tcPr>
                <w:p w14:paraId="6DC35704">
                  <w:pPr>
                    <w:keepNext w:val="0"/>
                    <w:keepLines w:val="0"/>
                    <w:pageBreakBefore w:val="0"/>
                    <w:widowControl w:val="0"/>
                    <w:kinsoku/>
                    <w:wordWrap/>
                    <w:overflowPunct/>
                    <w:topLinePunct w:val="0"/>
                    <w:autoSpaceDE w:val="0"/>
                    <w:autoSpaceDN w:val="0"/>
                    <w:bidi w:val="0"/>
                    <w:adjustRightInd w:val="0"/>
                    <w:snapToGrid w:val="0"/>
                    <w:spacing w:line="240" w:lineRule="auto"/>
                    <w:ind w:firstLine="0" w:firstLineChars="0"/>
                    <w:jc w:val="center"/>
                    <w:textAlignment w:val="auto"/>
                    <w:rPr>
                      <w:color w:val="auto"/>
                      <w:szCs w:val="21"/>
                    </w:rPr>
                  </w:pPr>
                  <w:r>
                    <w:rPr>
                      <w:color w:val="auto"/>
                      <w:szCs w:val="21"/>
                    </w:rPr>
                    <w:t>空间</w:t>
                  </w:r>
                </w:p>
                <w:p w14:paraId="5C85DDC0">
                  <w:pPr>
                    <w:keepNext w:val="0"/>
                    <w:keepLines w:val="0"/>
                    <w:pageBreakBefore w:val="0"/>
                    <w:widowControl w:val="0"/>
                    <w:kinsoku/>
                    <w:wordWrap/>
                    <w:overflowPunct/>
                    <w:topLinePunct w:val="0"/>
                    <w:autoSpaceDE w:val="0"/>
                    <w:autoSpaceDN w:val="0"/>
                    <w:bidi w:val="0"/>
                    <w:adjustRightInd w:val="0"/>
                    <w:snapToGrid w:val="0"/>
                    <w:spacing w:line="240" w:lineRule="auto"/>
                    <w:ind w:firstLine="0" w:firstLineChars="0"/>
                    <w:jc w:val="center"/>
                    <w:textAlignment w:val="auto"/>
                    <w:rPr>
                      <w:color w:val="auto"/>
                      <w:szCs w:val="21"/>
                    </w:rPr>
                  </w:pPr>
                  <w:r>
                    <w:rPr>
                      <w:color w:val="auto"/>
                      <w:szCs w:val="21"/>
                    </w:rPr>
                    <w:t>布局</w:t>
                  </w:r>
                </w:p>
                <w:p w14:paraId="1CED9DE5">
                  <w:pPr>
                    <w:keepNext w:val="0"/>
                    <w:keepLines w:val="0"/>
                    <w:pageBreakBefore w:val="0"/>
                    <w:widowControl w:val="0"/>
                    <w:kinsoku/>
                    <w:wordWrap/>
                    <w:overflowPunct/>
                    <w:topLinePunct w:val="0"/>
                    <w:autoSpaceDE w:val="0"/>
                    <w:autoSpaceDN w:val="0"/>
                    <w:bidi w:val="0"/>
                    <w:adjustRightInd w:val="0"/>
                    <w:snapToGrid w:val="0"/>
                    <w:spacing w:line="240" w:lineRule="auto"/>
                    <w:ind w:firstLine="0" w:firstLineChars="0"/>
                    <w:jc w:val="center"/>
                    <w:textAlignment w:val="auto"/>
                    <w:rPr>
                      <w:color w:val="auto"/>
                      <w:szCs w:val="21"/>
                      <w:lang w:val="en-GB" w:eastAsia="zh-TW"/>
                    </w:rPr>
                  </w:pPr>
                  <w:r>
                    <w:rPr>
                      <w:color w:val="auto"/>
                      <w:szCs w:val="21"/>
                    </w:rPr>
                    <w:t>约束</w:t>
                  </w:r>
                </w:p>
              </w:tc>
              <w:tc>
                <w:tcPr>
                  <w:tcW w:w="2127" w:type="pct"/>
                  <w:vAlign w:val="center"/>
                </w:tcPr>
                <w:p w14:paraId="747C1A9E">
                  <w:pPr>
                    <w:keepNext w:val="0"/>
                    <w:keepLines w:val="0"/>
                    <w:pageBreakBefore w:val="0"/>
                    <w:widowControl w:val="0"/>
                    <w:kinsoku/>
                    <w:wordWrap/>
                    <w:overflowPunct/>
                    <w:topLinePunct w:val="0"/>
                    <w:autoSpaceDE w:val="0"/>
                    <w:autoSpaceDN w:val="0"/>
                    <w:bidi w:val="0"/>
                    <w:adjustRightInd w:val="0"/>
                    <w:snapToGrid w:val="0"/>
                    <w:spacing w:line="240" w:lineRule="auto"/>
                    <w:ind w:firstLine="0" w:firstLineChars="0"/>
                    <w:jc w:val="both"/>
                    <w:textAlignment w:val="auto"/>
                    <w:rPr>
                      <w:rFonts w:hint="eastAsia"/>
                      <w:color w:val="auto"/>
                      <w:szCs w:val="21"/>
                      <w:lang w:val="en-GB" w:eastAsia="zh-TW"/>
                    </w:rPr>
                  </w:pPr>
                  <w:r>
                    <w:rPr>
                      <w:rFonts w:hint="eastAsia"/>
                      <w:color w:val="auto"/>
                      <w:szCs w:val="21"/>
                      <w:lang w:val="en-GB" w:eastAsia="zh-TW"/>
                    </w:rPr>
                    <w:t>大气环境布局敏感重点管控区：</w:t>
                  </w:r>
                  <w:r>
                    <w:rPr>
                      <w:color w:val="auto"/>
                      <w:szCs w:val="21"/>
                      <w:lang w:val="en-GB" w:eastAsia="zh-TW"/>
                    </w:rPr>
                    <w:t>1.</w:t>
                  </w:r>
                  <w:r>
                    <w:rPr>
                      <w:rFonts w:hint="eastAsia"/>
                      <w:color w:val="auto"/>
                      <w:szCs w:val="21"/>
                      <w:lang w:val="en-GB" w:eastAsia="zh-TW"/>
                    </w:rPr>
                    <w:t>严格控制新增《陕西省</w:t>
                  </w:r>
                  <w:r>
                    <w:rPr>
                      <w:rFonts w:hint="default"/>
                      <w:color w:val="auto"/>
                      <w:szCs w:val="21"/>
                      <w:lang w:val="en-GB" w:eastAsia="zh-TW"/>
                    </w:rPr>
                    <w:t>“</w:t>
                  </w:r>
                  <w:r>
                    <w:rPr>
                      <w:rFonts w:hint="eastAsia"/>
                      <w:color w:val="auto"/>
                      <w:szCs w:val="21"/>
                      <w:lang w:val="en-GB" w:eastAsia="zh-TW"/>
                    </w:rPr>
                    <w:t>两高</w:t>
                  </w:r>
                  <w:r>
                    <w:rPr>
                      <w:rFonts w:hint="default"/>
                      <w:color w:val="auto"/>
                      <w:szCs w:val="21"/>
                      <w:lang w:val="en-GB" w:eastAsia="zh-TW"/>
                    </w:rPr>
                    <w:t>”</w:t>
                  </w:r>
                  <w:r>
                    <w:rPr>
                      <w:rFonts w:hint="eastAsia"/>
                      <w:color w:val="auto"/>
                      <w:szCs w:val="21"/>
                      <w:lang w:val="en-GB" w:eastAsia="zh-TW"/>
                    </w:rPr>
                    <w:t>项目管理暂行目录》行业项目（民生等项目除外，后续对</w:t>
                  </w:r>
                  <w:r>
                    <w:rPr>
                      <w:rFonts w:hint="default"/>
                      <w:color w:val="auto"/>
                      <w:szCs w:val="21"/>
                      <w:lang w:val="en-GB" w:eastAsia="zh-TW"/>
                    </w:rPr>
                    <w:t>“</w:t>
                  </w:r>
                  <w:r>
                    <w:rPr>
                      <w:rFonts w:hint="eastAsia"/>
                      <w:color w:val="auto"/>
                      <w:szCs w:val="21"/>
                      <w:lang w:val="en-GB" w:eastAsia="zh-TW"/>
                    </w:rPr>
                    <w:t>两高</w:t>
                  </w:r>
                  <w:r>
                    <w:rPr>
                      <w:rFonts w:hint="default"/>
                      <w:color w:val="auto"/>
                      <w:szCs w:val="21"/>
                      <w:lang w:val="en-GB" w:eastAsia="zh-TW"/>
                    </w:rPr>
                    <w:t>”</w:t>
                  </w:r>
                  <w:r>
                    <w:rPr>
                      <w:rFonts w:hint="eastAsia"/>
                      <w:color w:val="auto"/>
                      <w:szCs w:val="21"/>
                      <w:lang w:val="en-GB" w:eastAsia="zh-TW"/>
                    </w:rPr>
                    <w:t>范围国家如有新规定的，从其规定）。2.严禁新增钢铁、焦化、水泥熟料、平板玻璃、电解铝、氧化铝、煤化工产能。3.推动重污染企业搬迁入园或依法关闭。</w:t>
                  </w:r>
                </w:p>
                <w:p w14:paraId="3903E1BB">
                  <w:pPr>
                    <w:keepNext w:val="0"/>
                    <w:keepLines w:val="0"/>
                    <w:pageBreakBefore w:val="0"/>
                    <w:widowControl w:val="0"/>
                    <w:kinsoku/>
                    <w:wordWrap/>
                    <w:overflowPunct/>
                    <w:topLinePunct w:val="0"/>
                    <w:autoSpaceDE w:val="0"/>
                    <w:autoSpaceDN w:val="0"/>
                    <w:bidi w:val="0"/>
                    <w:adjustRightInd w:val="0"/>
                    <w:snapToGrid w:val="0"/>
                    <w:spacing w:line="240" w:lineRule="auto"/>
                    <w:ind w:firstLine="0" w:firstLineChars="0"/>
                    <w:jc w:val="both"/>
                    <w:textAlignment w:val="auto"/>
                    <w:rPr>
                      <w:color w:val="auto"/>
                      <w:szCs w:val="21"/>
                      <w:lang w:val="en-GB" w:eastAsia="zh-TW"/>
                    </w:rPr>
                  </w:pPr>
                  <w:r>
                    <w:rPr>
                      <w:rFonts w:hint="eastAsia"/>
                      <w:color w:val="auto"/>
                      <w:szCs w:val="21"/>
                      <w:lang w:val="en-GB" w:eastAsia="zh-TW"/>
                    </w:rPr>
                    <w:t>水环境城镇生活污染重点管控区：1.持续推进城中村、老旧城区、城乡结合部污水截流、收集和城市雨污管道新建、改建。</w:t>
                  </w:r>
                </w:p>
              </w:tc>
              <w:tc>
                <w:tcPr>
                  <w:tcW w:w="416" w:type="pct"/>
                  <w:vMerge w:val="restart"/>
                  <w:vAlign w:val="center"/>
                </w:tcPr>
                <w:p w14:paraId="099B3BAE">
                  <w:pPr>
                    <w:keepNext w:val="0"/>
                    <w:keepLines w:val="0"/>
                    <w:pageBreakBefore w:val="0"/>
                    <w:widowControl w:val="0"/>
                    <w:kinsoku/>
                    <w:wordWrap/>
                    <w:overflowPunct/>
                    <w:topLinePunct w:val="0"/>
                    <w:autoSpaceDE w:val="0"/>
                    <w:autoSpaceDN w:val="0"/>
                    <w:bidi w:val="0"/>
                    <w:adjustRightInd w:val="0"/>
                    <w:snapToGrid w:val="0"/>
                    <w:spacing w:line="240" w:lineRule="auto"/>
                    <w:ind w:firstLine="0" w:firstLineChars="0"/>
                    <w:jc w:val="center"/>
                    <w:textAlignment w:val="auto"/>
                    <w:rPr>
                      <w:color w:val="auto"/>
                      <w:szCs w:val="21"/>
                    </w:rPr>
                  </w:pPr>
                  <w:r>
                    <w:rPr>
                      <w:rFonts w:hint="eastAsia"/>
                      <w:color w:val="auto"/>
                      <w:szCs w:val="21"/>
                      <w:lang w:val="en-US" w:eastAsia="zh-CN"/>
                    </w:rPr>
                    <w:t>1200</w:t>
                  </w:r>
                  <w:r>
                    <w:rPr>
                      <w:color w:val="auto"/>
                      <w:szCs w:val="21"/>
                    </w:rPr>
                    <w:t>m</w:t>
                  </w:r>
                  <w:r>
                    <w:rPr>
                      <w:color w:val="auto"/>
                      <w:szCs w:val="21"/>
                      <w:vertAlign w:val="superscript"/>
                    </w:rPr>
                    <w:t>2</w:t>
                  </w:r>
                </w:p>
              </w:tc>
              <w:tc>
                <w:tcPr>
                  <w:tcW w:w="502" w:type="pct"/>
                  <w:vAlign w:val="center"/>
                </w:tcPr>
                <w:p w14:paraId="065DE9CC">
                  <w:pPr>
                    <w:keepNext w:val="0"/>
                    <w:keepLines w:val="0"/>
                    <w:pageBreakBefore w:val="0"/>
                    <w:widowControl w:val="0"/>
                    <w:numPr>
                      <w:ilvl w:val="0"/>
                      <w:numId w:val="0"/>
                    </w:numPr>
                    <w:kinsoku/>
                    <w:wordWrap/>
                    <w:overflowPunct/>
                    <w:topLinePunct w:val="0"/>
                    <w:autoSpaceDE w:val="0"/>
                    <w:autoSpaceDN w:val="0"/>
                    <w:bidi w:val="0"/>
                    <w:adjustRightInd w:val="0"/>
                    <w:snapToGrid w:val="0"/>
                    <w:spacing w:line="240" w:lineRule="auto"/>
                    <w:jc w:val="center"/>
                    <w:textAlignment w:val="auto"/>
                    <w:rPr>
                      <w:rFonts w:hint="default"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lang w:val="en-US" w:eastAsia="zh-CN"/>
                    </w:rPr>
                    <w:t>1、</w:t>
                  </w:r>
                  <w:r>
                    <w:rPr>
                      <w:rFonts w:hint="default" w:ascii="Times New Roman" w:hAnsi="Times New Roman" w:eastAsia="宋体" w:cs="Times New Roman"/>
                      <w:color w:val="auto"/>
                      <w:kern w:val="0"/>
                      <w:szCs w:val="21"/>
                    </w:rPr>
                    <w:t>本项目为</w:t>
                  </w:r>
                  <w:r>
                    <w:rPr>
                      <w:rFonts w:hint="eastAsia" w:cs="Times New Roman"/>
                      <w:b w:val="0"/>
                      <w:bCs w:val="0"/>
                      <w:color w:val="auto"/>
                      <w:sz w:val="21"/>
                      <w:szCs w:val="21"/>
                      <w:lang w:val="en-US" w:eastAsia="zh-CN"/>
                    </w:rPr>
                    <w:t>钛材表面处理</w:t>
                  </w:r>
                  <w:r>
                    <w:rPr>
                      <w:rFonts w:hint="default" w:ascii="Times New Roman" w:hAnsi="Times New Roman" w:eastAsia="宋体" w:cs="Times New Roman"/>
                      <w:color w:val="auto"/>
                      <w:kern w:val="0"/>
                      <w:szCs w:val="21"/>
                    </w:rPr>
                    <w:t>，不属于</w:t>
                  </w:r>
                  <w:r>
                    <w:rPr>
                      <w:rFonts w:hint="eastAsia" w:ascii="Times New Roman" w:hAnsi="Times New Roman" w:eastAsia="宋体" w:cs="Times New Roman"/>
                      <w:color w:val="auto"/>
                      <w:kern w:val="0"/>
                      <w:szCs w:val="21"/>
                      <w:lang w:eastAsia="zh-CN"/>
                    </w:rPr>
                    <w:t>“</w:t>
                  </w:r>
                  <w:r>
                    <w:rPr>
                      <w:rFonts w:hint="eastAsia" w:ascii="Times New Roman" w:hAnsi="Times New Roman" w:eastAsia="宋体" w:cs="Times New Roman"/>
                      <w:color w:val="auto"/>
                      <w:kern w:val="0"/>
                      <w:szCs w:val="21"/>
                      <w:lang w:val="en-US" w:eastAsia="zh-CN"/>
                    </w:rPr>
                    <w:t>两高</w:t>
                  </w:r>
                  <w:r>
                    <w:rPr>
                      <w:rFonts w:hint="eastAsia" w:ascii="Times New Roman" w:hAnsi="Times New Roman" w:eastAsia="宋体" w:cs="Times New Roman"/>
                      <w:color w:val="auto"/>
                      <w:kern w:val="0"/>
                      <w:szCs w:val="21"/>
                      <w:lang w:eastAsia="zh-CN"/>
                    </w:rPr>
                    <w:t>”</w:t>
                  </w:r>
                  <w:r>
                    <w:rPr>
                      <w:rFonts w:hint="default" w:ascii="Times New Roman" w:hAnsi="Times New Roman" w:eastAsia="宋体" w:cs="Times New Roman"/>
                      <w:color w:val="auto"/>
                      <w:kern w:val="0"/>
                      <w:szCs w:val="21"/>
                    </w:rPr>
                    <w:t>类项目。</w:t>
                  </w:r>
                </w:p>
                <w:p w14:paraId="4169D4E8">
                  <w:pPr>
                    <w:keepNext w:val="0"/>
                    <w:keepLines w:val="0"/>
                    <w:pageBreakBefore w:val="0"/>
                    <w:widowControl w:val="0"/>
                    <w:kinsoku/>
                    <w:wordWrap/>
                    <w:overflowPunct/>
                    <w:topLinePunct w:val="0"/>
                    <w:autoSpaceDE w:val="0"/>
                    <w:autoSpaceDN w:val="0"/>
                    <w:bidi w:val="0"/>
                    <w:adjustRightInd w:val="0"/>
                    <w:snapToGrid w:val="0"/>
                    <w:spacing w:line="240" w:lineRule="auto"/>
                    <w:ind w:firstLine="0" w:firstLineChars="0"/>
                    <w:jc w:val="center"/>
                    <w:textAlignment w:val="auto"/>
                    <w:rPr>
                      <w:rFonts w:hint="eastAsia" w:eastAsia="宋体"/>
                      <w:color w:val="auto"/>
                      <w:kern w:val="0"/>
                      <w:szCs w:val="21"/>
                      <w:lang w:val="en-US" w:eastAsia="zh-CN"/>
                    </w:rPr>
                  </w:pPr>
                  <w:r>
                    <w:rPr>
                      <w:rFonts w:hint="eastAsia" w:ascii="Times New Roman" w:hAnsi="Times New Roman" w:eastAsia="宋体" w:cs="Times New Roman"/>
                      <w:color w:val="auto"/>
                      <w:kern w:val="0"/>
                      <w:szCs w:val="21"/>
                      <w:lang w:val="en-US" w:eastAsia="zh-CN"/>
                    </w:rPr>
                    <w:t>2、</w:t>
                  </w:r>
                  <w:r>
                    <w:rPr>
                      <w:rFonts w:hint="default" w:ascii="Times New Roman" w:hAnsi="Times New Roman" w:eastAsia="宋体" w:cs="Times New Roman"/>
                      <w:color w:val="auto"/>
                      <w:kern w:val="0"/>
                      <w:szCs w:val="21"/>
                    </w:rPr>
                    <w:t>本项目不属于禁止类项目</w:t>
                  </w:r>
                  <w:r>
                    <w:rPr>
                      <w:rFonts w:hint="eastAsia" w:cs="Times New Roman"/>
                      <w:color w:val="auto"/>
                      <w:kern w:val="0"/>
                      <w:szCs w:val="21"/>
                      <w:lang w:eastAsia="zh-CN"/>
                    </w:rPr>
                    <w:t>。</w:t>
                  </w:r>
                </w:p>
              </w:tc>
              <w:tc>
                <w:tcPr>
                  <w:tcW w:w="175" w:type="pct"/>
                  <w:vAlign w:val="center"/>
                </w:tcPr>
                <w:p w14:paraId="5B4CFA42">
                  <w:pPr>
                    <w:keepNext w:val="0"/>
                    <w:keepLines w:val="0"/>
                    <w:pageBreakBefore w:val="0"/>
                    <w:widowControl w:val="0"/>
                    <w:kinsoku/>
                    <w:wordWrap/>
                    <w:overflowPunct/>
                    <w:topLinePunct w:val="0"/>
                    <w:autoSpaceDE w:val="0"/>
                    <w:autoSpaceDN w:val="0"/>
                    <w:bidi w:val="0"/>
                    <w:adjustRightInd w:val="0"/>
                    <w:snapToGrid w:val="0"/>
                    <w:spacing w:line="240" w:lineRule="auto"/>
                    <w:ind w:firstLine="0" w:firstLineChars="0"/>
                    <w:jc w:val="center"/>
                    <w:textAlignment w:val="auto"/>
                    <w:rPr>
                      <w:color w:val="auto"/>
                      <w:kern w:val="0"/>
                      <w:szCs w:val="21"/>
                    </w:rPr>
                  </w:pPr>
                  <w:r>
                    <w:rPr>
                      <w:color w:val="auto"/>
                      <w:kern w:val="0"/>
                      <w:szCs w:val="21"/>
                    </w:rPr>
                    <w:t>符合</w:t>
                  </w:r>
                </w:p>
              </w:tc>
            </w:tr>
            <w:tr w14:paraId="7470B5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423" w:type="pct"/>
                  <w:vMerge w:val="continue"/>
                  <w:vAlign w:val="center"/>
                </w:tcPr>
                <w:p w14:paraId="1790D93E">
                  <w:pPr>
                    <w:keepNext w:val="0"/>
                    <w:keepLines w:val="0"/>
                    <w:pageBreakBefore w:val="0"/>
                    <w:widowControl w:val="0"/>
                    <w:kinsoku/>
                    <w:wordWrap/>
                    <w:overflowPunct/>
                    <w:topLinePunct w:val="0"/>
                    <w:autoSpaceDE w:val="0"/>
                    <w:autoSpaceDN w:val="0"/>
                    <w:bidi w:val="0"/>
                    <w:adjustRightInd w:val="0"/>
                    <w:snapToGrid w:val="0"/>
                    <w:spacing w:line="240" w:lineRule="auto"/>
                    <w:ind w:firstLine="0" w:firstLineChars="0"/>
                    <w:jc w:val="center"/>
                    <w:textAlignment w:val="auto"/>
                    <w:rPr>
                      <w:color w:val="auto"/>
                      <w:szCs w:val="21"/>
                    </w:rPr>
                  </w:pPr>
                </w:p>
              </w:tc>
              <w:tc>
                <w:tcPr>
                  <w:tcW w:w="223" w:type="pct"/>
                  <w:vMerge w:val="continue"/>
                  <w:vAlign w:val="center"/>
                </w:tcPr>
                <w:p w14:paraId="7B302227">
                  <w:pPr>
                    <w:keepNext w:val="0"/>
                    <w:keepLines w:val="0"/>
                    <w:pageBreakBefore w:val="0"/>
                    <w:widowControl w:val="0"/>
                    <w:kinsoku/>
                    <w:wordWrap/>
                    <w:overflowPunct/>
                    <w:topLinePunct w:val="0"/>
                    <w:autoSpaceDE w:val="0"/>
                    <w:autoSpaceDN w:val="0"/>
                    <w:bidi w:val="0"/>
                    <w:adjustRightInd w:val="0"/>
                    <w:snapToGrid w:val="0"/>
                    <w:spacing w:line="240" w:lineRule="auto"/>
                    <w:ind w:firstLine="0" w:firstLineChars="0"/>
                    <w:jc w:val="center"/>
                    <w:textAlignment w:val="auto"/>
                    <w:rPr>
                      <w:color w:val="auto"/>
                      <w:szCs w:val="21"/>
                    </w:rPr>
                  </w:pPr>
                </w:p>
              </w:tc>
              <w:tc>
                <w:tcPr>
                  <w:tcW w:w="197" w:type="pct"/>
                  <w:vMerge w:val="continue"/>
                  <w:vAlign w:val="center"/>
                </w:tcPr>
                <w:p w14:paraId="42213D50">
                  <w:pPr>
                    <w:keepNext w:val="0"/>
                    <w:keepLines w:val="0"/>
                    <w:pageBreakBefore w:val="0"/>
                    <w:widowControl w:val="0"/>
                    <w:kinsoku/>
                    <w:wordWrap/>
                    <w:overflowPunct/>
                    <w:topLinePunct w:val="0"/>
                    <w:autoSpaceDE w:val="0"/>
                    <w:autoSpaceDN w:val="0"/>
                    <w:bidi w:val="0"/>
                    <w:adjustRightInd w:val="0"/>
                    <w:snapToGrid w:val="0"/>
                    <w:spacing w:line="240" w:lineRule="auto"/>
                    <w:ind w:firstLine="0" w:firstLineChars="0"/>
                    <w:jc w:val="center"/>
                    <w:textAlignment w:val="auto"/>
                    <w:rPr>
                      <w:color w:val="auto"/>
                      <w:szCs w:val="21"/>
                    </w:rPr>
                  </w:pPr>
                </w:p>
              </w:tc>
              <w:tc>
                <w:tcPr>
                  <w:tcW w:w="520" w:type="pct"/>
                  <w:vAlign w:val="center"/>
                </w:tcPr>
                <w:p w14:paraId="0D4062FF">
                  <w:pPr>
                    <w:keepNext w:val="0"/>
                    <w:keepLines w:val="0"/>
                    <w:pageBreakBefore w:val="0"/>
                    <w:widowControl w:val="0"/>
                    <w:kinsoku/>
                    <w:wordWrap/>
                    <w:overflowPunct/>
                    <w:topLinePunct w:val="0"/>
                    <w:autoSpaceDE w:val="0"/>
                    <w:autoSpaceDN w:val="0"/>
                    <w:bidi w:val="0"/>
                    <w:adjustRightInd w:val="0"/>
                    <w:snapToGrid w:val="0"/>
                    <w:spacing w:line="240" w:lineRule="auto"/>
                    <w:ind w:firstLine="0" w:firstLineChars="0"/>
                    <w:jc w:val="center"/>
                    <w:textAlignment w:val="auto"/>
                    <w:rPr>
                      <w:rFonts w:hint="eastAsia" w:eastAsia="宋体"/>
                      <w:color w:val="auto"/>
                      <w:kern w:val="0"/>
                      <w:szCs w:val="21"/>
                      <w:lang w:val="en-US" w:eastAsia="zh-CN"/>
                    </w:rPr>
                  </w:pPr>
                  <w:r>
                    <w:rPr>
                      <w:rFonts w:hint="eastAsia"/>
                      <w:color w:val="auto"/>
                      <w:kern w:val="0"/>
                      <w:szCs w:val="21"/>
                      <w:lang w:val="en-US" w:eastAsia="zh-CN"/>
                    </w:rPr>
                    <w:t>/</w:t>
                  </w:r>
                </w:p>
              </w:tc>
              <w:tc>
                <w:tcPr>
                  <w:tcW w:w="412" w:type="pct"/>
                  <w:vAlign w:val="center"/>
                </w:tcPr>
                <w:p w14:paraId="0598615D">
                  <w:pPr>
                    <w:keepNext w:val="0"/>
                    <w:keepLines w:val="0"/>
                    <w:pageBreakBefore w:val="0"/>
                    <w:widowControl w:val="0"/>
                    <w:kinsoku/>
                    <w:wordWrap/>
                    <w:overflowPunct/>
                    <w:topLinePunct w:val="0"/>
                    <w:autoSpaceDE w:val="0"/>
                    <w:autoSpaceDN w:val="0"/>
                    <w:bidi w:val="0"/>
                    <w:adjustRightInd w:val="0"/>
                    <w:snapToGrid w:val="0"/>
                    <w:spacing w:line="240" w:lineRule="auto"/>
                    <w:ind w:firstLine="0" w:firstLineChars="0"/>
                    <w:jc w:val="center"/>
                    <w:textAlignment w:val="auto"/>
                    <w:rPr>
                      <w:color w:val="auto"/>
                      <w:szCs w:val="21"/>
                    </w:rPr>
                  </w:pPr>
                  <w:r>
                    <w:rPr>
                      <w:color w:val="auto"/>
                      <w:szCs w:val="21"/>
                    </w:rPr>
                    <w:t>污染</w:t>
                  </w:r>
                </w:p>
                <w:p w14:paraId="737B42AA">
                  <w:pPr>
                    <w:keepNext w:val="0"/>
                    <w:keepLines w:val="0"/>
                    <w:pageBreakBefore w:val="0"/>
                    <w:widowControl w:val="0"/>
                    <w:kinsoku/>
                    <w:wordWrap/>
                    <w:overflowPunct/>
                    <w:topLinePunct w:val="0"/>
                    <w:autoSpaceDE w:val="0"/>
                    <w:autoSpaceDN w:val="0"/>
                    <w:bidi w:val="0"/>
                    <w:adjustRightInd w:val="0"/>
                    <w:snapToGrid w:val="0"/>
                    <w:spacing w:line="240" w:lineRule="auto"/>
                    <w:ind w:firstLine="0" w:firstLineChars="0"/>
                    <w:jc w:val="center"/>
                    <w:textAlignment w:val="auto"/>
                    <w:rPr>
                      <w:color w:val="auto"/>
                      <w:szCs w:val="21"/>
                    </w:rPr>
                  </w:pPr>
                  <w:r>
                    <w:rPr>
                      <w:color w:val="auto"/>
                      <w:szCs w:val="21"/>
                    </w:rPr>
                    <w:t>物排</w:t>
                  </w:r>
                </w:p>
                <w:p w14:paraId="69DF6BA0">
                  <w:pPr>
                    <w:keepNext w:val="0"/>
                    <w:keepLines w:val="0"/>
                    <w:pageBreakBefore w:val="0"/>
                    <w:widowControl w:val="0"/>
                    <w:kinsoku/>
                    <w:wordWrap/>
                    <w:overflowPunct/>
                    <w:topLinePunct w:val="0"/>
                    <w:autoSpaceDE w:val="0"/>
                    <w:autoSpaceDN w:val="0"/>
                    <w:bidi w:val="0"/>
                    <w:adjustRightInd w:val="0"/>
                    <w:snapToGrid w:val="0"/>
                    <w:spacing w:line="240" w:lineRule="auto"/>
                    <w:ind w:firstLine="0" w:firstLineChars="0"/>
                    <w:jc w:val="center"/>
                    <w:textAlignment w:val="auto"/>
                    <w:rPr>
                      <w:color w:val="auto"/>
                      <w:szCs w:val="21"/>
                    </w:rPr>
                  </w:pPr>
                  <w:r>
                    <w:rPr>
                      <w:color w:val="auto"/>
                      <w:szCs w:val="21"/>
                    </w:rPr>
                    <w:t>放管</w:t>
                  </w:r>
                </w:p>
                <w:p w14:paraId="69B38BAB">
                  <w:pPr>
                    <w:keepNext w:val="0"/>
                    <w:keepLines w:val="0"/>
                    <w:pageBreakBefore w:val="0"/>
                    <w:widowControl w:val="0"/>
                    <w:kinsoku/>
                    <w:wordWrap/>
                    <w:overflowPunct/>
                    <w:topLinePunct w:val="0"/>
                    <w:autoSpaceDE w:val="0"/>
                    <w:autoSpaceDN w:val="0"/>
                    <w:bidi w:val="0"/>
                    <w:adjustRightInd w:val="0"/>
                    <w:snapToGrid w:val="0"/>
                    <w:spacing w:line="240" w:lineRule="auto"/>
                    <w:ind w:firstLine="0" w:firstLineChars="0"/>
                    <w:jc w:val="center"/>
                    <w:textAlignment w:val="auto"/>
                    <w:rPr>
                      <w:color w:val="auto"/>
                      <w:szCs w:val="21"/>
                      <w:lang w:val="en-GB" w:eastAsia="zh-TW"/>
                    </w:rPr>
                  </w:pPr>
                  <w:r>
                    <w:rPr>
                      <w:color w:val="auto"/>
                      <w:szCs w:val="21"/>
                    </w:rPr>
                    <w:t>控</w:t>
                  </w:r>
                </w:p>
              </w:tc>
              <w:tc>
                <w:tcPr>
                  <w:tcW w:w="2127" w:type="pct"/>
                  <w:vAlign w:val="center"/>
                </w:tcPr>
                <w:p w14:paraId="10D32064">
                  <w:pPr>
                    <w:keepNext w:val="0"/>
                    <w:keepLines w:val="0"/>
                    <w:pageBreakBefore w:val="0"/>
                    <w:widowControl w:val="0"/>
                    <w:kinsoku/>
                    <w:wordWrap/>
                    <w:overflowPunct/>
                    <w:topLinePunct w:val="0"/>
                    <w:autoSpaceDE w:val="0"/>
                    <w:autoSpaceDN w:val="0"/>
                    <w:bidi w:val="0"/>
                    <w:adjustRightInd w:val="0"/>
                    <w:snapToGrid w:val="0"/>
                    <w:spacing w:line="240" w:lineRule="auto"/>
                    <w:ind w:firstLine="0" w:firstLineChars="0"/>
                    <w:jc w:val="both"/>
                    <w:textAlignment w:val="auto"/>
                    <w:rPr>
                      <w:rFonts w:hint="eastAsia" w:eastAsia="宋体"/>
                      <w:color w:val="auto"/>
                      <w:szCs w:val="21"/>
                      <w:lang w:val="en-GB" w:eastAsia="zh-CN"/>
                    </w:rPr>
                  </w:pPr>
                  <w:r>
                    <w:rPr>
                      <w:rFonts w:hint="eastAsia" w:eastAsia="宋体"/>
                      <w:color w:val="auto"/>
                      <w:szCs w:val="21"/>
                      <w:lang w:val="en-GB" w:eastAsia="zh-CN"/>
                    </w:rPr>
                    <w:t>大气环境布局敏感重点管控区：1.鼓励将老旧车辆和非道路移动机械替换为清洁能源车辆。推进新能源或清洁能源汽车使用。水环境城镇生活污染重点管控区：1.加强城镇污水收集处理设施建设与提标改造。城镇生活污水处理达到《陕西省黄河流域污水综合排放标准》（DB61/224-2018）排放限值要求。2.城镇新区管网建设及老旧城区管网升级改造中实行雨污分流，鼓励推进初期雨水收集、处理和资源化利用，建设人工湿地水质净化工程，对处理达标后的尾水进一步净化。3.污水处理厂出水用于绿化、农灌等用途的，合理确定管控要求，确保达到相应污水再生利用标准。</w:t>
                  </w:r>
                </w:p>
              </w:tc>
              <w:tc>
                <w:tcPr>
                  <w:tcW w:w="416" w:type="pct"/>
                  <w:vMerge w:val="continue"/>
                  <w:vAlign w:val="center"/>
                </w:tcPr>
                <w:p w14:paraId="3EEE151A">
                  <w:pPr>
                    <w:keepNext w:val="0"/>
                    <w:keepLines w:val="0"/>
                    <w:pageBreakBefore w:val="0"/>
                    <w:widowControl w:val="0"/>
                    <w:kinsoku/>
                    <w:wordWrap/>
                    <w:overflowPunct/>
                    <w:topLinePunct w:val="0"/>
                    <w:autoSpaceDE w:val="0"/>
                    <w:autoSpaceDN w:val="0"/>
                    <w:bidi w:val="0"/>
                    <w:adjustRightInd w:val="0"/>
                    <w:snapToGrid w:val="0"/>
                    <w:spacing w:line="240" w:lineRule="auto"/>
                    <w:ind w:firstLine="0" w:firstLineChars="0"/>
                    <w:jc w:val="center"/>
                    <w:textAlignment w:val="auto"/>
                    <w:rPr>
                      <w:color w:val="auto"/>
                      <w:szCs w:val="21"/>
                    </w:rPr>
                  </w:pPr>
                </w:p>
              </w:tc>
              <w:tc>
                <w:tcPr>
                  <w:tcW w:w="502" w:type="pct"/>
                  <w:vAlign w:val="center"/>
                </w:tcPr>
                <w:p w14:paraId="548453C6">
                  <w:pPr>
                    <w:keepNext w:val="0"/>
                    <w:keepLines w:val="0"/>
                    <w:pageBreakBefore w:val="0"/>
                    <w:widowControl w:val="0"/>
                    <w:kinsoku/>
                    <w:wordWrap/>
                    <w:overflowPunct/>
                    <w:topLinePunct w:val="0"/>
                    <w:autoSpaceDE w:val="0"/>
                    <w:autoSpaceDN w:val="0"/>
                    <w:bidi w:val="0"/>
                    <w:adjustRightInd w:val="0"/>
                    <w:snapToGrid w:val="0"/>
                    <w:spacing w:line="240" w:lineRule="auto"/>
                    <w:ind w:firstLine="0" w:firstLineChars="0"/>
                    <w:jc w:val="center"/>
                    <w:textAlignment w:val="auto"/>
                    <w:rPr>
                      <w:rFonts w:hint="default" w:eastAsia="宋体"/>
                      <w:color w:val="auto"/>
                      <w:szCs w:val="21"/>
                      <w:lang w:val="en-US" w:eastAsia="zh-CN"/>
                    </w:rPr>
                  </w:pPr>
                  <w:r>
                    <w:rPr>
                      <w:rFonts w:hint="eastAsia"/>
                      <w:color w:val="auto"/>
                      <w:szCs w:val="21"/>
                      <w:lang w:val="en-US" w:eastAsia="zh-CN"/>
                    </w:rPr>
                    <w:t>本项目生活污水依托化粪池预处理后经市政管网排入西安工业资产经营公司泾河产业基地污水处理站。</w:t>
                  </w:r>
                </w:p>
              </w:tc>
              <w:tc>
                <w:tcPr>
                  <w:tcW w:w="175" w:type="pct"/>
                  <w:vAlign w:val="center"/>
                </w:tcPr>
                <w:p w14:paraId="06492FF8">
                  <w:pPr>
                    <w:keepNext w:val="0"/>
                    <w:keepLines w:val="0"/>
                    <w:pageBreakBefore w:val="0"/>
                    <w:widowControl w:val="0"/>
                    <w:kinsoku/>
                    <w:wordWrap/>
                    <w:overflowPunct/>
                    <w:topLinePunct w:val="0"/>
                    <w:autoSpaceDE w:val="0"/>
                    <w:autoSpaceDN w:val="0"/>
                    <w:bidi w:val="0"/>
                    <w:adjustRightInd w:val="0"/>
                    <w:snapToGrid w:val="0"/>
                    <w:spacing w:line="240" w:lineRule="auto"/>
                    <w:ind w:firstLine="0" w:firstLineChars="0"/>
                    <w:jc w:val="center"/>
                    <w:textAlignment w:val="auto"/>
                    <w:rPr>
                      <w:color w:val="auto"/>
                      <w:szCs w:val="21"/>
                    </w:rPr>
                  </w:pPr>
                  <w:r>
                    <w:rPr>
                      <w:color w:val="auto"/>
                      <w:kern w:val="0"/>
                      <w:szCs w:val="21"/>
                    </w:rPr>
                    <w:t>符合</w:t>
                  </w:r>
                </w:p>
              </w:tc>
            </w:tr>
            <w:tr w14:paraId="22D359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423" w:type="pct"/>
                  <w:vMerge w:val="continue"/>
                  <w:vAlign w:val="center"/>
                </w:tcPr>
                <w:p w14:paraId="73BFDED4">
                  <w:pPr>
                    <w:keepNext w:val="0"/>
                    <w:keepLines w:val="0"/>
                    <w:pageBreakBefore w:val="0"/>
                    <w:widowControl w:val="0"/>
                    <w:kinsoku/>
                    <w:wordWrap/>
                    <w:overflowPunct/>
                    <w:topLinePunct w:val="0"/>
                    <w:autoSpaceDE w:val="0"/>
                    <w:autoSpaceDN w:val="0"/>
                    <w:bidi w:val="0"/>
                    <w:adjustRightInd w:val="0"/>
                    <w:snapToGrid w:val="0"/>
                    <w:spacing w:line="240" w:lineRule="auto"/>
                    <w:ind w:firstLine="0" w:firstLineChars="0"/>
                    <w:jc w:val="center"/>
                    <w:textAlignment w:val="auto"/>
                    <w:rPr>
                      <w:color w:val="auto"/>
                      <w:szCs w:val="21"/>
                    </w:rPr>
                  </w:pPr>
                </w:p>
              </w:tc>
              <w:tc>
                <w:tcPr>
                  <w:tcW w:w="223" w:type="pct"/>
                  <w:vMerge w:val="continue"/>
                  <w:vAlign w:val="center"/>
                </w:tcPr>
                <w:p w14:paraId="5F9B8C33">
                  <w:pPr>
                    <w:keepNext w:val="0"/>
                    <w:keepLines w:val="0"/>
                    <w:pageBreakBefore w:val="0"/>
                    <w:widowControl w:val="0"/>
                    <w:kinsoku/>
                    <w:wordWrap/>
                    <w:overflowPunct/>
                    <w:topLinePunct w:val="0"/>
                    <w:autoSpaceDE w:val="0"/>
                    <w:autoSpaceDN w:val="0"/>
                    <w:bidi w:val="0"/>
                    <w:adjustRightInd w:val="0"/>
                    <w:snapToGrid w:val="0"/>
                    <w:spacing w:line="240" w:lineRule="auto"/>
                    <w:ind w:firstLine="0" w:firstLineChars="0"/>
                    <w:jc w:val="center"/>
                    <w:textAlignment w:val="auto"/>
                    <w:rPr>
                      <w:color w:val="auto"/>
                      <w:szCs w:val="21"/>
                    </w:rPr>
                  </w:pPr>
                </w:p>
              </w:tc>
              <w:tc>
                <w:tcPr>
                  <w:tcW w:w="197" w:type="pct"/>
                  <w:vMerge w:val="continue"/>
                  <w:vAlign w:val="center"/>
                </w:tcPr>
                <w:p w14:paraId="0EEB5433">
                  <w:pPr>
                    <w:keepNext w:val="0"/>
                    <w:keepLines w:val="0"/>
                    <w:pageBreakBefore w:val="0"/>
                    <w:widowControl w:val="0"/>
                    <w:kinsoku/>
                    <w:wordWrap/>
                    <w:overflowPunct/>
                    <w:topLinePunct w:val="0"/>
                    <w:autoSpaceDE w:val="0"/>
                    <w:autoSpaceDN w:val="0"/>
                    <w:bidi w:val="0"/>
                    <w:adjustRightInd w:val="0"/>
                    <w:snapToGrid w:val="0"/>
                    <w:spacing w:line="240" w:lineRule="auto"/>
                    <w:ind w:firstLine="0" w:firstLineChars="0"/>
                    <w:jc w:val="center"/>
                    <w:textAlignment w:val="auto"/>
                    <w:rPr>
                      <w:color w:val="auto"/>
                      <w:szCs w:val="21"/>
                    </w:rPr>
                  </w:pPr>
                </w:p>
              </w:tc>
              <w:tc>
                <w:tcPr>
                  <w:tcW w:w="520" w:type="pct"/>
                  <w:vAlign w:val="center"/>
                </w:tcPr>
                <w:p w14:paraId="2FE6921E">
                  <w:pPr>
                    <w:keepNext w:val="0"/>
                    <w:keepLines w:val="0"/>
                    <w:pageBreakBefore w:val="0"/>
                    <w:widowControl w:val="0"/>
                    <w:kinsoku/>
                    <w:wordWrap/>
                    <w:overflowPunct/>
                    <w:topLinePunct w:val="0"/>
                    <w:autoSpaceDE w:val="0"/>
                    <w:autoSpaceDN w:val="0"/>
                    <w:bidi w:val="0"/>
                    <w:adjustRightInd w:val="0"/>
                    <w:snapToGrid w:val="0"/>
                    <w:spacing w:line="240" w:lineRule="auto"/>
                    <w:ind w:firstLine="0" w:firstLineChars="0"/>
                    <w:jc w:val="center"/>
                    <w:textAlignment w:val="auto"/>
                    <w:rPr>
                      <w:rFonts w:hint="eastAsia" w:eastAsia="宋体"/>
                      <w:color w:val="auto"/>
                      <w:szCs w:val="21"/>
                      <w:lang w:val="en-US" w:eastAsia="zh-CN"/>
                    </w:rPr>
                  </w:pPr>
                  <w:r>
                    <w:rPr>
                      <w:rFonts w:hint="eastAsia"/>
                      <w:color w:val="auto"/>
                      <w:szCs w:val="21"/>
                      <w:lang w:val="en-US" w:eastAsia="zh-CN"/>
                    </w:rPr>
                    <w:t>/</w:t>
                  </w:r>
                </w:p>
              </w:tc>
              <w:tc>
                <w:tcPr>
                  <w:tcW w:w="412" w:type="pct"/>
                  <w:vAlign w:val="center"/>
                </w:tcPr>
                <w:p w14:paraId="724A3A9D">
                  <w:pPr>
                    <w:keepNext w:val="0"/>
                    <w:keepLines w:val="0"/>
                    <w:pageBreakBefore w:val="0"/>
                    <w:widowControl w:val="0"/>
                    <w:kinsoku/>
                    <w:wordWrap/>
                    <w:overflowPunct/>
                    <w:topLinePunct w:val="0"/>
                    <w:autoSpaceDE w:val="0"/>
                    <w:autoSpaceDN w:val="0"/>
                    <w:bidi w:val="0"/>
                    <w:adjustRightInd w:val="0"/>
                    <w:snapToGrid w:val="0"/>
                    <w:spacing w:line="240" w:lineRule="auto"/>
                    <w:ind w:firstLine="0" w:firstLineChars="0"/>
                    <w:jc w:val="center"/>
                    <w:textAlignment w:val="auto"/>
                    <w:rPr>
                      <w:color w:val="auto"/>
                      <w:szCs w:val="21"/>
                    </w:rPr>
                  </w:pPr>
                  <w:r>
                    <w:rPr>
                      <w:rFonts w:hint="eastAsia"/>
                      <w:color w:val="auto"/>
                      <w:szCs w:val="21"/>
                      <w:lang w:val="en-US" w:eastAsia="zh-CN"/>
                    </w:rPr>
                    <w:t>环境风险防控</w:t>
                  </w:r>
                </w:p>
              </w:tc>
              <w:tc>
                <w:tcPr>
                  <w:tcW w:w="2127" w:type="pct"/>
                  <w:vAlign w:val="center"/>
                </w:tcPr>
                <w:p w14:paraId="608FCE06">
                  <w:pPr>
                    <w:keepNext w:val="0"/>
                    <w:keepLines w:val="0"/>
                    <w:pageBreakBefore w:val="0"/>
                    <w:widowControl w:val="0"/>
                    <w:kinsoku/>
                    <w:wordWrap/>
                    <w:overflowPunct/>
                    <w:topLinePunct w:val="0"/>
                    <w:autoSpaceDE w:val="0"/>
                    <w:autoSpaceDN w:val="0"/>
                    <w:bidi w:val="0"/>
                    <w:adjustRightInd w:val="0"/>
                    <w:snapToGrid w:val="0"/>
                    <w:spacing w:line="240" w:lineRule="auto"/>
                    <w:ind w:firstLine="0" w:firstLineChars="0"/>
                    <w:jc w:val="center"/>
                    <w:textAlignment w:val="auto"/>
                    <w:rPr>
                      <w:rFonts w:hint="default" w:eastAsia="宋体"/>
                      <w:color w:val="auto"/>
                      <w:szCs w:val="21"/>
                      <w:lang w:val="en-US" w:eastAsia="zh-CN"/>
                    </w:rPr>
                  </w:pPr>
                  <w:r>
                    <w:rPr>
                      <w:rFonts w:hint="eastAsia"/>
                      <w:color w:val="auto"/>
                      <w:szCs w:val="21"/>
                      <w:lang w:val="en-US" w:eastAsia="zh-CN"/>
                    </w:rPr>
                    <w:t>/</w:t>
                  </w:r>
                </w:p>
              </w:tc>
              <w:tc>
                <w:tcPr>
                  <w:tcW w:w="416" w:type="pct"/>
                  <w:vMerge w:val="continue"/>
                  <w:vAlign w:val="center"/>
                </w:tcPr>
                <w:p w14:paraId="317148CF">
                  <w:pPr>
                    <w:keepNext w:val="0"/>
                    <w:keepLines w:val="0"/>
                    <w:pageBreakBefore w:val="0"/>
                    <w:widowControl w:val="0"/>
                    <w:kinsoku/>
                    <w:wordWrap/>
                    <w:overflowPunct/>
                    <w:topLinePunct w:val="0"/>
                    <w:autoSpaceDE w:val="0"/>
                    <w:autoSpaceDN w:val="0"/>
                    <w:bidi w:val="0"/>
                    <w:adjustRightInd w:val="0"/>
                    <w:snapToGrid w:val="0"/>
                    <w:spacing w:line="240" w:lineRule="auto"/>
                    <w:ind w:firstLine="0" w:firstLineChars="0"/>
                    <w:textAlignment w:val="auto"/>
                    <w:rPr>
                      <w:color w:val="auto"/>
                      <w:szCs w:val="21"/>
                    </w:rPr>
                  </w:pPr>
                </w:p>
              </w:tc>
              <w:tc>
                <w:tcPr>
                  <w:tcW w:w="502" w:type="pct"/>
                  <w:vAlign w:val="center"/>
                </w:tcPr>
                <w:p w14:paraId="296AA18A">
                  <w:pPr>
                    <w:keepNext w:val="0"/>
                    <w:keepLines w:val="0"/>
                    <w:pageBreakBefore w:val="0"/>
                    <w:widowControl w:val="0"/>
                    <w:kinsoku/>
                    <w:wordWrap/>
                    <w:overflowPunct/>
                    <w:topLinePunct w:val="0"/>
                    <w:autoSpaceDE w:val="0"/>
                    <w:autoSpaceDN w:val="0"/>
                    <w:bidi w:val="0"/>
                    <w:adjustRightInd w:val="0"/>
                    <w:snapToGrid w:val="0"/>
                    <w:spacing w:line="240" w:lineRule="auto"/>
                    <w:ind w:firstLine="0" w:firstLineChars="0"/>
                    <w:jc w:val="center"/>
                    <w:textAlignment w:val="auto"/>
                    <w:rPr>
                      <w:rFonts w:hint="default" w:eastAsia="宋体"/>
                      <w:color w:val="auto"/>
                      <w:kern w:val="0"/>
                      <w:szCs w:val="21"/>
                      <w:lang w:val="en-US" w:eastAsia="zh-CN"/>
                    </w:rPr>
                  </w:pPr>
                  <w:r>
                    <w:rPr>
                      <w:rFonts w:hint="eastAsia" w:eastAsia="宋体"/>
                      <w:color w:val="auto"/>
                      <w:kern w:val="0"/>
                      <w:szCs w:val="21"/>
                      <w:lang w:val="en-US" w:eastAsia="zh-CN"/>
                    </w:rPr>
                    <w:t>/</w:t>
                  </w:r>
                </w:p>
              </w:tc>
              <w:tc>
                <w:tcPr>
                  <w:tcW w:w="175" w:type="pct"/>
                  <w:vAlign w:val="center"/>
                </w:tcPr>
                <w:p w14:paraId="2156B29A">
                  <w:pPr>
                    <w:keepNext w:val="0"/>
                    <w:keepLines w:val="0"/>
                    <w:pageBreakBefore w:val="0"/>
                    <w:widowControl w:val="0"/>
                    <w:kinsoku/>
                    <w:wordWrap/>
                    <w:overflowPunct/>
                    <w:topLinePunct w:val="0"/>
                    <w:autoSpaceDE w:val="0"/>
                    <w:autoSpaceDN w:val="0"/>
                    <w:bidi w:val="0"/>
                    <w:adjustRightInd w:val="0"/>
                    <w:snapToGrid w:val="0"/>
                    <w:spacing w:line="240" w:lineRule="auto"/>
                    <w:ind w:firstLine="0" w:firstLineChars="0"/>
                    <w:jc w:val="center"/>
                    <w:textAlignment w:val="auto"/>
                    <w:rPr>
                      <w:rFonts w:hint="eastAsia" w:eastAsia="宋体"/>
                      <w:color w:val="auto"/>
                      <w:kern w:val="0"/>
                      <w:szCs w:val="21"/>
                      <w:lang w:val="en-US" w:eastAsia="zh-CN"/>
                    </w:rPr>
                  </w:pPr>
                  <w:r>
                    <w:rPr>
                      <w:rFonts w:hint="eastAsia"/>
                      <w:color w:val="auto"/>
                      <w:kern w:val="0"/>
                      <w:szCs w:val="21"/>
                      <w:lang w:val="en-US" w:eastAsia="zh-CN"/>
                    </w:rPr>
                    <w:t>/</w:t>
                  </w:r>
                </w:p>
              </w:tc>
            </w:tr>
            <w:tr w14:paraId="6B06D8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423" w:type="pct"/>
                  <w:vMerge w:val="continue"/>
                  <w:vAlign w:val="center"/>
                </w:tcPr>
                <w:p w14:paraId="2BF3F0FB">
                  <w:pPr>
                    <w:keepNext w:val="0"/>
                    <w:keepLines w:val="0"/>
                    <w:pageBreakBefore w:val="0"/>
                    <w:widowControl w:val="0"/>
                    <w:kinsoku/>
                    <w:wordWrap/>
                    <w:overflowPunct/>
                    <w:topLinePunct w:val="0"/>
                    <w:autoSpaceDE w:val="0"/>
                    <w:autoSpaceDN w:val="0"/>
                    <w:bidi w:val="0"/>
                    <w:adjustRightInd w:val="0"/>
                    <w:snapToGrid w:val="0"/>
                    <w:spacing w:line="240" w:lineRule="auto"/>
                    <w:ind w:firstLine="0" w:firstLineChars="0"/>
                    <w:jc w:val="center"/>
                    <w:textAlignment w:val="auto"/>
                    <w:rPr>
                      <w:color w:val="auto"/>
                      <w:szCs w:val="21"/>
                    </w:rPr>
                  </w:pPr>
                </w:p>
              </w:tc>
              <w:tc>
                <w:tcPr>
                  <w:tcW w:w="223" w:type="pct"/>
                  <w:vMerge w:val="continue"/>
                  <w:vAlign w:val="center"/>
                </w:tcPr>
                <w:p w14:paraId="4A456CD4">
                  <w:pPr>
                    <w:keepNext w:val="0"/>
                    <w:keepLines w:val="0"/>
                    <w:pageBreakBefore w:val="0"/>
                    <w:widowControl w:val="0"/>
                    <w:kinsoku/>
                    <w:wordWrap/>
                    <w:overflowPunct/>
                    <w:topLinePunct w:val="0"/>
                    <w:autoSpaceDE w:val="0"/>
                    <w:autoSpaceDN w:val="0"/>
                    <w:bidi w:val="0"/>
                    <w:adjustRightInd w:val="0"/>
                    <w:snapToGrid w:val="0"/>
                    <w:spacing w:line="240" w:lineRule="auto"/>
                    <w:ind w:firstLine="0" w:firstLineChars="0"/>
                    <w:jc w:val="center"/>
                    <w:textAlignment w:val="auto"/>
                    <w:rPr>
                      <w:color w:val="auto"/>
                      <w:szCs w:val="21"/>
                    </w:rPr>
                  </w:pPr>
                </w:p>
              </w:tc>
              <w:tc>
                <w:tcPr>
                  <w:tcW w:w="197" w:type="pct"/>
                  <w:vMerge w:val="continue"/>
                  <w:vAlign w:val="center"/>
                </w:tcPr>
                <w:p w14:paraId="70780565">
                  <w:pPr>
                    <w:keepNext w:val="0"/>
                    <w:keepLines w:val="0"/>
                    <w:pageBreakBefore w:val="0"/>
                    <w:widowControl w:val="0"/>
                    <w:kinsoku/>
                    <w:wordWrap/>
                    <w:overflowPunct/>
                    <w:topLinePunct w:val="0"/>
                    <w:autoSpaceDE w:val="0"/>
                    <w:autoSpaceDN w:val="0"/>
                    <w:bidi w:val="0"/>
                    <w:adjustRightInd w:val="0"/>
                    <w:snapToGrid w:val="0"/>
                    <w:spacing w:line="240" w:lineRule="auto"/>
                    <w:ind w:firstLine="0" w:firstLineChars="0"/>
                    <w:jc w:val="center"/>
                    <w:textAlignment w:val="auto"/>
                    <w:rPr>
                      <w:color w:val="auto"/>
                      <w:szCs w:val="21"/>
                    </w:rPr>
                  </w:pPr>
                </w:p>
              </w:tc>
              <w:tc>
                <w:tcPr>
                  <w:tcW w:w="520" w:type="pct"/>
                  <w:vAlign w:val="center"/>
                </w:tcPr>
                <w:p w14:paraId="4D361EDD">
                  <w:pPr>
                    <w:keepNext w:val="0"/>
                    <w:keepLines w:val="0"/>
                    <w:pageBreakBefore w:val="0"/>
                    <w:widowControl w:val="0"/>
                    <w:kinsoku/>
                    <w:wordWrap/>
                    <w:overflowPunct/>
                    <w:topLinePunct w:val="0"/>
                    <w:autoSpaceDE w:val="0"/>
                    <w:autoSpaceDN w:val="0"/>
                    <w:bidi w:val="0"/>
                    <w:adjustRightInd w:val="0"/>
                    <w:snapToGrid w:val="0"/>
                    <w:spacing w:line="240" w:lineRule="auto"/>
                    <w:ind w:firstLine="0" w:firstLineChars="0"/>
                    <w:jc w:val="center"/>
                    <w:textAlignment w:val="auto"/>
                    <w:rPr>
                      <w:rFonts w:hint="default"/>
                      <w:color w:val="auto"/>
                      <w:szCs w:val="21"/>
                      <w:lang w:val="en-US" w:eastAsia="zh-CN"/>
                    </w:rPr>
                  </w:pPr>
                  <w:r>
                    <w:rPr>
                      <w:rFonts w:hint="eastAsia"/>
                      <w:color w:val="auto"/>
                      <w:szCs w:val="21"/>
                      <w:lang w:val="en-US" w:eastAsia="zh-CN"/>
                    </w:rPr>
                    <w:t>/</w:t>
                  </w:r>
                </w:p>
              </w:tc>
              <w:tc>
                <w:tcPr>
                  <w:tcW w:w="412" w:type="pct"/>
                  <w:vAlign w:val="center"/>
                </w:tcPr>
                <w:p w14:paraId="58715174">
                  <w:pPr>
                    <w:keepNext w:val="0"/>
                    <w:keepLines w:val="0"/>
                    <w:pageBreakBefore w:val="0"/>
                    <w:widowControl w:val="0"/>
                    <w:kinsoku/>
                    <w:wordWrap/>
                    <w:overflowPunct/>
                    <w:topLinePunct w:val="0"/>
                    <w:autoSpaceDE w:val="0"/>
                    <w:autoSpaceDN w:val="0"/>
                    <w:bidi w:val="0"/>
                    <w:adjustRightInd w:val="0"/>
                    <w:snapToGrid w:val="0"/>
                    <w:spacing w:line="240" w:lineRule="auto"/>
                    <w:ind w:firstLine="0" w:firstLineChars="0"/>
                    <w:jc w:val="center"/>
                    <w:textAlignment w:val="auto"/>
                    <w:rPr>
                      <w:rFonts w:hint="eastAsia"/>
                      <w:color w:val="auto"/>
                      <w:szCs w:val="21"/>
                      <w:lang w:val="en-US" w:eastAsia="zh-CN"/>
                    </w:rPr>
                  </w:pPr>
                  <w:r>
                    <w:rPr>
                      <w:rFonts w:hint="eastAsia"/>
                      <w:color w:val="auto"/>
                      <w:szCs w:val="21"/>
                      <w:lang w:val="en-US" w:eastAsia="zh-CN"/>
                    </w:rPr>
                    <w:t>资源开发效率要求</w:t>
                  </w:r>
                </w:p>
              </w:tc>
              <w:tc>
                <w:tcPr>
                  <w:tcW w:w="2127" w:type="pct"/>
                  <w:vAlign w:val="center"/>
                </w:tcPr>
                <w:p w14:paraId="2D6761FA">
                  <w:pPr>
                    <w:keepNext w:val="0"/>
                    <w:keepLines w:val="0"/>
                    <w:pageBreakBefore w:val="0"/>
                    <w:widowControl w:val="0"/>
                    <w:kinsoku/>
                    <w:wordWrap/>
                    <w:overflowPunct/>
                    <w:topLinePunct w:val="0"/>
                    <w:autoSpaceDE w:val="0"/>
                    <w:autoSpaceDN w:val="0"/>
                    <w:bidi w:val="0"/>
                    <w:adjustRightInd w:val="0"/>
                    <w:snapToGrid w:val="0"/>
                    <w:spacing w:line="240" w:lineRule="auto"/>
                    <w:ind w:firstLine="0" w:firstLineChars="0"/>
                    <w:jc w:val="center"/>
                    <w:textAlignment w:val="auto"/>
                    <w:rPr>
                      <w:rFonts w:hint="eastAsia"/>
                      <w:color w:val="auto"/>
                      <w:szCs w:val="21"/>
                      <w:lang w:val="en-US" w:eastAsia="zh-CN"/>
                    </w:rPr>
                  </w:pPr>
                  <w:r>
                    <w:rPr>
                      <w:rFonts w:hint="eastAsia"/>
                      <w:color w:val="auto"/>
                      <w:szCs w:val="21"/>
                      <w:lang w:val="en-US" w:eastAsia="zh-CN"/>
                    </w:rPr>
                    <w:t>/</w:t>
                  </w:r>
                </w:p>
              </w:tc>
              <w:tc>
                <w:tcPr>
                  <w:tcW w:w="416" w:type="pct"/>
                  <w:vMerge w:val="continue"/>
                  <w:vAlign w:val="center"/>
                </w:tcPr>
                <w:p w14:paraId="14960D54">
                  <w:pPr>
                    <w:keepNext w:val="0"/>
                    <w:keepLines w:val="0"/>
                    <w:pageBreakBefore w:val="0"/>
                    <w:widowControl w:val="0"/>
                    <w:kinsoku/>
                    <w:wordWrap/>
                    <w:overflowPunct/>
                    <w:topLinePunct w:val="0"/>
                    <w:autoSpaceDE w:val="0"/>
                    <w:autoSpaceDN w:val="0"/>
                    <w:bidi w:val="0"/>
                    <w:adjustRightInd w:val="0"/>
                    <w:snapToGrid w:val="0"/>
                    <w:spacing w:line="240" w:lineRule="auto"/>
                    <w:ind w:firstLine="0" w:firstLineChars="0"/>
                    <w:textAlignment w:val="auto"/>
                    <w:rPr>
                      <w:color w:val="auto"/>
                      <w:szCs w:val="21"/>
                    </w:rPr>
                  </w:pPr>
                </w:p>
              </w:tc>
              <w:tc>
                <w:tcPr>
                  <w:tcW w:w="502" w:type="pct"/>
                  <w:vAlign w:val="center"/>
                </w:tcPr>
                <w:p w14:paraId="2C56EC82">
                  <w:pPr>
                    <w:keepNext w:val="0"/>
                    <w:keepLines w:val="0"/>
                    <w:pageBreakBefore w:val="0"/>
                    <w:widowControl w:val="0"/>
                    <w:kinsoku/>
                    <w:wordWrap/>
                    <w:overflowPunct/>
                    <w:topLinePunct w:val="0"/>
                    <w:autoSpaceDE w:val="0"/>
                    <w:autoSpaceDN w:val="0"/>
                    <w:bidi w:val="0"/>
                    <w:adjustRightInd w:val="0"/>
                    <w:snapToGrid w:val="0"/>
                    <w:spacing w:line="240" w:lineRule="auto"/>
                    <w:ind w:firstLine="0" w:firstLineChars="0"/>
                    <w:jc w:val="center"/>
                    <w:textAlignment w:val="auto"/>
                    <w:rPr>
                      <w:rFonts w:hint="eastAsia" w:eastAsia="宋体"/>
                      <w:color w:val="auto"/>
                      <w:kern w:val="0"/>
                      <w:szCs w:val="21"/>
                      <w:lang w:val="en-US" w:eastAsia="zh-CN"/>
                    </w:rPr>
                  </w:pPr>
                  <w:r>
                    <w:rPr>
                      <w:rFonts w:hint="eastAsia" w:cs="Times New Roman"/>
                      <w:color w:val="auto"/>
                      <w:kern w:val="0"/>
                      <w:szCs w:val="21"/>
                      <w:lang w:val="en-US" w:eastAsia="zh-CN"/>
                    </w:rPr>
                    <w:t>/</w:t>
                  </w:r>
                </w:p>
              </w:tc>
              <w:tc>
                <w:tcPr>
                  <w:tcW w:w="175" w:type="pct"/>
                  <w:vAlign w:val="center"/>
                </w:tcPr>
                <w:p w14:paraId="6841CE75">
                  <w:pPr>
                    <w:keepNext w:val="0"/>
                    <w:keepLines w:val="0"/>
                    <w:pageBreakBefore w:val="0"/>
                    <w:widowControl w:val="0"/>
                    <w:kinsoku/>
                    <w:wordWrap/>
                    <w:overflowPunct/>
                    <w:topLinePunct w:val="0"/>
                    <w:autoSpaceDE w:val="0"/>
                    <w:autoSpaceDN w:val="0"/>
                    <w:bidi w:val="0"/>
                    <w:adjustRightInd w:val="0"/>
                    <w:snapToGrid w:val="0"/>
                    <w:spacing w:line="240" w:lineRule="auto"/>
                    <w:ind w:firstLine="0" w:firstLineChars="0"/>
                    <w:textAlignment w:val="auto"/>
                    <w:rPr>
                      <w:rFonts w:hint="default"/>
                      <w:color w:val="auto"/>
                      <w:kern w:val="0"/>
                      <w:szCs w:val="21"/>
                      <w:lang w:val="en-US" w:eastAsia="zh-CN"/>
                    </w:rPr>
                  </w:pPr>
                  <w:r>
                    <w:rPr>
                      <w:rFonts w:hint="eastAsia"/>
                      <w:color w:val="auto"/>
                      <w:kern w:val="0"/>
                      <w:szCs w:val="21"/>
                      <w:lang w:val="en-US" w:eastAsia="zh-CN"/>
                    </w:rPr>
                    <w:t>/</w:t>
                  </w:r>
                </w:p>
              </w:tc>
            </w:tr>
            <w:tr w14:paraId="231E75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748" w:hRule="atLeast"/>
                <w:jc w:val="center"/>
              </w:trPr>
              <w:tc>
                <w:tcPr>
                  <w:tcW w:w="423" w:type="pct"/>
                  <w:vMerge w:val="restart"/>
                  <w:vAlign w:val="center"/>
                </w:tcPr>
                <w:p w14:paraId="55D29EEA">
                  <w:pPr>
                    <w:keepNext w:val="0"/>
                    <w:keepLines w:val="0"/>
                    <w:pageBreakBefore w:val="0"/>
                    <w:widowControl w:val="0"/>
                    <w:kinsoku/>
                    <w:wordWrap/>
                    <w:overflowPunct/>
                    <w:topLinePunct w:val="0"/>
                    <w:autoSpaceDE w:val="0"/>
                    <w:autoSpaceDN w:val="0"/>
                    <w:bidi w:val="0"/>
                    <w:adjustRightInd w:val="0"/>
                    <w:snapToGrid w:val="0"/>
                    <w:spacing w:line="240" w:lineRule="auto"/>
                    <w:ind w:firstLine="0" w:firstLineChars="0"/>
                    <w:jc w:val="center"/>
                    <w:textAlignment w:val="auto"/>
                    <w:rPr>
                      <w:rFonts w:hint="default" w:eastAsia="宋体"/>
                      <w:color w:val="auto"/>
                      <w:szCs w:val="21"/>
                      <w:lang w:val="en-US" w:eastAsia="zh-CN"/>
                    </w:rPr>
                  </w:pPr>
                  <w:r>
                    <w:rPr>
                      <w:rFonts w:hint="eastAsia"/>
                      <w:color w:val="auto"/>
                      <w:szCs w:val="21"/>
                      <w:lang w:val="en-US" w:eastAsia="zh-CN"/>
                    </w:rPr>
                    <w:t>陕西省咸阳市泾阳县重点管控单元11（西咸新区）</w:t>
                  </w:r>
                </w:p>
              </w:tc>
              <w:tc>
                <w:tcPr>
                  <w:tcW w:w="223" w:type="pct"/>
                  <w:vMerge w:val="restart"/>
                  <w:vAlign w:val="center"/>
                </w:tcPr>
                <w:p w14:paraId="745C1C69">
                  <w:pPr>
                    <w:keepNext w:val="0"/>
                    <w:keepLines w:val="0"/>
                    <w:pageBreakBefore w:val="0"/>
                    <w:widowControl w:val="0"/>
                    <w:kinsoku/>
                    <w:wordWrap/>
                    <w:overflowPunct/>
                    <w:topLinePunct w:val="0"/>
                    <w:autoSpaceDE w:val="0"/>
                    <w:autoSpaceDN w:val="0"/>
                    <w:bidi w:val="0"/>
                    <w:adjustRightInd w:val="0"/>
                    <w:snapToGrid w:val="0"/>
                    <w:spacing w:line="240" w:lineRule="auto"/>
                    <w:ind w:firstLine="0" w:firstLineChars="0"/>
                    <w:jc w:val="center"/>
                    <w:textAlignment w:val="auto"/>
                    <w:rPr>
                      <w:rFonts w:hint="eastAsia" w:eastAsia="宋体"/>
                      <w:color w:val="auto"/>
                      <w:szCs w:val="21"/>
                      <w:lang w:val="en-US" w:eastAsia="zh-CN"/>
                    </w:rPr>
                  </w:pPr>
                  <w:r>
                    <w:rPr>
                      <w:rFonts w:hint="eastAsia"/>
                      <w:color w:val="auto"/>
                      <w:szCs w:val="21"/>
                      <w:lang w:val="en-US" w:eastAsia="zh-CN"/>
                    </w:rPr>
                    <w:t>咸阳市</w:t>
                  </w:r>
                </w:p>
              </w:tc>
              <w:tc>
                <w:tcPr>
                  <w:tcW w:w="197" w:type="pct"/>
                  <w:vMerge w:val="restart"/>
                  <w:vAlign w:val="center"/>
                </w:tcPr>
                <w:p w14:paraId="1944F548">
                  <w:pPr>
                    <w:keepNext w:val="0"/>
                    <w:keepLines w:val="0"/>
                    <w:pageBreakBefore w:val="0"/>
                    <w:widowControl w:val="0"/>
                    <w:kinsoku/>
                    <w:wordWrap/>
                    <w:overflowPunct/>
                    <w:topLinePunct w:val="0"/>
                    <w:autoSpaceDE w:val="0"/>
                    <w:autoSpaceDN w:val="0"/>
                    <w:bidi w:val="0"/>
                    <w:adjustRightInd w:val="0"/>
                    <w:snapToGrid w:val="0"/>
                    <w:spacing w:line="240" w:lineRule="auto"/>
                    <w:ind w:firstLine="0" w:firstLineChars="0"/>
                    <w:jc w:val="center"/>
                    <w:textAlignment w:val="auto"/>
                    <w:rPr>
                      <w:rFonts w:hint="eastAsia" w:eastAsia="宋体"/>
                      <w:color w:val="auto"/>
                      <w:szCs w:val="21"/>
                      <w:lang w:val="en-US" w:eastAsia="zh-CN"/>
                    </w:rPr>
                  </w:pPr>
                  <w:r>
                    <w:rPr>
                      <w:rFonts w:hint="eastAsia"/>
                      <w:color w:val="auto"/>
                      <w:szCs w:val="21"/>
                      <w:lang w:val="en-US" w:eastAsia="zh-CN"/>
                    </w:rPr>
                    <w:t>泾阳县</w:t>
                  </w:r>
                </w:p>
              </w:tc>
              <w:tc>
                <w:tcPr>
                  <w:tcW w:w="520" w:type="pct"/>
                  <w:vAlign w:val="center"/>
                </w:tcPr>
                <w:p w14:paraId="71665300">
                  <w:pPr>
                    <w:keepNext w:val="0"/>
                    <w:keepLines w:val="0"/>
                    <w:pageBreakBefore w:val="0"/>
                    <w:widowControl w:val="0"/>
                    <w:kinsoku/>
                    <w:wordWrap/>
                    <w:overflowPunct/>
                    <w:topLinePunct w:val="0"/>
                    <w:autoSpaceDE w:val="0"/>
                    <w:autoSpaceDN w:val="0"/>
                    <w:bidi w:val="0"/>
                    <w:adjustRightInd w:val="0"/>
                    <w:snapToGrid w:val="0"/>
                    <w:spacing w:line="240" w:lineRule="auto"/>
                    <w:ind w:firstLine="0" w:firstLineChars="0"/>
                    <w:jc w:val="center"/>
                    <w:textAlignment w:val="auto"/>
                    <w:rPr>
                      <w:rFonts w:hint="default"/>
                      <w:color w:val="auto"/>
                      <w:szCs w:val="21"/>
                      <w:lang w:val="en-US" w:eastAsia="zh-CN"/>
                    </w:rPr>
                  </w:pPr>
                  <w:r>
                    <w:rPr>
                      <w:rFonts w:hint="eastAsia"/>
                      <w:color w:val="auto"/>
                      <w:kern w:val="0"/>
                      <w:szCs w:val="21"/>
                      <w:lang w:val="en-GB" w:eastAsia="zh-TW"/>
                    </w:rPr>
                    <w:t>大气环境布局敏感重点管控区、</w:t>
                  </w:r>
                  <w:r>
                    <w:rPr>
                      <w:rFonts w:hint="eastAsia"/>
                      <w:color w:val="auto"/>
                      <w:kern w:val="0"/>
                      <w:szCs w:val="21"/>
                      <w:lang w:val="en-US" w:eastAsia="zh-CN"/>
                    </w:rPr>
                    <w:t>水环境城镇生活污染重点管控区、高污染燃料区</w:t>
                  </w:r>
                </w:p>
              </w:tc>
              <w:tc>
                <w:tcPr>
                  <w:tcW w:w="412" w:type="pct"/>
                  <w:vAlign w:val="center"/>
                </w:tcPr>
                <w:p w14:paraId="03E8AD05">
                  <w:pPr>
                    <w:keepNext w:val="0"/>
                    <w:keepLines w:val="0"/>
                    <w:pageBreakBefore w:val="0"/>
                    <w:widowControl w:val="0"/>
                    <w:kinsoku/>
                    <w:wordWrap/>
                    <w:overflowPunct/>
                    <w:topLinePunct w:val="0"/>
                    <w:autoSpaceDE w:val="0"/>
                    <w:autoSpaceDN w:val="0"/>
                    <w:bidi w:val="0"/>
                    <w:adjustRightInd w:val="0"/>
                    <w:snapToGrid w:val="0"/>
                    <w:spacing w:line="240" w:lineRule="auto"/>
                    <w:ind w:firstLine="0" w:firstLineChars="0"/>
                    <w:jc w:val="center"/>
                    <w:textAlignment w:val="auto"/>
                    <w:rPr>
                      <w:color w:val="auto"/>
                      <w:szCs w:val="21"/>
                    </w:rPr>
                  </w:pPr>
                  <w:r>
                    <w:rPr>
                      <w:color w:val="auto"/>
                      <w:szCs w:val="21"/>
                    </w:rPr>
                    <w:t>空间</w:t>
                  </w:r>
                </w:p>
                <w:p w14:paraId="6E4D6846">
                  <w:pPr>
                    <w:keepNext w:val="0"/>
                    <w:keepLines w:val="0"/>
                    <w:pageBreakBefore w:val="0"/>
                    <w:widowControl w:val="0"/>
                    <w:kinsoku/>
                    <w:wordWrap/>
                    <w:overflowPunct/>
                    <w:topLinePunct w:val="0"/>
                    <w:autoSpaceDE w:val="0"/>
                    <w:autoSpaceDN w:val="0"/>
                    <w:bidi w:val="0"/>
                    <w:adjustRightInd w:val="0"/>
                    <w:snapToGrid w:val="0"/>
                    <w:spacing w:line="240" w:lineRule="auto"/>
                    <w:ind w:firstLine="0" w:firstLineChars="0"/>
                    <w:jc w:val="center"/>
                    <w:textAlignment w:val="auto"/>
                    <w:rPr>
                      <w:color w:val="auto"/>
                      <w:szCs w:val="21"/>
                    </w:rPr>
                  </w:pPr>
                  <w:r>
                    <w:rPr>
                      <w:color w:val="auto"/>
                      <w:szCs w:val="21"/>
                    </w:rPr>
                    <w:t>布局</w:t>
                  </w:r>
                </w:p>
                <w:p w14:paraId="06C9ACAE">
                  <w:pPr>
                    <w:keepNext w:val="0"/>
                    <w:keepLines w:val="0"/>
                    <w:pageBreakBefore w:val="0"/>
                    <w:widowControl w:val="0"/>
                    <w:kinsoku/>
                    <w:wordWrap/>
                    <w:overflowPunct/>
                    <w:topLinePunct w:val="0"/>
                    <w:autoSpaceDE w:val="0"/>
                    <w:autoSpaceDN w:val="0"/>
                    <w:bidi w:val="0"/>
                    <w:adjustRightInd w:val="0"/>
                    <w:snapToGrid w:val="0"/>
                    <w:spacing w:line="240" w:lineRule="auto"/>
                    <w:ind w:firstLine="0" w:firstLineChars="0"/>
                    <w:jc w:val="center"/>
                    <w:textAlignment w:val="auto"/>
                    <w:rPr>
                      <w:rFonts w:hint="eastAsia"/>
                      <w:color w:val="auto"/>
                      <w:szCs w:val="21"/>
                      <w:lang w:val="en-US" w:eastAsia="zh-CN"/>
                    </w:rPr>
                  </w:pPr>
                  <w:r>
                    <w:rPr>
                      <w:color w:val="auto"/>
                      <w:szCs w:val="21"/>
                    </w:rPr>
                    <w:t>约束</w:t>
                  </w:r>
                </w:p>
              </w:tc>
              <w:tc>
                <w:tcPr>
                  <w:tcW w:w="2127" w:type="pct"/>
                  <w:vAlign w:val="center"/>
                </w:tcPr>
                <w:p w14:paraId="54A73EF4">
                  <w:pPr>
                    <w:keepNext w:val="0"/>
                    <w:keepLines w:val="0"/>
                    <w:pageBreakBefore w:val="0"/>
                    <w:widowControl w:val="0"/>
                    <w:kinsoku/>
                    <w:wordWrap/>
                    <w:overflowPunct/>
                    <w:topLinePunct w:val="0"/>
                    <w:autoSpaceDE w:val="0"/>
                    <w:autoSpaceDN w:val="0"/>
                    <w:bidi w:val="0"/>
                    <w:adjustRightInd w:val="0"/>
                    <w:snapToGrid w:val="0"/>
                    <w:spacing w:line="240" w:lineRule="auto"/>
                    <w:ind w:firstLine="0" w:firstLineChars="0"/>
                    <w:jc w:val="both"/>
                    <w:textAlignment w:val="auto"/>
                    <w:rPr>
                      <w:rFonts w:hint="eastAsia"/>
                      <w:color w:val="auto"/>
                      <w:szCs w:val="21"/>
                      <w:lang w:val="en-US" w:eastAsia="zh-CN"/>
                    </w:rPr>
                  </w:pPr>
                  <w:r>
                    <w:rPr>
                      <w:rFonts w:hint="eastAsia"/>
                      <w:color w:val="auto"/>
                      <w:szCs w:val="21"/>
                      <w:lang w:val="en-US" w:eastAsia="zh-CN"/>
                    </w:rPr>
                    <w:t>大气环境受体敏感重点管控区：1.严格控制新增《陕西省“两高”项目管理暂行目录》行业项目（民生等项目除外，后续对“两高”范围国家如有新规定的，从其规定）。2.推动重污染企业搬迁入园或依法关闭。</w:t>
                  </w:r>
                </w:p>
              </w:tc>
              <w:tc>
                <w:tcPr>
                  <w:tcW w:w="416" w:type="pct"/>
                  <w:vMerge w:val="continue"/>
                  <w:vAlign w:val="center"/>
                </w:tcPr>
                <w:p w14:paraId="5E1A427E">
                  <w:pPr>
                    <w:keepNext w:val="0"/>
                    <w:keepLines w:val="0"/>
                    <w:pageBreakBefore w:val="0"/>
                    <w:widowControl w:val="0"/>
                    <w:kinsoku/>
                    <w:wordWrap/>
                    <w:overflowPunct/>
                    <w:topLinePunct w:val="0"/>
                    <w:autoSpaceDE w:val="0"/>
                    <w:autoSpaceDN w:val="0"/>
                    <w:bidi w:val="0"/>
                    <w:adjustRightInd w:val="0"/>
                    <w:snapToGrid w:val="0"/>
                    <w:spacing w:line="240" w:lineRule="auto"/>
                    <w:ind w:firstLine="0" w:firstLineChars="0"/>
                    <w:textAlignment w:val="auto"/>
                    <w:rPr>
                      <w:color w:val="auto"/>
                      <w:szCs w:val="21"/>
                    </w:rPr>
                  </w:pPr>
                </w:p>
              </w:tc>
              <w:tc>
                <w:tcPr>
                  <w:tcW w:w="502" w:type="pct"/>
                  <w:vAlign w:val="center"/>
                </w:tcPr>
                <w:p w14:paraId="16B07595">
                  <w:pPr>
                    <w:keepNext w:val="0"/>
                    <w:keepLines w:val="0"/>
                    <w:pageBreakBefore w:val="0"/>
                    <w:widowControl w:val="0"/>
                    <w:kinsoku/>
                    <w:wordWrap/>
                    <w:overflowPunct/>
                    <w:topLinePunct w:val="0"/>
                    <w:autoSpaceDE w:val="0"/>
                    <w:autoSpaceDN w:val="0"/>
                    <w:bidi w:val="0"/>
                    <w:adjustRightInd w:val="0"/>
                    <w:snapToGrid w:val="0"/>
                    <w:spacing w:line="240" w:lineRule="auto"/>
                    <w:ind w:firstLine="0" w:firstLineChars="0"/>
                    <w:jc w:val="center"/>
                    <w:textAlignment w:val="auto"/>
                    <w:rPr>
                      <w:rFonts w:hint="eastAsia" w:cs="Times New Roman"/>
                      <w:color w:val="auto"/>
                      <w:kern w:val="0"/>
                      <w:szCs w:val="21"/>
                      <w:lang w:val="en-US" w:eastAsia="zh-CN"/>
                    </w:rPr>
                  </w:pPr>
                  <w:r>
                    <w:rPr>
                      <w:rFonts w:hint="default" w:ascii="Times New Roman" w:hAnsi="Times New Roman" w:eastAsia="宋体" w:cs="Times New Roman"/>
                      <w:color w:val="auto"/>
                      <w:kern w:val="0"/>
                      <w:szCs w:val="21"/>
                    </w:rPr>
                    <w:t>本项目为</w:t>
                  </w:r>
                  <w:r>
                    <w:rPr>
                      <w:rFonts w:hint="eastAsia" w:cs="Times New Roman"/>
                      <w:b w:val="0"/>
                      <w:bCs w:val="0"/>
                      <w:color w:val="auto"/>
                      <w:sz w:val="21"/>
                      <w:szCs w:val="21"/>
                      <w:lang w:val="en-US" w:eastAsia="zh-CN"/>
                    </w:rPr>
                    <w:t>钛材表面处理</w:t>
                  </w:r>
                  <w:r>
                    <w:rPr>
                      <w:rFonts w:hint="default" w:ascii="Times New Roman" w:hAnsi="Times New Roman" w:eastAsia="宋体" w:cs="Times New Roman"/>
                      <w:color w:val="auto"/>
                      <w:kern w:val="0"/>
                      <w:szCs w:val="21"/>
                    </w:rPr>
                    <w:t>，不属于</w:t>
                  </w:r>
                  <w:r>
                    <w:rPr>
                      <w:rFonts w:hint="eastAsia" w:ascii="Times New Roman" w:hAnsi="Times New Roman" w:eastAsia="宋体" w:cs="Times New Roman"/>
                      <w:color w:val="auto"/>
                      <w:kern w:val="0"/>
                      <w:szCs w:val="21"/>
                      <w:lang w:eastAsia="zh-CN"/>
                    </w:rPr>
                    <w:t>“</w:t>
                  </w:r>
                  <w:r>
                    <w:rPr>
                      <w:rFonts w:hint="eastAsia" w:ascii="Times New Roman" w:hAnsi="Times New Roman" w:eastAsia="宋体" w:cs="Times New Roman"/>
                      <w:color w:val="auto"/>
                      <w:kern w:val="0"/>
                      <w:szCs w:val="21"/>
                      <w:lang w:val="en-US" w:eastAsia="zh-CN"/>
                    </w:rPr>
                    <w:t>两高</w:t>
                  </w:r>
                  <w:r>
                    <w:rPr>
                      <w:rFonts w:hint="eastAsia" w:ascii="Times New Roman" w:hAnsi="Times New Roman" w:eastAsia="宋体" w:cs="Times New Roman"/>
                      <w:color w:val="auto"/>
                      <w:kern w:val="0"/>
                      <w:szCs w:val="21"/>
                      <w:lang w:eastAsia="zh-CN"/>
                    </w:rPr>
                    <w:t>”</w:t>
                  </w:r>
                  <w:r>
                    <w:rPr>
                      <w:rFonts w:hint="default" w:ascii="Times New Roman" w:hAnsi="Times New Roman" w:eastAsia="宋体" w:cs="Times New Roman"/>
                      <w:color w:val="auto"/>
                      <w:kern w:val="0"/>
                      <w:szCs w:val="21"/>
                    </w:rPr>
                    <w:t>类项目。</w:t>
                  </w:r>
                </w:p>
              </w:tc>
              <w:tc>
                <w:tcPr>
                  <w:tcW w:w="175" w:type="pct"/>
                  <w:vAlign w:val="center"/>
                </w:tcPr>
                <w:p w14:paraId="1818208C">
                  <w:pPr>
                    <w:keepNext w:val="0"/>
                    <w:keepLines w:val="0"/>
                    <w:pageBreakBefore w:val="0"/>
                    <w:widowControl w:val="0"/>
                    <w:kinsoku/>
                    <w:wordWrap/>
                    <w:overflowPunct/>
                    <w:topLinePunct w:val="0"/>
                    <w:autoSpaceDE w:val="0"/>
                    <w:autoSpaceDN w:val="0"/>
                    <w:bidi w:val="0"/>
                    <w:adjustRightInd w:val="0"/>
                    <w:snapToGrid w:val="0"/>
                    <w:spacing w:line="240" w:lineRule="auto"/>
                    <w:ind w:firstLine="0" w:firstLineChars="0"/>
                    <w:textAlignment w:val="auto"/>
                    <w:rPr>
                      <w:rFonts w:hint="default"/>
                      <w:color w:val="auto"/>
                      <w:kern w:val="0"/>
                      <w:szCs w:val="21"/>
                      <w:lang w:val="en-US" w:eastAsia="zh-CN"/>
                    </w:rPr>
                  </w:pPr>
                  <w:r>
                    <w:rPr>
                      <w:rFonts w:hint="eastAsia"/>
                      <w:color w:val="auto"/>
                      <w:kern w:val="0"/>
                      <w:szCs w:val="21"/>
                      <w:lang w:val="en-US" w:eastAsia="zh-CN"/>
                    </w:rPr>
                    <w:t>符合</w:t>
                  </w:r>
                </w:p>
              </w:tc>
            </w:tr>
            <w:tr w14:paraId="57A1CF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748" w:hRule="atLeast"/>
                <w:jc w:val="center"/>
              </w:trPr>
              <w:tc>
                <w:tcPr>
                  <w:tcW w:w="423" w:type="pct"/>
                  <w:vMerge w:val="continue"/>
                  <w:vAlign w:val="center"/>
                </w:tcPr>
                <w:p w14:paraId="6AB27761">
                  <w:pPr>
                    <w:keepNext w:val="0"/>
                    <w:keepLines w:val="0"/>
                    <w:pageBreakBefore w:val="0"/>
                    <w:widowControl w:val="0"/>
                    <w:kinsoku/>
                    <w:wordWrap/>
                    <w:overflowPunct/>
                    <w:topLinePunct w:val="0"/>
                    <w:autoSpaceDE w:val="0"/>
                    <w:autoSpaceDN w:val="0"/>
                    <w:bidi w:val="0"/>
                    <w:adjustRightInd w:val="0"/>
                    <w:snapToGrid w:val="0"/>
                    <w:spacing w:line="240" w:lineRule="auto"/>
                    <w:ind w:firstLine="0" w:firstLineChars="0"/>
                    <w:jc w:val="center"/>
                    <w:textAlignment w:val="auto"/>
                  </w:pPr>
                </w:p>
              </w:tc>
              <w:tc>
                <w:tcPr>
                  <w:tcW w:w="223" w:type="pct"/>
                  <w:vMerge w:val="continue"/>
                  <w:vAlign w:val="center"/>
                </w:tcPr>
                <w:p w14:paraId="15999DFE">
                  <w:pPr>
                    <w:keepNext w:val="0"/>
                    <w:keepLines w:val="0"/>
                    <w:pageBreakBefore w:val="0"/>
                    <w:widowControl w:val="0"/>
                    <w:kinsoku/>
                    <w:wordWrap/>
                    <w:overflowPunct/>
                    <w:topLinePunct w:val="0"/>
                    <w:autoSpaceDE w:val="0"/>
                    <w:autoSpaceDN w:val="0"/>
                    <w:bidi w:val="0"/>
                    <w:adjustRightInd w:val="0"/>
                    <w:snapToGrid w:val="0"/>
                    <w:spacing w:line="240" w:lineRule="auto"/>
                    <w:ind w:firstLine="0" w:firstLineChars="0"/>
                    <w:jc w:val="center"/>
                    <w:textAlignment w:val="auto"/>
                  </w:pPr>
                </w:p>
              </w:tc>
              <w:tc>
                <w:tcPr>
                  <w:tcW w:w="197" w:type="pct"/>
                  <w:vMerge w:val="continue"/>
                  <w:vAlign w:val="center"/>
                </w:tcPr>
                <w:p w14:paraId="59CA38C8">
                  <w:pPr>
                    <w:keepNext w:val="0"/>
                    <w:keepLines w:val="0"/>
                    <w:pageBreakBefore w:val="0"/>
                    <w:widowControl w:val="0"/>
                    <w:kinsoku/>
                    <w:wordWrap/>
                    <w:overflowPunct/>
                    <w:topLinePunct w:val="0"/>
                    <w:autoSpaceDE w:val="0"/>
                    <w:autoSpaceDN w:val="0"/>
                    <w:bidi w:val="0"/>
                    <w:adjustRightInd w:val="0"/>
                    <w:snapToGrid w:val="0"/>
                    <w:spacing w:line="240" w:lineRule="auto"/>
                    <w:ind w:firstLine="0" w:firstLineChars="0"/>
                    <w:jc w:val="center"/>
                    <w:textAlignment w:val="auto"/>
                  </w:pPr>
                </w:p>
              </w:tc>
              <w:tc>
                <w:tcPr>
                  <w:tcW w:w="520" w:type="pct"/>
                  <w:vAlign w:val="center"/>
                </w:tcPr>
                <w:p w14:paraId="2D4AACD8">
                  <w:pPr>
                    <w:keepNext w:val="0"/>
                    <w:keepLines w:val="0"/>
                    <w:pageBreakBefore w:val="0"/>
                    <w:widowControl w:val="0"/>
                    <w:kinsoku/>
                    <w:wordWrap/>
                    <w:overflowPunct/>
                    <w:topLinePunct w:val="0"/>
                    <w:autoSpaceDE w:val="0"/>
                    <w:autoSpaceDN w:val="0"/>
                    <w:bidi w:val="0"/>
                    <w:adjustRightInd w:val="0"/>
                    <w:snapToGrid w:val="0"/>
                    <w:spacing w:line="240" w:lineRule="auto"/>
                    <w:ind w:firstLine="0" w:firstLineChars="0"/>
                    <w:jc w:val="center"/>
                    <w:textAlignment w:val="auto"/>
                    <w:rPr>
                      <w:rFonts w:hint="default"/>
                      <w:color w:val="auto"/>
                      <w:szCs w:val="21"/>
                      <w:lang w:val="en-US" w:eastAsia="zh-CN"/>
                    </w:rPr>
                  </w:pPr>
                  <w:r>
                    <w:rPr>
                      <w:rFonts w:hint="eastAsia"/>
                      <w:color w:val="auto"/>
                      <w:szCs w:val="21"/>
                      <w:lang w:val="en-US" w:eastAsia="zh-CN"/>
                    </w:rPr>
                    <w:t>/</w:t>
                  </w:r>
                </w:p>
              </w:tc>
              <w:tc>
                <w:tcPr>
                  <w:tcW w:w="412" w:type="pct"/>
                  <w:vAlign w:val="center"/>
                </w:tcPr>
                <w:p w14:paraId="52151203">
                  <w:pPr>
                    <w:keepNext w:val="0"/>
                    <w:keepLines w:val="0"/>
                    <w:pageBreakBefore w:val="0"/>
                    <w:widowControl w:val="0"/>
                    <w:kinsoku/>
                    <w:wordWrap/>
                    <w:overflowPunct/>
                    <w:topLinePunct w:val="0"/>
                    <w:autoSpaceDE w:val="0"/>
                    <w:autoSpaceDN w:val="0"/>
                    <w:bidi w:val="0"/>
                    <w:adjustRightInd w:val="0"/>
                    <w:snapToGrid w:val="0"/>
                    <w:spacing w:line="240" w:lineRule="auto"/>
                    <w:ind w:firstLine="0" w:firstLineChars="0"/>
                    <w:jc w:val="center"/>
                    <w:textAlignment w:val="auto"/>
                    <w:rPr>
                      <w:color w:val="auto"/>
                      <w:szCs w:val="21"/>
                    </w:rPr>
                  </w:pPr>
                  <w:r>
                    <w:rPr>
                      <w:color w:val="auto"/>
                      <w:szCs w:val="21"/>
                    </w:rPr>
                    <w:t>污染</w:t>
                  </w:r>
                </w:p>
                <w:p w14:paraId="335BC1CB">
                  <w:pPr>
                    <w:keepNext w:val="0"/>
                    <w:keepLines w:val="0"/>
                    <w:pageBreakBefore w:val="0"/>
                    <w:widowControl w:val="0"/>
                    <w:kinsoku/>
                    <w:wordWrap/>
                    <w:overflowPunct/>
                    <w:topLinePunct w:val="0"/>
                    <w:autoSpaceDE w:val="0"/>
                    <w:autoSpaceDN w:val="0"/>
                    <w:bidi w:val="0"/>
                    <w:adjustRightInd w:val="0"/>
                    <w:snapToGrid w:val="0"/>
                    <w:spacing w:line="240" w:lineRule="auto"/>
                    <w:ind w:firstLine="0" w:firstLineChars="0"/>
                    <w:jc w:val="center"/>
                    <w:textAlignment w:val="auto"/>
                    <w:rPr>
                      <w:color w:val="auto"/>
                      <w:szCs w:val="21"/>
                    </w:rPr>
                  </w:pPr>
                  <w:r>
                    <w:rPr>
                      <w:color w:val="auto"/>
                      <w:szCs w:val="21"/>
                    </w:rPr>
                    <w:t>物排</w:t>
                  </w:r>
                </w:p>
                <w:p w14:paraId="43B0887B">
                  <w:pPr>
                    <w:keepNext w:val="0"/>
                    <w:keepLines w:val="0"/>
                    <w:pageBreakBefore w:val="0"/>
                    <w:widowControl w:val="0"/>
                    <w:kinsoku/>
                    <w:wordWrap/>
                    <w:overflowPunct/>
                    <w:topLinePunct w:val="0"/>
                    <w:autoSpaceDE w:val="0"/>
                    <w:autoSpaceDN w:val="0"/>
                    <w:bidi w:val="0"/>
                    <w:adjustRightInd w:val="0"/>
                    <w:snapToGrid w:val="0"/>
                    <w:spacing w:line="240" w:lineRule="auto"/>
                    <w:ind w:firstLine="0" w:firstLineChars="0"/>
                    <w:jc w:val="center"/>
                    <w:textAlignment w:val="auto"/>
                    <w:rPr>
                      <w:color w:val="auto"/>
                      <w:szCs w:val="21"/>
                    </w:rPr>
                  </w:pPr>
                  <w:r>
                    <w:rPr>
                      <w:color w:val="auto"/>
                      <w:szCs w:val="21"/>
                    </w:rPr>
                    <w:t>放管</w:t>
                  </w:r>
                </w:p>
                <w:p w14:paraId="0D710E9F">
                  <w:pPr>
                    <w:keepNext w:val="0"/>
                    <w:keepLines w:val="0"/>
                    <w:pageBreakBefore w:val="0"/>
                    <w:widowControl w:val="0"/>
                    <w:kinsoku/>
                    <w:wordWrap/>
                    <w:overflowPunct/>
                    <w:topLinePunct w:val="0"/>
                    <w:autoSpaceDE w:val="0"/>
                    <w:autoSpaceDN w:val="0"/>
                    <w:bidi w:val="0"/>
                    <w:adjustRightInd w:val="0"/>
                    <w:snapToGrid w:val="0"/>
                    <w:spacing w:line="240" w:lineRule="auto"/>
                    <w:ind w:firstLine="0" w:firstLineChars="0"/>
                    <w:jc w:val="center"/>
                    <w:textAlignment w:val="auto"/>
                    <w:rPr>
                      <w:rFonts w:hint="eastAsia"/>
                      <w:color w:val="auto"/>
                      <w:szCs w:val="21"/>
                      <w:lang w:val="en-US" w:eastAsia="zh-CN"/>
                    </w:rPr>
                  </w:pPr>
                  <w:r>
                    <w:rPr>
                      <w:color w:val="auto"/>
                      <w:szCs w:val="21"/>
                    </w:rPr>
                    <w:t>控</w:t>
                  </w:r>
                </w:p>
              </w:tc>
              <w:tc>
                <w:tcPr>
                  <w:tcW w:w="2127" w:type="pct"/>
                  <w:vAlign w:val="center"/>
                </w:tcPr>
                <w:p w14:paraId="015B02AE">
                  <w:pPr>
                    <w:keepNext w:val="0"/>
                    <w:keepLines w:val="0"/>
                    <w:pageBreakBefore w:val="0"/>
                    <w:widowControl w:val="0"/>
                    <w:kinsoku/>
                    <w:wordWrap/>
                    <w:overflowPunct/>
                    <w:topLinePunct w:val="0"/>
                    <w:autoSpaceDE w:val="0"/>
                    <w:autoSpaceDN w:val="0"/>
                    <w:bidi w:val="0"/>
                    <w:adjustRightInd w:val="0"/>
                    <w:snapToGrid w:val="0"/>
                    <w:spacing w:line="240" w:lineRule="auto"/>
                    <w:ind w:firstLine="0" w:firstLineChars="0"/>
                    <w:jc w:val="both"/>
                    <w:textAlignment w:val="auto"/>
                    <w:rPr>
                      <w:rFonts w:hint="eastAsia"/>
                      <w:color w:val="auto"/>
                      <w:szCs w:val="21"/>
                      <w:lang w:val="en-US" w:eastAsia="zh-CN"/>
                    </w:rPr>
                  </w:pPr>
                  <w:r>
                    <w:rPr>
                      <w:rFonts w:hint="eastAsia"/>
                      <w:color w:val="auto"/>
                      <w:szCs w:val="21"/>
                      <w:lang w:val="en-US" w:eastAsia="zh-CN"/>
                    </w:rPr>
                    <w:t>大气环境受体敏感重点管控区：1.城市建成区产生油烟的餐饮服务单位全部安装油烟净化装置并保持正常运行和定期维护。2.持续因地制宜实施“煤改气”、“油改气”、电能、地热、生物质等清洁能源取暖措施。3.鼓励将老旧车辆和非道路移动机械替换为清洁能源车辆。推进新能源或清洁能源汽车使用。4.位于大气污染防治重点区域的汾渭平原，特别排放限值行业（钢铁、水泥、焦化、石化、化工、有色等行业）现有企业全面执行二氧化硫、氮氧化物、颗粒物、挥发性有机物（VOCs）特别排放限值。</w:t>
                  </w:r>
                </w:p>
                <w:p w14:paraId="7591F836">
                  <w:pPr>
                    <w:keepNext w:val="0"/>
                    <w:keepLines w:val="0"/>
                    <w:pageBreakBefore w:val="0"/>
                    <w:widowControl w:val="0"/>
                    <w:kinsoku/>
                    <w:wordWrap/>
                    <w:overflowPunct/>
                    <w:topLinePunct w:val="0"/>
                    <w:autoSpaceDE w:val="0"/>
                    <w:autoSpaceDN w:val="0"/>
                    <w:bidi w:val="0"/>
                    <w:adjustRightInd w:val="0"/>
                    <w:snapToGrid w:val="0"/>
                    <w:spacing w:line="240" w:lineRule="auto"/>
                    <w:ind w:firstLine="0" w:firstLineChars="0"/>
                    <w:jc w:val="both"/>
                    <w:textAlignment w:val="auto"/>
                    <w:rPr>
                      <w:rFonts w:hint="eastAsia"/>
                      <w:color w:val="auto"/>
                      <w:szCs w:val="21"/>
                      <w:lang w:val="en-US" w:eastAsia="zh-CN"/>
                    </w:rPr>
                  </w:pPr>
                  <w:r>
                    <w:rPr>
                      <w:rFonts w:hint="eastAsia"/>
                      <w:color w:val="auto"/>
                      <w:szCs w:val="21"/>
                      <w:lang w:val="en-US" w:eastAsia="zh-CN"/>
                    </w:rPr>
                    <w:t>水环境城镇生活污染重点管控区：1.加强城镇污水收集处理设施建设与提标改造。全省黄河流域城镇生活污水处理达到《陕西省黄河流域污水综合排放标准》（DB61/224-2018） 排放限值要求。2.城镇新区管网建设及老旧城区管网升级改造中实行雨污分流，鼓励推进初期雨水收集、处理和资源化利用，建设人工湿地水质净化工程，对处理达标后的尾水进一步净化。3.污水处理厂出水用于绿化、农灌等用途的，合理确定管控要求，确保达到相应污水再生利用标准。4.加强城镇污水收集处理设施建设与提标改造，推进渭河南岸西部污水处理厂建设，提升污水处理能力，因地制宜在污水处理厂出水口处建设人工水质净化工程。推进新建污水处理设施与配套管网的同步设计、同步建设、同步投运，加快污水管网建设与雨污分流改造，完成市区老旧城区管网升级改造。</w:t>
                  </w:r>
                </w:p>
              </w:tc>
              <w:tc>
                <w:tcPr>
                  <w:tcW w:w="416" w:type="pct"/>
                  <w:vMerge w:val="continue"/>
                  <w:vAlign w:val="center"/>
                </w:tcPr>
                <w:p w14:paraId="28327E89">
                  <w:pPr>
                    <w:keepNext w:val="0"/>
                    <w:keepLines w:val="0"/>
                    <w:pageBreakBefore w:val="0"/>
                    <w:widowControl w:val="0"/>
                    <w:kinsoku/>
                    <w:wordWrap/>
                    <w:overflowPunct/>
                    <w:topLinePunct w:val="0"/>
                    <w:autoSpaceDE w:val="0"/>
                    <w:autoSpaceDN w:val="0"/>
                    <w:bidi w:val="0"/>
                    <w:adjustRightInd w:val="0"/>
                    <w:snapToGrid w:val="0"/>
                    <w:spacing w:line="240" w:lineRule="auto"/>
                    <w:ind w:firstLine="0" w:firstLineChars="0"/>
                    <w:jc w:val="center"/>
                    <w:textAlignment w:val="auto"/>
                    <w:rPr>
                      <w:rFonts w:hint="eastAsia"/>
                      <w:color w:val="auto"/>
                      <w:szCs w:val="21"/>
                      <w:lang w:val="en-US" w:eastAsia="zh-CN"/>
                    </w:rPr>
                  </w:pPr>
                </w:p>
              </w:tc>
              <w:tc>
                <w:tcPr>
                  <w:tcW w:w="502" w:type="pct"/>
                  <w:vAlign w:val="center"/>
                </w:tcPr>
                <w:p w14:paraId="47EB961E">
                  <w:pPr>
                    <w:keepNext w:val="0"/>
                    <w:keepLines w:val="0"/>
                    <w:pageBreakBefore w:val="0"/>
                    <w:widowControl w:val="0"/>
                    <w:numPr>
                      <w:ilvl w:val="0"/>
                      <w:numId w:val="1"/>
                    </w:numPr>
                    <w:kinsoku/>
                    <w:wordWrap/>
                    <w:overflowPunct/>
                    <w:topLinePunct w:val="0"/>
                    <w:autoSpaceDE w:val="0"/>
                    <w:autoSpaceDN w:val="0"/>
                    <w:bidi w:val="0"/>
                    <w:adjustRightInd w:val="0"/>
                    <w:snapToGrid w:val="0"/>
                    <w:spacing w:line="240" w:lineRule="auto"/>
                    <w:ind w:firstLine="0" w:firstLineChars="0"/>
                    <w:jc w:val="center"/>
                    <w:textAlignment w:val="auto"/>
                    <w:rPr>
                      <w:rFonts w:hint="eastAsia"/>
                      <w:color w:val="auto"/>
                      <w:szCs w:val="21"/>
                      <w:lang w:val="en-US" w:eastAsia="zh-CN"/>
                    </w:rPr>
                  </w:pPr>
                  <w:r>
                    <w:rPr>
                      <w:rFonts w:hint="eastAsia"/>
                      <w:color w:val="auto"/>
                      <w:szCs w:val="21"/>
                      <w:lang w:val="en-US" w:eastAsia="zh-CN"/>
                    </w:rPr>
                    <w:t>本项目不涉及。</w:t>
                  </w:r>
                </w:p>
                <w:p w14:paraId="383B593C">
                  <w:pPr>
                    <w:pStyle w:val="7"/>
                    <w:numPr>
                      <w:ilvl w:val="0"/>
                      <w:numId w:val="0"/>
                    </w:numPr>
                    <w:rPr>
                      <w:rFonts w:hint="default"/>
                      <w:lang w:val="en-US" w:eastAsia="zh-CN"/>
                    </w:rPr>
                  </w:pPr>
                  <w:r>
                    <w:rPr>
                      <w:rFonts w:hint="eastAsia"/>
                      <w:color w:val="auto"/>
                      <w:lang w:val="en-US" w:eastAsia="zh-CN"/>
                    </w:rPr>
                    <w:t>2、</w:t>
                  </w:r>
                  <w:r>
                    <w:rPr>
                      <w:rFonts w:hint="eastAsia"/>
                      <w:color w:val="auto"/>
                      <w:szCs w:val="21"/>
                      <w:lang w:val="en-US" w:eastAsia="zh-CN"/>
                    </w:rPr>
                    <w:t>本项目生活污水依托化粪池预处理后经市政管网排入西安工业资产经营公司泾河产业基地污水处理站。</w:t>
                  </w:r>
                </w:p>
              </w:tc>
              <w:tc>
                <w:tcPr>
                  <w:tcW w:w="175" w:type="pct"/>
                  <w:vAlign w:val="center"/>
                </w:tcPr>
                <w:p w14:paraId="461C73F0">
                  <w:pPr>
                    <w:keepNext w:val="0"/>
                    <w:keepLines w:val="0"/>
                    <w:pageBreakBefore w:val="0"/>
                    <w:widowControl w:val="0"/>
                    <w:kinsoku/>
                    <w:wordWrap/>
                    <w:overflowPunct/>
                    <w:topLinePunct w:val="0"/>
                    <w:autoSpaceDE w:val="0"/>
                    <w:autoSpaceDN w:val="0"/>
                    <w:bidi w:val="0"/>
                    <w:adjustRightInd w:val="0"/>
                    <w:snapToGrid w:val="0"/>
                    <w:spacing w:line="240" w:lineRule="auto"/>
                    <w:ind w:firstLine="0" w:firstLineChars="0"/>
                    <w:jc w:val="center"/>
                    <w:textAlignment w:val="auto"/>
                    <w:rPr>
                      <w:rFonts w:hint="default"/>
                      <w:color w:val="auto"/>
                      <w:szCs w:val="21"/>
                      <w:lang w:val="en-US" w:eastAsia="zh-CN"/>
                    </w:rPr>
                  </w:pPr>
                  <w:r>
                    <w:rPr>
                      <w:rFonts w:hint="eastAsia"/>
                      <w:color w:val="auto"/>
                      <w:szCs w:val="21"/>
                      <w:lang w:val="en-US" w:eastAsia="zh-CN"/>
                    </w:rPr>
                    <w:t>符合</w:t>
                  </w:r>
                </w:p>
              </w:tc>
            </w:tr>
            <w:tr w14:paraId="204C2C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748" w:hRule="atLeast"/>
                <w:jc w:val="center"/>
              </w:trPr>
              <w:tc>
                <w:tcPr>
                  <w:tcW w:w="423" w:type="pct"/>
                  <w:vMerge w:val="continue"/>
                  <w:vAlign w:val="center"/>
                </w:tcPr>
                <w:p w14:paraId="320D5B0A">
                  <w:pPr>
                    <w:keepNext w:val="0"/>
                    <w:keepLines w:val="0"/>
                    <w:pageBreakBefore w:val="0"/>
                    <w:widowControl w:val="0"/>
                    <w:kinsoku/>
                    <w:wordWrap/>
                    <w:overflowPunct/>
                    <w:topLinePunct w:val="0"/>
                    <w:autoSpaceDE w:val="0"/>
                    <w:autoSpaceDN w:val="0"/>
                    <w:bidi w:val="0"/>
                    <w:adjustRightInd w:val="0"/>
                    <w:snapToGrid w:val="0"/>
                    <w:spacing w:line="240" w:lineRule="auto"/>
                    <w:ind w:firstLine="0" w:firstLineChars="0"/>
                    <w:jc w:val="center"/>
                    <w:textAlignment w:val="auto"/>
                    <w:rPr>
                      <w:rFonts w:hint="eastAsia"/>
                      <w:color w:val="auto"/>
                      <w:szCs w:val="21"/>
                      <w:lang w:val="en-US" w:eastAsia="zh-CN"/>
                    </w:rPr>
                  </w:pPr>
                </w:p>
              </w:tc>
              <w:tc>
                <w:tcPr>
                  <w:tcW w:w="223" w:type="pct"/>
                  <w:vMerge w:val="continue"/>
                  <w:vAlign w:val="center"/>
                </w:tcPr>
                <w:p w14:paraId="6853D92B">
                  <w:pPr>
                    <w:keepNext w:val="0"/>
                    <w:keepLines w:val="0"/>
                    <w:pageBreakBefore w:val="0"/>
                    <w:widowControl w:val="0"/>
                    <w:kinsoku/>
                    <w:wordWrap/>
                    <w:overflowPunct/>
                    <w:topLinePunct w:val="0"/>
                    <w:autoSpaceDE w:val="0"/>
                    <w:autoSpaceDN w:val="0"/>
                    <w:bidi w:val="0"/>
                    <w:adjustRightInd w:val="0"/>
                    <w:snapToGrid w:val="0"/>
                    <w:spacing w:line="240" w:lineRule="auto"/>
                    <w:ind w:firstLine="0" w:firstLineChars="0"/>
                    <w:jc w:val="center"/>
                    <w:textAlignment w:val="auto"/>
                    <w:rPr>
                      <w:rFonts w:hint="eastAsia"/>
                      <w:color w:val="auto"/>
                      <w:szCs w:val="21"/>
                      <w:lang w:val="en-US" w:eastAsia="zh-CN"/>
                    </w:rPr>
                  </w:pPr>
                </w:p>
              </w:tc>
              <w:tc>
                <w:tcPr>
                  <w:tcW w:w="197" w:type="pct"/>
                  <w:vMerge w:val="continue"/>
                  <w:vAlign w:val="center"/>
                </w:tcPr>
                <w:p w14:paraId="44C36FF6">
                  <w:pPr>
                    <w:keepNext w:val="0"/>
                    <w:keepLines w:val="0"/>
                    <w:pageBreakBefore w:val="0"/>
                    <w:widowControl w:val="0"/>
                    <w:kinsoku/>
                    <w:wordWrap/>
                    <w:overflowPunct/>
                    <w:topLinePunct w:val="0"/>
                    <w:autoSpaceDE w:val="0"/>
                    <w:autoSpaceDN w:val="0"/>
                    <w:bidi w:val="0"/>
                    <w:adjustRightInd w:val="0"/>
                    <w:snapToGrid w:val="0"/>
                    <w:spacing w:line="240" w:lineRule="auto"/>
                    <w:ind w:firstLine="0" w:firstLineChars="0"/>
                    <w:jc w:val="center"/>
                    <w:textAlignment w:val="auto"/>
                    <w:rPr>
                      <w:rFonts w:hint="eastAsia"/>
                      <w:color w:val="auto"/>
                      <w:szCs w:val="21"/>
                      <w:lang w:val="en-US" w:eastAsia="zh-CN"/>
                    </w:rPr>
                  </w:pPr>
                </w:p>
              </w:tc>
              <w:tc>
                <w:tcPr>
                  <w:tcW w:w="520" w:type="pct"/>
                  <w:vAlign w:val="center"/>
                </w:tcPr>
                <w:p w14:paraId="32371A24">
                  <w:pPr>
                    <w:keepNext w:val="0"/>
                    <w:keepLines w:val="0"/>
                    <w:pageBreakBefore w:val="0"/>
                    <w:widowControl w:val="0"/>
                    <w:kinsoku/>
                    <w:wordWrap/>
                    <w:overflowPunct/>
                    <w:topLinePunct w:val="0"/>
                    <w:autoSpaceDE w:val="0"/>
                    <w:autoSpaceDN w:val="0"/>
                    <w:bidi w:val="0"/>
                    <w:adjustRightInd w:val="0"/>
                    <w:snapToGrid w:val="0"/>
                    <w:spacing w:line="240" w:lineRule="auto"/>
                    <w:ind w:firstLine="0" w:firstLineChars="0"/>
                    <w:jc w:val="center"/>
                    <w:textAlignment w:val="auto"/>
                    <w:rPr>
                      <w:rFonts w:hint="default"/>
                      <w:color w:val="auto"/>
                      <w:szCs w:val="21"/>
                      <w:lang w:val="en-US" w:eastAsia="zh-CN"/>
                    </w:rPr>
                  </w:pPr>
                  <w:r>
                    <w:rPr>
                      <w:rFonts w:hint="eastAsia"/>
                      <w:color w:val="auto"/>
                      <w:szCs w:val="21"/>
                      <w:lang w:val="en-US" w:eastAsia="zh-CN"/>
                    </w:rPr>
                    <w:t>/</w:t>
                  </w:r>
                </w:p>
              </w:tc>
              <w:tc>
                <w:tcPr>
                  <w:tcW w:w="412" w:type="pct"/>
                  <w:vAlign w:val="center"/>
                </w:tcPr>
                <w:p w14:paraId="0601A742">
                  <w:pPr>
                    <w:keepNext w:val="0"/>
                    <w:keepLines w:val="0"/>
                    <w:pageBreakBefore w:val="0"/>
                    <w:widowControl w:val="0"/>
                    <w:kinsoku/>
                    <w:wordWrap/>
                    <w:overflowPunct/>
                    <w:topLinePunct w:val="0"/>
                    <w:autoSpaceDE w:val="0"/>
                    <w:autoSpaceDN w:val="0"/>
                    <w:bidi w:val="0"/>
                    <w:adjustRightInd w:val="0"/>
                    <w:snapToGrid w:val="0"/>
                    <w:spacing w:line="240" w:lineRule="auto"/>
                    <w:ind w:firstLine="0" w:firstLineChars="0"/>
                    <w:jc w:val="center"/>
                    <w:textAlignment w:val="auto"/>
                    <w:rPr>
                      <w:rFonts w:hint="eastAsia"/>
                      <w:color w:val="auto"/>
                      <w:szCs w:val="21"/>
                      <w:lang w:val="en-US" w:eastAsia="zh-CN"/>
                    </w:rPr>
                  </w:pPr>
                  <w:r>
                    <w:rPr>
                      <w:rFonts w:hint="eastAsia"/>
                      <w:color w:val="auto"/>
                      <w:szCs w:val="21"/>
                      <w:lang w:val="en-US" w:eastAsia="zh-CN"/>
                    </w:rPr>
                    <w:t>环境风险防控</w:t>
                  </w:r>
                </w:p>
              </w:tc>
              <w:tc>
                <w:tcPr>
                  <w:tcW w:w="2127" w:type="pct"/>
                  <w:vAlign w:val="center"/>
                </w:tcPr>
                <w:p w14:paraId="0D7C8C3A">
                  <w:pPr>
                    <w:keepNext w:val="0"/>
                    <w:keepLines w:val="0"/>
                    <w:pageBreakBefore w:val="0"/>
                    <w:widowControl w:val="0"/>
                    <w:kinsoku/>
                    <w:wordWrap/>
                    <w:overflowPunct/>
                    <w:topLinePunct w:val="0"/>
                    <w:autoSpaceDE w:val="0"/>
                    <w:autoSpaceDN w:val="0"/>
                    <w:bidi w:val="0"/>
                    <w:adjustRightInd w:val="0"/>
                    <w:snapToGrid w:val="0"/>
                    <w:spacing w:line="240" w:lineRule="auto"/>
                    <w:ind w:firstLine="0" w:firstLineChars="0"/>
                    <w:jc w:val="center"/>
                    <w:textAlignment w:val="auto"/>
                    <w:rPr>
                      <w:rFonts w:hint="default"/>
                      <w:color w:val="auto"/>
                      <w:szCs w:val="21"/>
                      <w:lang w:val="en-US" w:eastAsia="zh-CN"/>
                    </w:rPr>
                  </w:pPr>
                  <w:r>
                    <w:rPr>
                      <w:rFonts w:hint="eastAsia"/>
                      <w:color w:val="auto"/>
                      <w:szCs w:val="21"/>
                      <w:lang w:val="en-US" w:eastAsia="zh-CN"/>
                    </w:rPr>
                    <w:t>/</w:t>
                  </w:r>
                </w:p>
              </w:tc>
              <w:tc>
                <w:tcPr>
                  <w:tcW w:w="416" w:type="pct"/>
                  <w:vMerge w:val="continue"/>
                  <w:vAlign w:val="center"/>
                </w:tcPr>
                <w:p w14:paraId="101B1261">
                  <w:pPr>
                    <w:keepNext w:val="0"/>
                    <w:keepLines w:val="0"/>
                    <w:pageBreakBefore w:val="0"/>
                    <w:widowControl w:val="0"/>
                    <w:kinsoku/>
                    <w:wordWrap/>
                    <w:overflowPunct/>
                    <w:topLinePunct w:val="0"/>
                    <w:autoSpaceDE w:val="0"/>
                    <w:autoSpaceDN w:val="0"/>
                    <w:bidi w:val="0"/>
                    <w:adjustRightInd w:val="0"/>
                    <w:snapToGrid w:val="0"/>
                    <w:spacing w:line="240" w:lineRule="auto"/>
                    <w:ind w:firstLine="0" w:firstLineChars="0"/>
                    <w:jc w:val="center"/>
                    <w:textAlignment w:val="auto"/>
                    <w:rPr>
                      <w:rFonts w:hint="eastAsia"/>
                      <w:color w:val="auto"/>
                      <w:szCs w:val="21"/>
                      <w:lang w:val="en-US" w:eastAsia="zh-CN"/>
                    </w:rPr>
                  </w:pPr>
                </w:p>
              </w:tc>
              <w:tc>
                <w:tcPr>
                  <w:tcW w:w="502" w:type="pct"/>
                  <w:vAlign w:val="center"/>
                </w:tcPr>
                <w:p w14:paraId="0A535700">
                  <w:pPr>
                    <w:keepNext w:val="0"/>
                    <w:keepLines w:val="0"/>
                    <w:pageBreakBefore w:val="0"/>
                    <w:widowControl w:val="0"/>
                    <w:kinsoku/>
                    <w:wordWrap/>
                    <w:overflowPunct/>
                    <w:topLinePunct w:val="0"/>
                    <w:autoSpaceDE w:val="0"/>
                    <w:autoSpaceDN w:val="0"/>
                    <w:bidi w:val="0"/>
                    <w:adjustRightInd w:val="0"/>
                    <w:snapToGrid w:val="0"/>
                    <w:spacing w:line="240" w:lineRule="auto"/>
                    <w:ind w:firstLine="0" w:firstLineChars="0"/>
                    <w:jc w:val="center"/>
                    <w:textAlignment w:val="auto"/>
                    <w:rPr>
                      <w:rFonts w:hint="default"/>
                      <w:color w:val="auto"/>
                      <w:szCs w:val="21"/>
                      <w:lang w:val="en-US" w:eastAsia="zh-CN"/>
                    </w:rPr>
                  </w:pPr>
                  <w:r>
                    <w:rPr>
                      <w:rFonts w:hint="eastAsia"/>
                      <w:color w:val="auto"/>
                      <w:szCs w:val="21"/>
                      <w:lang w:val="en-US" w:eastAsia="zh-CN"/>
                    </w:rPr>
                    <w:t>/</w:t>
                  </w:r>
                </w:p>
              </w:tc>
              <w:tc>
                <w:tcPr>
                  <w:tcW w:w="175" w:type="pct"/>
                  <w:vAlign w:val="center"/>
                </w:tcPr>
                <w:p w14:paraId="157C9987">
                  <w:pPr>
                    <w:keepNext w:val="0"/>
                    <w:keepLines w:val="0"/>
                    <w:pageBreakBefore w:val="0"/>
                    <w:widowControl w:val="0"/>
                    <w:kinsoku/>
                    <w:wordWrap/>
                    <w:overflowPunct/>
                    <w:topLinePunct w:val="0"/>
                    <w:autoSpaceDE w:val="0"/>
                    <w:autoSpaceDN w:val="0"/>
                    <w:bidi w:val="0"/>
                    <w:adjustRightInd w:val="0"/>
                    <w:snapToGrid w:val="0"/>
                    <w:spacing w:line="240" w:lineRule="auto"/>
                    <w:ind w:firstLine="0" w:firstLineChars="0"/>
                    <w:jc w:val="center"/>
                    <w:textAlignment w:val="auto"/>
                    <w:rPr>
                      <w:rFonts w:hint="default"/>
                      <w:color w:val="auto"/>
                      <w:szCs w:val="21"/>
                      <w:lang w:val="en-US" w:eastAsia="zh-CN"/>
                    </w:rPr>
                  </w:pPr>
                  <w:r>
                    <w:rPr>
                      <w:rFonts w:hint="eastAsia"/>
                      <w:color w:val="auto"/>
                      <w:szCs w:val="21"/>
                      <w:lang w:val="en-US" w:eastAsia="zh-CN"/>
                    </w:rPr>
                    <w:t>/</w:t>
                  </w:r>
                </w:p>
              </w:tc>
            </w:tr>
            <w:tr w14:paraId="5BCA85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748" w:hRule="atLeast"/>
                <w:jc w:val="center"/>
              </w:trPr>
              <w:tc>
                <w:tcPr>
                  <w:tcW w:w="423" w:type="pct"/>
                  <w:vMerge w:val="continue"/>
                  <w:vAlign w:val="center"/>
                </w:tcPr>
                <w:p w14:paraId="36A7EEBE">
                  <w:pPr>
                    <w:keepNext w:val="0"/>
                    <w:keepLines w:val="0"/>
                    <w:pageBreakBefore w:val="0"/>
                    <w:widowControl w:val="0"/>
                    <w:kinsoku/>
                    <w:wordWrap/>
                    <w:overflowPunct/>
                    <w:topLinePunct w:val="0"/>
                    <w:autoSpaceDE w:val="0"/>
                    <w:autoSpaceDN w:val="0"/>
                    <w:bidi w:val="0"/>
                    <w:adjustRightInd w:val="0"/>
                    <w:snapToGrid w:val="0"/>
                    <w:spacing w:line="240" w:lineRule="auto"/>
                    <w:ind w:firstLine="0" w:firstLineChars="0"/>
                    <w:jc w:val="center"/>
                    <w:textAlignment w:val="auto"/>
                    <w:rPr>
                      <w:rFonts w:hint="eastAsia"/>
                      <w:color w:val="auto"/>
                      <w:szCs w:val="21"/>
                      <w:lang w:val="en-US" w:eastAsia="zh-CN"/>
                    </w:rPr>
                  </w:pPr>
                </w:p>
              </w:tc>
              <w:tc>
                <w:tcPr>
                  <w:tcW w:w="223" w:type="pct"/>
                  <w:vMerge w:val="continue"/>
                  <w:vAlign w:val="center"/>
                </w:tcPr>
                <w:p w14:paraId="6503025C">
                  <w:pPr>
                    <w:keepNext w:val="0"/>
                    <w:keepLines w:val="0"/>
                    <w:pageBreakBefore w:val="0"/>
                    <w:widowControl w:val="0"/>
                    <w:kinsoku/>
                    <w:wordWrap/>
                    <w:overflowPunct/>
                    <w:topLinePunct w:val="0"/>
                    <w:autoSpaceDE w:val="0"/>
                    <w:autoSpaceDN w:val="0"/>
                    <w:bidi w:val="0"/>
                    <w:adjustRightInd w:val="0"/>
                    <w:snapToGrid w:val="0"/>
                    <w:spacing w:line="240" w:lineRule="auto"/>
                    <w:ind w:firstLine="0" w:firstLineChars="0"/>
                    <w:jc w:val="center"/>
                    <w:textAlignment w:val="auto"/>
                    <w:rPr>
                      <w:rFonts w:hint="eastAsia"/>
                      <w:color w:val="auto"/>
                      <w:szCs w:val="21"/>
                      <w:lang w:val="en-US" w:eastAsia="zh-CN"/>
                    </w:rPr>
                  </w:pPr>
                </w:p>
              </w:tc>
              <w:tc>
                <w:tcPr>
                  <w:tcW w:w="197" w:type="pct"/>
                  <w:vMerge w:val="continue"/>
                  <w:vAlign w:val="center"/>
                </w:tcPr>
                <w:p w14:paraId="04D775DC">
                  <w:pPr>
                    <w:keepNext w:val="0"/>
                    <w:keepLines w:val="0"/>
                    <w:pageBreakBefore w:val="0"/>
                    <w:widowControl w:val="0"/>
                    <w:kinsoku/>
                    <w:wordWrap/>
                    <w:overflowPunct/>
                    <w:topLinePunct w:val="0"/>
                    <w:autoSpaceDE w:val="0"/>
                    <w:autoSpaceDN w:val="0"/>
                    <w:bidi w:val="0"/>
                    <w:adjustRightInd w:val="0"/>
                    <w:snapToGrid w:val="0"/>
                    <w:spacing w:line="240" w:lineRule="auto"/>
                    <w:ind w:firstLine="0" w:firstLineChars="0"/>
                    <w:jc w:val="center"/>
                    <w:textAlignment w:val="auto"/>
                    <w:rPr>
                      <w:rFonts w:hint="eastAsia"/>
                      <w:color w:val="auto"/>
                      <w:szCs w:val="21"/>
                      <w:lang w:val="en-US" w:eastAsia="zh-CN"/>
                    </w:rPr>
                  </w:pPr>
                </w:p>
              </w:tc>
              <w:tc>
                <w:tcPr>
                  <w:tcW w:w="520" w:type="pct"/>
                  <w:vAlign w:val="center"/>
                </w:tcPr>
                <w:p w14:paraId="3CDC0331">
                  <w:pPr>
                    <w:keepNext w:val="0"/>
                    <w:keepLines w:val="0"/>
                    <w:pageBreakBefore w:val="0"/>
                    <w:widowControl w:val="0"/>
                    <w:kinsoku/>
                    <w:wordWrap/>
                    <w:overflowPunct/>
                    <w:topLinePunct w:val="0"/>
                    <w:autoSpaceDE w:val="0"/>
                    <w:autoSpaceDN w:val="0"/>
                    <w:bidi w:val="0"/>
                    <w:adjustRightInd w:val="0"/>
                    <w:snapToGrid w:val="0"/>
                    <w:spacing w:line="240" w:lineRule="auto"/>
                    <w:ind w:firstLine="0" w:firstLineChars="0"/>
                    <w:jc w:val="center"/>
                    <w:textAlignment w:val="auto"/>
                    <w:rPr>
                      <w:rFonts w:hint="default"/>
                      <w:color w:val="auto"/>
                      <w:szCs w:val="21"/>
                      <w:lang w:val="en-US" w:eastAsia="zh-CN"/>
                    </w:rPr>
                  </w:pPr>
                  <w:r>
                    <w:rPr>
                      <w:rFonts w:hint="eastAsia"/>
                      <w:color w:val="auto"/>
                      <w:szCs w:val="21"/>
                      <w:lang w:val="en-US" w:eastAsia="zh-CN"/>
                    </w:rPr>
                    <w:t>/</w:t>
                  </w:r>
                </w:p>
              </w:tc>
              <w:tc>
                <w:tcPr>
                  <w:tcW w:w="412" w:type="pct"/>
                  <w:vAlign w:val="center"/>
                </w:tcPr>
                <w:p w14:paraId="4EF43C2E">
                  <w:pPr>
                    <w:keepNext w:val="0"/>
                    <w:keepLines w:val="0"/>
                    <w:pageBreakBefore w:val="0"/>
                    <w:widowControl w:val="0"/>
                    <w:kinsoku/>
                    <w:wordWrap/>
                    <w:overflowPunct/>
                    <w:topLinePunct w:val="0"/>
                    <w:autoSpaceDE w:val="0"/>
                    <w:autoSpaceDN w:val="0"/>
                    <w:bidi w:val="0"/>
                    <w:adjustRightInd w:val="0"/>
                    <w:snapToGrid w:val="0"/>
                    <w:spacing w:line="240" w:lineRule="auto"/>
                    <w:ind w:firstLine="0" w:firstLineChars="0"/>
                    <w:jc w:val="center"/>
                    <w:textAlignment w:val="auto"/>
                    <w:rPr>
                      <w:rFonts w:hint="eastAsia"/>
                      <w:color w:val="auto"/>
                      <w:szCs w:val="21"/>
                      <w:lang w:val="en-US" w:eastAsia="zh-CN"/>
                    </w:rPr>
                  </w:pPr>
                  <w:r>
                    <w:rPr>
                      <w:rFonts w:hint="eastAsia"/>
                      <w:color w:val="auto"/>
                      <w:szCs w:val="21"/>
                      <w:lang w:val="en-US" w:eastAsia="zh-CN"/>
                    </w:rPr>
                    <w:t>资源开发效率要求</w:t>
                  </w:r>
                </w:p>
              </w:tc>
              <w:tc>
                <w:tcPr>
                  <w:tcW w:w="2127" w:type="pct"/>
                  <w:vAlign w:val="center"/>
                </w:tcPr>
                <w:p w14:paraId="3140EB25">
                  <w:pPr>
                    <w:keepNext w:val="0"/>
                    <w:keepLines w:val="0"/>
                    <w:pageBreakBefore w:val="0"/>
                    <w:widowControl w:val="0"/>
                    <w:kinsoku/>
                    <w:wordWrap/>
                    <w:overflowPunct/>
                    <w:topLinePunct w:val="0"/>
                    <w:autoSpaceDE w:val="0"/>
                    <w:autoSpaceDN w:val="0"/>
                    <w:bidi w:val="0"/>
                    <w:adjustRightInd w:val="0"/>
                    <w:snapToGrid w:val="0"/>
                    <w:spacing w:line="240" w:lineRule="auto"/>
                    <w:ind w:firstLine="0" w:firstLineChars="0"/>
                    <w:jc w:val="center"/>
                    <w:textAlignment w:val="auto"/>
                    <w:rPr>
                      <w:rFonts w:hint="eastAsia"/>
                      <w:color w:val="auto"/>
                      <w:szCs w:val="21"/>
                      <w:lang w:val="en-US" w:eastAsia="zh-CN"/>
                    </w:rPr>
                  </w:pPr>
                  <w:r>
                    <w:rPr>
                      <w:rFonts w:hint="eastAsia"/>
                      <w:color w:val="auto"/>
                      <w:szCs w:val="21"/>
                      <w:lang w:val="en-US" w:eastAsia="zh-CN"/>
                    </w:rPr>
                    <w:t>高污染燃料禁燃区：严格禁燃区管控。市区和南六县市全域及北五县市城镇周边划定为高污染燃料禁燃区，禁止销售、使用煤炭及其制品等高污染燃料（35 蒸吨及以上燃煤锅炉、火力发电企业、机组及水泥、砖瓦等原料煤使用企业除外）；各县市区全面退出禁燃区内洁净煤加工中心及配送网点，对配送网点及群众存量煤炭全部有偿回收。北五县市非禁燃区内可采用洁净煤或“生物质成型燃料+专用炉具”兜底。加强对直送、网络等方式销售散煤的监管，严厉打击违法销售行为，同时倒查上游企业责任，从源头杜绝散煤销售。</w:t>
                  </w:r>
                </w:p>
              </w:tc>
              <w:tc>
                <w:tcPr>
                  <w:tcW w:w="416" w:type="pct"/>
                  <w:vMerge w:val="continue"/>
                  <w:vAlign w:val="center"/>
                </w:tcPr>
                <w:p w14:paraId="61A3C714">
                  <w:pPr>
                    <w:keepNext w:val="0"/>
                    <w:keepLines w:val="0"/>
                    <w:pageBreakBefore w:val="0"/>
                    <w:widowControl w:val="0"/>
                    <w:kinsoku/>
                    <w:wordWrap/>
                    <w:overflowPunct/>
                    <w:topLinePunct w:val="0"/>
                    <w:autoSpaceDE w:val="0"/>
                    <w:autoSpaceDN w:val="0"/>
                    <w:bidi w:val="0"/>
                    <w:adjustRightInd w:val="0"/>
                    <w:snapToGrid w:val="0"/>
                    <w:spacing w:line="240" w:lineRule="auto"/>
                    <w:ind w:firstLine="0" w:firstLineChars="0"/>
                    <w:jc w:val="center"/>
                    <w:textAlignment w:val="auto"/>
                    <w:rPr>
                      <w:rFonts w:hint="eastAsia"/>
                      <w:color w:val="auto"/>
                      <w:szCs w:val="21"/>
                      <w:lang w:val="en-US" w:eastAsia="zh-CN"/>
                    </w:rPr>
                  </w:pPr>
                </w:p>
              </w:tc>
              <w:tc>
                <w:tcPr>
                  <w:tcW w:w="502" w:type="pct"/>
                  <w:vAlign w:val="center"/>
                </w:tcPr>
                <w:p w14:paraId="657D9B90">
                  <w:pPr>
                    <w:keepNext w:val="0"/>
                    <w:keepLines w:val="0"/>
                    <w:pageBreakBefore w:val="0"/>
                    <w:widowControl w:val="0"/>
                    <w:kinsoku/>
                    <w:wordWrap/>
                    <w:overflowPunct/>
                    <w:topLinePunct w:val="0"/>
                    <w:autoSpaceDE w:val="0"/>
                    <w:autoSpaceDN w:val="0"/>
                    <w:bidi w:val="0"/>
                    <w:adjustRightInd w:val="0"/>
                    <w:snapToGrid w:val="0"/>
                    <w:spacing w:line="240" w:lineRule="auto"/>
                    <w:ind w:firstLine="0" w:firstLineChars="0"/>
                    <w:jc w:val="center"/>
                    <w:textAlignment w:val="auto"/>
                    <w:rPr>
                      <w:rFonts w:hint="default"/>
                      <w:color w:val="auto"/>
                      <w:szCs w:val="21"/>
                      <w:lang w:val="en-US" w:eastAsia="zh-CN"/>
                    </w:rPr>
                  </w:pPr>
                  <w:r>
                    <w:rPr>
                      <w:rFonts w:hint="eastAsia"/>
                      <w:color w:val="auto"/>
                      <w:szCs w:val="21"/>
                      <w:lang w:val="en-US" w:eastAsia="zh-CN"/>
                    </w:rPr>
                    <w:t>本项目以电为能源，不涉及高污染燃料。</w:t>
                  </w:r>
                </w:p>
              </w:tc>
              <w:tc>
                <w:tcPr>
                  <w:tcW w:w="175" w:type="pct"/>
                  <w:vAlign w:val="center"/>
                </w:tcPr>
                <w:p w14:paraId="25259328">
                  <w:pPr>
                    <w:keepNext w:val="0"/>
                    <w:keepLines w:val="0"/>
                    <w:pageBreakBefore w:val="0"/>
                    <w:widowControl w:val="0"/>
                    <w:kinsoku/>
                    <w:wordWrap/>
                    <w:overflowPunct/>
                    <w:topLinePunct w:val="0"/>
                    <w:autoSpaceDE w:val="0"/>
                    <w:autoSpaceDN w:val="0"/>
                    <w:bidi w:val="0"/>
                    <w:adjustRightInd w:val="0"/>
                    <w:snapToGrid w:val="0"/>
                    <w:spacing w:line="240" w:lineRule="auto"/>
                    <w:ind w:firstLine="0" w:firstLineChars="0"/>
                    <w:jc w:val="center"/>
                    <w:textAlignment w:val="auto"/>
                    <w:rPr>
                      <w:rFonts w:hint="default"/>
                      <w:color w:val="auto"/>
                      <w:szCs w:val="21"/>
                      <w:lang w:val="en-US" w:eastAsia="zh-CN"/>
                    </w:rPr>
                  </w:pPr>
                  <w:r>
                    <w:rPr>
                      <w:rFonts w:hint="eastAsia"/>
                      <w:color w:val="auto"/>
                      <w:szCs w:val="21"/>
                      <w:lang w:val="en-US" w:eastAsia="zh-CN"/>
                    </w:rPr>
                    <w:t>符合</w:t>
                  </w:r>
                </w:p>
              </w:tc>
            </w:tr>
          </w:tbl>
          <w:p w14:paraId="4D8CF818">
            <w:pPr>
              <w:spacing w:line="360" w:lineRule="auto"/>
              <w:ind w:firstLine="480" w:firstLineChars="200"/>
              <w:rPr>
                <w:rFonts w:ascii="Times New Roman" w:hAnsi="Times New Roman" w:cs="Times New Roman"/>
                <w:color w:val="auto"/>
              </w:rPr>
            </w:pPr>
            <w:r>
              <w:rPr>
                <w:rFonts w:hint="eastAsia"/>
                <w:bCs/>
                <w:color w:val="auto"/>
                <w:sz w:val="24"/>
              </w:rPr>
              <w:t>③“一说明”：依据“一图”和“一表”结果，论证建设项目符合性的说明。</w:t>
            </w:r>
          </w:p>
          <w:p w14:paraId="05C099AB">
            <w:pPr>
              <w:spacing w:line="360" w:lineRule="auto"/>
              <w:ind w:firstLine="480" w:firstLineChars="200"/>
              <w:rPr>
                <w:color w:val="auto"/>
                <w:kern w:val="0"/>
                <w:sz w:val="24"/>
                <w:szCs w:val="20"/>
              </w:rPr>
            </w:pPr>
            <w:r>
              <w:rPr>
                <w:rFonts w:hint="eastAsia" w:ascii="Times New Roman" w:hAnsi="Times New Roman" w:cs="Times New Roman"/>
                <w:color w:val="auto"/>
                <w:sz w:val="24"/>
              </w:rPr>
              <w:t>根据上述“一图”和“一表”的分析结果，</w:t>
            </w:r>
            <w:r>
              <w:rPr>
                <w:rFonts w:ascii="Times New Roman" w:hAnsi="Times New Roman" w:cs="Times New Roman"/>
                <w:color w:val="auto"/>
                <w:sz w:val="24"/>
              </w:rPr>
              <w:t>本项目位于生态环境重点管控单元内。</w:t>
            </w:r>
            <w:r>
              <w:rPr>
                <w:rFonts w:hint="eastAsia" w:ascii="Times New Roman" w:hAnsi="Times New Roman" w:cs="Times New Roman"/>
                <w:color w:val="auto"/>
                <w:sz w:val="24"/>
              </w:rPr>
              <w:t>“</w:t>
            </w:r>
            <w:r>
              <w:rPr>
                <w:rFonts w:ascii="Times New Roman" w:hAnsi="Times New Roman" w:cs="Times New Roman"/>
                <w:color w:val="auto"/>
                <w:sz w:val="24"/>
              </w:rPr>
              <w:t>重点管控单元以提升资源利用效率、加强污染物减排治理和环境风险防控为重点，解决突出生态环境问题。</w:t>
            </w:r>
            <w:r>
              <w:rPr>
                <w:rFonts w:hint="eastAsia" w:ascii="Times New Roman" w:hAnsi="Times New Roman" w:cs="Times New Roman"/>
                <w:color w:val="auto"/>
                <w:sz w:val="24"/>
              </w:rPr>
              <w:t>”</w:t>
            </w:r>
            <w:r>
              <w:rPr>
                <w:rFonts w:ascii="Times New Roman" w:hAnsi="Times New Roman" w:cs="Times New Roman"/>
                <w:color w:val="auto"/>
                <w:sz w:val="24"/>
              </w:rPr>
              <w:t>本项目各项污染物采取环境治理可行技术进行处理达标后排放，满足重点管控单元防控要求。</w:t>
            </w:r>
          </w:p>
          <w:p w14:paraId="51AD6856">
            <w:pPr>
              <w:spacing w:line="360" w:lineRule="auto"/>
              <w:ind w:firstLine="482" w:firstLineChars="200"/>
              <w:rPr>
                <w:color w:val="auto"/>
                <w:kern w:val="0"/>
                <w:sz w:val="24"/>
              </w:rPr>
            </w:pPr>
            <w:r>
              <w:rPr>
                <w:rFonts w:hint="eastAsia" w:hAnsi="宋体"/>
                <w:b/>
                <w:bCs/>
                <w:color w:val="auto"/>
                <w:sz w:val="24"/>
              </w:rPr>
              <w:t>3、</w:t>
            </w:r>
            <w:r>
              <w:rPr>
                <w:rFonts w:hAnsi="宋体"/>
                <w:b/>
                <w:bCs/>
                <w:color w:val="auto"/>
                <w:sz w:val="24"/>
              </w:rPr>
              <w:t>与相关环保政策符合性分析</w:t>
            </w:r>
          </w:p>
          <w:p w14:paraId="4FD11110">
            <w:pPr>
              <w:spacing w:line="360" w:lineRule="auto"/>
              <w:ind w:firstLine="480"/>
              <w:rPr>
                <w:color w:val="auto"/>
                <w:sz w:val="24"/>
              </w:rPr>
            </w:pPr>
            <w:r>
              <w:rPr>
                <w:color w:val="auto"/>
                <w:sz w:val="24"/>
              </w:rPr>
              <w:t>本项目与相关规划、政策的相符性分析见表</w:t>
            </w:r>
            <w:r>
              <w:rPr>
                <w:rFonts w:hint="eastAsia"/>
                <w:color w:val="auto"/>
                <w:sz w:val="24"/>
              </w:rPr>
              <w:t>1-</w:t>
            </w:r>
            <w:r>
              <w:rPr>
                <w:rFonts w:hint="eastAsia"/>
                <w:color w:val="auto"/>
                <w:sz w:val="24"/>
                <w:lang w:val="en-US" w:eastAsia="zh-CN"/>
              </w:rPr>
              <w:t>4</w:t>
            </w:r>
            <w:r>
              <w:rPr>
                <w:color w:val="auto"/>
                <w:sz w:val="24"/>
              </w:rPr>
              <w:t>。</w:t>
            </w:r>
          </w:p>
          <w:p w14:paraId="45E27639">
            <w:pPr>
              <w:autoSpaceDE w:val="0"/>
              <w:autoSpaceDN w:val="0"/>
              <w:jc w:val="center"/>
              <w:rPr>
                <w:b/>
                <w:color w:val="auto"/>
                <w:szCs w:val="21"/>
              </w:rPr>
            </w:pPr>
            <w:r>
              <w:rPr>
                <w:b/>
                <w:color w:val="auto"/>
                <w:szCs w:val="21"/>
              </w:rPr>
              <w:t>表</w:t>
            </w:r>
            <w:r>
              <w:rPr>
                <w:rFonts w:hint="eastAsia"/>
                <w:b/>
                <w:color w:val="auto"/>
                <w:szCs w:val="21"/>
              </w:rPr>
              <w:t>1-</w:t>
            </w:r>
            <w:r>
              <w:rPr>
                <w:rFonts w:hint="eastAsia"/>
                <w:b/>
                <w:color w:val="auto"/>
                <w:szCs w:val="21"/>
                <w:lang w:val="en-US" w:eastAsia="zh-CN"/>
              </w:rPr>
              <w:t>4</w:t>
            </w:r>
            <w:r>
              <w:rPr>
                <w:rFonts w:hint="eastAsia"/>
                <w:b/>
                <w:color w:val="auto"/>
                <w:szCs w:val="21"/>
              </w:rPr>
              <w:t xml:space="preserve">   </w:t>
            </w:r>
            <w:r>
              <w:rPr>
                <w:b/>
                <w:color w:val="auto"/>
                <w:szCs w:val="21"/>
              </w:rPr>
              <w:t>本项目</w:t>
            </w:r>
            <w:r>
              <w:rPr>
                <w:rFonts w:hint="eastAsia"/>
                <w:b/>
                <w:color w:val="auto"/>
                <w:szCs w:val="21"/>
              </w:rPr>
              <w:t>与相关规划、政策</w:t>
            </w:r>
            <w:r>
              <w:rPr>
                <w:b/>
                <w:color w:val="auto"/>
                <w:szCs w:val="21"/>
              </w:rPr>
              <w:t>符合性分析</w:t>
            </w:r>
          </w:p>
          <w:tbl>
            <w:tblPr>
              <w:tblStyle w:val="17"/>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426"/>
              <w:gridCol w:w="3317"/>
              <w:gridCol w:w="1391"/>
              <w:gridCol w:w="665"/>
            </w:tblGrid>
            <w:tr w14:paraId="326447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1048" w:type="pct"/>
                  <w:vAlign w:val="center"/>
                </w:tcPr>
                <w:p w14:paraId="1A81BAEC">
                  <w:pPr>
                    <w:jc w:val="center"/>
                    <w:rPr>
                      <w:color w:val="auto"/>
                      <w:kern w:val="21"/>
                      <w:szCs w:val="21"/>
                    </w:rPr>
                  </w:pPr>
                  <w:r>
                    <w:rPr>
                      <w:color w:val="auto"/>
                      <w:kern w:val="21"/>
                      <w:szCs w:val="21"/>
                    </w:rPr>
                    <w:t>文件</w:t>
                  </w:r>
                </w:p>
              </w:tc>
              <w:tc>
                <w:tcPr>
                  <w:tcW w:w="2439" w:type="pct"/>
                  <w:vAlign w:val="center"/>
                </w:tcPr>
                <w:p w14:paraId="187EDB87">
                  <w:pPr>
                    <w:jc w:val="center"/>
                    <w:rPr>
                      <w:color w:val="auto"/>
                      <w:kern w:val="21"/>
                      <w:szCs w:val="21"/>
                    </w:rPr>
                  </w:pPr>
                  <w:r>
                    <w:rPr>
                      <w:color w:val="auto"/>
                      <w:kern w:val="21"/>
                      <w:szCs w:val="21"/>
                    </w:rPr>
                    <w:t>政策要求</w:t>
                  </w:r>
                </w:p>
              </w:tc>
              <w:tc>
                <w:tcPr>
                  <w:tcW w:w="1022" w:type="pct"/>
                  <w:vAlign w:val="center"/>
                </w:tcPr>
                <w:p w14:paraId="43BFBC88">
                  <w:pPr>
                    <w:jc w:val="center"/>
                    <w:rPr>
                      <w:color w:val="auto"/>
                      <w:kern w:val="21"/>
                      <w:szCs w:val="21"/>
                    </w:rPr>
                  </w:pPr>
                  <w:r>
                    <w:rPr>
                      <w:color w:val="auto"/>
                      <w:kern w:val="21"/>
                      <w:szCs w:val="21"/>
                    </w:rPr>
                    <w:t>本项目情况</w:t>
                  </w:r>
                </w:p>
              </w:tc>
              <w:tc>
                <w:tcPr>
                  <w:tcW w:w="489" w:type="pct"/>
                  <w:vAlign w:val="center"/>
                </w:tcPr>
                <w:p w14:paraId="1AC75BF5">
                  <w:pPr>
                    <w:jc w:val="center"/>
                    <w:rPr>
                      <w:color w:val="auto"/>
                      <w:kern w:val="21"/>
                      <w:szCs w:val="21"/>
                    </w:rPr>
                  </w:pPr>
                  <w:r>
                    <w:rPr>
                      <w:color w:val="auto"/>
                      <w:kern w:val="21"/>
                      <w:szCs w:val="21"/>
                    </w:rPr>
                    <w:t>相符性</w:t>
                  </w:r>
                </w:p>
              </w:tc>
            </w:tr>
            <w:tr w14:paraId="79E47D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22" w:hRule="atLeast"/>
                <w:jc w:val="center"/>
              </w:trPr>
              <w:tc>
                <w:tcPr>
                  <w:tcW w:w="1048" w:type="pct"/>
                  <w:vMerge w:val="restart"/>
                  <w:vAlign w:val="center"/>
                </w:tcPr>
                <w:p w14:paraId="30A3425F">
                  <w:pPr>
                    <w:jc w:val="center"/>
                    <w:rPr>
                      <w:b/>
                      <w:bCs/>
                      <w:color w:val="auto"/>
                      <w:szCs w:val="21"/>
                    </w:rPr>
                  </w:pPr>
                  <w:r>
                    <w:rPr>
                      <w:rFonts w:hint="eastAsia"/>
                      <w:color w:val="auto"/>
                      <w:kern w:val="21"/>
                      <w:szCs w:val="21"/>
                      <w:lang w:val="en"/>
                    </w:rPr>
                    <w:t>《陕西省”十四五”生态环境保护规划》（</w:t>
                  </w:r>
                  <w:r>
                    <w:rPr>
                      <w:color w:val="auto"/>
                      <w:kern w:val="21"/>
                      <w:szCs w:val="21"/>
                      <w:lang w:val="en"/>
                    </w:rPr>
                    <w:t>陕政办发〔2021〕25号</w:t>
                  </w:r>
                  <w:r>
                    <w:rPr>
                      <w:rFonts w:hint="eastAsia"/>
                      <w:color w:val="auto"/>
                      <w:kern w:val="21"/>
                      <w:szCs w:val="21"/>
                      <w:lang w:val="en"/>
                    </w:rPr>
                    <w:t>）</w:t>
                  </w:r>
                </w:p>
              </w:tc>
              <w:tc>
                <w:tcPr>
                  <w:tcW w:w="2439" w:type="pct"/>
                  <w:vAlign w:val="center"/>
                </w:tcPr>
                <w:p w14:paraId="250CC7E4">
                  <w:pPr>
                    <w:rPr>
                      <w:color w:val="auto"/>
                      <w:kern w:val="21"/>
                      <w:szCs w:val="21"/>
                    </w:rPr>
                  </w:pPr>
                  <w:r>
                    <w:rPr>
                      <w:rFonts w:hint="default" w:ascii="Times New Roman" w:hAnsi="Times New Roman" w:cs="Times New Roman"/>
                    </w:rPr>
                    <w:t>促进产业结构转型升级。严格能耗、环保、质量、安全、技术等综合标准，以钢铁、煤炭、水泥、电解铝、平板玻璃等行业为重点，依法依规淘汰落后产能。以钢铁、煤炭、煤电等行业和领域为重点。</w:t>
                  </w:r>
                </w:p>
              </w:tc>
              <w:tc>
                <w:tcPr>
                  <w:tcW w:w="1022" w:type="pct"/>
                  <w:vAlign w:val="center"/>
                </w:tcPr>
                <w:p w14:paraId="57C83517">
                  <w:pPr>
                    <w:rPr>
                      <w:color w:val="auto"/>
                      <w:kern w:val="21"/>
                      <w:szCs w:val="21"/>
                    </w:rPr>
                  </w:pPr>
                  <w:r>
                    <w:rPr>
                      <w:rFonts w:hint="default" w:ascii="Times New Roman" w:hAnsi="Times New Roman" w:cs="Times New Roman"/>
                    </w:rPr>
                    <w:t>本项目主要</w:t>
                  </w:r>
                  <w:r>
                    <w:rPr>
                      <w:rFonts w:hint="eastAsia" w:ascii="Times New Roman" w:hAnsi="Times New Roman" w:cs="Times New Roman"/>
                      <w:lang w:val="en-US" w:eastAsia="zh-CN"/>
                    </w:rPr>
                    <w:t>为钛材</w:t>
                  </w:r>
                  <w:r>
                    <w:rPr>
                      <w:rFonts w:hint="default" w:ascii="Times New Roman" w:hAnsi="Times New Roman" w:cs="Times New Roman"/>
                    </w:rPr>
                    <w:t>表面处理，不属于钢铁、煤炭、水泥、电解铝、平板玻璃等重点行业，不涉及淘汰落后产能。</w:t>
                  </w:r>
                </w:p>
              </w:tc>
              <w:tc>
                <w:tcPr>
                  <w:tcW w:w="489" w:type="pct"/>
                  <w:vAlign w:val="center"/>
                </w:tcPr>
                <w:p w14:paraId="7DD3112A">
                  <w:pPr>
                    <w:jc w:val="center"/>
                    <w:rPr>
                      <w:rFonts w:hint="eastAsia" w:eastAsia="宋体"/>
                      <w:color w:val="auto"/>
                      <w:kern w:val="21"/>
                      <w:szCs w:val="21"/>
                      <w:lang w:eastAsia="zh-CN"/>
                    </w:rPr>
                  </w:pPr>
                  <w:r>
                    <w:rPr>
                      <w:rFonts w:hint="eastAsia" w:ascii="Times New Roman" w:hAnsi="Times New Roman" w:cs="Times New Roman"/>
                      <w:lang w:val="en-US" w:eastAsia="zh-CN"/>
                    </w:rPr>
                    <w:t>符合</w:t>
                  </w:r>
                </w:p>
              </w:tc>
            </w:tr>
            <w:tr w14:paraId="1D98A5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22" w:hRule="atLeast"/>
                <w:jc w:val="center"/>
              </w:trPr>
              <w:tc>
                <w:tcPr>
                  <w:tcW w:w="1048" w:type="pct"/>
                  <w:vMerge w:val="continue"/>
                  <w:vAlign w:val="center"/>
                </w:tcPr>
                <w:p w14:paraId="4EABAF47">
                  <w:pPr>
                    <w:jc w:val="center"/>
                    <w:rPr>
                      <w:rFonts w:hint="eastAsia"/>
                      <w:color w:val="auto"/>
                      <w:kern w:val="21"/>
                      <w:szCs w:val="21"/>
                      <w:lang w:val="en"/>
                    </w:rPr>
                  </w:pPr>
                </w:p>
              </w:tc>
              <w:tc>
                <w:tcPr>
                  <w:tcW w:w="2439" w:type="pct"/>
                  <w:vAlign w:val="center"/>
                </w:tcPr>
                <w:p w14:paraId="672021B1">
                  <w:pPr>
                    <w:rPr>
                      <w:rFonts w:hint="default" w:ascii="Times New Roman" w:hAnsi="Times New Roman" w:cs="Times New Roman"/>
                    </w:rPr>
                  </w:pPr>
                  <w:r>
                    <w:rPr>
                      <w:rFonts w:hint="default" w:ascii="Times New Roman" w:hAnsi="Times New Roman" w:cs="Times New Roman"/>
                    </w:rPr>
                    <w:t>提升能源结构清洁低碳水平。加快电源结构调整和布局优化，新增用电需求主要通过新能源电力保障，减少煤电占比。</w:t>
                  </w:r>
                </w:p>
              </w:tc>
              <w:tc>
                <w:tcPr>
                  <w:tcW w:w="1022" w:type="pct"/>
                  <w:vAlign w:val="center"/>
                </w:tcPr>
                <w:p w14:paraId="45DB99B9">
                  <w:pPr>
                    <w:rPr>
                      <w:rFonts w:hint="default" w:ascii="Times New Roman" w:hAnsi="Times New Roman" w:cs="Times New Roman"/>
                    </w:rPr>
                  </w:pPr>
                  <w:r>
                    <w:rPr>
                      <w:rFonts w:hint="default" w:ascii="Times New Roman" w:hAnsi="Times New Roman" w:cs="Times New Roman"/>
                    </w:rPr>
                    <w:t>本项目主要为电能，属于清洁能源。</w:t>
                  </w:r>
                </w:p>
              </w:tc>
              <w:tc>
                <w:tcPr>
                  <w:tcW w:w="489" w:type="pct"/>
                  <w:vAlign w:val="center"/>
                </w:tcPr>
                <w:p w14:paraId="2FE98234">
                  <w:pPr>
                    <w:jc w:val="center"/>
                    <w:rPr>
                      <w:rFonts w:hint="eastAsia" w:ascii="Times New Roman" w:hAnsi="Times New Roman" w:eastAsia="宋体" w:cs="Times New Roman"/>
                      <w:lang w:val="en-US" w:eastAsia="zh-CN"/>
                    </w:rPr>
                  </w:pPr>
                  <w:r>
                    <w:rPr>
                      <w:rFonts w:hint="eastAsia" w:ascii="Times New Roman" w:hAnsi="Times New Roman" w:cs="Times New Roman"/>
                      <w:lang w:val="en-US" w:eastAsia="zh-CN"/>
                    </w:rPr>
                    <w:t>符合</w:t>
                  </w:r>
                </w:p>
              </w:tc>
            </w:tr>
            <w:tr w14:paraId="5BF02B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22" w:hRule="atLeast"/>
                <w:jc w:val="center"/>
              </w:trPr>
              <w:tc>
                <w:tcPr>
                  <w:tcW w:w="1048" w:type="pct"/>
                  <w:vMerge w:val="continue"/>
                  <w:vAlign w:val="center"/>
                </w:tcPr>
                <w:p w14:paraId="655F9544">
                  <w:pPr>
                    <w:jc w:val="center"/>
                  </w:pPr>
                </w:p>
              </w:tc>
              <w:tc>
                <w:tcPr>
                  <w:tcW w:w="2439" w:type="pct"/>
                  <w:shd w:val="clear" w:color="auto" w:fill="auto"/>
                  <w:vAlign w:val="center"/>
                </w:tcPr>
                <w:p w14:paraId="5809451D">
                  <w:pPr>
                    <w:jc w:val="center"/>
                    <w:rPr>
                      <w:rFonts w:hint="eastAsia" w:ascii="Times New Roman" w:hAnsi="Times New Roman" w:eastAsia="宋体" w:cs="Times New Roman"/>
                      <w:color w:val="auto"/>
                      <w:kern w:val="21"/>
                      <w:sz w:val="21"/>
                      <w:szCs w:val="21"/>
                      <w:lang w:val="en-GB" w:eastAsia="zh-CN" w:bidi="ar-SA"/>
                    </w:rPr>
                  </w:pPr>
                  <w:r>
                    <w:rPr>
                      <w:rFonts w:hint="eastAsia"/>
                      <w:bCs/>
                      <w:color w:val="auto"/>
                      <w:kern w:val="0"/>
                      <w:szCs w:val="21"/>
                      <w:lang w:val="en-GB"/>
                    </w:rPr>
                    <w:t>深化落实环评制度。不断健全环境影响评价等生态源头预防体系，对重点区域、重点流域、重点行业依法开展规划环境影响影响评价，严格建设项目生态环境准入。</w:t>
                  </w:r>
                </w:p>
              </w:tc>
              <w:tc>
                <w:tcPr>
                  <w:tcW w:w="1022" w:type="pct"/>
                  <w:shd w:val="clear" w:color="auto" w:fill="auto"/>
                  <w:vAlign w:val="center"/>
                </w:tcPr>
                <w:p w14:paraId="1CF05452">
                  <w:pPr>
                    <w:jc w:val="center"/>
                    <w:rPr>
                      <w:rFonts w:hint="eastAsia" w:ascii="Times New Roman" w:hAnsi="Times New Roman" w:eastAsia="宋体" w:cs="Times New Roman"/>
                      <w:color w:val="auto"/>
                      <w:kern w:val="21"/>
                      <w:sz w:val="21"/>
                      <w:szCs w:val="21"/>
                      <w:lang w:val="en-GB" w:eastAsia="zh-CN" w:bidi="ar-SA"/>
                    </w:rPr>
                  </w:pPr>
                  <w:r>
                    <w:rPr>
                      <w:bCs/>
                      <w:color w:val="auto"/>
                      <w:kern w:val="0"/>
                      <w:szCs w:val="21"/>
                      <w:lang w:val="en-GB"/>
                    </w:rPr>
                    <w:t>本项目位于</w:t>
                  </w:r>
                  <w:r>
                    <w:rPr>
                      <w:rFonts w:hint="eastAsia"/>
                      <w:bCs/>
                      <w:color w:val="auto"/>
                      <w:kern w:val="0"/>
                      <w:szCs w:val="21"/>
                      <w:lang w:val="en-GB" w:eastAsia="zh-CN"/>
                    </w:rPr>
                    <w:t>陕西省西咸新区泾河新城崇文镇焦村泾科路1号</w:t>
                  </w:r>
                  <w:r>
                    <w:rPr>
                      <w:rFonts w:hint="eastAsia"/>
                      <w:bCs/>
                      <w:color w:val="auto"/>
                      <w:kern w:val="0"/>
                      <w:szCs w:val="21"/>
                      <w:lang w:val="en-GB"/>
                    </w:rPr>
                    <w:t>，</w:t>
                  </w:r>
                  <w:r>
                    <w:rPr>
                      <w:bCs/>
                      <w:color w:val="auto"/>
                      <w:kern w:val="0"/>
                      <w:szCs w:val="21"/>
                      <w:lang w:val="en-GB"/>
                    </w:rPr>
                    <w:t>租</w:t>
                  </w:r>
                  <w:r>
                    <w:rPr>
                      <w:rFonts w:hint="eastAsia"/>
                      <w:bCs/>
                      <w:color w:val="auto"/>
                      <w:kern w:val="0"/>
                      <w:szCs w:val="21"/>
                      <w:lang w:val="en-GB"/>
                    </w:rPr>
                    <w:t>用</w:t>
                  </w:r>
                  <w:r>
                    <w:rPr>
                      <w:rFonts w:hint="eastAsia"/>
                      <w:bCs/>
                      <w:color w:val="auto"/>
                      <w:kern w:val="0"/>
                      <w:szCs w:val="21"/>
                    </w:rPr>
                    <w:t>已建成厂房</w:t>
                  </w:r>
                  <w:r>
                    <w:rPr>
                      <w:rFonts w:hint="eastAsia"/>
                      <w:bCs/>
                      <w:color w:val="auto"/>
                      <w:kern w:val="0"/>
                      <w:szCs w:val="21"/>
                      <w:lang w:val="en-GB"/>
                    </w:rPr>
                    <w:t>，</w:t>
                  </w:r>
                  <w:r>
                    <w:rPr>
                      <w:rFonts w:hint="eastAsia"/>
                      <w:bCs/>
                      <w:color w:val="auto"/>
                      <w:kern w:val="0"/>
                      <w:szCs w:val="21"/>
                    </w:rPr>
                    <w:t>目前在</w:t>
                  </w:r>
                  <w:r>
                    <w:rPr>
                      <w:rFonts w:hint="eastAsia"/>
                      <w:bCs/>
                      <w:color w:val="auto"/>
                      <w:kern w:val="0"/>
                      <w:szCs w:val="21"/>
                      <w:lang w:val="en-GB"/>
                    </w:rPr>
                    <w:t>开展相关的环评手续。</w:t>
                  </w:r>
                </w:p>
              </w:tc>
              <w:tc>
                <w:tcPr>
                  <w:tcW w:w="489" w:type="pct"/>
                  <w:shd w:val="clear" w:color="auto" w:fill="auto"/>
                  <w:vAlign w:val="center"/>
                </w:tcPr>
                <w:p w14:paraId="6460E0DB">
                  <w:pPr>
                    <w:jc w:val="center"/>
                    <w:rPr>
                      <w:rFonts w:hint="eastAsia" w:ascii="Times New Roman" w:hAnsi="Times New Roman" w:eastAsia="宋体" w:cs="Times New Roman"/>
                      <w:color w:val="auto"/>
                      <w:kern w:val="21"/>
                      <w:sz w:val="21"/>
                      <w:szCs w:val="21"/>
                      <w:lang w:val="en-GB" w:eastAsia="zh-CN" w:bidi="ar-SA"/>
                    </w:rPr>
                  </w:pPr>
                  <w:r>
                    <w:rPr>
                      <w:color w:val="auto"/>
                      <w:kern w:val="0"/>
                      <w:szCs w:val="21"/>
                    </w:rPr>
                    <w:t>符合</w:t>
                  </w:r>
                </w:p>
              </w:tc>
            </w:tr>
            <w:tr w14:paraId="756BAC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1048" w:type="pct"/>
                  <w:vMerge w:val="continue"/>
                  <w:vAlign w:val="center"/>
                </w:tcPr>
                <w:p w14:paraId="629ADE70">
                  <w:pPr>
                    <w:jc w:val="center"/>
                    <w:rPr>
                      <w:b/>
                      <w:bCs/>
                      <w:color w:val="auto"/>
                      <w:szCs w:val="21"/>
                    </w:rPr>
                  </w:pPr>
                </w:p>
              </w:tc>
              <w:tc>
                <w:tcPr>
                  <w:tcW w:w="2439" w:type="pct"/>
                  <w:vAlign w:val="center"/>
                </w:tcPr>
                <w:p w14:paraId="1C378800">
                  <w:pPr>
                    <w:pStyle w:val="9"/>
                    <w:spacing w:line="240" w:lineRule="auto"/>
                    <w:ind w:left="0" w:right="0"/>
                    <w:rPr>
                      <w:b w:val="0"/>
                      <w:color w:val="auto"/>
                      <w:kern w:val="21"/>
                      <w:sz w:val="21"/>
                      <w:szCs w:val="21"/>
                    </w:rPr>
                  </w:pPr>
                  <w:r>
                    <w:rPr>
                      <w:b w:val="0"/>
                      <w:color w:val="auto"/>
                      <w:kern w:val="21"/>
                      <w:sz w:val="21"/>
                      <w:szCs w:val="21"/>
                    </w:rPr>
                    <w:t>深入推进大宗固体废物污染防治。加强固体废物源头减量和资源化利用。</w:t>
                  </w:r>
                </w:p>
              </w:tc>
              <w:tc>
                <w:tcPr>
                  <w:tcW w:w="1022" w:type="pct"/>
                  <w:vAlign w:val="center"/>
                </w:tcPr>
                <w:p w14:paraId="08F7B465">
                  <w:pPr>
                    <w:jc w:val="center"/>
                    <w:rPr>
                      <w:color w:val="auto"/>
                      <w:kern w:val="21"/>
                      <w:szCs w:val="21"/>
                    </w:rPr>
                  </w:pPr>
                  <w:r>
                    <w:rPr>
                      <w:color w:val="auto"/>
                      <w:kern w:val="21"/>
                      <w:szCs w:val="21"/>
                    </w:rPr>
                    <w:t>项目</w:t>
                  </w:r>
                  <w:r>
                    <w:rPr>
                      <w:rFonts w:hint="eastAsia"/>
                      <w:color w:val="auto"/>
                      <w:kern w:val="21"/>
                      <w:szCs w:val="21"/>
                      <w:lang w:val="en-US" w:eastAsia="zh-CN"/>
                    </w:rPr>
                    <w:t>一般固废</w:t>
                  </w:r>
                  <w:r>
                    <w:rPr>
                      <w:color w:val="auto"/>
                      <w:kern w:val="21"/>
                      <w:szCs w:val="21"/>
                    </w:rPr>
                    <w:t>集中收集后交</w:t>
                  </w:r>
                  <w:r>
                    <w:rPr>
                      <w:rFonts w:hint="eastAsia"/>
                      <w:color w:val="auto"/>
                      <w:kern w:val="21"/>
                      <w:szCs w:val="21"/>
                      <w:lang w:val="en-US" w:eastAsia="zh-CN"/>
                    </w:rPr>
                    <w:t>外售处理</w:t>
                  </w:r>
                  <w:r>
                    <w:rPr>
                      <w:color w:val="auto"/>
                      <w:kern w:val="21"/>
                      <w:szCs w:val="21"/>
                    </w:rPr>
                    <w:t>。</w:t>
                  </w:r>
                </w:p>
              </w:tc>
              <w:tc>
                <w:tcPr>
                  <w:tcW w:w="489" w:type="pct"/>
                  <w:vAlign w:val="center"/>
                </w:tcPr>
                <w:p w14:paraId="2F5C963B">
                  <w:pPr>
                    <w:jc w:val="center"/>
                    <w:rPr>
                      <w:color w:val="auto"/>
                      <w:kern w:val="21"/>
                      <w:szCs w:val="21"/>
                    </w:rPr>
                  </w:pPr>
                  <w:r>
                    <w:rPr>
                      <w:rFonts w:hint="eastAsia"/>
                      <w:color w:val="auto"/>
                      <w:kern w:val="21"/>
                      <w:szCs w:val="21"/>
                    </w:rPr>
                    <w:t>符合</w:t>
                  </w:r>
                </w:p>
              </w:tc>
            </w:tr>
            <w:tr w14:paraId="2410DF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15" w:hRule="atLeast"/>
                <w:jc w:val="center"/>
              </w:trPr>
              <w:tc>
                <w:tcPr>
                  <w:tcW w:w="1048" w:type="pct"/>
                  <w:vAlign w:val="center"/>
                </w:tcPr>
                <w:p w14:paraId="645A7847">
                  <w:pPr>
                    <w:jc w:val="center"/>
                    <w:rPr>
                      <w:rFonts w:hint="eastAsia"/>
                      <w:b w:val="0"/>
                      <w:bCs w:val="0"/>
                      <w:color w:val="auto"/>
                      <w:szCs w:val="21"/>
                    </w:rPr>
                  </w:pPr>
                  <w:r>
                    <w:rPr>
                      <w:rFonts w:hint="default" w:ascii="Times New Roman" w:hAnsi="Times New Roman" w:cs="Times New Roman"/>
                      <w:color w:val="auto"/>
                    </w:rPr>
                    <w:t>陕西省西咸新区开发建设管理委员会关于印发《西咸新区</w:t>
                  </w:r>
                  <w:r>
                    <w:rPr>
                      <w:rFonts w:hint="eastAsia" w:ascii="Times New Roman" w:hAnsi="Times New Roman" w:cs="Times New Roman"/>
                      <w:color w:val="auto"/>
                      <w:lang w:eastAsia="zh-CN"/>
                    </w:rPr>
                    <w:t>“</w:t>
                  </w:r>
                  <w:r>
                    <w:rPr>
                      <w:rFonts w:hint="default" w:ascii="Times New Roman" w:hAnsi="Times New Roman" w:cs="Times New Roman"/>
                      <w:color w:val="auto"/>
                    </w:rPr>
                    <w:t>十四五</w:t>
                  </w:r>
                  <w:r>
                    <w:rPr>
                      <w:rFonts w:hint="eastAsia" w:ascii="Times New Roman" w:hAnsi="Times New Roman" w:cs="Times New Roman"/>
                      <w:color w:val="auto"/>
                      <w:lang w:eastAsia="zh-CN"/>
                    </w:rPr>
                    <w:t>”</w:t>
                  </w:r>
                  <w:r>
                    <w:rPr>
                      <w:rFonts w:hint="default" w:ascii="Times New Roman" w:hAnsi="Times New Roman" w:cs="Times New Roman"/>
                      <w:color w:val="auto"/>
                    </w:rPr>
                    <w:t>生态环境保护规划》的通知（陕西咸发</w:t>
                  </w:r>
                  <w:r>
                    <w:rPr>
                      <w:color w:val="auto"/>
                      <w:kern w:val="21"/>
                      <w:szCs w:val="21"/>
                      <w:lang w:val="en"/>
                    </w:rPr>
                    <w:t>〔2021〕</w:t>
                  </w:r>
                  <w:r>
                    <w:rPr>
                      <w:rFonts w:hint="default" w:ascii="Times New Roman" w:hAnsi="Times New Roman" w:cs="Times New Roman"/>
                      <w:color w:val="auto"/>
                    </w:rPr>
                    <w:t>4号）</w:t>
                  </w:r>
                </w:p>
              </w:tc>
              <w:tc>
                <w:tcPr>
                  <w:tcW w:w="2439" w:type="pct"/>
                  <w:vAlign w:val="center"/>
                </w:tcPr>
                <w:p w14:paraId="7D5D4B18">
                  <w:pPr>
                    <w:rPr>
                      <w:rFonts w:hint="default" w:ascii="Times New Roman" w:hAnsi="Times New Roman" w:cs="Times New Roman"/>
                      <w:color w:val="auto"/>
                    </w:rPr>
                  </w:pPr>
                  <w:r>
                    <w:rPr>
                      <w:rFonts w:hint="default" w:ascii="Times New Roman" w:hAnsi="Times New Roman" w:cs="Times New Roman"/>
                      <w:color w:val="auto"/>
                    </w:rPr>
                    <w:t>实施重点领域VOCs综合治理。</w:t>
                  </w:r>
                </w:p>
                <w:p w14:paraId="483B6D9A">
                  <w:pPr>
                    <w:rPr>
                      <w:rFonts w:hint="eastAsia"/>
                      <w:b w:val="0"/>
                      <w:color w:val="auto"/>
                      <w:kern w:val="21"/>
                      <w:sz w:val="21"/>
                      <w:szCs w:val="21"/>
                    </w:rPr>
                  </w:pPr>
                  <w:r>
                    <w:rPr>
                      <w:rFonts w:hint="default" w:ascii="Times New Roman" w:hAnsi="Times New Roman" w:cs="Times New Roman"/>
                      <w:color w:val="auto"/>
                    </w:rPr>
                    <w:t>建立石化、化工、工业涂装、包装印刷等重点行业及工业园区的源头替代、过程控制和末端治理全过程治理体系，实施VOCs排放总量控制。全面落实《挥发性有机物无组织排放控制标准》要求，加强含VOCs物料密闭管理。生产、销售和使用的涂料、油墨、胶黏剂和清洗剂等产品达到VOCs含量限值要求。将全面使用符合国家要求的低VOCs含量原辅材料的企业纳入正面清单和政府绿色采购清单，重点行业企业依法安装VOCs在线监测设施并联网。</w:t>
                  </w:r>
                </w:p>
              </w:tc>
              <w:tc>
                <w:tcPr>
                  <w:tcW w:w="1022" w:type="pct"/>
                  <w:vAlign w:val="center"/>
                </w:tcPr>
                <w:p w14:paraId="397D4A09">
                  <w:pPr>
                    <w:rPr>
                      <w:rFonts w:hint="eastAsia"/>
                      <w:color w:val="auto"/>
                      <w:kern w:val="21"/>
                      <w:szCs w:val="21"/>
                      <w:lang w:val="en-US" w:eastAsia="zh-CN"/>
                    </w:rPr>
                  </w:pPr>
                  <w:r>
                    <w:rPr>
                      <w:rFonts w:hint="default" w:ascii="Times New Roman" w:hAnsi="Times New Roman" w:cs="Times New Roman"/>
                      <w:color w:val="auto"/>
                    </w:rPr>
                    <w:t>本项目为</w:t>
                  </w:r>
                  <w:r>
                    <w:rPr>
                      <w:rFonts w:hint="eastAsia" w:ascii="Times New Roman" w:hAnsi="Times New Roman" w:cs="Times New Roman"/>
                      <w:color w:val="auto"/>
                      <w:lang w:val="en-US" w:eastAsia="zh-CN"/>
                    </w:rPr>
                    <w:t>钛材表面处理</w:t>
                  </w:r>
                  <w:r>
                    <w:rPr>
                      <w:rFonts w:hint="default" w:ascii="Times New Roman" w:hAnsi="Times New Roman" w:cs="Times New Roman"/>
                      <w:color w:val="auto"/>
                    </w:rPr>
                    <w:t>，</w:t>
                  </w:r>
                  <w:r>
                    <w:rPr>
                      <w:rFonts w:hint="eastAsia" w:ascii="Times New Roman" w:hAnsi="Times New Roman" w:cs="Times New Roman"/>
                      <w:color w:val="auto"/>
                      <w:lang w:val="en-US" w:eastAsia="zh-CN"/>
                    </w:rPr>
                    <w:t>不会产生VOCs</w:t>
                  </w:r>
                  <w:r>
                    <w:rPr>
                      <w:rFonts w:hint="default" w:ascii="Times New Roman" w:hAnsi="Times New Roman" w:cs="Times New Roman"/>
                      <w:color w:val="auto"/>
                    </w:rPr>
                    <w:t>。</w:t>
                  </w:r>
                </w:p>
              </w:tc>
              <w:tc>
                <w:tcPr>
                  <w:tcW w:w="489" w:type="pct"/>
                  <w:vAlign w:val="center"/>
                </w:tcPr>
                <w:p w14:paraId="44B78589">
                  <w:pPr>
                    <w:jc w:val="center"/>
                    <w:rPr>
                      <w:rFonts w:hint="eastAsia"/>
                      <w:color w:val="auto"/>
                      <w:kern w:val="21"/>
                      <w:szCs w:val="21"/>
                      <w:lang w:val="en-US" w:eastAsia="zh-CN"/>
                    </w:rPr>
                  </w:pPr>
                  <w:r>
                    <w:rPr>
                      <w:rFonts w:hint="eastAsia" w:cs="Times New Roman"/>
                      <w:color w:val="auto"/>
                      <w:lang w:val="en-US" w:eastAsia="zh-CN"/>
                    </w:rPr>
                    <w:t>符合</w:t>
                  </w:r>
                </w:p>
              </w:tc>
            </w:tr>
            <w:tr w14:paraId="4B8C7E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15" w:hRule="atLeast"/>
                <w:jc w:val="center"/>
              </w:trPr>
              <w:tc>
                <w:tcPr>
                  <w:tcW w:w="1048" w:type="pct"/>
                  <w:vMerge w:val="restart"/>
                  <w:vAlign w:val="center"/>
                </w:tcPr>
                <w:p w14:paraId="2E0ACEAE">
                  <w:pPr>
                    <w:jc w:val="center"/>
                    <w:rPr>
                      <w:b/>
                      <w:bCs/>
                      <w:color w:val="auto"/>
                      <w:szCs w:val="21"/>
                    </w:rPr>
                  </w:pPr>
                  <w:r>
                    <w:rPr>
                      <w:rFonts w:hint="eastAsia"/>
                      <w:b w:val="0"/>
                      <w:bCs w:val="0"/>
                      <w:color w:val="auto"/>
                      <w:szCs w:val="21"/>
                    </w:rPr>
                    <w:t>国务院关于印发《空气质量持续改善行动计划》的通知</w:t>
                  </w:r>
                  <w:r>
                    <w:rPr>
                      <w:rFonts w:hint="eastAsia"/>
                      <w:b w:val="0"/>
                      <w:bCs w:val="0"/>
                      <w:color w:val="auto"/>
                      <w:szCs w:val="21"/>
                      <w:lang w:eastAsia="zh-CN"/>
                    </w:rPr>
                    <w:t>（</w:t>
                  </w:r>
                  <w:r>
                    <w:rPr>
                      <w:rFonts w:hint="eastAsia"/>
                      <w:b w:val="0"/>
                      <w:bCs w:val="0"/>
                      <w:color w:val="auto"/>
                      <w:szCs w:val="21"/>
                    </w:rPr>
                    <w:t>国发〔2023〕24号</w:t>
                  </w:r>
                  <w:r>
                    <w:rPr>
                      <w:rFonts w:hint="eastAsia"/>
                      <w:b w:val="0"/>
                      <w:bCs w:val="0"/>
                      <w:color w:val="auto"/>
                      <w:szCs w:val="21"/>
                      <w:lang w:eastAsia="zh-CN"/>
                    </w:rPr>
                    <w:t>）</w:t>
                  </w:r>
                </w:p>
              </w:tc>
              <w:tc>
                <w:tcPr>
                  <w:tcW w:w="2439" w:type="pct"/>
                  <w:vAlign w:val="center"/>
                </w:tcPr>
                <w:p w14:paraId="4C6B8291">
                  <w:pPr>
                    <w:pStyle w:val="9"/>
                    <w:spacing w:line="240" w:lineRule="auto"/>
                    <w:ind w:left="0" w:leftChars="0" w:right="0" w:rightChars="0"/>
                    <w:rPr>
                      <w:b w:val="0"/>
                      <w:color w:val="auto"/>
                      <w:kern w:val="21"/>
                      <w:sz w:val="21"/>
                      <w:szCs w:val="21"/>
                    </w:rPr>
                  </w:pPr>
                  <w:r>
                    <w:rPr>
                      <w:rFonts w:hint="eastAsia"/>
                      <w:b w:val="0"/>
                      <w:color w:val="auto"/>
                      <w:kern w:val="21"/>
                      <w:sz w:val="21"/>
                      <w:szCs w:val="21"/>
                    </w:rPr>
                    <w:t>新改扩建项目严格落实国家产业规划、产业政策、生态环境分区管控方案、规划环评、项目环评、节能审查、产能置换、重点污染物总量控制、污染物排放区域削减、碳排放达峰目标等相关要求，原则上采用清洁运输方式。</w:t>
                  </w:r>
                </w:p>
              </w:tc>
              <w:tc>
                <w:tcPr>
                  <w:tcW w:w="1022" w:type="pct"/>
                  <w:vAlign w:val="center"/>
                </w:tcPr>
                <w:p w14:paraId="10B449AF">
                  <w:pPr>
                    <w:jc w:val="center"/>
                    <w:rPr>
                      <w:color w:val="auto"/>
                      <w:kern w:val="21"/>
                      <w:szCs w:val="21"/>
                    </w:rPr>
                  </w:pPr>
                  <w:r>
                    <w:rPr>
                      <w:rFonts w:hint="eastAsia"/>
                      <w:color w:val="auto"/>
                      <w:kern w:val="21"/>
                      <w:szCs w:val="21"/>
                      <w:lang w:val="en-US" w:eastAsia="zh-CN"/>
                    </w:rPr>
                    <w:t>本项目为新建，严格落实国家级地方相关产业政策及规划。</w:t>
                  </w:r>
                </w:p>
              </w:tc>
              <w:tc>
                <w:tcPr>
                  <w:tcW w:w="489" w:type="pct"/>
                  <w:vAlign w:val="center"/>
                </w:tcPr>
                <w:p w14:paraId="3334BD16">
                  <w:pPr>
                    <w:jc w:val="center"/>
                    <w:rPr>
                      <w:rFonts w:hint="eastAsia"/>
                      <w:color w:val="auto"/>
                      <w:kern w:val="21"/>
                      <w:szCs w:val="21"/>
                    </w:rPr>
                  </w:pPr>
                  <w:r>
                    <w:rPr>
                      <w:rFonts w:hint="eastAsia"/>
                      <w:color w:val="auto"/>
                      <w:kern w:val="21"/>
                      <w:szCs w:val="21"/>
                      <w:lang w:val="en-US" w:eastAsia="zh-CN"/>
                    </w:rPr>
                    <w:t>符合</w:t>
                  </w:r>
                </w:p>
              </w:tc>
            </w:tr>
            <w:tr w14:paraId="60FBD2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15" w:hRule="atLeast"/>
                <w:jc w:val="center"/>
              </w:trPr>
              <w:tc>
                <w:tcPr>
                  <w:tcW w:w="1048" w:type="pct"/>
                  <w:vMerge w:val="continue"/>
                  <w:vAlign w:val="center"/>
                </w:tcPr>
                <w:p w14:paraId="6FF83A43">
                  <w:pPr>
                    <w:jc w:val="center"/>
                    <w:rPr>
                      <w:color w:val="auto"/>
                    </w:rPr>
                  </w:pPr>
                </w:p>
              </w:tc>
              <w:tc>
                <w:tcPr>
                  <w:tcW w:w="2439" w:type="pct"/>
                  <w:vAlign w:val="center"/>
                </w:tcPr>
                <w:p w14:paraId="2C8AE928">
                  <w:pPr>
                    <w:jc w:val="center"/>
                    <w:rPr>
                      <w:b w:val="0"/>
                      <w:color w:val="auto"/>
                      <w:kern w:val="21"/>
                      <w:sz w:val="21"/>
                      <w:szCs w:val="21"/>
                    </w:rPr>
                  </w:pPr>
                  <w:r>
                    <w:rPr>
                      <w:rFonts w:hint="eastAsia"/>
                      <w:b w:val="0"/>
                      <w:color w:val="auto"/>
                      <w:kern w:val="21"/>
                      <w:sz w:val="21"/>
                      <w:szCs w:val="21"/>
                    </w:rPr>
                    <w:t>严禁新增钢铁产能。推行钢铁、焦化、烧结一体化布局，大幅减少独立焦化、烧结、球团和热轧企业及工序，淘汰落后煤炭洗选产能；有序引导高炉—转炉长流程炼钢转型为电炉短流程炼钢。</w:t>
                  </w:r>
                </w:p>
              </w:tc>
              <w:tc>
                <w:tcPr>
                  <w:tcW w:w="1022" w:type="pct"/>
                  <w:vAlign w:val="center"/>
                </w:tcPr>
                <w:p w14:paraId="0815B646">
                  <w:pPr>
                    <w:jc w:val="center"/>
                    <w:rPr>
                      <w:b w:val="0"/>
                      <w:color w:val="auto"/>
                      <w:kern w:val="21"/>
                      <w:sz w:val="21"/>
                      <w:szCs w:val="21"/>
                    </w:rPr>
                  </w:pPr>
                  <w:r>
                    <w:rPr>
                      <w:rFonts w:hint="eastAsia"/>
                      <w:b w:val="0"/>
                      <w:color w:val="auto"/>
                      <w:kern w:val="21"/>
                      <w:sz w:val="21"/>
                      <w:szCs w:val="21"/>
                      <w:lang w:val="en-US" w:eastAsia="zh-CN"/>
                    </w:rPr>
                    <w:t>本项目为钛材表面处理，不属于严禁新增的产能。</w:t>
                  </w:r>
                </w:p>
              </w:tc>
              <w:tc>
                <w:tcPr>
                  <w:tcW w:w="489" w:type="pct"/>
                  <w:vAlign w:val="center"/>
                </w:tcPr>
                <w:p w14:paraId="7E99D13F">
                  <w:pPr>
                    <w:jc w:val="center"/>
                    <w:rPr>
                      <w:b w:val="0"/>
                      <w:color w:val="auto"/>
                      <w:kern w:val="21"/>
                      <w:sz w:val="21"/>
                      <w:szCs w:val="21"/>
                    </w:rPr>
                  </w:pPr>
                  <w:r>
                    <w:rPr>
                      <w:rFonts w:hint="eastAsia"/>
                      <w:b w:val="0"/>
                      <w:color w:val="auto"/>
                      <w:kern w:val="21"/>
                      <w:sz w:val="21"/>
                      <w:szCs w:val="21"/>
                      <w:lang w:val="en-US" w:eastAsia="zh-CN"/>
                    </w:rPr>
                    <w:t>符合</w:t>
                  </w:r>
                </w:p>
              </w:tc>
            </w:tr>
            <w:tr w14:paraId="1EBF4D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8" w:hRule="atLeast"/>
                <w:jc w:val="center"/>
              </w:trPr>
              <w:tc>
                <w:tcPr>
                  <w:tcW w:w="1048" w:type="pct"/>
                  <w:vAlign w:val="center"/>
                </w:tcPr>
                <w:p w14:paraId="53D1B516">
                  <w:pPr>
                    <w:jc w:val="center"/>
                    <w:rPr>
                      <w:b/>
                      <w:bCs/>
                      <w:color w:val="auto"/>
                      <w:szCs w:val="21"/>
                    </w:rPr>
                  </w:pPr>
                  <w:r>
                    <w:rPr>
                      <w:rFonts w:hint="eastAsia"/>
                      <w:b w:val="0"/>
                      <w:bCs w:val="0"/>
                      <w:color w:val="auto"/>
                      <w:szCs w:val="21"/>
                      <w:lang w:eastAsia="zh-CN"/>
                    </w:rPr>
                    <w:t>《关于加强高能耗、高排放建设项目生态环境源头防控</w:t>
                  </w:r>
                  <w:r>
                    <w:rPr>
                      <w:rFonts w:hint="eastAsia"/>
                      <w:b w:val="0"/>
                      <w:bCs w:val="0"/>
                      <w:color w:val="auto"/>
                      <w:szCs w:val="21"/>
                      <w:lang w:val="en-US" w:eastAsia="zh-CN"/>
                    </w:rPr>
                    <w:t>的</w:t>
                  </w:r>
                  <w:r>
                    <w:rPr>
                      <w:rFonts w:hint="eastAsia"/>
                      <w:b w:val="0"/>
                      <w:bCs w:val="0"/>
                      <w:color w:val="auto"/>
                      <w:szCs w:val="21"/>
                      <w:lang w:eastAsia="zh-CN"/>
                    </w:rPr>
                    <w:t>指导意见》（环环</w:t>
                  </w:r>
                  <w:r>
                    <w:rPr>
                      <w:rFonts w:hint="eastAsia"/>
                      <w:b w:val="0"/>
                      <w:bCs w:val="0"/>
                      <w:color w:val="auto"/>
                      <w:szCs w:val="21"/>
                      <w:lang w:val="en-US" w:eastAsia="zh-CN"/>
                    </w:rPr>
                    <w:t>评</w:t>
                  </w:r>
                  <w:r>
                    <w:rPr>
                      <w:rFonts w:hint="eastAsia"/>
                      <w:b w:val="0"/>
                      <w:bCs w:val="0"/>
                      <w:color w:val="auto"/>
                      <w:szCs w:val="21"/>
                    </w:rPr>
                    <w:t>〔202</w:t>
                  </w:r>
                  <w:r>
                    <w:rPr>
                      <w:rFonts w:hint="eastAsia"/>
                      <w:b w:val="0"/>
                      <w:bCs w:val="0"/>
                      <w:color w:val="auto"/>
                      <w:szCs w:val="21"/>
                      <w:lang w:val="en-US" w:eastAsia="zh-CN"/>
                    </w:rPr>
                    <w:t>1</w:t>
                  </w:r>
                  <w:r>
                    <w:rPr>
                      <w:rFonts w:hint="eastAsia"/>
                      <w:b w:val="0"/>
                      <w:bCs w:val="0"/>
                      <w:color w:val="auto"/>
                      <w:szCs w:val="21"/>
                    </w:rPr>
                    <w:t>〕</w:t>
                  </w:r>
                  <w:r>
                    <w:rPr>
                      <w:rFonts w:hint="eastAsia"/>
                      <w:b w:val="0"/>
                      <w:bCs w:val="0"/>
                      <w:color w:val="auto"/>
                      <w:szCs w:val="21"/>
                      <w:lang w:eastAsia="zh-CN"/>
                    </w:rPr>
                    <w:t>45号）</w:t>
                  </w:r>
                </w:p>
              </w:tc>
              <w:tc>
                <w:tcPr>
                  <w:tcW w:w="2439" w:type="pct"/>
                  <w:vAlign w:val="center"/>
                </w:tcPr>
                <w:p w14:paraId="03C6050E">
                  <w:pPr>
                    <w:keepNext w:val="0"/>
                    <w:keepLines w:val="0"/>
                    <w:pageBreakBefore w:val="0"/>
                    <w:widowControl w:val="0"/>
                    <w:kinsoku/>
                    <w:wordWrap/>
                    <w:overflowPunct/>
                    <w:topLinePunct w:val="0"/>
                    <w:autoSpaceDE w:val="0"/>
                    <w:autoSpaceDN w:val="0"/>
                    <w:bidi w:val="0"/>
                    <w:adjustRightInd w:val="0"/>
                    <w:snapToGrid w:val="0"/>
                    <w:ind w:firstLine="0" w:firstLineChars="0"/>
                    <w:jc w:val="left"/>
                    <w:textAlignment w:val="auto"/>
                    <w:rPr>
                      <w:b/>
                      <w:bCs/>
                      <w:color w:val="auto"/>
                      <w:szCs w:val="21"/>
                    </w:rPr>
                  </w:pPr>
                  <w:r>
                    <w:rPr>
                      <w:rFonts w:ascii="Times New Roman" w:hAnsi="Times New Roman" w:cs="Times New Roman"/>
                      <w:color w:val="auto"/>
                    </w:rPr>
                    <w:t>坚决遏制高耗能、高排放项目盲目发展</w:t>
                  </w:r>
                </w:p>
              </w:tc>
              <w:tc>
                <w:tcPr>
                  <w:tcW w:w="1022" w:type="pct"/>
                  <w:vAlign w:val="center"/>
                </w:tcPr>
                <w:p w14:paraId="0C5122DD">
                  <w:pPr>
                    <w:keepNext w:val="0"/>
                    <w:keepLines w:val="0"/>
                    <w:pageBreakBefore w:val="0"/>
                    <w:widowControl w:val="0"/>
                    <w:kinsoku/>
                    <w:wordWrap/>
                    <w:overflowPunct/>
                    <w:topLinePunct w:val="0"/>
                    <w:autoSpaceDE w:val="0"/>
                    <w:autoSpaceDN w:val="0"/>
                    <w:bidi w:val="0"/>
                    <w:adjustRightInd w:val="0"/>
                    <w:snapToGrid w:val="0"/>
                    <w:ind w:firstLine="0" w:firstLineChars="0"/>
                    <w:jc w:val="center"/>
                    <w:textAlignment w:val="auto"/>
                    <w:rPr>
                      <w:b/>
                      <w:bCs/>
                      <w:color w:val="auto"/>
                      <w:szCs w:val="21"/>
                    </w:rPr>
                  </w:pPr>
                  <w:r>
                    <w:rPr>
                      <w:rFonts w:ascii="Times New Roman" w:hAnsi="Times New Roman" w:cs="Times New Roman"/>
                      <w:color w:val="auto"/>
                    </w:rPr>
                    <w:t>本项目不属于高耗能、高排放项目。</w:t>
                  </w:r>
                </w:p>
              </w:tc>
              <w:tc>
                <w:tcPr>
                  <w:tcW w:w="489" w:type="pct"/>
                  <w:vAlign w:val="center"/>
                </w:tcPr>
                <w:p w14:paraId="586FA992">
                  <w:pPr>
                    <w:keepNext w:val="0"/>
                    <w:keepLines w:val="0"/>
                    <w:pageBreakBefore w:val="0"/>
                    <w:widowControl w:val="0"/>
                    <w:kinsoku/>
                    <w:wordWrap/>
                    <w:overflowPunct/>
                    <w:topLinePunct w:val="0"/>
                    <w:autoSpaceDE w:val="0"/>
                    <w:autoSpaceDN w:val="0"/>
                    <w:bidi w:val="0"/>
                    <w:adjustRightInd w:val="0"/>
                    <w:snapToGrid w:val="0"/>
                    <w:ind w:firstLine="0" w:firstLineChars="0"/>
                    <w:jc w:val="center"/>
                    <w:textAlignment w:val="auto"/>
                    <w:rPr>
                      <w:b/>
                      <w:bCs/>
                      <w:color w:val="auto"/>
                      <w:szCs w:val="21"/>
                    </w:rPr>
                  </w:pPr>
                  <w:r>
                    <w:rPr>
                      <w:rFonts w:ascii="Times New Roman" w:hAnsi="Times New Roman" w:cs="Times New Roman"/>
                      <w:bCs/>
                      <w:color w:val="auto"/>
                      <w:szCs w:val="21"/>
                    </w:rPr>
                    <w:t>符合</w:t>
                  </w:r>
                </w:p>
              </w:tc>
            </w:tr>
            <w:tr w14:paraId="529C0F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8" w:hRule="atLeast"/>
                <w:jc w:val="center"/>
              </w:trPr>
              <w:tc>
                <w:tcPr>
                  <w:tcW w:w="1048" w:type="pct"/>
                  <w:vAlign w:val="center"/>
                </w:tcPr>
                <w:p w14:paraId="382152A0">
                  <w:pPr>
                    <w:jc w:val="center"/>
                    <w:rPr>
                      <w:b/>
                      <w:bCs/>
                      <w:color w:val="auto"/>
                      <w:szCs w:val="21"/>
                    </w:rPr>
                  </w:pPr>
                  <w:r>
                    <w:rPr>
                      <w:rFonts w:hint="eastAsia"/>
                      <w:b w:val="0"/>
                      <w:bCs w:val="0"/>
                      <w:color w:val="auto"/>
                      <w:szCs w:val="21"/>
                    </w:rPr>
                    <w:t>《陕西省“两高”项目管理暂行目录（2022年版）》的通知（陕发改环资〔2022〕110号）</w:t>
                  </w:r>
                </w:p>
              </w:tc>
              <w:tc>
                <w:tcPr>
                  <w:tcW w:w="2439" w:type="pct"/>
                  <w:vAlign w:val="center"/>
                </w:tcPr>
                <w:p w14:paraId="7BBB3F34">
                  <w:pPr>
                    <w:keepNext w:val="0"/>
                    <w:keepLines w:val="0"/>
                    <w:pageBreakBefore w:val="0"/>
                    <w:widowControl w:val="0"/>
                    <w:kinsoku/>
                    <w:wordWrap/>
                    <w:overflowPunct/>
                    <w:topLinePunct w:val="0"/>
                    <w:autoSpaceDE w:val="0"/>
                    <w:autoSpaceDN w:val="0"/>
                    <w:bidi w:val="0"/>
                    <w:adjustRightInd w:val="0"/>
                    <w:snapToGrid w:val="0"/>
                    <w:ind w:firstLine="0" w:firstLineChars="0"/>
                    <w:jc w:val="left"/>
                    <w:textAlignment w:val="auto"/>
                    <w:rPr>
                      <w:b/>
                      <w:bCs/>
                      <w:color w:val="auto"/>
                      <w:szCs w:val="21"/>
                    </w:rPr>
                  </w:pPr>
                  <w:r>
                    <w:rPr>
                      <w:rFonts w:ascii="Times New Roman" w:hAnsi="Times New Roman" w:cs="Times New Roman"/>
                      <w:color w:val="auto"/>
                    </w:rPr>
                    <w:t>为坚决遏制“两高”项目盲目发展，明确“两高”项目范围，指导各市和有关部门单位及各企业开展相关工作</w:t>
                  </w:r>
                </w:p>
              </w:tc>
              <w:tc>
                <w:tcPr>
                  <w:tcW w:w="1022" w:type="pct"/>
                  <w:vAlign w:val="center"/>
                </w:tcPr>
                <w:p w14:paraId="0A7566CE">
                  <w:pPr>
                    <w:keepNext w:val="0"/>
                    <w:keepLines w:val="0"/>
                    <w:pageBreakBefore w:val="0"/>
                    <w:widowControl w:val="0"/>
                    <w:kinsoku/>
                    <w:wordWrap/>
                    <w:overflowPunct/>
                    <w:topLinePunct w:val="0"/>
                    <w:autoSpaceDE w:val="0"/>
                    <w:autoSpaceDN w:val="0"/>
                    <w:bidi w:val="0"/>
                    <w:adjustRightInd w:val="0"/>
                    <w:snapToGrid w:val="0"/>
                    <w:ind w:firstLine="0" w:firstLineChars="0"/>
                    <w:jc w:val="center"/>
                    <w:textAlignment w:val="auto"/>
                    <w:rPr>
                      <w:b/>
                      <w:bCs/>
                      <w:color w:val="auto"/>
                      <w:szCs w:val="21"/>
                    </w:rPr>
                  </w:pPr>
                  <w:r>
                    <w:rPr>
                      <w:rFonts w:hint="eastAsia" w:ascii="Times New Roman" w:hAnsi="Times New Roman" w:eastAsia="宋体" w:cs="Times New Roman"/>
                      <w:color w:val="auto"/>
                      <w:kern w:val="0"/>
                      <w:szCs w:val="21"/>
                      <w:lang w:val="en-US" w:eastAsia="zh-CN"/>
                    </w:rPr>
                    <w:t>按照《陕西省“两高”项目管理暂行目录》，本项目不属于“两高”项目。</w:t>
                  </w:r>
                </w:p>
              </w:tc>
              <w:tc>
                <w:tcPr>
                  <w:tcW w:w="489" w:type="pct"/>
                  <w:vAlign w:val="center"/>
                </w:tcPr>
                <w:p w14:paraId="16EBE6B1">
                  <w:pPr>
                    <w:keepNext w:val="0"/>
                    <w:keepLines w:val="0"/>
                    <w:pageBreakBefore w:val="0"/>
                    <w:widowControl w:val="0"/>
                    <w:kinsoku/>
                    <w:wordWrap/>
                    <w:overflowPunct/>
                    <w:topLinePunct w:val="0"/>
                    <w:autoSpaceDE w:val="0"/>
                    <w:autoSpaceDN w:val="0"/>
                    <w:bidi w:val="0"/>
                    <w:adjustRightInd w:val="0"/>
                    <w:snapToGrid w:val="0"/>
                    <w:ind w:firstLine="0" w:firstLineChars="0"/>
                    <w:jc w:val="center"/>
                    <w:textAlignment w:val="auto"/>
                    <w:rPr>
                      <w:b/>
                      <w:bCs/>
                      <w:color w:val="auto"/>
                      <w:szCs w:val="21"/>
                    </w:rPr>
                  </w:pPr>
                  <w:r>
                    <w:rPr>
                      <w:rFonts w:ascii="Times New Roman" w:hAnsi="Times New Roman" w:cs="Times New Roman"/>
                      <w:bCs/>
                      <w:color w:val="auto"/>
                      <w:szCs w:val="21"/>
                    </w:rPr>
                    <w:t>符合</w:t>
                  </w:r>
                </w:p>
              </w:tc>
            </w:tr>
            <w:tr w14:paraId="3E36D7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8" w:hRule="atLeast"/>
                <w:jc w:val="center"/>
              </w:trPr>
              <w:tc>
                <w:tcPr>
                  <w:tcW w:w="1048" w:type="pct"/>
                  <w:vAlign w:val="center"/>
                </w:tcPr>
                <w:p w14:paraId="49473C50">
                  <w:pPr>
                    <w:jc w:val="center"/>
                    <w:rPr>
                      <w:b w:val="0"/>
                      <w:bCs w:val="0"/>
                      <w:color w:val="auto"/>
                      <w:szCs w:val="21"/>
                    </w:rPr>
                  </w:pPr>
                  <w:r>
                    <w:rPr>
                      <w:rFonts w:hint="eastAsia"/>
                      <w:b w:val="0"/>
                      <w:bCs w:val="0"/>
                      <w:color w:val="auto"/>
                      <w:szCs w:val="21"/>
                      <w:lang w:val="en-US" w:eastAsia="zh-CN"/>
                    </w:rPr>
                    <w:t>陕西省</w:t>
                  </w:r>
                  <w:r>
                    <w:rPr>
                      <w:rFonts w:hint="eastAsia"/>
                      <w:b w:val="0"/>
                      <w:bCs w:val="0"/>
                      <w:color w:val="auto"/>
                      <w:szCs w:val="21"/>
                      <w:lang w:eastAsia="zh-CN"/>
                    </w:rPr>
                    <w:t>关于贯彻落实《空气质量持续改善行动计划》的实施意见</w:t>
                  </w:r>
                  <w:r>
                    <w:rPr>
                      <w:rFonts w:hint="eastAsia"/>
                      <w:b w:val="0"/>
                      <w:bCs w:val="0"/>
                      <w:color w:val="auto"/>
                      <w:szCs w:val="21"/>
                      <w:lang w:val="en" w:eastAsia="zh-CN"/>
                    </w:rPr>
                    <w:t>（</w:t>
                  </w:r>
                  <w:r>
                    <w:rPr>
                      <w:rFonts w:hint="eastAsia"/>
                      <w:b w:val="0"/>
                      <w:bCs w:val="0"/>
                      <w:color w:val="auto"/>
                      <w:szCs w:val="21"/>
                      <w:lang w:val="en-US" w:eastAsia="zh-CN"/>
                    </w:rPr>
                    <w:t>2024-2025年</w:t>
                  </w:r>
                  <w:r>
                    <w:rPr>
                      <w:rFonts w:hint="eastAsia"/>
                      <w:b w:val="0"/>
                      <w:bCs w:val="0"/>
                      <w:color w:val="auto"/>
                      <w:szCs w:val="21"/>
                      <w:lang w:eastAsia="zh-CN"/>
                    </w:rPr>
                    <w:t>）</w:t>
                  </w:r>
                </w:p>
              </w:tc>
              <w:tc>
                <w:tcPr>
                  <w:tcW w:w="2439" w:type="pct"/>
                  <w:vAlign w:val="center"/>
                </w:tcPr>
                <w:p w14:paraId="3A5E6492">
                  <w:pPr>
                    <w:widowControl/>
                    <w:numPr>
                      <w:ilvl w:val="0"/>
                      <w:numId w:val="2"/>
                    </w:numPr>
                    <w:adjustRightInd w:val="0"/>
                    <w:spacing w:line="312" w:lineRule="atLeast"/>
                    <w:jc w:val="center"/>
                    <w:textAlignment w:val="baseline"/>
                    <w:rPr>
                      <w:b w:val="0"/>
                      <w:bCs w:val="0"/>
                      <w:color w:val="auto"/>
                      <w:szCs w:val="21"/>
                    </w:rPr>
                  </w:pPr>
                  <w:r>
                    <w:rPr>
                      <w:rFonts w:hint="eastAsia" w:ascii="新宋体" w:hAnsi="新宋体" w:eastAsia="新宋体" w:cs="新宋体"/>
                      <w:b w:val="0"/>
                      <w:bCs w:val="0"/>
                      <w:color w:val="auto"/>
                      <w:sz w:val="21"/>
                      <w:szCs w:val="21"/>
                      <w:lang w:val="en-US" w:eastAsia="zh-CN"/>
                    </w:rPr>
                    <w:t>坚决遏制高耗能、高排放、低水平项目盲目上马。新改扩建项目严格落实国家产业规划、产业政策、生态环境分区管控方案、规划环评、项目环评、节能审查、产能置换、重点污染物总量控制、污染物排放区域削减、碳排放达峰目标等相关要求，原则上采用清洁运输方式。涉及产能置换的项目，被置换产能及其配套设施关停后，新建项目方可投产。</w:t>
                  </w:r>
                </w:p>
              </w:tc>
              <w:tc>
                <w:tcPr>
                  <w:tcW w:w="1022" w:type="pct"/>
                  <w:vAlign w:val="center"/>
                </w:tcPr>
                <w:p w14:paraId="2C027C1C">
                  <w:pPr>
                    <w:adjustRightInd w:val="0"/>
                    <w:spacing w:line="312" w:lineRule="atLeast"/>
                    <w:jc w:val="both"/>
                    <w:textAlignment w:val="baseline"/>
                    <w:rPr>
                      <w:b/>
                      <w:bCs/>
                      <w:color w:val="auto"/>
                      <w:szCs w:val="21"/>
                    </w:rPr>
                  </w:pPr>
                  <w:r>
                    <w:rPr>
                      <w:rFonts w:hint="eastAsia" w:ascii="Times New Roman" w:hAnsi="Times New Roman" w:eastAsia="宋体" w:cs="Times New Roman"/>
                      <w:color w:val="auto"/>
                      <w:kern w:val="0"/>
                      <w:szCs w:val="21"/>
                      <w:lang w:val="en-US" w:eastAsia="zh-CN"/>
                    </w:rPr>
                    <w:t>按照《陕西省“两高”项目管理暂行目录》，本项目不属于“两高”项目。</w:t>
                  </w:r>
                </w:p>
              </w:tc>
              <w:tc>
                <w:tcPr>
                  <w:tcW w:w="489" w:type="pct"/>
                  <w:vAlign w:val="center"/>
                </w:tcPr>
                <w:p w14:paraId="7E41640A">
                  <w:pPr>
                    <w:jc w:val="center"/>
                    <w:rPr>
                      <w:b/>
                      <w:bCs/>
                      <w:color w:val="auto"/>
                      <w:szCs w:val="21"/>
                    </w:rPr>
                  </w:pPr>
                  <w:r>
                    <w:rPr>
                      <w:rFonts w:hint="eastAsia"/>
                      <w:color w:val="auto"/>
                      <w:kern w:val="21"/>
                      <w:szCs w:val="21"/>
                      <w:lang w:val="en-US" w:eastAsia="zh-CN"/>
                    </w:rPr>
                    <w:t>符合</w:t>
                  </w:r>
                </w:p>
              </w:tc>
            </w:tr>
            <w:tr w14:paraId="618A87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15" w:hRule="atLeast"/>
                <w:jc w:val="center"/>
              </w:trPr>
              <w:tc>
                <w:tcPr>
                  <w:tcW w:w="1048" w:type="pct"/>
                  <w:vMerge w:val="restart"/>
                  <w:vAlign w:val="center"/>
                </w:tcPr>
                <w:p w14:paraId="214D8106">
                  <w:pPr>
                    <w:jc w:val="center"/>
                    <w:rPr>
                      <w:b/>
                      <w:bCs/>
                      <w:color w:val="auto"/>
                      <w:szCs w:val="21"/>
                    </w:rPr>
                  </w:pPr>
                  <w:r>
                    <w:rPr>
                      <w:rFonts w:hint="eastAsia"/>
                      <w:b w:val="0"/>
                      <w:bCs w:val="0"/>
                      <w:color w:val="auto"/>
                      <w:szCs w:val="21"/>
                      <w:lang w:val="en-US" w:eastAsia="zh-CN"/>
                    </w:rPr>
                    <w:t>《陕西省大气污染治理专项行动方案（2023-2027年）》（陕发</w:t>
                  </w:r>
                  <w:r>
                    <w:rPr>
                      <w:rFonts w:hint="eastAsia" w:ascii="宋体" w:hAnsi="宋体" w:eastAsia="宋体" w:cs="宋体"/>
                      <w:b w:val="0"/>
                      <w:bCs w:val="0"/>
                      <w:color w:val="auto"/>
                      <w:szCs w:val="21"/>
                      <w:lang w:val="en-US" w:eastAsia="zh-CN"/>
                    </w:rPr>
                    <w:t>〔</w:t>
                  </w:r>
                  <w:r>
                    <w:rPr>
                      <w:rFonts w:hint="eastAsia"/>
                      <w:b w:val="0"/>
                      <w:bCs w:val="0"/>
                      <w:color w:val="auto"/>
                      <w:szCs w:val="21"/>
                      <w:lang w:val="en-US" w:eastAsia="zh-CN"/>
                    </w:rPr>
                    <w:t>2023</w:t>
                  </w:r>
                  <w:r>
                    <w:rPr>
                      <w:rFonts w:hint="eastAsia" w:ascii="宋体" w:hAnsi="宋体" w:eastAsia="宋体" w:cs="宋体"/>
                      <w:b w:val="0"/>
                      <w:bCs w:val="0"/>
                      <w:color w:val="auto"/>
                      <w:szCs w:val="21"/>
                      <w:lang w:val="en-US" w:eastAsia="zh-CN"/>
                    </w:rPr>
                    <w:t>〕</w:t>
                  </w:r>
                  <w:r>
                    <w:rPr>
                      <w:rFonts w:hint="eastAsia"/>
                      <w:b w:val="0"/>
                      <w:bCs w:val="0"/>
                      <w:color w:val="auto"/>
                      <w:szCs w:val="21"/>
                      <w:lang w:val="en-US" w:eastAsia="zh-CN"/>
                    </w:rPr>
                    <w:t>4号）</w:t>
                  </w:r>
                </w:p>
              </w:tc>
              <w:tc>
                <w:tcPr>
                  <w:tcW w:w="2439" w:type="pct"/>
                  <w:vAlign w:val="center"/>
                </w:tcPr>
                <w:p w14:paraId="5BA44F7C">
                  <w:pPr>
                    <w:pStyle w:val="9"/>
                    <w:spacing w:line="240" w:lineRule="auto"/>
                    <w:ind w:left="0" w:leftChars="0" w:right="0" w:rightChars="0"/>
                    <w:rPr>
                      <w:b/>
                      <w:bCs/>
                      <w:color w:val="auto"/>
                      <w:szCs w:val="21"/>
                    </w:rPr>
                  </w:pPr>
                  <w:r>
                    <w:rPr>
                      <w:b w:val="0"/>
                      <w:color w:val="auto"/>
                      <w:kern w:val="21"/>
                      <w:sz w:val="21"/>
                      <w:szCs w:val="21"/>
                    </w:rPr>
                    <w:t>关中地区严禁新增钢铁、焦化、水泥熟料、平板玻璃、电解铝、氧化铝、煤化工产能，合理控制煤制油气产能规模，严控新增炼油产能。</w:t>
                  </w:r>
                </w:p>
              </w:tc>
              <w:tc>
                <w:tcPr>
                  <w:tcW w:w="1022" w:type="pct"/>
                  <w:vAlign w:val="center"/>
                </w:tcPr>
                <w:p w14:paraId="1066A4E5">
                  <w:pPr>
                    <w:jc w:val="center"/>
                    <w:rPr>
                      <w:b/>
                      <w:bCs/>
                      <w:color w:val="auto"/>
                      <w:szCs w:val="21"/>
                    </w:rPr>
                  </w:pPr>
                  <w:r>
                    <w:rPr>
                      <w:rFonts w:hint="eastAsia"/>
                      <w:color w:val="auto"/>
                      <w:kern w:val="21"/>
                      <w:szCs w:val="21"/>
                      <w:lang w:val="en-US" w:eastAsia="zh-CN"/>
                    </w:rPr>
                    <w:t>本项目不属于严禁新增的产能。</w:t>
                  </w:r>
                </w:p>
              </w:tc>
              <w:tc>
                <w:tcPr>
                  <w:tcW w:w="489" w:type="pct"/>
                  <w:vAlign w:val="center"/>
                </w:tcPr>
                <w:p w14:paraId="7CB50130">
                  <w:pPr>
                    <w:jc w:val="center"/>
                    <w:rPr>
                      <w:b/>
                      <w:bCs/>
                      <w:color w:val="auto"/>
                      <w:szCs w:val="21"/>
                    </w:rPr>
                  </w:pPr>
                  <w:r>
                    <w:rPr>
                      <w:rFonts w:hint="eastAsia"/>
                      <w:color w:val="auto"/>
                      <w:kern w:val="21"/>
                      <w:szCs w:val="21"/>
                      <w:lang w:val="en-US" w:eastAsia="zh-CN"/>
                    </w:rPr>
                    <w:t>符合</w:t>
                  </w:r>
                </w:p>
              </w:tc>
            </w:tr>
            <w:tr w14:paraId="4459D0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15" w:hRule="atLeast"/>
                <w:jc w:val="center"/>
              </w:trPr>
              <w:tc>
                <w:tcPr>
                  <w:tcW w:w="1048" w:type="pct"/>
                  <w:vMerge w:val="continue"/>
                  <w:vAlign w:val="center"/>
                </w:tcPr>
                <w:p w14:paraId="409CA220">
                  <w:pPr>
                    <w:jc w:val="center"/>
                    <w:rPr>
                      <w:color w:val="auto"/>
                    </w:rPr>
                  </w:pPr>
                </w:p>
              </w:tc>
              <w:tc>
                <w:tcPr>
                  <w:tcW w:w="2439" w:type="pct"/>
                  <w:vAlign w:val="center"/>
                </w:tcPr>
                <w:p w14:paraId="0A5A3F72">
                  <w:pPr>
                    <w:jc w:val="center"/>
                    <w:rPr>
                      <w:b/>
                      <w:bCs/>
                      <w:color w:val="auto"/>
                      <w:szCs w:val="21"/>
                    </w:rPr>
                  </w:pPr>
                  <w:r>
                    <w:rPr>
                      <w:b w:val="0"/>
                      <w:color w:val="auto"/>
                      <w:kern w:val="21"/>
                      <w:sz w:val="21"/>
                      <w:szCs w:val="21"/>
                    </w:rPr>
                    <w:t>关中地区市辖区及开发区范围内新、改、扩建涉气重点行业企业应达到环保绩效A级、绩效引领水平，西安市、咸阳市、渭南市的其他区域应达到环保绩效B级及以上水平。</w:t>
                  </w:r>
                </w:p>
              </w:tc>
              <w:tc>
                <w:tcPr>
                  <w:tcW w:w="1022" w:type="pct"/>
                  <w:vAlign w:val="center"/>
                </w:tcPr>
                <w:p w14:paraId="66789707">
                  <w:pPr>
                    <w:keepNext w:val="0"/>
                    <w:keepLines w:val="0"/>
                    <w:pageBreakBefore w:val="0"/>
                    <w:widowControl w:val="0"/>
                    <w:kinsoku/>
                    <w:wordWrap w:val="0"/>
                    <w:overflowPunct/>
                    <w:topLinePunct w:val="0"/>
                    <w:autoSpaceDE/>
                    <w:autoSpaceDN/>
                    <w:bidi w:val="0"/>
                    <w:adjustRightInd/>
                    <w:snapToGrid/>
                    <w:jc w:val="center"/>
                    <w:textAlignment w:val="auto"/>
                    <w:rPr>
                      <w:b/>
                      <w:bCs/>
                      <w:color w:val="auto"/>
                      <w:szCs w:val="21"/>
                    </w:rPr>
                  </w:pPr>
                  <w:r>
                    <w:rPr>
                      <w:rFonts w:hint="eastAsia" w:cs="Times New Roman"/>
                      <w:color w:val="auto"/>
                      <w:kern w:val="21"/>
                      <w:szCs w:val="21"/>
                      <w:lang w:val="en-US" w:eastAsia="zh-CN"/>
                    </w:rPr>
                    <w:t>本项目不属于重点行业，打磨、喷砂工序配套设置废气处理措施。</w:t>
                  </w:r>
                </w:p>
              </w:tc>
              <w:tc>
                <w:tcPr>
                  <w:tcW w:w="489" w:type="pct"/>
                  <w:vAlign w:val="center"/>
                </w:tcPr>
                <w:p w14:paraId="296EFC57">
                  <w:pPr>
                    <w:jc w:val="center"/>
                    <w:rPr>
                      <w:b/>
                      <w:bCs/>
                      <w:color w:val="auto"/>
                      <w:szCs w:val="21"/>
                    </w:rPr>
                  </w:pPr>
                  <w:r>
                    <w:rPr>
                      <w:rFonts w:hint="eastAsia" w:cs="Times New Roman"/>
                      <w:color w:val="auto"/>
                      <w:kern w:val="21"/>
                      <w:szCs w:val="21"/>
                      <w:lang w:val="en-US" w:eastAsia="zh-CN"/>
                    </w:rPr>
                    <w:t>符合</w:t>
                  </w:r>
                </w:p>
              </w:tc>
            </w:tr>
            <w:tr w14:paraId="25AA8D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15" w:hRule="atLeast"/>
                <w:jc w:val="center"/>
              </w:trPr>
              <w:tc>
                <w:tcPr>
                  <w:tcW w:w="1048" w:type="pct"/>
                  <w:vAlign w:val="center"/>
                </w:tcPr>
                <w:p w14:paraId="19F3A8C7">
                  <w:pPr>
                    <w:jc w:val="center"/>
                    <w:rPr>
                      <w:color w:val="auto"/>
                    </w:rPr>
                  </w:pPr>
                  <w:r>
                    <w:rPr>
                      <w:rFonts w:hint="default" w:ascii="Times New Roman" w:hAnsi="Times New Roman" w:cs="Times New Roman"/>
                    </w:rPr>
                    <w:t>《西咸新区大气污染治理专项行动方案（2023-2027年）》（陕西咸党发〔2023〕4 号）</w:t>
                  </w:r>
                </w:p>
              </w:tc>
              <w:tc>
                <w:tcPr>
                  <w:tcW w:w="2439" w:type="pct"/>
                  <w:vAlign w:val="center"/>
                </w:tcPr>
                <w:p w14:paraId="20439E6F">
                  <w:pPr>
                    <w:rPr>
                      <w:b w:val="0"/>
                      <w:color w:val="auto"/>
                      <w:kern w:val="21"/>
                      <w:sz w:val="21"/>
                      <w:szCs w:val="21"/>
                    </w:rPr>
                  </w:pPr>
                  <w:r>
                    <w:rPr>
                      <w:rFonts w:hint="default" w:ascii="Times New Roman" w:hAnsi="Times New Roman" w:cs="Times New Roman"/>
                    </w:rPr>
                    <w:t>严格新、改、扩建涉气重点行业绩效评级限制条件。新区范围内新、改、扩建涉气重点行业企业应达到环保绩效A级、绩效引领性水平。</w:t>
                  </w:r>
                </w:p>
              </w:tc>
              <w:tc>
                <w:tcPr>
                  <w:tcW w:w="1022" w:type="pct"/>
                  <w:vAlign w:val="center"/>
                </w:tcPr>
                <w:p w14:paraId="22639507">
                  <w:pPr>
                    <w:rPr>
                      <w:rFonts w:hint="eastAsia" w:cs="Times New Roman"/>
                      <w:color w:val="auto"/>
                      <w:kern w:val="21"/>
                      <w:szCs w:val="21"/>
                      <w:lang w:val="en-US" w:eastAsia="zh-CN"/>
                    </w:rPr>
                  </w:pPr>
                  <w:r>
                    <w:rPr>
                      <w:rFonts w:hint="default" w:ascii="Times New Roman" w:hAnsi="Times New Roman" w:cs="Times New Roman"/>
                    </w:rPr>
                    <w:t>本项目为</w:t>
                  </w:r>
                  <w:r>
                    <w:rPr>
                      <w:rFonts w:hint="eastAsia" w:ascii="Times New Roman" w:hAnsi="Times New Roman" w:cs="Times New Roman"/>
                      <w:lang w:val="en-US" w:eastAsia="zh-CN"/>
                    </w:rPr>
                    <w:t>钛材表面处理</w:t>
                  </w:r>
                  <w:r>
                    <w:rPr>
                      <w:rFonts w:hint="default" w:ascii="Times New Roman" w:hAnsi="Times New Roman" w:cs="Times New Roman"/>
                    </w:rPr>
                    <w:t>，</w:t>
                  </w:r>
                  <w:r>
                    <w:rPr>
                      <w:rFonts w:hint="eastAsia" w:ascii="Times New Roman" w:hAnsi="Times New Roman" w:cs="Times New Roman"/>
                      <w:lang w:val="en-US" w:eastAsia="zh-CN"/>
                    </w:rPr>
                    <w:t>不</w:t>
                  </w:r>
                  <w:r>
                    <w:rPr>
                      <w:rFonts w:hint="default" w:ascii="Times New Roman" w:hAnsi="Times New Roman" w:cs="Times New Roman"/>
                    </w:rPr>
                    <w:t>属于涉气重点行业。</w:t>
                  </w:r>
                </w:p>
              </w:tc>
              <w:tc>
                <w:tcPr>
                  <w:tcW w:w="489" w:type="pct"/>
                  <w:vAlign w:val="center"/>
                </w:tcPr>
                <w:p w14:paraId="52C3A785">
                  <w:pPr>
                    <w:jc w:val="center"/>
                    <w:rPr>
                      <w:rFonts w:hint="eastAsia" w:cs="Times New Roman"/>
                      <w:color w:val="auto"/>
                      <w:kern w:val="21"/>
                      <w:szCs w:val="21"/>
                      <w:lang w:val="en-US" w:eastAsia="zh-CN"/>
                    </w:rPr>
                  </w:pPr>
                  <w:r>
                    <w:rPr>
                      <w:rFonts w:hint="default" w:ascii="Times New Roman" w:hAnsi="Times New Roman" w:cs="Times New Roman"/>
                    </w:rPr>
                    <w:t>相符</w:t>
                  </w:r>
                </w:p>
              </w:tc>
            </w:tr>
            <w:tr w14:paraId="32A8DC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48" w:hRule="atLeast"/>
                <w:jc w:val="center"/>
              </w:trPr>
              <w:tc>
                <w:tcPr>
                  <w:tcW w:w="1048" w:type="pct"/>
                  <w:vAlign w:val="center"/>
                </w:tcPr>
                <w:p w14:paraId="718056F0">
                  <w:pPr>
                    <w:jc w:val="center"/>
                    <w:rPr>
                      <w:rFonts w:hint="default" w:ascii="Times New Roman" w:hAnsi="Times New Roman" w:cs="Times New Roman"/>
                      <w:color w:val="0000FF"/>
                    </w:rPr>
                  </w:pPr>
                  <w:r>
                    <w:rPr>
                      <w:rFonts w:hint="default" w:ascii="Times New Roman" w:hAnsi="Times New Roman" w:cs="Times New Roman"/>
                      <w:color w:val="0000FF"/>
                      <w:lang w:eastAsia="zh-CN"/>
                    </w:rPr>
                    <w:t>关</w:t>
                  </w:r>
                  <w:bookmarkStart w:id="1" w:name="OLE_LINK49"/>
                  <w:r>
                    <w:rPr>
                      <w:rFonts w:hint="default" w:ascii="Times New Roman" w:hAnsi="Times New Roman" w:cs="Times New Roman"/>
                      <w:color w:val="0000FF"/>
                      <w:lang w:eastAsia="zh-CN"/>
                    </w:rPr>
                    <w:t>于</w:t>
                  </w:r>
                  <w:bookmarkEnd w:id="1"/>
                  <w:r>
                    <w:rPr>
                      <w:rFonts w:hint="default" w:ascii="Times New Roman" w:hAnsi="Times New Roman" w:cs="Times New Roman"/>
                      <w:color w:val="0000FF"/>
                      <w:lang w:eastAsia="zh-CN"/>
                    </w:rPr>
                    <w:t>印发</w:t>
                  </w:r>
                  <w:bookmarkStart w:id="2" w:name="OLE_LINK91"/>
                  <w:r>
                    <w:rPr>
                      <w:rFonts w:hint="default" w:ascii="Times New Roman" w:hAnsi="Times New Roman" w:cs="Times New Roman"/>
                      <w:color w:val="0000FF"/>
                      <w:lang w:eastAsia="zh-CN"/>
                    </w:rPr>
                    <w:t>《西咸新区大气污染治理专项行动2024年工作方案》的通知（陕西咸党政办函</w:t>
                  </w:r>
                  <w:r>
                    <w:rPr>
                      <w:rFonts w:hint="default" w:ascii="Times New Roman" w:hAnsi="Times New Roman" w:cs="Times New Roman"/>
                      <w:color w:val="0000FF"/>
                    </w:rPr>
                    <w:t>〔202</w:t>
                  </w:r>
                  <w:r>
                    <w:rPr>
                      <w:rFonts w:hint="eastAsia" w:ascii="Times New Roman" w:hAnsi="Times New Roman" w:cs="Times New Roman"/>
                      <w:color w:val="0000FF"/>
                      <w:lang w:val="en-US" w:eastAsia="zh-CN"/>
                    </w:rPr>
                    <w:t>4</w:t>
                  </w:r>
                  <w:r>
                    <w:rPr>
                      <w:rFonts w:hint="default" w:ascii="Times New Roman" w:hAnsi="Times New Roman" w:cs="Times New Roman"/>
                      <w:color w:val="0000FF"/>
                    </w:rPr>
                    <w:t>〕</w:t>
                  </w:r>
                  <w:r>
                    <w:rPr>
                      <w:rFonts w:hint="default" w:ascii="Times New Roman" w:hAnsi="Times New Roman" w:cs="Times New Roman"/>
                      <w:color w:val="0000FF"/>
                      <w:lang w:eastAsia="zh-CN"/>
                    </w:rPr>
                    <w:t>21号）</w:t>
                  </w:r>
                  <w:bookmarkEnd w:id="2"/>
                </w:p>
              </w:tc>
              <w:tc>
                <w:tcPr>
                  <w:tcW w:w="2439" w:type="pct"/>
                  <w:vAlign w:val="center"/>
                </w:tcPr>
                <w:p w14:paraId="0482FB8F">
                  <w:pPr>
                    <w:rPr>
                      <w:rFonts w:hint="default" w:ascii="Times New Roman" w:hAnsi="Times New Roman" w:cs="Times New Roman"/>
                      <w:color w:val="0000FF"/>
                    </w:rPr>
                  </w:pPr>
                  <w:r>
                    <w:rPr>
                      <w:rFonts w:hint="default" w:ascii="Times New Roman" w:hAnsi="Times New Roman" w:cs="Times New Roman"/>
                      <w:color w:val="0000FF"/>
                    </w:rPr>
                    <w:t>严格新、改、扩建涉气重点行业绩效评级限制条件。新区范围内新、改、扩建涉气重点行业企业应达到环保绩效A级、绩效引领性水平。</w:t>
                  </w:r>
                </w:p>
              </w:tc>
              <w:tc>
                <w:tcPr>
                  <w:tcW w:w="1022" w:type="pct"/>
                  <w:vAlign w:val="center"/>
                </w:tcPr>
                <w:p w14:paraId="69BFE342">
                  <w:pPr>
                    <w:rPr>
                      <w:rFonts w:hint="default" w:ascii="Times New Roman" w:hAnsi="Times New Roman" w:cs="Times New Roman"/>
                      <w:color w:val="0000FF"/>
                    </w:rPr>
                  </w:pPr>
                  <w:r>
                    <w:rPr>
                      <w:rFonts w:hint="default" w:ascii="Times New Roman" w:hAnsi="Times New Roman" w:cs="Times New Roman"/>
                      <w:color w:val="0000FF"/>
                    </w:rPr>
                    <w:t>本项目为</w:t>
                  </w:r>
                  <w:r>
                    <w:rPr>
                      <w:rFonts w:hint="eastAsia" w:ascii="Times New Roman" w:hAnsi="Times New Roman" w:cs="Times New Roman"/>
                      <w:color w:val="0000FF"/>
                      <w:lang w:val="en-US" w:eastAsia="zh-CN"/>
                    </w:rPr>
                    <w:t>钛材表面处理</w:t>
                  </w:r>
                  <w:r>
                    <w:rPr>
                      <w:rFonts w:hint="default" w:ascii="Times New Roman" w:hAnsi="Times New Roman" w:cs="Times New Roman"/>
                      <w:color w:val="0000FF"/>
                    </w:rPr>
                    <w:t>，</w:t>
                  </w:r>
                  <w:r>
                    <w:rPr>
                      <w:rFonts w:hint="eastAsia" w:ascii="Times New Roman" w:hAnsi="Times New Roman" w:cs="Times New Roman"/>
                      <w:color w:val="0000FF"/>
                      <w:lang w:val="en-US" w:eastAsia="zh-CN"/>
                    </w:rPr>
                    <w:t>不</w:t>
                  </w:r>
                  <w:r>
                    <w:rPr>
                      <w:rFonts w:hint="default" w:ascii="Times New Roman" w:hAnsi="Times New Roman" w:cs="Times New Roman"/>
                      <w:color w:val="0000FF"/>
                    </w:rPr>
                    <w:t>属于涉气重点行业。</w:t>
                  </w:r>
                </w:p>
              </w:tc>
              <w:tc>
                <w:tcPr>
                  <w:tcW w:w="489" w:type="pct"/>
                  <w:vAlign w:val="center"/>
                </w:tcPr>
                <w:p w14:paraId="4B134A2E">
                  <w:pPr>
                    <w:jc w:val="center"/>
                    <w:rPr>
                      <w:rFonts w:hint="default" w:ascii="Times New Roman" w:hAnsi="Times New Roman" w:cs="Times New Roman"/>
                      <w:color w:val="0000FF"/>
                    </w:rPr>
                  </w:pPr>
                  <w:r>
                    <w:rPr>
                      <w:rFonts w:hint="default" w:ascii="Times New Roman" w:hAnsi="Times New Roman" w:cs="Times New Roman"/>
                      <w:color w:val="0000FF"/>
                    </w:rPr>
                    <w:t>相符</w:t>
                  </w:r>
                </w:p>
              </w:tc>
            </w:tr>
            <w:tr w14:paraId="207668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7" w:hRule="atLeast"/>
                <w:jc w:val="center"/>
              </w:trPr>
              <w:tc>
                <w:tcPr>
                  <w:tcW w:w="1048" w:type="pct"/>
                  <w:vAlign w:val="center"/>
                </w:tcPr>
                <w:p w14:paraId="037D6070">
                  <w:pPr>
                    <w:jc w:val="center"/>
                    <w:rPr>
                      <w:color w:val="auto"/>
                    </w:rPr>
                  </w:pPr>
                  <w:r>
                    <w:rPr>
                      <w:rFonts w:hint="default" w:ascii="Times New Roman" w:hAnsi="Times New Roman" w:cs="Times New Roman"/>
                    </w:rPr>
                    <w:t>关于印发《泾河新城大气污染治理专项行动方案》（2023-2027年）的通知（陕泾河发〔2023〕22号）</w:t>
                  </w:r>
                </w:p>
              </w:tc>
              <w:tc>
                <w:tcPr>
                  <w:tcW w:w="2439" w:type="pct"/>
                  <w:vAlign w:val="center"/>
                </w:tcPr>
                <w:p w14:paraId="28BED24A">
                  <w:pPr>
                    <w:rPr>
                      <w:b w:val="0"/>
                      <w:color w:val="auto"/>
                      <w:kern w:val="21"/>
                      <w:sz w:val="21"/>
                      <w:szCs w:val="21"/>
                    </w:rPr>
                  </w:pPr>
                  <w:r>
                    <w:rPr>
                      <w:rFonts w:hint="default" w:ascii="Times New Roman" w:hAnsi="Times New Roman" w:cs="Times New Roman"/>
                    </w:rPr>
                    <w:t>严格新、改、扩建涉气重点行业绩效评级限制条件。新城范围内新、改、扩建涉气重点行业企业应达到环保绩效A级、绩效引领性水平。</w:t>
                  </w:r>
                </w:p>
              </w:tc>
              <w:tc>
                <w:tcPr>
                  <w:tcW w:w="1022" w:type="pct"/>
                  <w:vAlign w:val="center"/>
                </w:tcPr>
                <w:p w14:paraId="08FE3A60">
                  <w:pPr>
                    <w:rPr>
                      <w:rFonts w:hint="eastAsia" w:cs="Times New Roman"/>
                      <w:color w:val="auto"/>
                      <w:kern w:val="21"/>
                      <w:szCs w:val="21"/>
                      <w:lang w:val="en-US" w:eastAsia="zh-CN"/>
                    </w:rPr>
                  </w:pPr>
                  <w:r>
                    <w:rPr>
                      <w:rFonts w:hint="default" w:ascii="Times New Roman" w:hAnsi="Times New Roman" w:cs="Times New Roman"/>
                    </w:rPr>
                    <w:t>本项目为</w:t>
                  </w:r>
                  <w:r>
                    <w:rPr>
                      <w:rFonts w:hint="eastAsia" w:ascii="Times New Roman" w:hAnsi="Times New Roman" w:cs="Times New Roman"/>
                      <w:lang w:val="en-US" w:eastAsia="zh-CN"/>
                    </w:rPr>
                    <w:t>钛材表面处理</w:t>
                  </w:r>
                  <w:r>
                    <w:rPr>
                      <w:rFonts w:hint="default" w:ascii="Times New Roman" w:hAnsi="Times New Roman" w:cs="Times New Roman"/>
                    </w:rPr>
                    <w:t>，</w:t>
                  </w:r>
                  <w:r>
                    <w:rPr>
                      <w:rFonts w:hint="eastAsia" w:ascii="Times New Roman" w:hAnsi="Times New Roman" w:cs="Times New Roman"/>
                      <w:lang w:val="en-US" w:eastAsia="zh-CN"/>
                    </w:rPr>
                    <w:t>不</w:t>
                  </w:r>
                  <w:r>
                    <w:rPr>
                      <w:rFonts w:hint="default" w:ascii="Times New Roman" w:hAnsi="Times New Roman" w:cs="Times New Roman"/>
                    </w:rPr>
                    <w:t>属于涉气重点行业。</w:t>
                  </w:r>
                </w:p>
              </w:tc>
              <w:tc>
                <w:tcPr>
                  <w:tcW w:w="489" w:type="pct"/>
                  <w:vAlign w:val="center"/>
                </w:tcPr>
                <w:p w14:paraId="1FC9EC5C">
                  <w:pPr>
                    <w:jc w:val="center"/>
                    <w:rPr>
                      <w:rFonts w:hint="eastAsia" w:cs="Times New Roman"/>
                      <w:color w:val="auto"/>
                      <w:kern w:val="21"/>
                      <w:szCs w:val="21"/>
                      <w:lang w:val="en-US" w:eastAsia="zh-CN"/>
                    </w:rPr>
                  </w:pPr>
                  <w:r>
                    <w:rPr>
                      <w:rFonts w:hint="default" w:ascii="Times New Roman" w:hAnsi="Times New Roman" w:cs="Times New Roman"/>
                    </w:rPr>
                    <w:t>相符</w:t>
                  </w:r>
                </w:p>
              </w:tc>
            </w:tr>
            <w:tr w14:paraId="482FFD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20" w:hRule="atLeast"/>
                <w:jc w:val="center"/>
              </w:trPr>
              <w:tc>
                <w:tcPr>
                  <w:tcW w:w="1048" w:type="pct"/>
                  <w:vMerge w:val="restart"/>
                  <w:vAlign w:val="center"/>
                </w:tcPr>
                <w:p w14:paraId="79482041">
                  <w:pPr>
                    <w:keepNext w:val="0"/>
                    <w:keepLines w:val="0"/>
                    <w:pageBreakBefore w:val="0"/>
                    <w:kinsoku/>
                    <w:overflowPunct/>
                    <w:topLinePunct w:val="0"/>
                    <w:autoSpaceDE/>
                    <w:autoSpaceDN/>
                    <w:bidi w:val="0"/>
                    <w:adjustRightInd w:val="0"/>
                    <w:snapToGrid w:val="0"/>
                    <w:spacing w:line="240" w:lineRule="auto"/>
                    <w:ind w:firstLine="0" w:firstLineChars="0"/>
                    <w:jc w:val="center"/>
                    <w:textAlignment w:val="auto"/>
                    <w:rPr>
                      <w:color w:val="auto"/>
                    </w:rPr>
                  </w:pPr>
                  <w:r>
                    <w:rPr>
                      <w:rFonts w:hint="eastAsia"/>
                      <w:color w:val="auto"/>
                      <w:lang w:val="en-US" w:eastAsia="zh-CN"/>
                    </w:rPr>
                    <w:t>《陕西省噪声污染防治行动计划》（2023-2025年）</w:t>
                  </w:r>
                </w:p>
              </w:tc>
              <w:tc>
                <w:tcPr>
                  <w:tcW w:w="2439" w:type="pct"/>
                  <w:vAlign w:val="center"/>
                </w:tcPr>
                <w:p w14:paraId="212B1A2E">
                  <w:pPr>
                    <w:keepNext w:val="0"/>
                    <w:keepLines w:val="0"/>
                    <w:pageBreakBefore w:val="0"/>
                    <w:kinsoku/>
                    <w:overflowPunct/>
                    <w:topLinePunct w:val="0"/>
                    <w:autoSpaceDE/>
                    <w:autoSpaceDN/>
                    <w:bidi w:val="0"/>
                    <w:adjustRightInd w:val="0"/>
                    <w:snapToGrid w:val="0"/>
                    <w:spacing w:line="240" w:lineRule="auto"/>
                    <w:ind w:firstLine="0" w:firstLineChars="0"/>
                    <w:jc w:val="center"/>
                    <w:textAlignment w:val="auto"/>
                    <w:rPr>
                      <w:rFonts w:hAnsi="仿宋_GB2312"/>
                      <w:color w:val="auto"/>
                      <w:lang w:val="en-US" w:eastAsia="zh-CN"/>
                    </w:rPr>
                  </w:pPr>
                  <w:r>
                    <w:rPr>
                      <w:rFonts w:hAnsi="仿宋_GB2312"/>
                      <w:color w:val="auto"/>
                      <w:lang w:val="en-US" w:eastAsia="zh-CN"/>
                    </w:rPr>
                    <w:t>严格落实噪声污染防治要求。切实加强规划环评工作，充分考虑区域开发等规划内容产生的噪声对声环境质量的影响。可能产生噪声污染的新改扩建项目应当依法开展环评，符合相关规划环评管控要求。建设项目的噪声污染防治设施应当与主体工程同时设计、同时施工、同时投产使用。督促建设单位依法开展竣工环境保护验收，加大事中事后监管力度，确保各项措施落地见效。以项目环评审批、排污许可管理、竣工环保验收等为抓手，严格落实噪声污染防治措施，加大重点行业建设项目环评文件和“三同时”验收噪声部分的核查抽查力度。</w:t>
                  </w:r>
                </w:p>
              </w:tc>
              <w:tc>
                <w:tcPr>
                  <w:tcW w:w="1022" w:type="pct"/>
                  <w:vAlign w:val="center"/>
                </w:tcPr>
                <w:p w14:paraId="20ADEF27">
                  <w:pPr>
                    <w:keepNext w:val="0"/>
                    <w:keepLines w:val="0"/>
                    <w:pageBreakBefore w:val="0"/>
                    <w:kinsoku/>
                    <w:wordWrap w:val="0"/>
                    <w:overflowPunct/>
                    <w:topLinePunct w:val="0"/>
                    <w:autoSpaceDE/>
                    <w:autoSpaceDN/>
                    <w:bidi w:val="0"/>
                    <w:adjustRightInd w:val="0"/>
                    <w:snapToGrid w:val="0"/>
                    <w:spacing w:line="240" w:lineRule="auto"/>
                    <w:ind w:firstLine="0" w:firstLineChars="0"/>
                    <w:jc w:val="center"/>
                    <w:textAlignment w:val="auto"/>
                    <w:rPr>
                      <w:rFonts w:hint="eastAsia" w:cs="Times New Roman"/>
                      <w:color w:val="auto"/>
                      <w:kern w:val="21"/>
                      <w:szCs w:val="21"/>
                      <w:lang w:val="en-US" w:eastAsia="zh-CN"/>
                    </w:rPr>
                  </w:pPr>
                  <w:r>
                    <w:rPr>
                      <w:rFonts w:hint="eastAsia" w:cs="Times New Roman"/>
                      <w:color w:val="auto"/>
                      <w:kern w:val="21"/>
                      <w:szCs w:val="21"/>
                      <w:lang w:val="en-US" w:eastAsia="zh-CN"/>
                    </w:rPr>
                    <w:t>本项目为新建，正在开展环评。</w:t>
                  </w:r>
                </w:p>
              </w:tc>
              <w:tc>
                <w:tcPr>
                  <w:tcW w:w="489" w:type="pct"/>
                  <w:vAlign w:val="center"/>
                </w:tcPr>
                <w:p w14:paraId="7B656AD3">
                  <w:pPr>
                    <w:keepNext w:val="0"/>
                    <w:keepLines w:val="0"/>
                    <w:pageBreakBefore w:val="0"/>
                    <w:kinsoku/>
                    <w:wordWrap w:val="0"/>
                    <w:overflowPunct/>
                    <w:topLinePunct w:val="0"/>
                    <w:autoSpaceDE/>
                    <w:autoSpaceDN/>
                    <w:bidi w:val="0"/>
                    <w:adjustRightInd w:val="0"/>
                    <w:snapToGrid w:val="0"/>
                    <w:spacing w:line="240" w:lineRule="auto"/>
                    <w:ind w:firstLine="0" w:firstLineChars="0"/>
                    <w:jc w:val="center"/>
                    <w:textAlignment w:val="auto"/>
                    <w:rPr>
                      <w:rFonts w:hint="eastAsia" w:cs="Times New Roman"/>
                      <w:color w:val="auto"/>
                      <w:kern w:val="21"/>
                      <w:szCs w:val="21"/>
                      <w:lang w:val="en-US" w:eastAsia="zh-CN"/>
                    </w:rPr>
                  </w:pPr>
                  <w:r>
                    <w:rPr>
                      <w:rFonts w:hint="eastAsia" w:cs="Times New Roman"/>
                      <w:color w:val="auto"/>
                      <w:kern w:val="21"/>
                      <w:szCs w:val="21"/>
                      <w:lang w:val="en-US" w:eastAsia="zh-CN"/>
                    </w:rPr>
                    <w:t>符合</w:t>
                  </w:r>
                </w:p>
              </w:tc>
            </w:tr>
            <w:tr w14:paraId="06244D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20" w:hRule="atLeast"/>
                <w:jc w:val="center"/>
              </w:trPr>
              <w:tc>
                <w:tcPr>
                  <w:tcW w:w="1048" w:type="pct"/>
                  <w:vMerge w:val="continue"/>
                  <w:vAlign w:val="center"/>
                </w:tcPr>
                <w:p w14:paraId="33623204">
                  <w:pPr>
                    <w:keepNext w:val="0"/>
                    <w:keepLines w:val="0"/>
                    <w:pageBreakBefore w:val="0"/>
                    <w:kinsoku/>
                    <w:wordWrap w:val="0"/>
                    <w:overflowPunct/>
                    <w:topLinePunct w:val="0"/>
                    <w:autoSpaceDE/>
                    <w:autoSpaceDN/>
                    <w:bidi w:val="0"/>
                    <w:adjustRightInd w:val="0"/>
                    <w:snapToGrid w:val="0"/>
                    <w:spacing w:line="240" w:lineRule="auto"/>
                    <w:ind w:firstLine="0" w:firstLineChars="0"/>
                    <w:jc w:val="center"/>
                    <w:textAlignment w:val="auto"/>
                    <w:rPr>
                      <w:color w:val="auto"/>
                    </w:rPr>
                  </w:pPr>
                </w:p>
              </w:tc>
              <w:tc>
                <w:tcPr>
                  <w:tcW w:w="2439" w:type="pct"/>
                  <w:vAlign w:val="center"/>
                </w:tcPr>
                <w:p w14:paraId="2E9C18A7">
                  <w:pPr>
                    <w:keepNext w:val="0"/>
                    <w:keepLines w:val="0"/>
                    <w:pageBreakBefore w:val="0"/>
                    <w:kinsoku/>
                    <w:wordWrap w:val="0"/>
                    <w:overflowPunct/>
                    <w:topLinePunct w:val="0"/>
                    <w:autoSpaceDE/>
                    <w:autoSpaceDN/>
                    <w:bidi w:val="0"/>
                    <w:adjustRightInd w:val="0"/>
                    <w:snapToGrid w:val="0"/>
                    <w:spacing w:line="240" w:lineRule="auto"/>
                    <w:ind w:firstLine="0" w:firstLineChars="0"/>
                    <w:jc w:val="center"/>
                    <w:textAlignment w:val="auto"/>
                    <w:rPr>
                      <w:rFonts w:hAnsi="仿宋_GB2312"/>
                      <w:color w:val="auto"/>
                      <w:lang w:val="en-US" w:eastAsia="zh-CN"/>
                    </w:rPr>
                  </w:pPr>
                  <w:r>
                    <w:rPr>
                      <w:rFonts w:hAnsi="仿宋_GB2312"/>
                      <w:color w:val="auto"/>
                      <w:lang w:val="en-US" w:eastAsia="zh-CN"/>
                    </w:rPr>
                    <w:t>落实工业噪声过程控制。噪声排放工业企业切实落实噪声污染防治措施，开展工业噪声达标专项整治，严肃查处工业企业噪声超标排放行为，加强厂区内固定设备、运输工具、货物装卸和试车线等声源噪声管理，避免突发噪声扰民。</w:t>
                  </w:r>
                </w:p>
              </w:tc>
              <w:tc>
                <w:tcPr>
                  <w:tcW w:w="1022" w:type="pct"/>
                  <w:vAlign w:val="center"/>
                </w:tcPr>
                <w:p w14:paraId="70F3E091">
                  <w:pPr>
                    <w:keepNext w:val="0"/>
                    <w:keepLines w:val="0"/>
                    <w:pageBreakBefore w:val="0"/>
                    <w:kinsoku/>
                    <w:wordWrap w:val="0"/>
                    <w:overflowPunct/>
                    <w:topLinePunct w:val="0"/>
                    <w:autoSpaceDE/>
                    <w:autoSpaceDN/>
                    <w:bidi w:val="0"/>
                    <w:adjustRightInd w:val="0"/>
                    <w:snapToGrid w:val="0"/>
                    <w:spacing w:line="240" w:lineRule="auto"/>
                    <w:ind w:firstLine="0" w:firstLineChars="0"/>
                    <w:jc w:val="center"/>
                    <w:textAlignment w:val="auto"/>
                    <w:rPr>
                      <w:rFonts w:hAnsi="仿宋_GB2312"/>
                      <w:color w:val="auto"/>
                      <w:lang w:val="en-US" w:eastAsia="zh-CN"/>
                    </w:rPr>
                  </w:pPr>
                  <w:r>
                    <w:rPr>
                      <w:rFonts w:hint="eastAsia" w:hAnsi="仿宋_GB2312"/>
                      <w:color w:val="auto"/>
                      <w:lang w:val="en-US" w:eastAsia="zh-CN"/>
                    </w:rPr>
                    <w:t>本项目选用低噪声设备，采取</w:t>
                  </w:r>
                  <w:r>
                    <w:rPr>
                      <w:rFonts w:hint="default" w:ascii="Times New Roman" w:hAnsi="Times New Roman" w:cs="Times New Roman"/>
                      <w:color w:val="auto"/>
                      <w:szCs w:val="21"/>
                    </w:rPr>
                    <w:t>基础减振、厂房隔声</w:t>
                  </w:r>
                  <w:r>
                    <w:rPr>
                      <w:rFonts w:hint="eastAsia" w:cs="Times New Roman"/>
                      <w:color w:val="auto"/>
                      <w:szCs w:val="21"/>
                      <w:lang w:eastAsia="zh-CN"/>
                    </w:rPr>
                    <w:t>，</w:t>
                  </w:r>
                  <w:r>
                    <w:rPr>
                      <w:rFonts w:hint="eastAsia" w:cs="Times New Roman"/>
                      <w:color w:val="auto"/>
                      <w:szCs w:val="21"/>
                      <w:lang w:val="en-US" w:eastAsia="zh-CN"/>
                    </w:rPr>
                    <w:t>风机等高噪声设备增加软连接，以避免对周边敏感点产生影响。</w:t>
                  </w:r>
                </w:p>
              </w:tc>
              <w:tc>
                <w:tcPr>
                  <w:tcW w:w="489" w:type="pct"/>
                  <w:vAlign w:val="center"/>
                </w:tcPr>
                <w:p w14:paraId="292C2BA4">
                  <w:pPr>
                    <w:keepNext w:val="0"/>
                    <w:keepLines w:val="0"/>
                    <w:pageBreakBefore w:val="0"/>
                    <w:kinsoku/>
                    <w:wordWrap w:val="0"/>
                    <w:overflowPunct/>
                    <w:topLinePunct w:val="0"/>
                    <w:autoSpaceDE/>
                    <w:autoSpaceDN/>
                    <w:bidi w:val="0"/>
                    <w:adjustRightInd w:val="0"/>
                    <w:snapToGrid w:val="0"/>
                    <w:spacing w:line="240" w:lineRule="auto"/>
                    <w:ind w:firstLine="0" w:firstLineChars="0"/>
                    <w:jc w:val="center"/>
                    <w:textAlignment w:val="auto"/>
                    <w:rPr>
                      <w:rFonts w:hAnsi="仿宋_GB2312"/>
                      <w:color w:val="auto"/>
                      <w:lang w:val="en-US" w:eastAsia="zh-CN"/>
                    </w:rPr>
                  </w:pPr>
                  <w:r>
                    <w:rPr>
                      <w:rFonts w:hint="eastAsia" w:hAnsi="仿宋_GB2312"/>
                      <w:color w:val="auto"/>
                      <w:lang w:val="en-US" w:eastAsia="zh-CN"/>
                    </w:rPr>
                    <w:t>符合</w:t>
                  </w:r>
                </w:p>
              </w:tc>
            </w:tr>
            <w:tr w14:paraId="6DC2F4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20" w:hRule="atLeast"/>
                <w:jc w:val="center"/>
              </w:trPr>
              <w:tc>
                <w:tcPr>
                  <w:tcW w:w="1048" w:type="pct"/>
                  <w:shd w:val="clear" w:color="auto" w:fill="auto"/>
                  <w:vAlign w:val="center"/>
                </w:tcPr>
                <w:p w14:paraId="08AA2FCA">
                  <w:pPr>
                    <w:keepNext w:val="0"/>
                    <w:keepLines w:val="0"/>
                    <w:pageBreakBefore w:val="0"/>
                    <w:kinsoku/>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imes New Roman"/>
                      <w:color w:val="auto"/>
                      <w:kern w:val="2"/>
                      <w:sz w:val="21"/>
                      <w:szCs w:val="24"/>
                      <w:lang w:val="en-US" w:eastAsia="zh-CN" w:bidi="ar-SA"/>
                    </w:rPr>
                  </w:pPr>
                  <w:r>
                    <w:rPr>
                      <w:rFonts w:hint="eastAsia"/>
                      <w:color w:val="auto"/>
                      <w:lang w:val="en-US" w:eastAsia="zh-CN"/>
                    </w:rPr>
                    <w:t>《陕西省生态环境厅关于进一步加强关中地区涉气重点行业项目环评管理的通知》（陕环环评函〔2023〕76号）</w:t>
                  </w:r>
                </w:p>
              </w:tc>
              <w:tc>
                <w:tcPr>
                  <w:tcW w:w="2439" w:type="pct"/>
                  <w:shd w:val="clear" w:color="auto" w:fill="auto"/>
                  <w:vAlign w:val="center"/>
                </w:tcPr>
                <w:p w14:paraId="09320243">
                  <w:pPr>
                    <w:keepNext w:val="0"/>
                    <w:keepLines w:val="0"/>
                    <w:pageBreakBefore w:val="0"/>
                    <w:kinsoku/>
                    <w:overflowPunct/>
                    <w:topLinePunct w:val="0"/>
                    <w:autoSpaceDE/>
                    <w:autoSpaceDN/>
                    <w:bidi w:val="0"/>
                    <w:adjustRightInd w:val="0"/>
                    <w:snapToGrid w:val="0"/>
                    <w:spacing w:line="240" w:lineRule="auto"/>
                    <w:ind w:firstLine="0" w:firstLineChars="0"/>
                    <w:jc w:val="center"/>
                    <w:textAlignment w:val="auto"/>
                    <w:rPr>
                      <w:rFonts w:ascii="Times New Roman" w:hAnsi="仿宋_GB2312" w:eastAsia="宋体" w:cs="Times New Roman"/>
                      <w:color w:val="auto"/>
                      <w:kern w:val="2"/>
                      <w:sz w:val="21"/>
                      <w:szCs w:val="24"/>
                      <w:lang w:val="en-US" w:eastAsia="zh-CN" w:bidi="ar-SA"/>
                    </w:rPr>
                  </w:pPr>
                  <w:r>
                    <w:rPr>
                      <w:rFonts w:hint="eastAsia" w:hAnsi="仿宋_GB2312"/>
                      <w:color w:val="auto"/>
                      <w:lang w:val="en-US" w:eastAsia="zh-CN"/>
                    </w:rPr>
                    <w:t>关中地区涉气重点行业项目范围为生态环境部确定的39个重点行业的新改扩建项目，涉及关中各市（区）辖区及开发区范围内的应达到环保绩效A级、绩效引领性水平要求，西安市、咸阳市、渭南市的其他区域应达到环保绩效B级及以上要求。</w:t>
                  </w:r>
                </w:p>
              </w:tc>
              <w:tc>
                <w:tcPr>
                  <w:tcW w:w="1022" w:type="pct"/>
                  <w:vAlign w:val="center"/>
                </w:tcPr>
                <w:p w14:paraId="4215C573">
                  <w:pPr>
                    <w:keepNext w:val="0"/>
                    <w:keepLines w:val="0"/>
                    <w:pageBreakBefore w:val="0"/>
                    <w:widowControl w:val="0"/>
                    <w:kinsoku/>
                    <w:wordWrap w:val="0"/>
                    <w:overflowPunct/>
                    <w:topLinePunct w:val="0"/>
                    <w:autoSpaceDE/>
                    <w:autoSpaceDN/>
                    <w:bidi w:val="0"/>
                    <w:adjustRightInd/>
                    <w:snapToGrid/>
                    <w:jc w:val="center"/>
                    <w:textAlignment w:val="auto"/>
                    <w:rPr>
                      <w:rFonts w:hint="eastAsia" w:cs="Times New Roman"/>
                      <w:color w:val="auto"/>
                      <w:kern w:val="21"/>
                      <w:szCs w:val="21"/>
                      <w:lang w:val="en-US" w:eastAsia="zh-CN"/>
                    </w:rPr>
                  </w:pPr>
                  <w:r>
                    <w:rPr>
                      <w:rFonts w:hint="default" w:ascii="Times New Roman" w:hAnsi="Times New Roman" w:cs="Times New Roman"/>
                    </w:rPr>
                    <w:t>本项目为</w:t>
                  </w:r>
                  <w:r>
                    <w:rPr>
                      <w:rFonts w:hint="eastAsia" w:ascii="Times New Roman" w:hAnsi="Times New Roman" w:cs="Times New Roman"/>
                      <w:lang w:val="en-US" w:eastAsia="zh-CN"/>
                    </w:rPr>
                    <w:t>钛材表面处理</w:t>
                  </w:r>
                  <w:r>
                    <w:rPr>
                      <w:rFonts w:hint="default" w:ascii="Times New Roman" w:hAnsi="Times New Roman" w:cs="Times New Roman"/>
                    </w:rPr>
                    <w:t>，</w:t>
                  </w:r>
                  <w:r>
                    <w:rPr>
                      <w:rFonts w:hint="eastAsia" w:ascii="Times New Roman" w:hAnsi="Times New Roman" w:cs="Times New Roman"/>
                      <w:lang w:val="en-US" w:eastAsia="zh-CN"/>
                    </w:rPr>
                    <w:t>不</w:t>
                  </w:r>
                  <w:r>
                    <w:rPr>
                      <w:rFonts w:hint="default" w:ascii="Times New Roman" w:hAnsi="Times New Roman" w:cs="Times New Roman"/>
                    </w:rPr>
                    <w:t>属于涉气重点行业。</w:t>
                  </w:r>
                </w:p>
              </w:tc>
              <w:tc>
                <w:tcPr>
                  <w:tcW w:w="489" w:type="pct"/>
                  <w:vAlign w:val="center"/>
                </w:tcPr>
                <w:p w14:paraId="5C4B9340">
                  <w:pPr>
                    <w:jc w:val="center"/>
                    <w:rPr>
                      <w:rFonts w:hint="eastAsia" w:hAnsi="仿宋_GB2312"/>
                      <w:color w:val="auto"/>
                      <w:lang w:val="en-US" w:eastAsia="zh-CN"/>
                    </w:rPr>
                  </w:pPr>
                  <w:r>
                    <w:rPr>
                      <w:rFonts w:hint="eastAsia" w:cs="Times New Roman"/>
                      <w:color w:val="auto"/>
                      <w:kern w:val="21"/>
                      <w:szCs w:val="21"/>
                      <w:lang w:val="en-US" w:eastAsia="zh-CN"/>
                    </w:rPr>
                    <w:t>符合</w:t>
                  </w:r>
                </w:p>
              </w:tc>
            </w:tr>
            <w:tr w14:paraId="0597F3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15" w:hRule="atLeast"/>
                <w:jc w:val="center"/>
              </w:trPr>
              <w:tc>
                <w:tcPr>
                  <w:tcW w:w="1048" w:type="pct"/>
                  <w:vMerge w:val="restart"/>
                  <w:vAlign w:val="center"/>
                </w:tcPr>
                <w:p w14:paraId="7F1C4423">
                  <w:pPr>
                    <w:keepNext w:val="0"/>
                    <w:keepLines w:val="0"/>
                    <w:pageBreakBefore w:val="0"/>
                    <w:kinsoku/>
                    <w:wordWrap w:val="0"/>
                    <w:overflowPunct/>
                    <w:topLinePunct w:val="0"/>
                    <w:autoSpaceDE/>
                    <w:autoSpaceDN/>
                    <w:bidi w:val="0"/>
                    <w:adjustRightInd w:val="0"/>
                    <w:snapToGrid w:val="0"/>
                    <w:spacing w:line="240" w:lineRule="auto"/>
                    <w:ind w:firstLine="0" w:firstLineChars="0"/>
                    <w:jc w:val="center"/>
                    <w:textAlignment w:val="auto"/>
                    <w:rPr>
                      <w:rFonts w:hint="eastAsia"/>
                      <w:color w:val="auto"/>
                      <w:lang w:val="en-US" w:eastAsia="zh-CN"/>
                    </w:rPr>
                  </w:pPr>
                  <w:r>
                    <w:rPr>
                      <w:rFonts w:hint="default"/>
                      <w:color w:val="auto"/>
                      <w:lang w:val="en-US" w:eastAsia="zh-CN"/>
                    </w:rPr>
                    <w:t>西安市人民政府关于印发西安市空气质量达标规划（2023</w:t>
                  </w:r>
                  <w:r>
                    <w:rPr>
                      <w:rFonts w:hint="eastAsia"/>
                      <w:color w:val="auto"/>
                      <w:lang w:val="en-US" w:eastAsia="zh-CN"/>
                    </w:rPr>
                    <w:t>-</w:t>
                  </w:r>
                  <w:r>
                    <w:rPr>
                      <w:rFonts w:hint="default"/>
                      <w:color w:val="auto"/>
                      <w:lang w:val="en-US" w:eastAsia="zh-CN"/>
                    </w:rPr>
                    <w:t>2030年）的通知</w:t>
                  </w:r>
                  <w:r>
                    <w:rPr>
                      <w:rFonts w:hint="eastAsia"/>
                      <w:color w:val="auto"/>
                      <w:lang w:val="en-US" w:eastAsia="zh-CN"/>
                    </w:rPr>
                    <w:t>（市政发〔2023〕10号）</w:t>
                  </w:r>
                </w:p>
              </w:tc>
              <w:tc>
                <w:tcPr>
                  <w:tcW w:w="2439" w:type="pct"/>
                  <w:vAlign w:val="center"/>
                </w:tcPr>
                <w:p w14:paraId="71005C28">
                  <w:pPr>
                    <w:keepNext w:val="0"/>
                    <w:keepLines w:val="0"/>
                    <w:pageBreakBefore w:val="0"/>
                    <w:kinsoku/>
                    <w:wordWrap w:val="0"/>
                    <w:overflowPunct/>
                    <w:topLinePunct w:val="0"/>
                    <w:autoSpaceDE/>
                    <w:autoSpaceDN/>
                    <w:bidi w:val="0"/>
                    <w:adjustRightInd w:val="0"/>
                    <w:snapToGrid w:val="0"/>
                    <w:spacing w:line="240" w:lineRule="auto"/>
                    <w:ind w:firstLine="0" w:firstLineChars="0"/>
                    <w:jc w:val="center"/>
                    <w:textAlignment w:val="auto"/>
                    <w:rPr>
                      <w:rFonts w:hAnsi="仿宋_GB2312"/>
                      <w:color w:val="auto"/>
                      <w:lang w:val="en-US" w:eastAsia="zh-CN"/>
                    </w:rPr>
                  </w:pPr>
                  <w:r>
                    <w:rPr>
                      <w:rFonts w:hAnsi="仿宋_GB2312"/>
                      <w:color w:val="auto"/>
                      <w:lang w:val="en-US" w:eastAsia="zh-CN"/>
                    </w:rPr>
                    <w:t>根据国土空间规划分区和用途管制，实施“三线一单”（生态保护红线、环境质量底线、资源利用上线和生态环境准入清单）生态环境分区管控制度。</w:t>
                  </w:r>
                </w:p>
              </w:tc>
              <w:tc>
                <w:tcPr>
                  <w:tcW w:w="1022" w:type="pct"/>
                  <w:vAlign w:val="center"/>
                </w:tcPr>
                <w:p w14:paraId="11A1A055">
                  <w:pPr>
                    <w:keepNext w:val="0"/>
                    <w:keepLines w:val="0"/>
                    <w:pageBreakBefore w:val="0"/>
                    <w:widowControl w:val="0"/>
                    <w:kinsoku/>
                    <w:wordWrap w:val="0"/>
                    <w:overflowPunct/>
                    <w:topLinePunct w:val="0"/>
                    <w:autoSpaceDE/>
                    <w:autoSpaceDN/>
                    <w:bidi w:val="0"/>
                    <w:adjustRightInd w:val="0"/>
                    <w:snapToGrid w:val="0"/>
                    <w:spacing w:line="240" w:lineRule="auto"/>
                    <w:ind w:firstLine="0" w:firstLineChars="0"/>
                    <w:jc w:val="center"/>
                    <w:textAlignment w:val="auto"/>
                    <w:rPr>
                      <w:rFonts w:hint="eastAsia" w:cs="Times New Roman"/>
                      <w:color w:val="0000FF"/>
                      <w:kern w:val="21"/>
                      <w:szCs w:val="21"/>
                      <w:lang w:val="en-US" w:eastAsia="zh-CN"/>
                    </w:rPr>
                  </w:pPr>
                  <w:r>
                    <w:rPr>
                      <w:rFonts w:hint="eastAsia"/>
                      <w:color w:val="auto"/>
                      <w:kern w:val="21"/>
                      <w:szCs w:val="21"/>
                      <w:lang w:val="en-US" w:eastAsia="zh-CN"/>
                    </w:rPr>
                    <w:t>本项目符合“三线一单”生态环境分区管控中的相关要求。</w:t>
                  </w:r>
                </w:p>
              </w:tc>
              <w:tc>
                <w:tcPr>
                  <w:tcW w:w="489" w:type="pct"/>
                  <w:vAlign w:val="center"/>
                </w:tcPr>
                <w:p w14:paraId="04AE4C98">
                  <w:pPr>
                    <w:keepNext w:val="0"/>
                    <w:keepLines w:val="0"/>
                    <w:pageBreakBefore w:val="0"/>
                    <w:kinsoku/>
                    <w:overflowPunct/>
                    <w:topLinePunct w:val="0"/>
                    <w:autoSpaceDE/>
                    <w:autoSpaceDN/>
                    <w:bidi w:val="0"/>
                    <w:adjustRightInd w:val="0"/>
                    <w:snapToGrid w:val="0"/>
                    <w:spacing w:line="240" w:lineRule="auto"/>
                    <w:ind w:firstLine="0" w:firstLineChars="0"/>
                    <w:jc w:val="center"/>
                    <w:textAlignment w:val="auto"/>
                    <w:rPr>
                      <w:rFonts w:hint="eastAsia" w:cs="Times New Roman"/>
                      <w:color w:val="auto"/>
                      <w:kern w:val="21"/>
                      <w:szCs w:val="21"/>
                      <w:lang w:val="en-US" w:eastAsia="zh-CN"/>
                    </w:rPr>
                  </w:pPr>
                  <w:r>
                    <w:rPr>
                      <w:rFonts w:hint="eastAsia" w:cs="Times New Roman"/>
                      <w:color w:val="auto"/>
                      <w:kern w:val="21"/>
                      <w:szCs w:val="21"/>
                      <w:lang w:val="en-US" w:eastAsia="zh-CN"/>
                    </w:rPr>
                    <w:t>符合</w:t>
                  </w:r>
                </w:p>
              </w:tc>
            </w:tr>
            <w:tr w14:paraId="4B8E56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15" w:hRule="atLeast"/>
                <w:jc w:val="center"/>
              </w:trPr>
              <w:tc>
                <w:tcPr>
                  <w:tcW w:w="1048" w:type="pct"/>
                  <w:vMerge w:val="continue"/>
                  <w:vAlign w:val="center"/>
                </w:tcPr>
                <w:p w14:paraId="41B8AE65">
                  <w:pPr>
                    <w:keepNext w:val="0"/>
                    <w:keepLines w:val="0"/>
                    <w:pageBreakBefore w:val="0"/>
                    <w:kinsoku/>
                    <w:overflowPunct/>
                    <w:topLinePunct w:val="0"/>
                    <w:autoSpaceDE/>
                    <w:autoSpaceDN/>
                    <w:bidi w:val="0"/>
                    <w:adjustRightInd w:val="0"/>
                    <w:snapToGrid w:val="0"/>
                    <w:spacing w:line="240" w:lineRule="auto"/>
                    <w:ind w:firstLine="0" w:firstLineChars="0"/>
                    <w:jc w:val="center"/>
                    <w:textAlignment w:val="auto"/>
                  </w:pPr>
                </w:p>
              </w:tc>
              <w:tc>
                <w:tcPr>
                  <w:tcW w:w="2439" w:type="pct"/>
                  <w:vAlign w:val="center"/>
                </w:tcPr>
                <w:p w14:paraId="10D1946C">
                  <w:pPr>
                    <w:keepNext w:val="0"/>
                    <w:keepLines w:val="0"/>
                    <w:pageBreakBefore w:val="0"/>
                    <w:kinsoku/>
                    <w:overflowPunct/>
                    <w:topLinePunct w:val="0"/>
                    <w:autoSpaceDE/>
                    <w:autoSpaceDN/>
                    <w:bidi w:val="0"/>
                    <w:adjustRightInd w:val="0"/>
                    <w:snapToGrid w:val="0"/>
                    <w:spacing w:line="240" w:lineRule="auto"/>
                    <w:ind w:firstLine="0" w:firstLineChars="0"/>
                    <w:jc w:val="center"/>
                    <w:textAlignment w:val="auto"/>
                    <w:rPr>
                      <w:rFonts w:hAnsi="仿宋_GB2312"/>
                      <w:color w:val="auto"/>
                      <w:lang w:val="en-US" w:eastAsia="zh-CN"/>
                    </w:rPr>
                  </w:pPr>
                  <w:r>
                    <w:rPr>
                      <w:rFonts w:hAnsi="仿宋_GB2312"/>
                      <w:color w:val="auto"/>
                      <w:lang w:val="en-US" w:eastAsia="zh-CN"/>
                    </w:rPr>
                    <w:t>严格新改扩建涉气重点行业绩效评级限制条件，各区县、开发区范围内新改扩建涉气重点行业企业应达到环保绩效</w:t>
                  </w:r>
                  <w:r>
                    <w:rPr>
                      <w:rFonts w:hint="default" w:hAnsi="仿宋_GB2312"/>
                      <w:color w:val="auto"/>
                      <w:lang w:val="en-US" w:eastAsia="zh-CN"/>
                    </w:rPr>
                    <w:t>A</w:t>
                  </w:r>
                  <w:r>
                    <w:rPr>
                      <w:rFonts w:hAnsi="仿宋_GB2312"/>
                      <w:color w:val="auto"/>
                      <w:lang w:val="en-US" w:eastAsia="zh-CN"/>
                    </w:rPr>
                    <w:t>级、绩效引领性水平，周至县、蓝田县应达到环保绩效</w:t>
                  </w:r>
                  <w:r>
                    <w:rPr>
                      <w:rFonts w:hint="default" w:hAnsi="仿宋_GB2312"/>
                      <w:color w:val="auto"/>
                      <w:lang w:val="en-US" w:eastAsia="zh-CN"/>
                    </w:rPr>
                    <w:t>B</w:t>
                  </w:r>
                  <w:r>
                    <w:rPr>
                      <w:rFonts w:hAnsi="仿宋_GB2312"/>
                      <w:color w:val="auto"/>
                      <w:lang w:val="en-US" w:eastAsia="zh-CN"/>
                    </w:rPr>
                    <w:t>级及以上水平。督促指导企业落实重污染天气重点行业绩效分级技术指南要求。</w:t>
                  </w:r>
                </w:p>
              </w:tc>
              <w:tc>
                <w:tcPr>
                  <w:tcW w:w="1022" w:type="pct"/>
                  <w:vAlign w:val="center"/>
                </w:tcPr>
                <w:p w14:paraId="6101B119">
                  <w:pPr>
                    <w:keepNext w:val="0"/>
                    <w:keepLines w:val="0"/>
                    <w:pageBreakBefore w:val="0"/>
                    <w:kinsoku/>
                    <w:wordWrap w:val="0"/>
                    <w:overflowPunct/>
                    <w:topLinePunct w:val="0"/>
                    <w:autoSpaceDE/>
                    <w:autoSpaceDN/>
                    <w:bidi w:val="0"/>
                    <w:adjustRightInd w:val="0"/>
                    <w:snapToGrid w:val="0"/>
                    <w:spacing w:line="240" w:lineRule="auto"/>
                    <w:ind w:firstLine="0" w:firstLineChars="0"/>
                    <w:jc w:val="center"/>
                    <w:textAlignment w:val="auto"/>
                    <w:rPr>
                      <w:rFonts w:hAnsi="仿宋_GB2312"/>
                      <w:color w:val="auto"/>
                      <w:lang w:val="en-US" w:eastAsia="zh-CN"/>
                    </w:rPr>
                  </w:pPr>
                  <w:r>
                    <w:rPr>
                      <w:rFonts w:hint="default" w:ascii="Times New Roman" w:hAnsi="Times New Roman" w:cs="Times New Roman"/>
                    </w:rPr>
                    <w:t>本项目为</w:t>
                  </w:r>
                  <w:r>
                    <w:rPr>
                      <w:rFonts w:hint="eastAsia" w:ascii="Times New Roman" w:hAnsi="Times New Roman" w:cs="Times New Roman"/>
                      <w:lang w:val="en-US" w:eastAsia="zh-CN"/>
                    </w:rPr>
                    <w:t>钛材表面处理</w:t>
                  </w:r>
                  <w:r>
                    <w:rPr>
                      <w:rFonts w:hint="default" w:ascii="Times New Roman" w:hAnsi="Times New Roman" w:cs="Times New Roman"/>
                    </w:rPr>
                    <w:t>，</w:t>
                  </w:r>
                  <w:r>
                    <w:rPr>
                      <w:rFonts w:hint="eastAsia" w:ascii="Times New Roman" w:hAnsi="Times New Roman" w:cs="Times New Roman"/>
                      <w:lang w:val="en-US" w:eastAsia="zh-CN"/>
                    </w:rPr>
                    <w:t>不</w:t>
                  </w:r>
                  <w:r>
                    <w:rPr>
                      <w:rFonts w:hint="default" w:ascii="Times New Roman" w:hAnsi="Times New Roman" w:cs="Times New Roman"/>
                    </w:rPr>
                    <w:t>属于涉气重点行业。</w:t>
                  </w:r>
                </w:p>
              </w:tc>
              <w:tc>
                <w:tcPr>
                  <w:tcW w:w="489" w:type="pct"/>
                  <w:vAlign w:val="center"/>
                </w:tcPr>
                <w:p w14:paraId="374A0E09">
                  <w:pPr>
                    <w:keepNext w:val="0"/>
                    <w:keepLines w:val="0"/>
                    <w:pageBreakBefore w:val="0"/>
                    <w:kinsoku/>
                    <w:wordWrap w:val="0"/>
                    <w:overflowPunct/>
                    <w:topLinePunct w:val="0"/>
                    <w:autoSpaceDE/>
                    <w:autoSpaceDN/>
                    <w:bidi w:val="0"/>
                    <w:adjustRightInd w:val="0"/>
                    <w:snapToGrid w:val="0"/>
                    <w:spacing w:line="240" w:lineRule="auto"/>
                    <w:ind w:firstLine="0" w:firstLineChars="0"/>
                    <w:jc w:val="center"/>
                    <w:textAlignment w:val="auto"/>
                    <w:rPr>
                      <w:rFonts w:hAnsi="仿宋_GB2312"/>
                      <w:color w:val="auto"/>
                      <w:lang w:val="en-US" w:eastAsia="zh-CN"/>
                    </w:rPr>
                  </w:pPr>
                  <w:r>
                    <w:rPr>
                      <w:rFonts w:hint="eastAsia" w:cs="Times New Roman"/>
                      <w:color w:val="auto"/>
                      <w:kern w:val="21"/>
                      <w:szCs w:val="21"/>
                      <w:lang w:val="en-US" w:eastAsia="zh-CN"/>
                    </w:rPr>
                    <w:t>符合</w:t>
                  </w:r>
                </w:p>
              </w:tc>
            </w:tr>
          </w:tbl>
          <w:p w14:paraId="32B6A31F">
            <w:pPr>
              <w:spacing w:line="360" w:lineRule="auto"/>
              <w:ind w:firstLine="482" w:firstLineChars="200"/>
              <w:rPr>
                <w:b/>
                <w:bCs/>
                <w:color w:val="auto"/>
                <w:kern w:val="0"/>
                <w:sz w:val="24"/>
                <w:szCs w:val="20"/>
              </w:rPr>
            </w:pPr>
            <w:r>
              <w:rPr>
                <w:rFonts w:hint="eastAsia"/>
                <w:b/>
                <w:bCs/>
                <w:color w:val="auto"/>
                <w:kern w:val="0"/>
                <w:sz w:val="24"/>
                <w:szCs w:val="20"/>
                <w:lang w:val="en-US" w:eastAsia="zh-CN"/>
              </w:rPr>
              <w:t>4、</w:t>
            </w:r>
            <w:r>
              <w:rPr>
                <w:b/>
                <w:bCs/>
                <w:color w:val="auto"/>
                <w:kern w:val="0"/>
                <w:sz w:val="24"/>
                <w:szCs w:val="20"/>
              </w:rPr>
              <w:t>选址合理性分析</w:t>
            </w:r>
          </w:p>
          <w:p w14:paraId="76E29783">
            <w:pPr>
              <w:spacing w:line="360" w:lineRule="auto"/>
              <w:ind w:firstLine="480" w:firstLineChars="200"/>
              <w:rPr>
                <w:rFonts w:hint="eastAsia" w:eastAsia="宋体"/>
                <w:color w:val="auto"/>
                <w:kern w:val="0"/>
                <w:sz w:val="24"/>
                <w:szCs w:val="20"/>
                <w:lang w:val="en-US" w:eastAsia="zh-CN"/>
              </w:rPr>
            </w:pPr>
            <w:r>
              <w:rPr>
                <w:color w:val="auto"/>
                <w:kern w:val="0"/>
                <w:sz w:val="24"/>
                <w:szCs w:val="20"/>
              </w:rPr>
              <w:t>①</w:t>
            </w:r>
            <w:r>
              <w:rPr>
                <w:rFonts w:hint="eastAsia"/>
                <w:color w:val="auto"/>
                <w:kern w:val="0"/>
                <w:sz w:val="24"/>
                <w:szCs w:val="20"/>
                <w:lang w:val="en-US" w:eastAsia="zh-CN"/>
              </w:rPr>
              <w:t>用地分析：</w:t>
            </w:r>
            <w:r>
              <w:rPr>
                <w:color w:val="auto"/>
                <w:kern w:val="0"/>
                <w:sz w:val="24"/>
                <w:szCs w:val="20"/>
              </w:rPr>
              <w:t>本项目位于</w:t>
            </w:r>
            <w:r>
              <w:rPr>
                <w:rFonts w:hint="eastAsia"/>
                <w:color w:val="auto"/>
                <w:kern w:val="0"/>
                <w:sz w:val="24"/>
                <w:szCs w:val="20"/>
                <w:lang w:eastAsia="zh-CN"/>
              </w:rPr>
              <w:t>陕西省西咸新区泾河新城崇文镇焦村泾科路1号</w:t>
            </w:r>
            <w:r>
              <w:rPr>
                <w:color w:val="auto"/>
                <w:kern w:val="0"/>
                <w:sz w:val="24"/>
                <w:szCs w:val="20"/>
              </w:rPr>
              <w:t>，</w:t>
            </w:r>
            <w:r>
              <w:rPr>
                <w:rFonts w:hint="eastAsia"/>
                <w:color w:val="auto"/>
                <w:kern w:val="0"/>
                <w:sz w:val="24"/>
                <w:szCs w:val="20"/>
                <w:lang w:val="en-US" w:eastAsia="zh-CN"/>
              </w:rPr>
              <w:t>项目用地为工业用地，</w:t>
            </w:r>
            <w:r>
              <w:rPr>
                <w:color w:val="auto"/>
                <w:kern w:val="0"/>
                <w:sz w:val="24"/>
                <w:szCs w:val="20"/>
              </w:rPr>
              <w:t>租赁协议见附件</w:t>
            </w:r>
            <w:r>
              <w:rPr>
                <w:rFonts w:hint="eastAsia"/>
                <w:color w:val="auto"/>
                <w:kern w:val="0"/>
                <w:sz w:val="24"/>
                <w:szCs w:val="20"/>
                <w:lang w:val="en-US" w:eastAsia="zh-CN"/>
              </w:rPr>
              <w:t>3</w:t>
            </w:r>
            <w:r>
              <w:rPr>
                <w:color w:val="auto"/>
                <w:kern w:val="0"/>
                <w:sz w:val="24"/>
                <w:szCs w:val="20"/>
              </w:rPr>
              <w:t>。本项目</w:t>
            </w:r>
            <w:r>
              <w:rPr>
                <w:rFonts w:hint="eastAsia"/>
                <w:color w:val="auto"/>
                <w:kern w:val="0"/>
                <w:sz w:val="24"/>
                <w:szCs w:val="20"/>
              </w:rPr>
              <w:t>北侧</w:t>
            </w:r>
            <w:r>
              <w:rPr>
                <w:rFonts w:hint="eastAsia"/>
                <w:color w:val="auto"/>
                <w:kern w:val="0"/>
                <w:sz w:val="24"/>
                <w:szCs w:val="20"/>
                <w:lang w:val="en-US" w:eastAsia="zh-CN"/>
              </w:rPr>
              <w:t>为陕西重华重工衡器有限公司、南侧为重华重工空置厂房、西侧及东侧为空地</w:t>
            </w:r>
            <w:r>
              <w:rPr>
                <w:rFonts w:hint="eastAsia"/>
                <w:color w:val="auto"/>
                <w:kern w:val="0"/>
                <w:sz w:val="24"/>
                <w:szCs w:val="20"/>
              </w:rPr>
              <w:t>，</w:t>
            </w:r>
            <w:r>
              <w:rPr>
                <w:rFonts w:hint="eastAsia"/>
                <w:color w:val="auto"/>
                <w:kern w:val="0"/>
                <w:sz w:val="24"/>
                <w:szCs w:val="20"/>
                <w:lang w:val="en-US" w:eastAsia="zh-CN"/>
              </w:rPr>
              <w:t>项目东侧700m处为延西高速，</w:t>
            </w:r>
            <w:r>
              <w:rPr>
                <w:rFonts w:hint="eastAsia"/>
                <w:color w:val="auto"/>
                <w:sz w:val="24"/>
              </w:rPr>
              <w:t>交通便利，便于原材料及产品的运输</w:t>
            </w:r>
            <w:r>
              <w:rPr>
                <w:color w:val="auto"/>
                <w:kern w:val="0"/>
                <w:sz w:val="24"/>
                <w:szCs w:val="20"/>
              </w:rPr>
              <w:t>。</w:t>
            </w:r>
          </w:p>
          <w:p w14:paraId="2CCC9233">
            <w:pPr>
              <w:spacing w:line="360" w:lineRule="auto"/>
              <w:ind w:firstLine="480" w:firstLineChars="200"/>
              <w:rPr>
                <w:color w:val="auto"/>
                <w:kern w:val="0"/>
                <w:sz w:val="24"/>
                <w:szCs w:val="20"/>
              </w:rPr>
            </w:pPr>
            <w:r>
              <w:rPr>
                <w:color w:val="auto"/>
                <w:kern w:val="0"/>
                <w:sz w:val="24"/>
                <w:szCs w:val="20"/>
              </w:rPr>
              <w:t>②</w:t>
            </w:r>
            <w:r>
              <w:rPr>
                <w:rFonts w:hint="eastAsia"/>
                <w:color w:val="auto"/>
                <w:kern w:val="0"/>
                <w:sz w:val="24"/>
                <w:szCs w:val="20"/>
              </w:rPr>
              <w:t>公辅</w:t>
            </w:r>
            <w:r>
              <w:rPr>
                <w:color w:val="auto"/>
                <w:kern w:val="0"/>
                <w:sz w:val="24"/>
                <w:szCs w:val="20"/>
              </w:rPr>
              <w:t>设施分析：本项目</w:t>
            </w:r>
            <w:r>
              <w:rPr>
                <w:rFonts w:hint="eastAsia"/>
                <w:color w:val="auto"/>
                <w:kern w:val="0"/>
                <w:sz w:val="24"/>
                <w:szCs w:val="20"/>
                <w:lang w:eastAsia="zh-CN"/>
              </w:rPr>
              <w:t>陕西省西咸新区泾河新城崇文镇焦村泾科路1号</w:t>
            </w:r>
            <w:r>
              <w:rPr>
                <w:rFonts w:hint="eastAsia"/>
                <w:color w:val="auto"/>
                <w:sz w:val="24"/>
              </w:rPr>
              <w:t>，给水、用电均依托</w:t>
            </w:r>
            <w:r>
              <w:rPr>
                <w:rFonts w:hint="eastAsia"/>
                <w:color w:val="auto"/>
                <w:kern w:val="0"/>
                <w:sz w:val="24"/>
                <w:szCs w:val="20"/>
                <w:lang w:val="en-US" w:eastAsia="zh-CN"/>
              </w:rPr>
              <w:t>市政管网</w:t>
            </w:r>
            <w:r>
              <w:rPr>
                <w:rFonts w:hint="eastAsia"/>
                <w:color w:val="auto"/>
                <w:sz w:val="24"/>
              </w:rPr>
              <w:t>供给</w:t>
            </w:r>
            <w:r>
              <w:rPr>
                <w:rFonts w:hint="eastAsia"/>
                <w:color w:val="auto"/>
                <w:sz w:val="24"/>
                <w:lang w:eastAsia="zh-CN"/>
              </w:rPr>
              <w:t>，</w:t>
            </w:r>
            <w:r>
              <w:rPr>
                <w:rFonts w:hint="eastAsia"/>
                <w:color w:val="auto"/>
                <w:sz w:val="24"/>
                <w:lang w:val="en-US" w:eastAsia="zh-CN"/>
              </w:rPr>
              <w:t>生活污水依托陕西重型机械制造有限公司处理后经市政管网排入西安工业资产经营公司泾河产业基地污水处理站处理</w:t>
            </w:r>
            <w:r>
              <w:rPr>
                <w:color w:val="auto"/>
                <w:kern w:val="0"/>
                <w:sz w:val="24"/>
                <w:szCs w:val="20"/>
              </w:rPr>
              <w:t>。由此分析，本项目</w:t>
            </w:r>
            <w:r>
              <w:rPr>
                <w:rFonts w:hint="eastAsia"/>
                <w:color w:val="auto"/>
                <w:kern w:val="0"/>
                <w:sz w:val="24"/>
                <w:szCs w:val="20"/>
              </w:rPr>
              <w:t>公</w:t>
            </w:r>
            <w:r>
              <w:rPr>
                <w:color w:val="auto"/>
                <w:kern w:val="0"/>
                <w:sz w:val="24"/>
                <w:szCs w:val="20"/>
              </w:rPr>
              <w:t>用工程均依托可行，满足生产需要。</w:t>
            </w:r>
          </w:p>
          <w:p w14:paraId="46063A22">
            <w:pPr>
              <w:spacing w:line="360" w:lineRule="auto"/>
              <w:ind w:firstLine="480" w:firstLineChars="200"/>
              <w:rPr>
                <w:color w:val="auto"/>
                <w:kern w:val="0"/>
                <w:sz w:val="24"/>
                <w:szCs w:val="20"/>
              </w:rPr>
            </w:pPr>
            <w:r>
              <w:rPr>
                <w:color w:val="auto"/>
                <w:kern w:val="0"/>
                <w:sz w:val="24"/>
                <w:szCs w:val="20"/>
              </w:rPr>
              <w:t>③污染物</w:t>
            </w:r>
            <w:r>
              <w:rPr>
                <w:color w:val="auto"/>
                <w:kern w:val="0"/>
                <w:sz w:val="24"/>
              </w:rPr>
              <w:t>影响分析：</w:t>
            </w:r>
            <w:r>
              <w:rPr>
                <w:rFonts w:hint="eastAsia"/>
                <w:color w:val="auto"/>
                <w:kern w:val="0"/>
                <w:sz w:val="24"/>
                <w:lang w:val="en-US" w:eastAsia="zh-CN"/>
              </w:rPr>
              <w:t>打磨粉尘经水雾式除尘及袋式除尘器及袋式除尘器处理后经20m高DA001排气筒排放，喷砂粉尘经配套袋式除尘器处理后无组织排放；</w:t>
            </w:r>
            <w:r>
              <w:rPr>
                <w:rFonts w:hint="eastAsia"/>
                <w:color w:val="auto"/>
                <w:sz w:val="24"/>
                <w:lang w:val="en-US" w:eastAsia="zh-CN"/>
              </w:rPr>
              <w:t>生活污水依托陕西重型机械制造有限公司化粪池处理后经市政管网排入西安工业资产经营公司泾河产业基地污水处理站处理</w:t>
            </w:r>
            <w:r>
              <w:rPr>
                <w:rFonts w:hint="eastAsia"/>
                <w:color w:val="auto"/>
                <w:kern w:val="0"/>
                <w:sz w:val="24"/>
                <w:szCs w:val="22"/>
              </w:rPr>
              <w:t>；</w:t>
            </w:r>
            <w:r>
              <w:rPr>
                <w:color w:val="auto"/>
                <w:kern w:val="0"/>
                <w:sz w:val="24"/>
                <w:szCs w:val="22"/>
              </w:rPr>
              <w:t>项目设备安装在车间内</w:t>
            </w:r>
            <w:r>
              <w:rPr>
                <w:rFonts w:hint="eastAsia"/>
                <w:color w:val="auto"/>
                <w:kern w:val="0"/>
                <w:sz w:val="24"/>
                <w:szCs w:val="22"/>
                <w:lang w:val="en-US" w:eastAsia="zh-CN"/>
              </w:rPr>
              <w:t>远离</w:t>
            </w:r>
            <w:r>
              <w:rPr>
                <w:rFonts w:hint="eastAsia"/>
                <w:color w:val="auto"/>
                <w:kern w:val="0"/>
                <w:sz w:val="24"/>
                <w:lang w:val="en-US" w:eastAsia="zh-CN"/>
              </w:rPr>
              <w:t>敏感点的位置</w:t>
            </w:r>
            <w:r>
              <w:rPr>
                <w:color w:val="auto"/>
                <w:kern w:val="0"/>
                <w:sz w:val="24"/>
                <w:szCs w:val="22"/>
              </w:rPr>
              <w:t>，高噪声设</w:t>
            </w:r>
            <w:r>
              <w:rPr>
                <w:color w:val="auto"/>
                <w:kern w:val="0"/>
                <w:sz w:val="24"/>
                <w:szCs w:val="20"/>
              </w:rPr>
              <w:t>备安装基础</w:t>
            </w:r>
            <w:r>
              <w:rPr>
                <w:rFonts w:hint="eastAsia"/>
                <w:color w:val="auto"/>
                <w:kern w:val="0"/>
                <w:sz w:val="24"/>
                <w:szCs w:val="20"/>
                <w:lang w:eastAsia="zh-CN"/>
              </w:rPr>
              <w:t>减振</w:t>
            </w:r>
            <w:r>
              <w:rPr>
                <w:color w:val="auto"/>
                <w:kern w:val="0"/>
                <w:sz w:val="24"/>
                <w:szCs w:val="20"/>
              </w:rPr>
              <w:t>、隔声降噪等措施；生活垃圾分类收集，定期由环卫部门</w:t>
            </w:r>
            <w:r>
              <w:rPr>
                <w:rFonts w:hint="eastAsia"/>
                <w:color w:val="auto"/>
                <w:kern w:val="0"/>
                <w:sz w:val="24"/>
                <w:szCs w:val="20"/>
                <w:lang w:val="en-US" w:eastAsia="zh-CN"/>
              </w:rPr>
              <w:t>处置</w:t>
            </w:r>
            <w:r>
              <w:rPr>
                <w:rFonts w:hint="eastAsia"/>
                <w:color w:val="auto"/>
                <w:kern w:val="0"/>
                <w:sz w:val="24"/>
                <w:szCs w:val="20"/>
              </w:rPr>
              <w:t>，</w:t>
            </w:r>
            <w:r>
              <w:rPr>
                <w:rFonts w:hint="eastAsia"/>
                <w:bCs/>
                <w:color w:val="auto"/>
                <w:kern w:val="0"/>
                <w:sz w:val="24"/>
                <w:szCs w:val="20"/>
                <w:lang w:val="en-US" w:eastAsia="zh-CN"/>
              </w:rPr>
              <w:t>废砂轮、废陶瓷壳、除尘灰、废沉渣、废布袋</w:t>
            </w:r>
            <w:r>
              <w:rPr>
                <w:color w:val="auto"/>
                <w:kern w:val="0"/>
                <w:sz w:val="24"/>
                <w:szCs w:val="20"/>
              </w:rPr>
              <w:t>收集后</w:t>
            </w:r>
            <w:r>
              <w:rPr>
                <w:rFonts w:hint="eastAsia"/>
                <w:color w:val="auto"/>
                <w:kern w:val="0"/>
                <w:sz w:val="24"/>
                <w:szCs w:val="20"/>
                <w:lang w:val="en-US" w:eastAsia="zh-CN"/>
              </w:rPr>
              <w:t>定期外售</w:t>
            </w:r>
            <w:r>
              <w:rPr>
                <w:rFonts w:hint="eastAsia"/>
                <w:color w:val="auto"/>
                <w:kern w:val="0"/>
                <w:sz w:val="24"/>
                <w:szCs w:val="20"/>
              </w:rPr>
              <w:t>。</w:t>
            </w:r>
            <w:r>
              <w:rPr>
                <w:color w:val="auto"/>
                <w:kern w:val="0"/>
                <w:sz w:val="24"/>
                <w:szCs w:val="20"/>
              </w:rPr>
              <w:t>采取以上措施后，项目</w:t>
            </w:r>
            <w:r>
              <w:rPr>
                <w:bCs/>
                <w:color w:val="auto"/>
                <w:kern w:val="0"/>
                <w:sz w:val="24"/>
                <w:szCs w:val="20"/>
              </w:rPr>
              <w:t>产生的</w:t>
            </w:r>
            <w:r>
              <w:rPr>
                <w:rFonts w:hint="eastAsia"/>
                <w:bCs/>
                <w:color w:val="auto"/>
                <w:kern w:val="0"/>
                <w:sz w:val="24"/>
                <w:szCs w:val="20"/>
                <w:lang w:val="en-US" w:eastAsia="zh-CN"/>
              </w:rPr>
              <w:t>废气、</w:t>
            </w:r>
            <w:r>
              <w:rPr>
                <w:bCs/>
                <w:color w:val="auto"/>
                <w:kern w:val="0"/>
                <w:sz w:val="24"/>
                <w:szCs w:val="20"/>
              </w:rPr>
              <w:t>废水、噪声和固体废物等方面环境影响，均能实现达标排放和合理处置。</w:t>
            </w:r>
          </w:p>
          <w:p w14:paraId="5C1FF738">
            <w:pPr>
              <w:spacing w:line="360" w:lineRule="auto"/>
              <w:ind w:firstLine="480" w:firstLineChars="200"/>
              <w:jc w:val="left"/>
              <w:rPr>
                <w:color w:val="auto"/>
                <w:kern w:val="0"/>
                <w:sz w:val="24"/>
              </w:rPr>
            </w:pPr>
            <w:r>
              <w:rPr>
                <w:rFonts w:hint="eastAsia" w:ascii="宋体" w:hAnsi="宋体" w:cs="宋体"/>
                <w:color w:val="auto"/>
                <w:kern w:val="0"/>
                <w:sz w:val="24"/>
                <w:szCs w:val="20"/>
              </w:rPr>
              <w:t>④</w:t>
            </w:r>
            <w:r>
              <w:rPr>
                <w:color w:val="auto"/>
                <w:kern w:val="0"/>
                <w:sz w:val="24"/>
                <w:szCs w:val="20"/>
              </w:rPr>
              <w:t>周围制约因素分析：项目建成后</w:t>
            </w:r>
            <w:r>
              <w:rPr>
                <w:rFonts w:hint="eastAsia"/>
                <w:color w:val="auto"/>
                <w:kern w:val="0"/>
                <w:sz w:val="24"/>
                <w:szCs w:val="20"/>
                <w:lang w:val="en-US" w:eastAsia="zh-CN"/>
              </w:rPr>
              <w:t>废气、</w:t>
            </w:r>
            <w:r>
              <w:rPr>
                <w:bCs/>
                <w:color w:val="auto"/>
                <w:kern w:val="0"/>
                <w:sz w:val="24"/>
                <w:szCs w:val="20"/>
              </w:rPr>
              <w:t>废水、噪声和固体废物在采用相应的污染防治措施后，均能实现达标排放和合理处置</w:t>
            </w:r>
            <w:r>
              <w:rPr>
                <w:rFonts w:hint="eastAsia"/>
                <w:color w:val="auto"/>
                <w:kern w:val="0"/>
                <w:sz w:val="24"/>
                <w:szCs w:val="20"/>
              </w:rPr>
              <w:t>，</w:t>
            </w:r>
            <w:r>
              <w:rPr>
                <w:color w:val="auto"/>
                <w:kern w:val="0"/>
                <w:sz w:val="24"/>
                <w:szCs w:val="20"/>
              </w:rPr>
              <w:t>项目周边无500m范围内无饮用水源保护区、自然保护区和重要渔业水域等环境</w:t>
            </w:r>
            <w:r>
              <w:rPr>
                <w:rFonts w:hint="eastAsia"/>
                <w:color w:val="auto"/>
                <w:kern w:val="0"/>
                <w:sz w:val="24"/>
              </w:rPr>
              <w:t>，</w:t>
            </w:r>
            <w:r>
              <w:rPr>
                <w:color w:val="auto"/>
                <w:kern w:val="0"/>
                <w:sz w:val="24"/>
                <w:szCs w:val="20"/>
              </w:rPr>
              <w:t>故本项目的建设不存在制约因素。</w:t>
            </w:r>
          </w:p>
          <w:p w14:paraId="2F56060A">
            <w:pPr>
              <w:keepNext w:val="0"/>
              <w:keepLines w:val="0"/>
              <w:pageBreakBefore w:val="0"/>
              <w:widowControl w:val="0"/>
              <w:kinsoku/>
              <w:wordWrap/>
              <w:overflowPunct/>
              <w:topLinePunct w:val="0"/>
              <w:bidi w:val="0"/>
              <w:adjustRightInd w:val="0"/>
              <w:snapToGrid/>
              <w:spacing w:line="360" w:lineRule="auto"/>
              <w:ind w:firstLine="480" w:firstLineChars="200"/>
              <w:textAlignment w:val="auto"/>
              <w:rPr>
                <w:color w:val="auto"/>
                <w:kern w:val="0"/>
                <w:sz w:val="24"/>
                <w:szCs w:val="20"/>
              </w:rPr>
            </w:pPr>
            <w:r>
              <w:rPr>
                <w:color w:val="auto"/>
                <w:kern w:val="0"/>
                <w:sz w:val="24"/>
                <w:szCs w:val="22"/>
              </w:rPr>
              <w:t>因此，从环境保护角度分析，本项目选址合理。</w:t>
            </w:r>
          </w:p>
          <w:p w14:paraId="2EFB1EE7">
            <w:pPr>
              <w:keepNext w:val="0"/>
              <w:keepLines w:val="0"/>
              <w:pageBreakBefore w:val="0"/>
              <w:widowControl w:val="0"/>
              <w:kinsoku/>
              <w:wordWrap/>
              <w:overflowPunct/>
              <w:topLinePunct w:val="0"/>
              <w:bidi w:val="0"/>
              <w:adjustRightInd w:val="0"/>
              <w:snapToGrid/>
              <w:spacing w:line="360" w:lineRule="auto"/>
              <w:ind w:left="0" w:right="0" w:firstLine="480" w:firstLineChars="200"/>
              <w:textAlignment w:val="auto"/>
              <w:rPr>
                <w:color w:val="auto"/>
                <w:sz w:val="24"/>
                <w:szCs w:val="24"/>
              </w:rPr>
            </w:pPr>
          </w:p>
          <w:p w14:paraId="3F91657B">
            <w:pPr>
              <w:pStyle w:val="24"/>
              <w:spacing w:line="360" w:lineRule="auto"/>
              <w:rPr>
                <w:rFonts w:ascii="Times New Roman" w:cs="Times New Roman"/>
                <w:color w:val="auto"/>
                <w:szCs w:val="21"/>
              </w:rPr>
            </w:pPr>
          </w:p>
          <w:p w14:paraId="173C3FAD">
            <w:pPr>
              <w:pStyle w:val="24"/>
              <w:spacing w:line="360" w:lineRule="auto"/>
              <w:rPr>
                <w:rFonts w:ascii="Times New Roman" w:cs="Times New Roman"/>
                <w:color w:val="auto"/>
                <w:szCs w:val="21"/>
              </w:rPr>
            </w:pPr>
          </w:p>
          <w:p w14:paraId="72743BB7">
            <w:pPr>
              <w:pStyle w:val="24"/>
              <w:spacing w:line="360" w:lineRule="auto"/>
              <w:rPr>
                <w:rFonts w:ascii="Times New Roman" w:cs="Times New Roman"/>
                <w:color w:val="auto"/>
                <w:szCs w:val="21"/>
              </w:rPr>
            </w:pPr>
          </w:p>
          <w:p w14:paraId="59A75656">
            <w:pPr>
              <w:pStyle w:val="24"/>
              <w:spacing w:line="360" w:lineRule="auto"/>
              <w:rPr>
                <w:rFonts w:ascii="Times New Roman" w:cs="Times New Roman"/>
                <w:color w:val="auto"/>
                <w:szCs w:val="21"/>
              </w:rPr>
            </w:pPr>
          </w:p>
          <w:p w14:paraId="5A2BE1BD">
            <w:pPr>
              <w:pStyle w:val="24"/>
              <w:spacing w:line="360" w:lineRule="auto"/>
              <w:rPr>
                <w:rFonts w:ascii="Times New Roman" w:cs="Times New Roman"/>
                <w:color w:val="auto"/>
                <w:szCs w:val="21"/>
              </w:rPr>
            </w:pPr>
          </w:p>
          <w:p w14:paraId="30AF6579">
            <w:pPr>
              <w:pStyle w:val="24"/>
              <w:spacing w:line="360" w:lineRule="auto"/>
              <w:rPr>
                <w:rFonts w:ascii="Times New Roman" w:cs="Times New Roman"/>
                <w:color w:val="auto"/>
                <w:szCs w:val="21"/>
              </w:rPr>
            </w:pPr>
          </w:p>
          <w:p w14:paraId="0148564E">
            <w:pPr>
              <w:pStyle w:val="24"/>
              <w:spacing w:line="360" w:lineRule="auto"/>
              <w:rPr>
                <w:rFonts w:ascii="Times New Roman" w:cs="Times New Roman"/>
                <w:color w:val="auto"/>
                <w:szCs w:val="21"/>
              </w:rPr>
            </w:pPr>
          </w:p>
          <w:p w14:paraId="4C0DDF17">
            <w:pPr>
              <w:pStyle w:val="24"/>
              <w:spacing w:line="360" w:lineRule="auto"/>
              <w:rPr>
                <w:rFonts w:ascii="Times New Roman" w:cs="Times New Roman"/>
                <w:color w:val="auto"/>
                <w:szCs w:val="21"/>
              </w:rPr>
            </w:pPr>
          </w:p>
          <w:p w14:paraId="45745C67">
            <w:pPr>
              <w:pStyle w:val="24"/>
              <w:spacing w:line="360" w:lineRule="auto"/>
              <w:rPr>
                <w:rFonts w:ascii="Times New Roman" w:cs="Times New Roman"/>
                <w:color w:val="auto"/>
                <w:szCs w:val="21"/>
              </w:rPr>
            </w:pPr>
          </w:p>
          <w:p w14:paraId="4679628C">
            <w:pPr>
              <w:pStyle w:val="24"/>
              <w:spacing w:line="360" w:lineRule="auto"/>
              <w:rPr>
                <w:rFonts w:ascii="Times New Roman" w:cs="Times New Roman"/>
                <w:color w:val="auto"/>
                <w:szCs w:val="21"/>
              </w:rPr>
            </w:pPr>
          </w:p>
          <w:p w14:paraId="2557B34F">
            <w:pPr>
              <w:pStyle w:val="24"/>
              <w:spacing w:line="360" w:lineRule="auto"/>
              <w:rPr>
                <w:rFonts w:ascii="Times New Roman" w:cs="Times New Roman"/>
                <w:color w:val="auto"/>
                <w:szCs w:val="21"/>
              </w:rPr>
            </w:pPr>
          </w:p>
          <w:p w14:paraId="61951648">
            <w:pPr>
              <w:pStyle w:val="24"/>
              <w:rPr>
                <w:rFonts w:ascii="Times New Roman" w:cs="Times New Roman"/>
                <w:color w:val="auto"/>
                <w:szCs w:val="21"/>
              </w:rPr>
            </w:pPr>
          </w:p>
        </w:tc>
      </w:tr>
    </w:tbl>
    <w:p w14:paraId="6D0781E3">
      <w:pPr>
        <w:spacing w:line="360" w:lineRule="auto"/>
        <w:outlineLvl w:val="0"/>
        <w:rPr>
          <w:rFonts w:eastAsia="黑体"/>
          <w:color w:val="auto"/>
          <w:sz w:val="30"/>
        </w:rPr>
        <w:sectPr>
          <w:footerReference r:id="rId4" w:type="default"/>
          <w:pgSz w:w="11906" w:h="16838"/>
          <w:pgMar w:top="1701" w:right="1531" w:bottom="1701" w:left="1531" w:header="851" w:footer="1077" w:gutter="0"/>
          <w:pgNumType w:fmt="numberInDash" w:start="1"/>
          <w:cols w:space="720" w:num="1"/>
          <w:docGrid w:linePitch="312" w:charSpace="0"/>
        </w:sectPr>
      </w:pPr>
    </w:p>
    <w:p w14:paraId="5D38D4B9">
      <w:pPr>
        <w:widowControl/>
        <w:spacing w:before="100" w:beforeAutospacing="1" w:after="100" w:afterAutospacing="1"/>
        <w:jc w:val="center"/>
        <w:outlineLvl w:val="0"/>
        <w:rPr>
          <w:rFonts w:eastAsia="黑体"/>
          <w:snapToGrid w:val="0"/>
          <w:color w:val="auto"/>
          <w:kern w:val="0"/>
          <w:sz w:val="30"/>
          <w:szCs w:val="30"/>
        </w:rPr>
      </w:pPr>
      <w:r>
        <w:rPr>
          <w:rFonts w:eastAsia="黑体"/>
          <w:snapToGrid w:val="0"/>
          <w:color w:val="auto"/>
          <w:kern w:val="0"/>
          <w:sz w:val="30"/>
          <w:szCs w:val="30"/>
        </w:rPr>
        <w:t>二、建设项目工程分析</w:t>
      </w:r>
    </w:p>
    <w:tbl>
      <w:tblPr>
        <w:tblStyle w:val="17"/>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473"/>
        <w:gridCol w:w="8587"/>
      </w:tblGrid>
      <w:tr w14:paraId="1780412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67" w:hRule="atLeast"/>
          <w:jc w:val="center"/>
        </w:trPr>
        <w:tc>
          <w:tcPr>
            <w:tcW w:w="473" w:type="dxa"/>
            <w:vAlign w:val="center"/>
          </w:tcPr>
          <w:p w14:paraId="02B02AFE">
            <w:pPr>
              <w:widowControl/>
              <w:adjustRightInd w:val="0"/>
              <w:snapToGrid w:val="0"/>
              <w:jc w:val="center"/>
              <w:rPr>
                <w:color w:val="auto"/>
                <w:kern w:val="0"/>
                <w:szCs w:val="21"/>
              </w:rPr>
            </w:pPr>
            <w:r>
              <w:rPr>
                <w:color w:val="auto"/>
                <w:kern w:val="0"/>
                <w:sz w:val="24"/>
              </w:rPr>
              <w:t>建设内容</w:t>
            </w:r>
          </w:p>
        </w:tc>
        <w:tc>
          <w:tcPr>
            <w:tcW w:w="8587" w:type="dxa"/>
          </w:tcPr>
          <w:p w14:paraId="30E8F328">
            <w:pPr>
              <w:spacing w:line="360" w:lineRule="auto"/>
              <w:ind w:firstLine="482" w:firstLineChars="200"/>
              <w:rPr>
                <w:b/>
                <w:color w:val="auto"/>
                <w:kern w:val="0"/>
                <w:sz w:val="24"/>
                <w:szCs w:val="20"/>
              </w:rPr>
            </w:pPr>
            <w:r>
              <w:rPr>
                <w:b/>
                <w:color w:val="auto"/>
                <w:kern w:val="0"/>
                <w:sz w:val="24"/>
                <w:szCs w:val="20"/>
              </w:rPr>
              <w:t>1</w:t>
            </w:r>
            <w:r>
              <w:rPr>
                <w:rFonts w:hint="eastAsia"/>
                <w:b/>
                <w:color w:val="auto"/>
                <w:kern w:val="0"/>
                <w:sz w:val="24"/>
                <w:szCs w:val="20"/>
                <w:lang w:eastAsia="zh-CN"/>
              </w:rPr>
              <w:t>、</w:t>
            </w:r>
            <w:r>
              <w:rPr>
                <w:b/>
                <w:color w:val="auto"/>
                <w:kern w:val="0"/>
                <w:sz w:val="24"/>
                <w:szCs w:val="20"/>
              </w:rPr>
              <w:t>工程内容及规模</w:t>
            </w:r>
          </w:p>
          <w:p w14:paraId="1CF26471">
            <w:pPr>
              <w:spacing w:line="360" w:lineRule="auto"/>
              <w:ind w:firstLine="480" w:firstLineChars="200"/>
              <w:rPr>
                <w:rFonts w:hint="eastAsia" w:eastAsia="宋体"/>
                <w:color w:val="auto"/>
                <w:kern w:val="0"/>
                <w:sz w:val="24"/>
                <w:lang w:eastAsia="zh-CN"/>
              </w:rPr>
            </w:pPr>
            <w:r>
              <w:rPr>
                <w:color w:val="auto"/>
                <w:kern w:val="0"/>
                <w:sz w:val="24"/>
                <w:szCs w:val="20"/>
              </w:rPr>
              <w:t>项目名</w:t>
            </w:r>
            <w:r>
              <w:rPr>
                <w:color w:val="auto"/>
                <w:kern w:val="0"/>
                <w:sz w:val="24"/>
              </w:rPr>
              <w:t>称：</w:t>
            </w:r>
            <w:r>
              <w:rPr>
                <w:rFonts w:hint="eastAsia"/>
                <w:color w:val="auto"/>
                <w:kern w:val="0"/>
                <w:sz w:val="24"/>
                <w:lang w:eastAsia="zh-CN"/>
              </w:rPr>
              <w:t>新隆钛金属年产3000件钛棒及1500件钛及钛合金板坯生产项目</w:t>
            </w:r>
          </w:p>
          <w:p w14:paraId="2BB1996A">
            <w:pPr>
              <w:spacing w:line="360" w:lineRule="auto"/>
              <w:ind w:firstLine="480" w:firstLineChars="200"/>
              <w:rPr>
                <w:rFonts w:hint="eastAsia" w:eastAsia="宋体"/>
                <w:color w:val="auto"/>
                <w:kern w:val="0"/>
                <w:sz w:val="24"/>
                <w:lang w:eastAsia="zh-CN"/>
              </w:rPr>
            </w:pPr>
            <w:r>
              <w:rPr>
                <w:color w:val="auto"/>
                <w:kern w:val="0"/>
                <w:sz w:val="24"/>
              </w:rPr>
              <w:t>建设地点：</w:t>
            </w:r>
            <w:r>
              <w:rPr>
                <w:rFonts w:hint="eastAsia"/>
                <w:color w:val="auto"/>
                <w:kern w:val="0"/>
                <w:sz w:val="24"/>
                <w:lang w:eastAsia="zh-CN"/>
              </w:rPr>
              <w:t>陕西省西咸新区泾河新城崇文镇焦村泾科路1号</w:t>
            </w:r>
          </w:p>
          <w:p w14:paraId="52C036F8">
            <w:pPr>
              <w:spacing w:line="360" w:lineRule="auto"/>
              <w:ind w:firstLine="480" w:firstLineChars="200"/>
              <w:rPr>
                <w:rFonts w:hint="default" w:eastAsia="宋体"/>
                <w:color w:val="auto"/>
                <w:kern w:val="0"/>
                <w:sz w:val="24"/>
                <w:lang w:val="en-US" w:eastAsia="zh-CN"/>
              </w:rPr>
            </w:pPr>
            <w:r>
              <w:rPr>
                <w:color w:val="auto"/>
                <w:kern w:val="0"/>
                <w:sz w:val="24"/>
              </w:rPr>
              <w:t>建设性质：</w:t>
            </w:r>
            <w:r>
              <w:rPr>
                <w:rFonts w:hint="eastAsia"/>
                <w:color w:val="auto"/>
                <w:kern w:val="0"/>
                <w:sz w:val="24"/>
                <w:lang w:val="en-US" w:eastAsia="zh-CN"/>
              </w:rPr>
              <w:t>新建</w:t>
            </w:r>
          </w:p>
          <w:p w14:paraId="552ED8C1">
            <w:pPr>
              <w:spacing w:line="360" w:lineRule="auto"/>
              <w:ind w:firstLine="480" w:firstLineChars="200"/>
              <w:rPr>
                <w:rFonts w:hint="eastAsia" w:eastAsia="宋体"/>
                <w:color w:val="auto"/>
                <w:kern w:val="0"/>
                <w:sz w:val="24"/>
                <w:lang w:eastAsia="zh-CN"/>
              </w:rPr>
            </w:pPr>
            <w:r>
              <w:rPr>
                <w:color w:val="auto"/>
                <w:kern w:val="0"/>
                <w:sz w:val="24"/>
              </w:rPr>
              <w:t>建设单位：</w:t>
            </w:r>
            <w:r>
              <w:rPr>
                <w:rFonts w:hint="eastAsia"/>
                <w:color w:val="auto"/>
                <w:kern w:val="0"/>
                <w:sz w:val="24"/>
                <w:lang w:eastAsia="zh-CN"/>
              </w:rPr>
              <w:t>陕西新隆钛金属材料有限公司</w:t>
            </w:r>
          </w:p>
          <w:p w14:paraId="1FFCFB7C">
            <w:pPr>
              <w:spacing w:line="360" w:lineRule="auto"/>
              <w:ind w:firstLine="480" w:firstLineChars="200"/>
              <w:rPr>
                <w:color w:val="auto"/>
                <w:kern w:val="0"/>
                <w:sz w:val="24"/>
              </w:rPr>
            </w:pPr>
            <w:r>
              <w:rPr>
                <w:color w:val="auto"/>
                <w:kern w:val="0"/>
                <w:sz w:val="24"/>
              </w:rPr>
              <w:t>建设内容：</w:t>
            </w:r>
            <w:r>
              <w:rPr>
                <w:color w:val="auto"/>
                <w:kern w:val="0"/>
                <w:sz w:val="24"/>
                <w:lang w:val="en-US" w:eastAsia="zh-CN"/>
              </w:rPr>
              <w:t>租赁泾河新城崇文镇焦村泾科路1号附15</w:t>
            </w:r>
            <w:r>
              <w:rPr>
                <w:rFonts w:hint="eastAsia"/>
                <w:color w:val="auto"/>
                <w:kern w:val="0"/>
                <w:sz w:val="24"/>
                <w:lang w:val="en-US" w:eastAsia="zh-CN"/>
              </w:rPr>
              <w:t>号1200平米厂房，建成后年产钛及钛合金板坯1500件，钛棒3000件，钛铸件1.5吨。主要设备：打磨砂轮机、振壳机、喷砂机等，外购钛及钛合金板坯、钛棒进行打磨后得到成品，外购钛铸件进行振壳、打磨、喷砂后得到成品。</w:t>
            </w:r>
          </w:p>
          <w:p w14:paraId="17AA10AB">
            <w:pPr>
              <w:spacing w:line="360" w:lineRule="auto"/>
              <w:ind w:firstLine="480" w:firstLineChars="200"/>
              <w:rPr>
                <w:color w:val="auto"/>
                <w:kern w:val="0"/>
                <w:sz w:val="24"/>
              </w:rPr>
            </w:pPr>
            <w:r>
              <w:rPr>
                <w:color w:val="auto"/>
                <w:kern w:val="0"/>
                <w:sz w:val="24"/>
              </w:rPr>
              <w:t>总投资：</w:t>
            </w:r>
            <w:r>
              <w:rPr>
                <w:rFonts w:hint="eastAsia"/>
                <w:color w:val="auto"/>
                <w:kern w:val="0"/>
                <w:sz w:val="24"/>
                <w:lang w:val="en-US" w:eastAsia="zh-CN"/>
              </w:rPr>
              <w:t>100</w:t>
            </w:r>
            <w:r>
              <w:rPr>
                <w:color w:val="auto"/>
                <w:kern w:val="0"/>
                <w:sz w:val="24"/>
              </w:rPr>
              <w:t>万元，全部为企业自筹。</w:t>
            </w:r>
          </w:p>
          <w:p w14:paraId="6DC9AEED">
            <w:pPr>
              <w:spacing w:line="360" w:lineRule="auto"/>
              <w:ind w:firstLine="480" w:firstLineChars="200"/>
              <w:contextualSpacing/>
              <w:rPr>
                <w:color w:val="auto"/>
                <w:kern w:val="0"/>
                <w:sz w:val="24"/>
                <w:szCs w:val="20"/>
              </w:rPr>
            </w:pPr>
            <w:r>
              <w:rPr>
                <w:color w:val="auto"/>
                <w:kern w:val="0"/>
                <w:sz w:val="24"/>
                <w:szCs w:val="20"/>
              </w:rPr>
              <w:t>（1）地理位置</w:t>
            </w:r>
          </w:p>
          <w:p w14:paraId="0C37D1B0">
            <w:pPr>
              <w:spacing w:line="360" w:lineRule="auto"/>
              <w:ind w:firstLine="480" w:firstLineChars="200"/>
              <w:contextualSpacing/>
              <w:rPr>
                <w:b/>
                <w:color w:val="auto"/>
                <w:kern w:val="0"/>
                <w:sz w:val="24"/>
                <w:szCs w:val="20"/>
                <w:lang w:eastAsia="zh-TW"/>
              </w:rPr>
            </w:pPr>
            <w:r>
              <w:rPr>
                <w:color w:val="auto"/>
                <w:kern w:val="0"/>
                <w:sz w:val="24"/>
                <w:szCs w:val="20"/>
              </w:rPr>
              <w:t>本项目位于</w:t>
            </w:r>
            <w:r>
              <w:rPr>
                <w:rFonts w:hint="eastAsia"/>
                <w:color w:val="auto"/>
                <w:kern w:val="0"/>
                <w:sz w:val="24"/>
                <w:lang w:eastAsia="zh-CN"/>
              </w:rPr>
              <w:t>陕西省西咸新区泾河新城崇文镇焦村泾科路1号</w:t>
            </w:r>
            <w:r>
              <w:rPr>
                <w:color w:val="auto"/>
                <w:kern w:val="0"/>
                <w:sz w:val="24"/>
                <w:szCs w:val="20"/>
              </w:rPr>
              <w:t>，厂房所在地中心坐标为E10</w:t>
            </w:r>
            <w:r>
              <w:rPr>
                <w:rFonts w:hint="eastAsia"/>
                <w:color w:val="auto"/>
                <w:kern w:val="0"/>
                <w:sz w:val="24"/>
                <w:szCs w:val="20"/>
                <w:lang w:val="en-US" w:eastAsia="zh-CN"/>
              </w:rPr>
              <w:t>8</w:t>
            </w:r>
            <w:r>
              <w:rPr>
                <w:color w:val="auto"/>
                <w:kern w:val="0"/>
                <w:sz w:val="24"/>
                <w:szCs w:val="20"/>
              </w:rPr>
              <w:t>°</w:t>
            </w:r>
            <w:r>
              <w:rPr>
                <w:rFonts w:hint="eastAsia"/>
                <w:color w:val="auto"/>
                <w:kern w:val="0"/>
                <w:sz w:val="24"/>
                <w:szCs w:val="20"/>
                <w:lang w:val="en-US" w:eastAsia="zh-CN"/>
              </w:rPr>
              <w:t>58</w:t>
            </w:r>
            <w:r>
              <w:rPr>
                <w:color w:val="auto"/>
                <w:kern w:val="0"/>
                <w:sz w:val="24"/>
                <w:szCs w:val="20"/>
              </w:rPr>
              <w:t>′</w:t>
            </w:r>
            <w:r>
              <w:rPr>
                <w:rFonts w:hint="eastAsia"/>
                <w:color w:val="auto"/>
                <w:kern w:val="0"/>
                <w:sz w:val="24"/>
                <w:szCs w:val="20"/>
                <w:lang w:val="en-US" w:eastAsia="zh-CN"/>
              </w:rPr>
              <w:t>16.472</w:t>
            </w:r>
            <w:r>
              <w:rPr>
                <w:color w:val="auto"/>
                <w:kern w:val="0"/>
                <w:sz w:val="24"/>
                <w:szCs w:val="20"/>
              </w:rPr>
              <w:t>″，N34°</w:t>
            </w:r>
            <w:r>
              <w:rPr>
                <w:rFonts w:hint="eastAsia"/>
                <w:color w:val="auto"/>
                <w:kern w:val="0"/>
                <w:sz w:val="24"/>
                <w:szCs w:val="20"/>
                <w:lang w:val="en-US" w:eastAsia="zh-CN"/>
              </w:rPr>
              <w:t>28</w:t>
            </w:r>
            <w:r>
              <w:rPr>
                <w:color w:val="auto"/>
                <w:kern w:val="0"/>
                <w:sz w:val="24"/>
                <w:szCs w:val="20"/>
              </w:rPr>
              <w:t>′</w:t>
            </w:r>
            <w:r>
              <w:rPr>
                <w:rFonts w:hint="eastAsia"/>
                <w:color w:val="auto"/>
                <w:kern w:val="0"/>
                <w:sz w:val="24"/>
                <w:szCs w:val="20"/>
                <w:lang w:val="en-US" w:eastAsia="zh-CN"/>
              </w:rPr>
              <w:t>32.915</w:t>
            </w:r>
            <w:r>
              <w:rPr>
                <w:color w:val="auto"/>
                <w:kern w:val="0"/>
                <w:sz w:val="24"/>
                <w:szCs w:val="20"/>
              </w:rPr>
              <w:t>″，具体地理位置见附图1。</w:t>
            </w:r>
            <w:r>
              <w:rPr>
                <w:rFonts w:hint="eastAsia"/>
                <w:color w:val="auto"/>
                <w:kern w:val="0"/>
                <w:sz w:val="24"/>
                <w:szCs w:val="20"/>
                <w:lang w:val="en-US" w:eastAsia="zh-CN"/>
              </w:rPr>
              <w:t>项目厂房</w:t>
            </w:r>
            <w:r>
              <w:rPr>
                <w:rFonts w:hint="eastAsia"/>
                <w:color w:val="auto"/>
                <w:kern w:val="0"/>
                <w:sz w:val="24"/>
                <w:lang w:val="en-US" w:eastAsia="zh-CN"/>
              </w:rPr>
              <w:t>1200m</w:t>
            </w:r>
            <w:r>
              <w:rPr>
                <w:rFonts w:hint="eastAsia"/>
                <w:color w:val="auto"/>
                <w:kern w:val="0"/>
                <w:sz w:val="24"/>
                <w:vertAlign w:val="superscript"/>
                <w:lang w:val="en-US" w:eastAsia="zh-CN"/>
              </w:rPr>
              <w:t>2</w:t>
            </w:r>
            <w:r>
              <w:rPr>
                <w:rFonts w:hint="eastAsia"/>
                <w:color w:val="auto"/>
                <w:kern w:val="0"/>
                <w:sz w:val="24"/>
                <w:lang w:val="en-US" w:eastAsia="zh-CN"/>
              </w:rPr>
              <w:t>，</w:t>
            </w:r>
            <w:r>
              <w:rPr>
                <w:rFonts w:hint="eastAsia"/>
                <w:color w:val="auto"/>
                <w:kern w:val="0"/>
                <w:sz w:val="24"/>
                <w:szCs w:val="20"/>
              </w:rPr>
              <w:t>北侧</w:t>
            </w:r>
            <w:r>
              <w:rPr>
                <w:rFonts w:hint="eastAsia"/>
                <w:color w:val="auto"/>
                <w:kern w:val="0"/>
                <w:sz w:val="24"/>
                <w:szCs w:val="20"/>
                <w:lang w:val="en-US" w:eastAsia="zh-CN"/>
              </w:rPr>
              <w:t>为陕西重华重工衡器有限公司、南侧为重华重工空置厂房、西侧及东侧为空地</w:t>
            </w:r>
            <w:r>
              <w:rPr>
                <w:rFonts w:hint="eastAsia"/>
                <w:color w:val="auto"/>
                <w:kern w:val="0"/>
                <w:sz w:val="24"/>
                <w:szCs w:val="20"/>
                <w:lang w:eastAsia="zh-CN"/>
              </w:rPr>
              <w:t>，</w:t>
            </w:r>
            <w:r>
              <w:rPr>
                <w:color w:val="auto"/>
                <w:kern w:val="0"/>
                <w:sz w:val="24"/>
                <w:szCs w:val="20"/>
              </w:rPr>
              <w:t>具体四邻关系见附图2。</w:t>
            </w:r>
          </w:p>
          <w:p w14:paraId="6C97DBC9">
            <w:pPr>
              <w:spacing w:line="360" w:lineRule="auto"/>
              <w:ind w:firstLine="480" w:firstLineChars="200"/>
              <w:rPr>
                <w:color w:val="auto"/>
                <w:kern w:val="0"/>
                <w:sz w:val="24"/>
                <w:szCs w:val="20"/>
              </w:rPr>
            </w:pPr>
            <w:r>
              <w:rPr>
                <w:color w:val="auto"/>
                <w:kern w:val="0"/>
                <w:sz w:val="24"/>
                <w:szCs w:val="20"/>
              </w:rPr>
              <w:t>（2）工程内容</w:t>
            </w:r>
          </w:p>
          <w:p w14:paraId="234217F4">
            <w:pPr>
              <w:spacing w:line="360" w:lineRule="auto"/>
              <w:ind w:firstLine="480" w:firstLineChars="200"/>
              <w:rPr>
                <w:rFonts w:hint="default" w:eastAsia="宋体"/>
                <w:color w:val="auto"/>
                <w:kern w:val="0"/>
                <w:sz w:val="24"/>
                <w:lang w:val="en-US" w:eastAsia="zh-CN"/>
              </w:rPr>
            </w:pPr>
            <w:r>
              <w:rPr>
                <w:rFonts w:hint="eastAsia"/>
                <w:color w:val="auto"/>
                <w:kern w:val="0"/>
                <w:sz w:val="24"/>
                <w:szCs w:val="20"/>
                <w:lang w:val="en-US" w:eastAsia="zh-CN"/>
              </w:rPr>
              <w:t>本项目租赁</w:t>
            </w:r>
            <w:r>
              <w:rPr>
                <w:rFonts w:hint="eastAsia"/>
                <w:color w:val="auto"/>
                <w:kern w:val="0"/>
                <w:sz w:val="24"/>
                <w:lang w:eastAsia="zh-CN"/>
              </w:rPr>
              <w:t>陕西省西咸新区泾河新城崇文镇焦村泾科路1号</w:t>
            </w:r>
            <w:r>
              <w:rPr>
                <w:rFonts w:hint="eastAsia"/>
                <w:color w:val="auto"/>
                <w:kern w:val="0"/>
                <w:sz w:val="24"/>
                <w:lang w:val="en-US" w:eastAsia="zh-CN"/>
              </w:rPr>
              <w:t>厂房，占地面积1200m</w:t>
            </w:r>
            <w:r>
              <w:rPr>
                <w:rFonts w:hint="eastAsia"/>
                <w:color w:val="auto"/>
                <w:kern w:val="0"/>
                <w:sz w:val="24"/>
                <w:vertAlign w:val="superscript"/>
                <w:lang w:val="en-US" w:eastAsia="zh-CN"/>
              </w:rPr>
              <w:t>2</w:t>
            </w:r>
            <w:r>
              <w:rPr>
                <w:rFonts w:hint="eastAsia"/>
                <w:color w:val="auto"/>
                <w:kern w:val="0"/>
                <w:sz w:val="24"/>
                <w:lang w:val="en-US" w:eastAsia="zh-CN"/>
              </w:rPr>
              <w:t>，建成后年产钛及钛合金板坯1500件，钛棒3000件，钛铸件1.5吨。</w:t>
            </w:r>
          </w:p>
          <w:p w14:paraId="58811484">
            <w:pPr>
              <w:spacing w:line="360" w:lineRule="auto"/>
              <w:ind w:firstLine="480" w:firstLineChars="200"/>
              <w:rPr>
                <w:b/>
                <w:color w:val="auto"/>
                <w:kern w:val="0"/>
                <w:sz w:val="24"/>
                <w:szCs w:val="21"/>
              </w:rPr>
            </w:pPr>
            <w:r>
              <w:rPr>
                <w:color w:val="auto"/>
                <w:kern w:val="0"/>
                <w:sz w:val="24"/>
                <w:szCs w:val="20"/>
              </w:rPr>
              <w:t>项目建设内容</w:t>
            </w:r>
            <w:r>
              <w:rPr>
                <w:bCs/>
                <w:color w:val="auto"/>
                <w:kern w:val="0"/>
                <w:sz w:val="24"/>
                <w:szCs w:val="20"/>
              </w:rPr>
              <w:t>详见表</w:t>
            </w:r>
            <w:r>
              <w:rPr>
                <w:rFonts w:hint="eastAsia"/>
                <w:bCs/>
                <w:color w:val="auto"/>
                <w:kern w:val="0"/>
                <w:sz w:val="24"/>
                <w:szCs w:val="20"/>
              </w:rPr>
              <w:t>2-1</w:t>
            </w:r>
            <w:r>
              <w:rPr>
                <w:bCs/>
                <w:color w:val="auto"/>
                <w:kern w:val="0"/>
                <w:sz w:val="24"/>
                <w:szCs w:val="20"/>
              </w:rPr>
              <w:t>。</w:t>
            </w:r>
          </w:p>
          <w:p w14:paraId="2A209EF4">
            <w:pPr>
              <w:autoSpaceDE w:val="0"/>
              <w:autoSpaceDN w:val="0"/>
              <w:jc w:val="center"/>
              <w:rPr>
                <w:b/>
                <w:color w:val="auto"/>
                <w:szCs w:val="21"/>
              </w:rPr>
            </w:pPr>
            <w:r>
              <w:rPr>
                <w:b/>
                <w:color w:val="auto"/>
                <w:szCs w:val="21"/>
              </w:rPr>
              <w:t>表</w:t>
            </w:r>
            <w:r>
              <w:rPr>
                <w:rFonts w:hint="eastAsia"/>
                <w:b/>
                <w:color w:val="auto"/>
                <w:szCs w:val="21"/>
              </w:rPr>
              <w:t xml:space="preserve">2-1   </w:t>
            </w:r>
            <w:r>
              <w:rPr>
                <w:b/>
                <w:color w:val="auto"/>
                <w:szCs w:val="21"/>
              </w:rPr>
              <w:t>建设项目组成</w:t>
            </w:r>
          </w:p>
          <w:tbl>
            <w:tblPr>
              <w:tblStyle w:val="17"/>
              <w:tblW w:w="833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
            <w:tblGrid>
              <w:gridCol w:w="581"/>
              <w:gridCol w:w="521"/>
              <w:gridCol w:w="979"/>
              <w:gridCol w:w="5636"/>
              <w:gridCol w:w="621"/>
            </w:tblGrid>
            <w:tr w14:paraId="6D389A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3" w:hRule="atLeast"/>
                <w:jc w:val="center"/>
              </w:trPr>
              <w:tc>
                <w:tcPr>
                  <w:tcW w:w="581" w:type="dxa"/>
                  <w:tcBorders>
                    <w:tl2br w:val="nil"/>
                    <w:tr2bl w:val="nil"/>
                  </w:tcBorders>
                  <w:vAlign w:val="center"/>
                </w:tcPr>
                <w:p w14:paraId="5AEFA485">
                  <w:pPr>
                    <w:contextualSpacing/>
                    <w:jc w:val="center"/>
                    <w:rPr>
                      <w:b w:val="0"/>
                      <w:bCs w:val="0"/>
                      <w:color w:val="auto"/>
                      <w:sz w:val="21"/>
                      <w:szCs w:val="21"/>
                    </w:rPr>
                  </w:pPr>
                  <w:r>
                    <w:rPr>
                      <w:color w:val="auto"/>
                      <w:kern w:val="0"/>
                      <w:szCs w:val="21"/>
                    </w:rPr>
                    <w:t>工程类别</w:t>
                  </w:r>
                </w:p>
              </w:tc>
              <w:tc>
                <w:tcPr>
                  <w:tcW w:w="1500" w:type="dxa"/>
                  <w:gridSpan w:val="2"/>
                  <w:tcBorders>
                    <w:tl2br w:val="nil"/>
                    <w:tr2bl w:val="nil"/>
                  </w:tcBorders>
                  <w:vAlign w:val="center"/>
                </w:tcPr>
                <w:p w14:paraId="5C7CDE07">
                  <w:pPr>
                    <w:contextualSpacing/>
                    <w:jc w:val="center"/>
                    <w:rPr>
                      <w:b w:val="0"/>
                      <w:bCs w:val="0"/>
                      <w:color w:val="auto"/>
                      <w:sz w:val="21"/>
                      <w:szCs w:val="21"/>
                    </w:rPr>
                  </w:pPr>
                  <w:r>
                    <w:rPr>
                      <w:color w:val="auto"/>
                      <w:kern w:val="0"/>
                      <w:szCs w:val="21"/>
                    </w:rPr>
                    <w:t>工程名称</w:t>
                  </w:r>
                </w:p>
              </w:tc>
              <w:tc>
                <w:tcPr>
                  <w:tcW w:w="5636" w:type="dxa"/>
                  <w:tcBorders>
                    <w:tl2br w:val="nil"/>
                    <w:tr2bl w:val="nil"/>
                  </w:tcBorders>
                  <w:vAlign w:val="center"/>
                </w:tcPr>
                <w:p w14:paraId="33206D7A">
                  <w:pPr>
                    <w:jc w:val="center"/>
                    <w:rPr>
                      <w:b w:val="0"/>
                      <w:bCs w:val="0"/>
                      <w:color w:val="auto"/>
                      <w:sz w:val="21"/>
                      <w:szCs w:val="21"/>
                    </w:rPr>
                  </w:pPr>
                  <w:r>
                    <w:rPr>
                      <w:b w:val="0"/>
                      <w:bCs w:val="0"/>
                      <w:color w:val="auto"/>
                      <w:sz w:val="21"/>
                      <w:szCs w:val="21"/>
                    </w:rPr>
                    <w:t>建设内容及其规模</w:t>
                  </w:r>
                </w:p>
              </w:tc>
              <w:tc>
                <w:tcPr>
                  <w:tcW w:w="621" w:type="dxa"/>
                  <w:tcBorders>
                    <w:tl2br w:val="nil"/>
                    <w:tr2bl w:val="nil"/>
                  </w:tcBorders>
                  <w:vAlign w:val="center"/>
                </w:tcPr>
                <w:p w14:paraId="5976FB2F">
                  <w:pPr>
                    <w:jc w:val="center"/>
                    <w:rPr>
                      <w:b w:val="0"/>
                      <w:bCs w:val="0"/>
                      <w:color w:val="auto"/>
                      <w:sz w:val="21"/>
                      <w:szCs w:val="21"/>
                    </w:rPr>
                  </w:pPr>
                  <w:r>
                    <w:rPr>
                      <w:b w:val="0"/>
                      <w:bCs w:val="0"/>
                      <w:color w:val="auto"/>
                      <w:sz w:val="21"/>
                      <w:szCs w:val="21"/>
                    </w:rPr>
                    <w:t>备注</w:t>
                  </w:r>
                </w:p>
              </w:tc>
            </w:tr>
            <w:tr w14:paraId="7B4A26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03" w:hRule="atLeast"/>
                <w:jc w:val="center"/>
              </w:trPr>
              <w:tc>
                <w:tcPr>
                  <w:tcW w:w="581" w:type="dxa"/>
                  <w:tcBorders>
                    <w:tl2br w:val="nil"/>
                    <w:tr2bl w:val="nil"/>
                  </w:tcBorders>
                  <w:vAlign w:val="center"/>
                </w:tcPr>
                <w:p w14:paraId="63286ED3">
                  <w:pPr>
                    <w:jc w:val="center"/>
                    <w:rPr>
                      <w:color w:val="auto"/>
                      <w:sz w:val="21"/>
                      <w:szCs w:val="21"/>
                    </w:rPr>
                  </w:pPr>
                  <w:r>
                    <w:rPr>
                      <w:color w:val="auto"/>
                      <w:sz w:val="21"/>
                      <w:szCs w:val="21"/>
                    </w:rPr>
                    <w:t>主体工程</w:t>
                  </w:r>
                </w:p>
              </w:tc>
              <w:tc>
                <w:tcPr>
                  <w:tcW w:w="1500" w:type="dxa"/>
                  <w:gridSpan w:val="2"/>
                  <w:tcBorders>
                    <w:tl2br w:val="nil"/>
                    <w:tr2bl w:val="nil"/>
                  </w:tcBorders>
                  <w:vAlign w:val="center"/>
                </w:tcPr>
                <w:p w14:paraId="46A3A672">
                  <w:pPr>
                    <w:jc w:val="center"/>
                    <w:rPr>
                      <w:color w:val="auto"/>
                      <w:sz w:val="21"/>
                      <w:szCs w:val="21"/>
                    </w:rPr>
                  </w:pPr>
                  <w:r>
                    <w:rPr>
                      <w:color w:val="auto"/>
                      <w:sz w:val="21"/>
                      <w:szCs w:val="21"/>
                    </w:rPr>
                    <w:t>生产车间</w:t>
                  </w:r>
                </w:p>
              </w:tc>
              <w:tc>
                <w:tcPr>
                  <w:tcW w:w="5636" w:type="dxa"/>
                  <w:tcBorders>
                    <w:tl2br w:val="nil"/>
                    <w:tr2bl w:val="nil"/>
                  </w:tcBorders>
                  <w:vAlign w:val="center"/>
                </w:tcPr>
                <w:p w14:paraId="682E0CA5">
                  <w:pPr>
                    <w:rPr>
                      <w:rFonts w:hint="default" w:eastAsia="宋体"/>
                      <w:color w:val="auto"/>
                      <w:sz w:val="21"/>
                      <w:szCs w:val="21"/>
                      <w:lang w:val="en-US" w:eastAsia="zh-CN"/>
                    </w:rPr>
                  </w:pPr>
                  <w:r>
                    <w:rPr>
                      <w:rFonts w:hint="eastAsia"/>
                      <w:color w:val="auto"/>
                      <w:sz w:val="21"/>
                      <w:szCs w:val="21"/>
                      <w:lang w:val="en-US" w:eastAsia="zh-CN"/>
                    </w:rPr>
                    <w:t>钢结构厂房，建筑面积1200m</w:t>
                  </w:r>
                  <w:r>
                    <w:rPr>
                      <w:rFonts w:hint="eastAsia"/>
                      <w:color w:val="auto"/>
                      <w:sz w:val="21"/>
                      <w:szCs w:val="21"/>
                      <w:vertAlign w:val="superscript"/>
                      <w:lang w:val="en-US" w:eastAsia="zh-CN"/>
                    </w:rPr>
                    <w:t>2</w:t>
                  </w:r>
                  <w:r>
                    <w:rPr>
                      <w:rFonts w:hint="eastAsia"/>
                      <w:color w:val="auto"/>
                      <w:sz w:val="21"/>
                      <w:szCs w:val="21"/>
                      <w:lang w:val="en-US" w:eastAsia="zh-CN"/>
                    </w:rPr>
                    <w:t>，设置20台打磨砂轮机、2台振壳机、2台喷砂机等</w:t>
                  </w:r>
                </w:p>
              </w:tc>
              <w:tc>
                <w:tcPr>
                  <w:tcW w:w="621" w:type="dxa"/>
                  <w:vMerge w:val="restart"/>
                  <w:tcBorders>
                    <w:tl2br w:val="nil"/>
                    <w:tr2bl w:val="nil"/>
                  </w:tcBorders>
                  <w:vAlign w:val="center"/>
                </w:tcPr>
                <w:p w14:paraId="5B49736A">
                  <w:pPr>
                    <w:jc w:val="center"/>
                    <w:rPr>
                      <w:rFonts w:hint="default"/>
                      <w:color w:val="auto"/>
                      <w:sz w:val="21"/>
                      <w:szCs w:val="21"/>
                      <w:lang w:val="en-US" w:eastAsia="zh-CN"/>
                    </w:rPr>
                  </w:pPr>
                  <w:r>
                    <w:rPr>
                      <w:rFonts w:hint="eastAsia"/>
                      <w:color w:val="auto"/>
                      <w:sz w:val="21"/>
                      <w:szCs w:val="21"/>
                      <w:lang w:val="en-US" w:eastAsia="zh-CN"/>
                    </w:rPr>
                    <w:t>租赁厂房内新建</w:t>
                  </w:r>
                </w:p>
              </w:tc>
            </w:tr>
            <w:tr w14:paraId="32102F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3" w:hRule="atLeast"/>
                <w:jc w:val="center"/>
              </w:trPr>
              <w:tc>
                <w:tcPr>
                  <w:tcW w:w="581" w:type="dxa"/>
                  <w:tcBorders>
                    <w:tl2br w:val="nil"/>
                    <w:tr2bl w:val="nil"/>
                  </w:tcBorders>
                  <w:vAlign w:val="center"/>
                </w:tcPr>
                <w:p w14:paraId="7F958D25">
                  <w:pPr>
                    <w:jc w:val="center"/>
                    <w:rPr>
                      <w:color w:val="auto"/>
                      <w:sz w:val="21"/>
                      <w:szCs w:val="21"/>
                    </w:rPr>
                  </w:pPr>
                  <w:r>
                    <w:rPr>
                      <w:color w:val="auto"/>
                      <w:sz w:val="21"/>
                      <w:szCs w:val="21"/>
                    </w:rPr>
                    <w:t>辅助工程</w:t>
                  </w:r>
                </w:p>
              </w:tc>
              <w:tc>
                <w:tcPr>
                  <w:tcW w:w="1500" w:type="dxa"/>
                  <w:gridSpan w:val="2"/>
                  <w:tcBorders>
                    <w:tl2br w:val="nil"/>
                    <w:tr2bl w:val="nil"/>
                  </w:tcBorders>
                  <w:vAlign w:val="center"/>
                </w:tcPr>
                <w:p w14:paraId="1A2DE06C">
                  <w:pPr>
                    <w:jc w:val="center"/>
                    <w:rPr>
                      <w:rFonts w:hint="eastAsia" w:eastAsia="宋体"/>
                      <w:color w:val="auto"/>
                      <w:sz w:val="21"/>
                      <w:szCs w:val="21"/>
                      <w:lang w:val="en-US" w:eastAsia="zh-CN"/>
                    </w:rPr>
                  </w:pPr>
                  <w:r>
                    <w:rPr>
                      <w:color w:val="auto"/>
                      <w:sz w:val="21"/>
                      <w:szCs w:val="21"/>
                    </w:rPr>
                    <w:t>办公</w:t>
                  </w:r>
                  <w:r>
                    <w:rPr>
                      <w:rFonts w:hint="eastAsia"/>
                      <w:color w:val="auto"/>
                      <w:sz w:val="21"/>
                      <w:szCs w:val="21"/>
                      <w:lang w:val="en-US" w:eastAsia="zh-CN"/>
                    </w:rPr>
                    <w:t>区</w:t>
                  </w:r>
                </w:p>
              </w:tc>
              <w:tc>
                <w:tcPr>
                  <w:tcW w:w="5636" w:type="dxa"/>
                  <w:tcBorders>
                    <w:tl2br w:val="nil"/>
                    <w:tr2bl w:val="nil"/>
                  </w:tcBorders>
                  <w:vAlign w:val="center"/>
                </w:tcPr>
                <w:p w14:paraId="66F3481B">
                  <w:pPr>
                    <w:jc w:val="both"/>
                    <w:rPr>
                      <w:rFonts w:hint="default" w:eastAsia="宋体"/>
                      <w:color w:val="auto"/>
                      <w:sz w:val="21"/>
                      <w:szCs w:val="21"/>
                      <w:lang w:val="en-US" w:eastAsia="zh-CN"/>
                    </w:rPr>
                  </w:pPr>
                  <w:r>
                    <w:rPr>
                      <w:rFonts w:hint="eastAsia"/>
                      <w:color w:val="auto"/>
                      <w:sz w:val="21"/>
                      <w:szCs w:val="21"/>
                      <w:lang w:val="en-US" w:eastAsia="zh-CN"/>
                    </w:rPr>
                    <w:t>位于车间内，用于员工日常办公</w:t>
                  </w:r>
                </w:p>
              </w:tc>
              <w:tc>
                <w:tcPr>
                  <w:tcW w:w="621" w:type="dxa"/>
                  <w:vMerge w:val="continue"/>
                  <w:tcBorders>
                    <w:tl2br w:val="nil"/>
                    <w:tr2bl w:val="nil"/>
                  </w:tcBorders>
                  <w:vAlign w:val="center"/>
                </w:tcPr>
                <w:p w14:paraId="53615D38">
                  <w:pPr>
                    <w:jc w:val="center"/>
                    <w:rPr>
                      <w:rFonts w:hint="eastAsia" w:eastAsia="宋体"/>
                      <w:color w:val="auto"/>
                      <w:sz w:val="21"/>
                      <w:szCs w:val="21"/>
                      <w:lang w:eastAsia="zh-CN"/>
                    </w:rPr>
                  </w:pPr>
                </w:p>
              </w:tc>
            </w:tr>
            <w:tr w14:paraId="2F7537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3" w:hRule="atLeast"/>
                <w:jc w:val="center"/>
              </w:trPr>
              <w:tc>
                <w:tcPr>
                  <w:tcW w:w="581" w:type="dxa"/>
                  <w:vMerge w:val="restart"/>
                  <w:tcBorders>
                    <w:tl2br w:val="nil"/>
                    <w:tr2bl w:val="nil"/>
                  </w:tcBorders>
                  <w:vAlign w:val="center"/>
                </w:tcPr>
                <w:p w14:paraId="32814EA3">
                  <w:pPr>
                    <w:jc w:val="center"/>
                    <w:rPr>
                      <w:color w:val="auto"/>
                      <w:sz w:val="21"/>
                      <w:szCs w:val="21"/>
                    </w:rPr>
                  </w:pPr>
                  <w:r>
                    <w:rPr>
                      <w:color w:val="auto"/>
                      <w:sz w:val="21"/>
                      <w:szCs w:val="21"/>
                    </w:rPr>
                    <w:t>公用工程</w:t>
                  </w:r>
                </w:p>
              </w:tc>
              <w:tc>
                <w:tcPr>
                  <w:tcW w:w="1500" w:type="dxa"/>
                  <w:gridSpan w:val="2"/>
                  <w:tcBorders>
                    <w:tl2br w:val="nil"/>
                    <w:tr2bl w:val="nil"/>
                  </w:tcBorders>
                  <w:vAlign w:val="center"/>
                </w:tcPr>
                <w:p w14:paraId="2DB4F5A2">
                  <w:pPr>
                    <w:jc w:val="center"/>
                    <w:rPr>
                      <w:bCs/>
                      <w:color w:val="auto"/>
                      <w:sz w:val="21"/>
                      <w:szCs w:val="21"/>
                    </w:rPr>
                  </w:pPr>
                  <w:r>
                    <w:rPr>
                      <w:bCs/>
                      <w:color w:val="auto"/>
                      <w:sz w:val="21"/>
                      <w:szCs w:val="21"/>
                    </w:rPr>
                    <w:t>供水</w:t>
                  </w:r>
                </w:p>
              </w:tc>
              <w:tc>
                <w:tcPr>
                  <w:tcW w:w="5636" w:type="dxa"/>
                  <w:tcBorders>
                    <w:tl2br w:val="nil"/>
                    <w:tr2bl w:val="nil"/>
                  </w:tcBorders>
                  <w:vAlign w:val="center"/>
                </w:tcPr>
                <w:p w14:paraId="11783030">
                  <w:pPr>
                    <w:jc w:val="both"/>
                    <w:rPr>
                      <w:bCs/>
                      <w:color w:val="auto"/>
                      <w:sz w:val="21"/>
                      <w:szCs w:val="21"/>
                    </w:rPr>
                  </w:pPr>
                  <w:r>
                    <w:rPr>
                      <w:color w:val="auto"/>
                      <w:kern w:val="0"/>
                      <w:szCs w:val="21"/>
                      <w:lang w:val="zh-TW"/>
                    </w:rPr>
                    <w:t>项目</w:t>
                  </w:r>
                  <w:r>
                    <w:rPr>
                      <w:color w:val="auto"/>
                      <w:kern w:val="0"/>
                      <w:szCs w:val="21"/>
                    </w:rPr>
                    <w:t>市政</w:t>
                  </w:r>
                  <w:r>
                    <w:rPr>
                      <w:color w:val="auto"/>
                      <w:kern w:val="0"/>
                      <w:szCs w:val="21"/>
                      <w:lang w:val="zh-TW"/>
                    </w:rPr>
                    <w:t>给水管网统一供给</w:t>
                  </w:r>
                </w:p>
              </w:tc>
              <w:tc>
                <w:tcPr>
                  <w:tcW w:w="621" w:type="dxa"/>
                  <w:tcBorders>
                    <w:tl2br w:val="nil"/>
                    <w:tr2bl w:val="nil"/>
                  </w:tcBorders>
                  <w:vAlign w:val="center"/>
                </w:tcPr>
                <w:p w14:paraId="5CACBE7E">
                  <w:pPr>
                    <w:adjustRightInd w:val="0"/>
                    <w:snapToGrid w:val="0"/>
                    <w:jc w:val="center"/>
                    <w:rPr>
                      <w:rFonts w:hint="eastAsia" w:eastAsia="宋体"/>
                      <w:color w:val="auto"/>
                      <w:sz w:val="21"/>
                      <w:szCs w:val="21"/>
                      <w:lang w:eastAsia="zh-CN"/>
                    </w:rPr>
                  </w:pPr>
                  <w:r>
                    <w:rPr>
                      <w:rFonts w:hint="eastAsia"/>
                      <w:color w:val="auto"/>
                      <w:sz w:val="21"/>
                      <w:szCs w:val="21"/>
                      <w:lang w:val="en-US" w:eastAsia="zh-CN"/>
                    </w:rPr>
                    <w:t>/</w:t>
                  </w:r>
                </w:p>
              </w:tc>
            </w:tr>
            <w:tr w14:paraId="2FA871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3" w:hRule="atLeast"/>
                <w:jc w:val="center"/>
              </w:trPr>
              <w:tc>
                <w:tcPr>
                  <w:tcW w:w="581" w:type="dxa"/>
                  <w:vMerge w:val="continue"/>
                  <w:tcBorders>
                    <w:tl2br w:val="nil"/>
                    <w:tr2bl w:val="nil"/>
                  </w:tcBorders>
                  <w:vAlign w:val="center"/>
                </w:tcPr>
                <w:p w14:paraId="39483DF5">
                  <w:pPr>
                    <w:jc w:val="center"/>
                    <w:rPr>
                      <w:color w:val="auto"/>
                      <w:sz w:val="21"/>
                      <w:szCs w:val="21"/>
                    </w:rPr>
                  </w:pPr>
                </w:p>
              </w:tc>
              <w:tc>
                <w:tcPr>
                  <w:tcW w:w="1500" w:type="dxa"/>
                  <w:gridSpan w:val="2"/>
                  <w:tcBorders>
                    <w:tl2br w:val="nil"/>
                    <w:tr2bl w:val="nil"/>
                  </w:tcBorders>
                  <w:vAlign w:val="center"/>
                </w:tcPr>
                <w:p w14:paraId="6A924FF0">
                  <w:pPr>
                    <w:jc w:val="center"/>
                    <w:rPr>
                      <w:color w:val="auto"/>
                      <w:sz w:val="21"/>
                      <w:szCs w:val="21"/>
                    </w:rPr>
                  </w:pPr>
                  <w:r>
                    <w:rPr>
                      <w:color w:val="auto"/>
                      <w:sz w:val="21"/>
                      <w:szCs w:val="21"/>
                    </w:rPr>
                    <w:t>排水</w:t>
                  </w:r>
                </w:p>
              </w:tc>
              <w:tc>
                <w:tcPr>
                  <w:tcW w:w="5636" w:type="dxa"/>
                  <w:tcBorders>
                    <w:tl2br w:val="nil"/>
                    <w:tr2bl w:val="nil"/>
                  </w:tcBorders>
                  <w:vAlign w:val="center"/>
                </w:tcPr>
                <w:p w14:paraId="407C0939">
                  <w:pPr>
                    <w:jc w:val="both"/>
                    <w:rPr>
                      <w:rFonts w:hint="default"/>
                      <w:color w:val="auto"/>
                      <w:sz w:val="21"/>
                      <w:szCs w:val="21"/>
                      <w:lang w:val="en-US"/>
                    </w:rPr>
                  </w:pPr>
                  <w:r>
                    <w:rPr>
                      <w:rFonts w:hint="eastAsia"/>
                      <w:bCs/>
                      <w:color w:val="auto"/>
                      <w:szCs w:val="21"/>
                      <w:lang w:val="en-US" w:eastAsia="zh-CN"/>
                    </w:rPr>
                    <w:t>生活污水依托陕西重型机械制造有限公司化粪池（100m</w:t>
                  </w:r>
                  <w:r>
                    <w:rPr>
                      <w:rFonts w:hint="eastAsia"/>
                      <w:bCs/>
                      <w:color w:val="auto"/>
                      <w:szCs w:val="21"/>
                      <w:vertAlign w:val="superscript"/>
                      <w:lang w:val="en-US" w:eastAsia="zh-CN"/>
                    </w:rPr>
                    <w:t>3</w:t>
                  </w:r>
                  <w:r>
                    <w:rPr>
                      <w:rFonts w:hint="eastAsia"/>
                      <w:bCs/>
                      <w:color w:val="auto"/>
                      <w:szCs w:val="21"/>
                      <w:lang w:val="en-US" w:eastAsia="zh-CN"/>
                    </w:rPr>
                    <w:t>）处理后经市政管网排入西安工业资产经营公司泾河产业基地污水处理站处理</w:t>
                  </w:r>
                </w:p>
              </w:tc>
              <w:tc>
                <w:tcPr>
                  <w:tcW w:w="621" w:type="dxa"/>
                  <w:tcBorders>
                    <w:tl2br w:val="nil"/>
                    <w:tr2bl w:val="nil"/>
                  </w:tcBorders>
                  <w:vAlign w:val="center"/>
                </w:tcPr>
                <w:p w14:paraId="47963617">
                  <w:pPr>
                    <w:adjustRightInd w:val="0"/>
                    <w:snapToGrid w:val="0"/>
                    <w:jc w:val="center"/>
                    <w:rPr>
                      <w:rFonts w:hint="default" w:eastAsia="宋体"/>
                      <w:color w:val="auto"/>
                      <w:sz w:val="21"/>
                      <w:szCs w:val="21"/>
                      <w:lang w:val="en-US" w:eastAsia="zh-CN"/>
                    </w:rPr>
                  </w:pPr>
                  <w:r>
                    <w:rPr>
                      <w:rFonts w:hint="eastAsia"/>
                      <w:color w:val="auto"/>
                      <w:sz w:val="21"/>
                      <w:szCs w:val="21"/>
                      <w:lang w:val="en-US" w:eastAsia="zh-CN"/>
                    </w:rPr>
                    <w:t>依托</w:t>
                  </w:r>
                </w:p>
              </w:tc>
            </w:tr>
            <w:tr w14:paraId="2C9658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3" w:hRule="atLeast"/>
                <w:jc w:val="center"/>
              </w:trPr>
              <w:tc>
                <w:tcPr>
                  <w:tcW w:w="581" w:type="dxa"/>
                  <w:vMerge w:val="continue"/>
                  <w:tcBorders>
                    <w:tl2br w:val="nil"/>
                    <w:tr2bl w:val="nil"/>
                  </w:tcBorders>
                  <w:vAlign w:val="center"/>
                </w:tcPr>
                <w:p w14:paraId="75132A25">
                  <w:pPr>
                    <w:jc w:val="center"/>
                    <w:rPr>
                      <w:color w:val="auto"/>
                      <w:sz w:val="21"/>
                      <w:szCs w:val="21"/>
                    </w:rPr>
                  </w:pPr>
                </w:p>
              </w:tc>
              <w:tc>
                <w:tcPr>
                  <w:tcW w:w="1500" w:type="dxa"/>
                  <w:gridSpan w:val="2"/>
                  <w:tcBorders>
                    <w:tl2br w:val="nil"/>
                    <w:tr2bl w:val="nil"/>
                  </w:tcBorders>
                  <w:vAlign w:val="center"/>
                </w:tcPr>
                <w:p w14:paraId="3DD64767">
                  <w:pPr>
                    <w:jc w:val="center"/>
                    <w:rPr>
                      <w:color w:val="auto"/>
                      <w:sz w:val="21"/>
                      <w:szCs w:val="21"/>
                    </w:rPr>
                  </w:pPr>
                  <w:r>
                    <w:rPr>
                      <w:color w:val="auto"/>
                      <w:sz w:val="21"/>
                      <w:szCs w:val="21"/>
                    </w:rPr>
                    <w:t>供电</w:t>
                  </w:r>
                </w:p>
              </w:tc>
              <w:tc>
                <w:tcPr>
                  <w:tcW w:w="5636" w:type="dxa"/>
                  <w:tcBorders>
                    <w:tl2br w:val="nil"/>
                    <w:tr2bl w:val="nil"/>
                  </w:tcBorders>
                  <w:vAlign w:val="center"/>
                </w:tcPr>
                <w:p w14:paraId="1E1107E9">
                  <w:pPr>
                    <w:adjustRightInd w:val="0"/>
                    <w:snapToGrid w:val="0"/>
                    <w:jc w:val="both"/>
                    <w:rPr>
                      <w:color w:val="auto"/>
                      <w:sz w:val="21"/>
                      <w:szCs w:val="21"/>
                    </w:rPr>
                  </w:pPr>
                  <w:r>
                    <w:rPr>
                      <w:color w:val="auto"/>
                      <w:kern w:val="0"/>
                      <w:szCs w:val="21"/>
                    </w:rPr>
                    <w:t>项目供电由市政电网统一供给</w:t>
                  </w:r>
                </w:p>
              </w:tc>
              <w:tc>
                <w:tcPr>
                  <w:tcW w:w="621" w:type="dxa"/>
                  <w:tcBorders>
                    <w:tl2br w:val="nil"/>
                    <w:tr2bl w:val="nil"/>
                  </w:tcBorders>
                  <w:vAlign w:val="center"/>
                </w:tcPr>
                <w:p w14:paraId="4A4A17B6">
                  <w:pPr>
                    <w:adjustRightInd w:val="0"/>
                    <w:snapToGrid w:val="0"/>
                    <w:jc w:val="center"/>
                    <w:rPr>
                      <w:rFonts w:hint="eastAsia" w:eastAsia="宋体"/>
                      <w:color w:val="auto"/>
                      <w:sz w:val="21"/>
                      <w:szCs w:val="21"/>
                      <w:lang w:eastAsia="zh-CN"/>
                    </w:rPr>
                  </w:pPr>
                  <w:r>
                    <w:rPr>
                      <w:rFonts w:hint="eastAsia"/>
                      <w:color w:val="auto"/>
                      <w:sz w:val="21"/>
                      <w:szCs w:val="21"/>
                      <w:lang w:val="en-US" w:eastAsia="zh-CN"/>
                    </w:rPr>
                    <w:t>/</w:t>
                  </w:r>
                </w:p>
              </w:tc>
            </w:tr>
            <w:tr w14:paraId="3E59F2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0" w:hRule="atLeast"/>
                <w:jc w:val="center"/>
              </w:trPr>
              <w:tc>
                <w:tcPr>
                  <w:tcW w:w="581" w:type="dxa"/>
                  <w:vMerge w:val="continue"/>
                  <w:tcBorders>
                    <w:tl2br w:val="nil"/>
                    <w:tr2bl w:val="nil"/>
                  </w:tcBorders>
                  <w:vAlign w:val="center"/>
                </w:tcPr>
                <w:p w14:paraId="6C13FB85">
                  <w:pPr>
                    <w:jc w:val="center"/>
                    <w:rPr>
                      <w:color w:val="auto"/>
                      <w:sz w:val="21"/>
                      <w:szCs w:val="21"/>
                    </w:rPr>
                  </w:pPr>
                </w:p>
              </w:tc>
              <w:tc>
                <w:tcPr>
                  <w:tcW w:w="1500" w:type="dxa"/>
                  <w:gridSpan w:val="2"/>
                  <w:tcBorders>
                    <w:tl2br w:val="nil"/>
                    <w:tr2bl w:val="nil"/>
                  </w:tcBorders>
                  <w:vAlign w:val="center"/>
                </w:tcPr>
                <w:p w14:paraId="282C8BA6">
                  <w:pPr>
                    <w:widowControl/>
                    <w:jc w:val="center"/>
                    <w:rPr>
                      <w:color w:val="auto"/>
                      <w:sz w:val="21"/>
                      <w:szCs w:val="21"/>
                    </w:rPr>
                  </w:pPr>
                  <w:r>
                    <w:rPr>
                      <w:color w:val="auto"/>
                      <w:kern w:val="0"/>
                      <w:sz w:val="21"/>
                      <w:szCs w:val="21"/>
                    </w:rPr>
                    <w:t>供暖、制冷</w:t>
                  </w:r>
                </w:p>
              </w:tc>
              <w:tc>
                <w:tcPr>
                  <w:tcW w:w="5636" w:type="dxa"/>
                  <w:tcBorders>
                    <w:tl2br w:val="nil"/>
                    <w:tr2bl w:val="nil"/>
                  </w:tcBorders>
                  <w:vAlign w:val="center"/>
                </w:tcPr>
                <w:p w14:paraId="056C838B">
                  <w:pPr>
                    <w:tabs>
                      <w:tab w:val="left" w:pos="3255"/>
                    </w:tabs>
                    <w:spacing w:line="276" w:lineRule="auto"/>
                    <w:jc w:val="both"/>
                    <w:rPr>
                      <w:color w:val="auto"/>
                      <w:sz w:val="21"/>
                      <w:szCs w:val="21"/>
                    </w:rPr>
                  </w:pPr>
                  <w:r>
                    <w:rPr>
                      <w:color w:val="auto"/>
                      <w:sz w:val="21"/>
                      <w:szCs w:val="21"/>
                    </w:rPr>
                    <w:t>办公区供暖、制冷采用分体式空调</w:t>
                  </w:r>
                </w:p>
              </w:tc>
              <w:tc>
                <w:tcPr>
                  <w:tcW w:w="621" w:type="dxa"/>
                  <w:tcBorders>
                    <w:tl2br w:val="nil"/>
                    <w:tr2bl w:val="nil"/>
                  </w:tcBorders>
                  <w:vAlign w:val="center"/>
                </w:tcPr>
                <w:p w14:paraId="38478A00">
                  <w:pPr>
                    <w:adjustRightInd w:val="0"/>
                    <w:snapToGrid w:val="0"/>
                    <w:jc w:val="center"/>
                    <w:rPr>
                      <w:rFonts w:hint="eastAsia" w:eastAsia="宋体"/>
                      <w:color w:val="auto"/>
                      <w:sz w:val="21"/>
                      <w:szCs w:val="21"/>
                      <w:lang w:eastAsia="zh-CN"/>
                    </w:rPr>
                  </w:pPr>
                  <w:r>
                    <w:rPr>
                      <w:rFonts w:hint="eastAsia"/>
                      <w:color w:val="auto"/>
                      <w:sz w:val="21"/>
                      <w:szCs w:val="21"/>
                      <w:lang w:val="en-US" w:eastAsia="zh-CN"/>
                    </w:rPr>
                    <w:t>新建</w:t>
                  </w:r>
                </w:p>
              </w:tc>
            </w:tr>
            <w:tr w14:paraId="14049C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67" w:hRule="atLeast"/>
                <w:jc w:val="center"/>
              </w:trPr>
              <w:tc>
                <w:tcPr>
                  <w:tcW w:w="581" w:type="dxa"/>
                  <w:vMerge w:val="restart"/>
                  <w:tcBorders>
                    <w:tl2br w:val="nil"/>
                    <w:tr2bl w:val="nil"/>
                  </w:tcBorders>
                  <w:vAlign w:val="center"/>
                </w:tcPr>
                <w:p w14:paraId="77F64E39">
                  <w:pPr>
                    <w:jc w:val="center"/>
                    <w:rPr>
                      <w:color w:val="auto"/>
                      <w:sz w:val="21"/>
                      <w:szCs w:val="21"/>
                    </w:rPr>
                  </w:pPr>
                  <w:r>
                    <w:rPr>
                      <w:color w:val="auto"/>
                      <w:sz w:val="21"/>
                      <w:szCs w:val="21"/>
                    </w:rPr>
                    <w:t>环保工程</w:t>
                  </w:r>
                </w:p>
              </w:tc>
              <w:tc>
                <w:tcPr>
                  <w:tcW w:w="521" w:type="dxa"/>
                  <w:vMerge w:val="restart"/>
                  <w:tcBorders>
                    <w:tl2br w:val="nil"/>
                    <w:tr2bl w:val="nil"/>
                  </w:tcBorders>
                  <w:vAlign w:val="center"/>
                </w:tcPr>
                <w:p w14:paraId="60B32852">
                  <w:pPr>
                    <w:adjustRightInd w:val="0"/>
                    <w:snapToGrid w:val="0"/>
                    <w:jc w:val="center"/>
                    <w:rPr>
                      <w:rFonts w:hint="eastAsia" w:eastAsia="宋体"/>
                      <w:color w:val="auto"/>
                      <w:sz w:val="21"/>
                      <w:szCs w:val="21"/>
                      <w:lang w:val="en-US" w:eastAsia="zh-CN"/>
                    </w:rPr>
                  </w:pPr>
                  <w:r>
                    <w:rPr>
                      <w:rFonts w:hint="eastAsia"/>
                      <w:color w:val="auto"/>
                      <w:sz w:val="21"/>
                      <w:szCs w:val="21"/>
                      <w:lang w:val="en-US" w:eastAsia="zh-CN"/>
                    </w:rPr>
                    <w:t>废气</w:t>
                  </w:r>
                </w:p>
              </w:tc>
              <w:tc>
                <w:tcPr>
                  <w:tcW w:w="979" w:type="dxa"/>
                  <w:tcBorders>
                    <w:tl2br w:val="nil"/>
                    <w:tr2bl w:val="nil"/>
                  </w:tcBorders>
                  <w:vAlign w:val="center"/>
                </w:tcPr>
                <w:p w14:paraId="2759BEA2">
                  <w:pPr>
                    <w:adjustRightInd w:val="0"/>
                    <w:snapToGrid w:val="0"/>
                    <w:jc w:val="center"/>
                    <w:rPr>
                      <w:rFonts w:hint="default"/>
                      <w:color w:val="auto"/>
                      <w:szCs w:val="21"/>
                      <w:lang w:val="en-US" w:eastAsia="zh-CN"/>
                    </w:rPr>
                  </w:pPr>
                  <w:r>
                    <w:rPr>
                      <w:rFonts w:hint="eastAsia"/>
                      <w:color w:val="auto"/>
                      <w:szCs w:val="21"/>
                      <w:lang w:val="en-US" w:eastAsia="zh-CN"/>
                    </w:rPr>
                    <w:t>打磨粉尘</w:t>
                  </w:r>
                </w:p>
              </w:tc>
              <w:tc>
                <w:tcPr>
                  <w:tcW w:w="5636" w:type="dxa"/>
                  <w:tcBorders>
                    <w:tl2br w:val="nil"/>
                    <w:tr2bl w:val="nil"/>
                  </w:tcBorders>
                  <w:vAlign w:val="center"/>
                </w:tcPr>
                <w:p w14:paraId="081A53EA">
                  <w:pPr>
                    <w:adjustRightInd w:val="0"/>
                    <w:snapToGrid w:val="0"/>
                    <w:jc w:val="both"/>
                    <w:rPr>
                      <w:rFonts w:hint="default"/>
                      <w:color w:val="auto"/>
                      <w:lang w:val="en-US" w:eastAsia="zh-CN"/>
                    </w:rPr>
                  </w:pPr>
                  <w:r>
                    <w:rPr>
                      <w:rFonts w:hint="eastAsia"/>
                      <w:color w:val="auto"/>
                      <w:lang w:val="en-US" w:eastAsia="zh-CN"/>
                    </w:rPr>
                    <w:t>打磨粉尘经水雾式除尘及袋式除尘器处理后经20m高DA001排放</w:t>
                  </w:r>
                </w:p>
              </w:tc>
              <w:tc>
                <w:tcPr>
                  <w:tcW w:w="621" w:type="dxa"/>
                  <w:tcBorders>
                    <w:tl2br w:val="nil"/>
                    <w:tr2bl w:val="nil"/>
                  </w:tcBorders>
                  <w:vAlign w:val="center"/>
                </w:tcPr>
                <w:p w14:paraId="4FC1303E">
                  <w:pPr>
                    <w:adjustRightInd w:val="0"/>
                    <w:snapToGrid w:val="0"/>
                    <w:jc w:val="center"/>
                    <w:rPr>
                      <w:rFonts w:hint="default" w:eastAsia="宋体"/>
                      <w:color w:val="auto"/>
                      <w:sz w:val="21"/>
                      <w:szCs w:val="21"/>
                      <w:lang w:val="en-US" w:eastAsia="zh-CN"/>
                    </w:rPr>
                  </w:pPr>
                  <w:r>
                    <w:rPr>
                      <w:rFonts w:hint="eastAsia"/>
                      <w:color w:val="auto"/>
                      <w:sz w:val="21"/>
                      <w:szCs w:val="21"/>
                      <w:lang w:val="en-US" w:eastAsia="zh-CN"/>
                    </w:rPr>
                    <w:t>新建</w:t>
                  </w:r>
                </w:p>
              </w:tc>
            </w:tr>
            <w:tr w14:paraId="70E227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67" w:hRule="atLeast"/>
                <w:jc w:val="center"/>
              </w:trPr>
              <w:tc>
                <w:tcPr>
                  <w:tcW w:w="581" w:type="dxa"/>
                  <w:vMerge w:val="continue"/>
                  <w:tcBorders>
                    <w:tl2br w:val="nil"/>
                    <w:tr2bl w:val="nil"/>
                  </w:tcBorders>
                  <w:vAlign w:val="center"/>
                </w:tcPr>
                <w:p w14:paraId="562A50A7">
                  <w:pPr>
                    <w:adjustRightInd w:val="0"/>
                    <w:snapToGrid w:val="0"/>
                    <w:jc w:val="center"/>
                    <w:rPr>
                      <w:color w:val="auto"/>
                    </w:rPr>
                  </w:pPr>
                </w:p>
              </w:tc>
              <w:tc>
                <w:tcPr>
                  <w:tcW w:w="521" w:type="dxa"/>
                  <w:vMerge w:val="continue"/>
                  <w:tcBorders>
                    <w:tl2br w:val="nil"/>
                    <w:tr2bl w:val="nil"/>
                  </w:tcBorders>
                  <w:vAlign w:val="center"/>
                </w:tcPr>
                <w:p w14:paraId="128B13FE">
                  <w:pPr>
                    <w:adjustRightInd w:val="0"/>
                    <w:snapToGrid w:val="0"/>
                    <w:jc w:val="center"/>
                    <w:rPr>
                      <w:color w:val="auto"/>
                    </w:rPr>
                  </w:pPr>
                </w:p>
              </w:tc>
              <w:tc>
                <w:tcPr>
                  <w:tcW w:w="979" w:type="dxa"/>
                  <w:tcBorders>
                    <w:tl2br w:val="nil"/>
                    <w:tr2bl w:val="nil"/>
                  </w:tcBorders>
                  <w:vAlign w:val="center"/>
                </w:tcPr>
                <w:p w14:paraId="784080C3">
                  <w:pPr>
                    <w:adjustRightInd w:val="0"/>
                    <w:snapToGrid w:val="0"/>
                    <w:jc w:val="center"/>
                    <w:rPr>
                      <w:rFonts w:hint="default"/>
                      <w:color w:val="auto"/>
                      <w:szCs w:val="21"/>
                      <w:lang w:val="en-US" w:eastAsia="zh-CN"/>
                    </w:rPr>
                  </w:pPr>
                  <w:r>
                    <w:rPr>
                      <w:rFonts w:hint="eastAsia"/>
                      <w:color w:val="auto"/>
                      <w:szCs w:val="21"/>
                      <w:lang w:val="en-US" w:eastAsia="zh-CN"/>
                    </w:rPr>
                    <w:t>喷砂粉尘</w:t>
                  </w:r>
                </w:p>
              </w:tc>
              <w:tc>
                <w:tcPr>
                  <w:tcW w:w="5636" w:type="dxa"/>
                  <w:tcBorders>
                    <w:tl2br w:val="nil"/>
                    <w:tr2bl w:val="nil"/>
                  </w:tcBorders>
                  <w:vAlign w:val="center"/>
                </w:tcPr>
                <w:p w14:paraId="78394868">
                  <w:pPr>
                    <w:adjustRightInd w:val="0"/>
                    <w:snapToGrid w:val="0"/>
                    <w:jc w:val="both"/>
                    <w:rPr>
                      <w:rFonts w:hint="default"/>
                      <w:color w:val="auto"/>
                      <w:szCs w:val="21"/>
                      <w:lang w:val="en-US" w:eastAsia="zh-CN"/>
                    </w:rPr>
                  </w:pPr>
                  <w:r>
                    <w:rPr>
                      <w:rFonts w:hint="eastAsia"/>
                      <w:color w:val="auto"/>
                      <w:lang w:val="en-US" w:eastAsia="zh-CN"/>
                    </w:rPr>
                    <w:t>喷砂粉尘经移动式袋式除尘器处理后无组织排放</w:t>
                  </w:r>
                </w:p>
              </w:tc>
              <w:tc>
                <w:tcPr>
                  <w:tcW w:w="621" w:type="dxa"/>
                  <w:tcBorders>
                    <w:tl2br w:val="nil"/>
                    <w:tr2bl w:val="nil"/>
                  </w:tcBorders>
                  <w:vAlign w:val="center"/>
                </w:tcPr>
                <w:p w14:paraId="5D226185">
                  <w:pPr>
                    <w:adjustRightInd w:val="0"/>
                    <w:snapToGrid w:val="0"/>
                    <w:jc w:val="center"/>
                    <w:rPr>
                      <w:rFonts w:hint="eastAsia"/>
                      <w:color w:val="auto"/>
                      <w:szCs w:val="21"/>
                      <w:lang w:val="en-US" w:eastAsia="zh-CN"/>
                    </w:rPr>
                  </w:pPr>
                  <w:r>
                    <w:rPr>
                      <w:rFonts w:hint="eastAsia"/>
                      <w:color w:val="auto"/>
                      <w:sz w:val="21"/>
                      <w:szCs w:val="21"/>
                      <w:lang w:val="en-US" w:eastAsia="zh-CN"/>
                    </w:rPr>
                    <w:t>新建</w:t>
                  </w:r>
                </w:p>
              </w:tc>
            </w:tr>
            <w:tr w14:paraId="7B1079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03" w:hRule="atLeast"/>
                <w:jc w:val="center"/>
              </w:trPr>
              <w:tc>
                <w:tcPr>
                  <w:tcW w:w="581" w:type="dxa"/>
                  <w:vMerge w:val="continue"/>
                  <w:tcBorders>
                    <w:tl2br w:val="nil"/>
                    <w:tr2bl w:val="nil"/>
                  </w:tcBorders>
                  <w:vAlign w:val="center"/>
                </w:tcPr>
                <w:p w14:paraId="6D5F0286">
                  <w:pPr>
                    <w:jc w:val="center"/>
                    <w:rPr>
                      <w:color w:val="auto"/>
                      <w:sz w:val="21"/>
                      <w:szCs w:val="21"/>
                    </w:rPr>
                  </w:pPr>
                </w:p>
              </w:tc>
              <w:tc>
                <w:tcPr>
                  <w:tcW w:w="521" w:type="dxa"/>
                  <w:vMerge w:val="restart"/>
                  <w:tcBorders>
                    <w:tl2br w:val="nil"/>
                    <w:tr2bl w:val="nil"/>
                  </w:tcBorders>
                  <w:vAlign w:val="center"/>
                </w:tcPr>
                <w:p w14:paraId="44C3A5D8">
                  <w:pPr>
                    <w:adjustRightInd w:val="0"/>
                    <w:snapToGrid w:val="0"/>
                    <w:jc w:val="center"/>
                    <w:rPr>
                      <w:rFonts w:ascii="Times New Roman" w:hAnsi="Times New Roman" w:eastAsia="宋体" w:cs="Times New Roman"/>
                      <w:color w:val="auto"/>
                      <w:kern w:val="2"/>
                      <w:sz w:val="21"/>
                      <w:szCs w:val="21"/>
                      <w:lang w:val="en-US" w:eastAsia="zh-CN" w:bidi="ar-SA"/>
                    </w:rPr>
                  </w:pPr>
                  <w:r>
                    <w:rPr>
                      <w:color w:val="auto"/>
                      <w:sz w:val="21"/>
                      <w:szCs w:val="21"/>
                    </w:rPr>
                    <w:t>废水</w:t>
                  </w:r>
                </w:p>
              </w:tc>
              <w:tc>
                <w:tcPr>
                  <w:tcW w:w="979" w:type="dxa"/>
                  <w:tcBorders>
                    <w:tl2br w:val="nil"/>
                    <w:tr2bl w:val="nil"/>
                  </w:tcBorders>
                  <w:vAlign w:val="center"/>
                </w:tcPr>
                <w:p w14:paraId="63D00538">
                  <w:pPr>
                    <w:adjustRightInd w:val="0"/>
                    <w:snapToGrid w:val="0"/>
                    <w:jc w:val="center"/>
                    <w:rPr>
                      <w:rFonts w:hint="default" w:eastAsia="宋体"/>
                      <w:color w:val="auto"/>
                      <w:sz w:val="21"/>
                      <w:szCs w:val="21"/>
                      <w:lang w:val="en-US" w:eastAsia="zh-CN"/>
                    </w:rPr>
                  </w:pPr>
                  <w:r>
                    <w:rPr>
                      <w:rFonts w:hint="eastAsia"/>
                      <w:color w:val="auto"/>
                      <w:sz w:val="21"/>
                      <w:szCs w:val="21"/>
                      <w:lang w:val="en-US" w:eastAsia="zh-CN"/>
                    </w:rPr>
                    <w:t>生活污水</w:t>
                  </w:r>
                </w:p>
              </w:tc>
              <w:tc>
                <w:tcPr>
                  <w:tcW w:w="5636" w:type="dxa"/>
                  <w:tcBorders>
                    <w:tl2br w:val="nil"/>
                    <w:tr2bl w:val="nil"/>
                  </w:tcBorders>
                  <w:vAlign w:val="center"/>
                </w:tcPr>
                <w:p w14:paraId="7E1235B8">
                  <w:pPr>
                    <w:adjustRightInd w:val="0"/>
                    <w:snapToGrid w:val="0"/>
                    <w:jc w:val="both"/>
                    <w:rPr>
                      <w:color w:val="auto"/>
                      <w:sz w:val="21"/>
                      <w:szCs w:val="21"/>
                    </w:rPr>
                  </w:pPr>
                  <w:r>
                    <w:rPr>
                      <w:rFonts w:hint="eastAsia"/>
                      <w:bCs/>
                      <w:color w:val="auto"/>
                      <w:szCs w:val="21"/>
                      <w:lang w:val="en-US" w:eastAsia="zh-CN"/>
                    </w:rPr>
                    <w:t>生活污水依托陕西重型机械制造有限公司化粪池（100m</w:t>
                  </w:r>
                  <w:r>
                    <w:rPr>
                      <w:rFonts w:hint="eastAsia"/>
                      <w:bCs/>
                      <w:color w:val="auto"/>
                      <w:szCs w:val="21"/>
                      <w:vertAlign w:val="superscript"/>
                      <w:lang w:val="en-US" w:eastAsia="zh-CN"/>
                    </w:rPr>
                    <w:t>3</w:t>
                  </w:r>
                  <w:r>
                    <w:rPr>
                      <w:rFonts w:hint="eastAsia"/>
                      <w:bCs/>
                      <w:color w:val="auto"/>
                      <w:szCs w:val="21"/>
                      <w:lang w:val="en-US" w:eastAsia="zh-CN"/>
                    </w:rPr>
                    <w:t>）处理后经市政管网排入西安工业资产经营公司泾河产业基地污水处理站处理</w:t>
                  </w:r>
                </w:p>
              </w:tc>
              <w:tc>
                <w:tcPr>
                  <w:tcW w:w="621" w:type="dxa"/>
                  <w:tcBorders>
                    <w:tl2br w:val="nil"/>
                    <w:tr2bl w:val="nil"/>
                  </w:tcBorders>
                  <w:vAlign w:val="center"/>
                </w:tcPr>
                <w:p w14:paraId="67049EF8">
                  <w:pPr>
                    <w:adjustRightInd w:val="0"/>
                    <w:snapToGrid w:val="0"/>
                    <w:jc w:val="center"/>
                    <w:rPr>
                      <w:rFonts w:hint="eastAsia" w:eastAsia="宋体"/>
                      <w:color w:val="auto"/>
                      <w:sz w:val="21"/>
                      <w:szCs w:val="21"/>
                      <w:lang w:val="en-US" w:eastAsia="zh-CN"/>
                    </w:rPr>
                  </w:pPr>
                  <w:r>
                    <w:rPr>
                      <w:rFonts w:hint="eastAsia"/>
                      <w:color w:val="auto"/>
                      <w:sz w:val="21"/>
                      <w:szCs w:val="21"/>
                      <w:lang w:val="en-US" w:eastAsia="zh-CN"/>
                    </w:rPr>
                    <w:t>依托</w:t>
                  </w:r>
                </w:p>
              </w:tc>
            </w:tr>
            <w:tr w14:paraId="3320C1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0" w:hRule="atLeast"/>
                <w:jc w:val="center"/>
              </w:trPr>
              <w:tc>
                <w:tcPr>
                  <w:tcW w:w="581" w:type="dxa"/>
                  <w:vMerge w:val="continue"/>
                  <w:tcBorders>
                    <w:tl2br w:val="nil"/>
                    <w:tr2bl w:val="nil"/>
                  </w:tcBorders>
                  <w:vAlign w:val="center"/>
                </w:tcPr>
                <w:p w14:paraId="3F5E0F7A">
                  <w:pPr>
                    <w:adjustRightInd w:val="0"/>
                    <w:snapToGrid w:val="0"/>
                    <w:jc w:val="center"/>
                  </w:pPr>
                </w:p>
              </w:tc>
              <w:tc>
                <w:tcPr>
                  <w:tcW w:w="521" w:type="dxa"/>
                  <w:vMerge w:val="continue"/>
                  <w:tcBorders>
                    <w:tl2br w:val="nil"/>
                    <w:tr2bl w:val="nil"/>
                  </w:tcBorders>
                  <w:shd w:val="clear" w:color="auto" w:fill="auto"/>
                  <w:vAlign w:val="center"/>
                </w:tcPr>
                <w:p w14:paraId="3548458C">
                  <w:pPr>
                    <w:adjustRightInd w:val="0"/>
                    <w:snapToGrid w:val="0"/>
                    <w:jc w:val="center"/>
                    <w:rPr>
                      <w:rFonts w:ascii="Times New Roman" w:hAnsi="Times New Roman" w:eastAsia="宋体" w:cs="Times New Roman"/>
                      <w:color w:val="auto"/>
                      <w:kern w:val="2"/>
                      <w:sz w:val="21"/>
                      <w:szCs w:val="21"/>
                      <w:lang w:val="en-US" w:eastAsia="zh-CN" w:bidi="ar-SA"/>
                    </w:rPr>
                  </w:pPr>
                </w:p>
              </w:tc>
              <w:tc>
                <w:tcPr>
                  <w:tcW w:w="979" w:type="dxa"/>
                  <w:tcBorders>
                    <w:tl2br w:val="nil"/>
                    <w:tr2bl w:val="nil"/>
                  </w:tcBorders>
                  <w:shd w:val="clear" w:color="auto" w:fill="auto"/>
                  <w:vAlign w:val="center"/>
                </w:tcPr>
                <w:p w14:paraId="452793CD">
                  <w:pPr>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eastAsia" w:cs="Times New Roman"/>
                      <w:color w:val="auto"/>
                      <w:kern w:val="2"/>
                      <w:sz w:val="21"/>
                      <w:szCs w:val="21"/>
                      <w:lang w:val="en-US" w:eastAsia="zh-CN" w:bidi="ar-SA"/>
                    </w:rPr>
                    <w:t>生产废水</w:t>
                  </w:r>
                </w:p>
              </w:tc>
              <w:tc>
                <w:tcPr>
                  <w:tcW w:w="5636" w:type="dxa"/>
                  <w:tcBorders>
                    <w:tl2br w:val="nil"/>
                    <w:tr2bl w:val="nil"/>
                  </w:tcBorders>
                  <w:vAlign w:val="center"/>
                </w:tcPr>
                <w:p w14:paraId="11A3C5B7">
                  <w:pPr>
                    <w:adjustRightInd w:val="0"/>
                    <w:snapToGrid w:val="0"/>
                    <w:jc w:val="both"/>
                  </w:pPr>
                  <w:r>
                    <w:rPr>
                      <w:rFonts w:hint="eastAsia"/>
                      <w:bCs/>
                      <w:color w:val="auto"/>
                      <w:szCs w:val="21"/>
                      <w:lang w:val="en-US" w:eastAsia="zh-CN"/>
                    </w:rPr>
                    <w:t>除尘废水循环使用定期清理不外排</w:t>
                  </w:r>
                </w:p>
              </w:tc>
              <w:tc>
                <w:tcPr>
                  <w:tcW w:w="621" w:type="dxa"/>
                  <w:tcBorders>
                    <w:tl2br w:val="nil"/>
                    <w:tr2bl w:val="nil"/>
                  </w:tcBorders>
                  <w:vAlign w:val="center"/>
                </w:tcPr>
                <w:p w14:paraId="11979D55">
                  <w:pPr>
                    <w:adjustRightInd w:val="0"/>
                    <w:snapToGrid w:val="0"/>
                    <w:jc w:val="center"/>
                    <w:rPr>
                      <w:rFonts w:hint="default"/>
                      <w:color w:val="auto"/>
                      <w:sz w:val="21"/>
                      <w:szCs w:val="21"/>
                      <w:lang w:val="en-US" w:eastAsia="zh-CN"/>
                    </w:rPr>
                  </w:pPr>
                  <w:r>
                    <w:rPr>
                      <w:rFonts w:hint="eastAsia"/>
                      <w:color w:val="auto"/>
                      <w:sz w:val="21"/>
                      <w:szCs w:val="21"/>
                      <w:lang w:val="en-US" w:eastAsia="zh-CN"/>
                    </w:rPr>
                    <w:t>新建</w:t>
                  </w:r>
                </w:p>
              </w:tc>
            </w:tr>
            <w:tr w14:paraId="275B55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0" w:hRule="atLeast"/>
                <w:jc w:val="center"/>
              </w:trPr>
              <w:tc>
                <w:tcPr>
                  <w:tcW w:w="581" w:type="dxa"/>
                  <w:vMerge w:val="continue"/>
                  <w:tcBorders>
                    <w:tl2br w:val="nil"/>
                    <w:tr2bl w:val="nil"/>
                  </w:tcBorders>
                  <w:vAlign w:val="center"/>
                </w:tcPr>
                <w:p w14:paraId="51935AF4">
                  <w:pPr>
                    <w:jc w:val="center"/>
                    <w:rPr>
                      <w:color w:val="auto"/>
                      <w:sz w:val="21"/>
                      <w:szCs w:val="21"/>
                    </w:rPr>
                  </w:pPr>
                </w:p>
              </w:tc>
              <w:tc>
                <w:tcPr>
                  <w:tcW w:w="1500" w:type="dxa"/>
                  <w:gridSpan w:val="2"/>
                  <w:tcBorders>
                    <w:top w:val="single" w:color="auto" w:sz="4" w:space="0"/>
                    <w:tl2br w:val="nil"/>
                    <w:tr2bl w:val="nil"/>
                  </w:tcBorders>
                  <w:vAlign w:val="center"/>
                </w:tcPr>
                <w:p w14:paraId="3CA5102E">
                  <w:pPr>
                    <w:adjustRightInd w:val="0"/>
                    <w:snapToGrid w:val="0"/>
                    <w:jc w:val="center"/>
                    <w:rPr>
                      <w:color w:val="auto"/>
                      <w:sz w:val="21"/>
                      <w:szCs w:val="21"/>
                    </w:rPr>
                  </w:pPr>
                  <w:r>
                    <w:rPr>
                      <w:color w:val="auto"/>
                      <w:sz w:val="21"/>
                      <w:szCs w:val="21"/>
                    </w:rPr>
                    <w:t>噪声</w:t>
                  </w:r>
                </w:p>
              </w:tc>
              <w:tc>
                <w:tcPr>
                  <w:tcW w:w="5636" w:type="dxa"/>
                  <w:tcBorders>
                    <w:tl2br w:val="nil"/>
                    <w:tr2bl w:val="nil"/>
                  </w:tcBorders>
                  <w:vAlign w:val="center"/>
                </w:tcPr>
                <w:p w14:paraId="2283BCCB">
                  <w:pPr>
                    <w:adjustRightInd w:val="0"/>
                    <w:snapToGrid w:val="0"/>
                    <w:jc w:val="both"/>
                    <w:rPr>
                      <w:color w:val="auto"/>
                      <w:sz w:val="21"/>
                      <w:szCs w:val="21"/>
                    </w:rPr>
                  </w:pPr>
                  <w:r>
                    <w:rPr>
                      <w:color w:val="auto"/>
                      <w:sz w:val="21"/>
                      <w:szCs w:val="21"/>
                    </w:rPr>
                    <w:t>选择低噪设备</w:t>
                  </w:r>
                  <w:r>
                    <w:rPr>
                      <w:rFonts w:hint="eastAsia"/>
                      <w:color w:val="auto"/>
                      <w:sz w:val="21"/>
                      <w:szCs w:val="21"/>
                      <w:lang w:eastAsia="zh-CN"/>
                    </w:rPr>
                    <w:t>、</w:t>
                  </w:r>
                  <w:r>
                    <w:rPr>
                      <w:color w:val="auto"/>
                      <w:sz w:val="21"/>
                      <w:szCs w:val="21"/>
                    </w:rPr>
                    <w:t>基础减振</w:t>
                  </w:r>
                  <w:r>
                    <w:rPr>
                      <w:rFonts w:hint="eastAsia"/>
                      <w:color w:val="auto"/>
                      <w:sz w:val="21"/>
                      <w:szCs w:val="21"/>
                      <w:lang w:eastAsia="zh-CN"/>
                    </w:rPr>
                    <w:t>、</w:t>
                  </w:r>
                  <w:r>
                    <w:rPr>
                      <w:color w:val="auto"/>
                      <w:sz w:val="21"/>
                      <w:szCs w:val="21"/>
                    </w:rPr>
                    <w:t>厂房隔声等，</w:t>
                  </w:r>
                  <w:r>
                    <w:rPr>
                      <w:rFonts w:hint="eastAsia"/>
                      <w:color w:val="auto"/>
                      <w:sz w:val="21"/>
                      <w:szCs w:val="21"/>
                      <w:lang w:val="en-US" w:eastAsia="zh-CN"/>
                    </w:rPr>
                    <w:t>风机采用减振垫、软连接等，</w:t>
                  </w:r>
                  <w:r>
                    <w:rPr>
                      <w:color w:val="auto"/>
                      <w:sz w:val="21"/>
                      <w:szCs w:val="21"/>
                    </w:rPr>
                    <w:t>距离衰减</w:t>
                  </w:r>
                </w:p>
              </w:tc>
              <w:tc>
                <w:tcPr>
                  <w:tcW w:w="621" w:type="dxa"/>
                  <w:tcBorders>
                    <w:tl2br w:val="nil"/>
                    <w:tr2bl w:val="nil"/>
                  </w:tcBorders>
                  <w:vAlign w:val="center"/>
                </w:tcPr>
                <w:p w14:paraId="59751739">
                  <w:pPr>
                    <w:tabs>
                      <w:tab w:val="left" w:pos="571"/>
                    </w:tabs>
                    <w:adjustRightInd w:val="0"/>
                    <w:snapToGrid w:val="0"/>
                    <w:jc w:val="center"/>
                    <w:rPr>
                      <w:color w:val="auto"/>
                      <w:sz w:val="21"/>
                      <w:szCs w:val="21"/>
                    </w:rPr>
                  </w:pPr>
                  <w:r>
                    <w:rPr>
                      <w:rFonts w:hint="eastAsia"/>
                      <w:color w:val="auto"/>
                      <w:sz w:val="21"/>
                      <w:szCs w:val="21"/>
                      <w:lang w:val="en-US" w:eastAsia="zh-CN"/>
                    </w:rPr>
                    <w:t>新建</w:t>
                  </w:r>
                </w:p>
              </w:tc>
            </w:tr>
            <w:tr w14:paraId="52CFE6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3" w:hRule="atLeast"/>
                <w:jc w:val="center"/>
              </w:trPr>
              <w:tc>
                <w:tcPr>
                  <w:tcW w:w="581" w:type="dxa"/>
                  <w:vMerge w:val="continue"/>
                  <w:tcBorders>
                    <w:tl2br w:val="nil"/>
                    <w:tr2bl w:val="nil"/>
                  </w:tcBorders>
                  <w:vAlign w:val="center"/>
                </w:tcPr>
                <w:p w14:paraId="3D7B74AC">
                  <w:pPr>
                    <w:jc w:val="center"/>
                    <w:rPr>
                      <w:color w:val="auto"/>
                      <w:sz w:val="21"/>
                      <w:szCs w:val="21"/>
                    </w:rPr>
                  </w:pPr>
                </w:p>
              </w:tc>
              <w:tc>
                <w:tcPr>
                  <w:tcW w:w="521" w:type="dxa"/>
                  <w:vMerge w:val="restart"/>
                  <w:tcBorders>
                    <w:tl2br w:val="nil"/>
                    <w:tr2bl w:val="nil"/>
                  </w:tcBorders>
                  <w:vAlign w:val="center"/>
                </w:tcPr>
                <w:p w14:paraId="3BB89589">
                  <w:pPr>
                    <w:jc w:val="center"/>
                    <w:rPr>
                      <w:color w:val="auto"/>
                      <w:sz w:val="21"/>
                      <w:szCs w:val="21"/>
                    </w:rPr>
                  </w:pPr>
                  <w:r>
                    <w:rPr>
                      <w:color w:val="auto"/>
                      <w:sz w:val="21"/>
                      <w:szCs w:val="21"/>
                    </w:rPr>
                    <w:t>固体废物</w:t>
                  </w:r>
                </w:p>
              </w:tc>
              <w:tc>
                <w:tcPr>
                  <w:tcW w:w="979" w:type="dxa"/>
                  <w:tcBorders>
                    <w:tl2br w:val="nil"/>
                    <w:tr2bl w:val="nil"/>
                  </w:tcBorders>
                  <w:vAlign w:val="center"/>
                </w:tcPr>
                <w:p w14:paraId="04B5B5BC">
                  <w:pPr>
                    <w:jc w:val="center"/>
                    <w:rPr>
                      <w:color w:val="auto"/>
                      <w:sz w:val="21"/>
                      <w:szCs w:val="21"/>
                    </w:rPr>
                  </w:pPr>
                  <w:r>
                    <w:rPr>
                      <w:color w:val="auto"/>
                      <w:sz w:val="21"/>
                      <w:szCs w:val="21"/>
                    </w:rPr>
                    <w:t>生活垃圾</w:t>
                  </w:r>
                </w:p>
              </w:tc>
              <w:tc>
                <w:tcPr>
                  <w:tcW w:w="5636" w:type="dxa"/>
                  <w:tcBorders>
                    <w:tl2br w:val="nil"/>
                    <w:tr2bl w:val="nil"/>
                  </w:tcBorders>
                  <w:vAlign w:val="center"/>
                </w:tcPr>
                <w:p w14:paraId="6AE34AAE">
                  <w:pPr>
                    <w:jc w:val="both"/>
                    <w:rPr>
                      <w:color w:val="auto"/>
                      <w:sz w:val="21"/>
                      <w:szCs w:val="21"/>
                    </w:rPr>
                  </w:pPr>
                  <w:r>
                    <w:rPr>
                      <w:color w:val="auto"/>
                      <w:sz w:val="21"/>
                      <w:szCs w:val="21"/>
                    </w:rPr>
                    <w:t>厂区内设垃圾桶收集，定期交由环卫部门外运处置</w:t>
                  </w:r>
                </w:p>
              </w:tc>
              <w:tc>
                <w:tcPr>
                  <w:tcW w:w="621" w:type="dxa"/>
                  <w:tcBorders>
                    <w:tl2br w:val="nil"/>
                    <w:tr2bl w:val="nil"/>
                  </w:tcBorders>
                  <w:vAlign w:val="center"/>
                </w:tcPr>
                <w:p w14:paraId="191E6A74">
                  <w:pPr>
                    <w:adjustRightInd w:val="0"/>
                    <w:snapToGrid w:val="0"/>
                    <w:jc w:val="center"/>
                    <w:rPr>
                      <w:color w:val="auto"/>
                      <w:sz w:val="21"/>
                      <w:szCs w:val="21"/>
                    </w:rPr>
                  </w:pPr>
                  <w:r>
                    <w:rPr>
                      <w:rFonts w:hint="eastAsia"/>
                      <w:color w:val="auto"/>
                      <w:sz w:val="21"/>
                      <w:szCs w:val="21"/>
                      <w:lang w:val="en-US" w:eastAsia="zh-CN"/>
                    </w:rPr>
                    <w:t>新建</w:t>
                  </w:r>
                </w:p>
              </w:tc>
            </w:tr>
            <w:tr w14:paraId="3AC5BE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3" w:hRule="atLeast"/>
                <w:jc w:val="center"/>
              </w:trPr>
              <w:tc>
                <w:tcPr>
                  <w:tcW w:w="581" w:type="dxa"/>
                  <w:vMerge w:val="continue"/>
                  <w:tcBorders>
                    <w:tl2br w:val="nil"/>
                    <w:tr2bl w:val="nil"/>
                  </w:tcBorders>
                  <w:vAlign w:val="center"/>
                </w:tcPr>
                <w:p w14:paraId="015C9574">
                  <w:pPr>
                    <w:jc w:val="center"/>
                    <w:rPr>
                      <w:color w:val="auto"/>
                      <w:sz w:val="21"/>
                      <w:szCs w:val="21"/>
                    </w:rPr>
                  </w:pPr>
                </w:p>
              </w:tc>
              <w:tc>
                <w:tcPr>
                  <w:tcW w:w="521" w:type="dxa"/>
                  <w:vMerge w:val="continue"/>
                  <w:tcBorders>
                    <w:tl2br w:val="nil"/>
                    <w:tr2bl w:val="nil"/>
                  </w:tcBorders>
                  <w:vAlign w:val="center"/>
                </w:tcPr>
                <w:p w14:paraId="01B25A85">
                  <w:pPr>
                    <w:jc w:val="center"/>
                    <w:rPr>
                      <w:color w:val="auto"/>
                      <w:sz w:val="21"/>
                      <w:szCs w:val="21"/>
                    </w:rPr>
                  </w:pPr>
                </w:p>
              </w:tc>
              <w:tc>
                <w:tcPr>
                  <w:tcW w:w="979" w:type="dxa"/>
                  <w:tcBorders>
                    <w:tl2br w:val="nil"/>
                    <w:tr2bl w:val="nil"/>
                  </w:tcBorders>
                  <w:vAlign w:val="center"/>
                </w:tcPr>
                <w:p w14:paraId="309F9385">
                  <w:pPr>
                    <w:jc w:val="center"/>
                    <w:rPr>
                      <w:color w:val="auto"/>
                      <w:sz w:val="21"/>
                      <w:szCs w:val="21"/>
                    </w:rPr>
                  </w:pPr>
                  <w:r>
                    <w:rPr>
                      <w:color w:val="auto"/>
                      <w:sz w:val="21"/>
                      <w:szCs w:val="21"/>
                    </w:rPr>
                    <w:t>一般工业</w:t>
                  </w:r>
                </w:p>
                <w:p w14:paraId="0948827F">
                  <w:pPr>
                    <w:jc w:val="center"/>
                    <w:rPr>
                      <w:color w:val="auto"/>
                      <w:sz w:val="21"/>
                      <w:szCs w:val="21"/>
                    </w:rPr>
                  </w:pPr>
                  <w:r>
                    <w:rPr>
                      <w:color w:val="auto"/>
                      <w:sz w:val="21"/>
                      <w:szCs w:val="21"/>
                    </w:rPr>
                    <w:t>固体废物</w:t>
                  </w:r>
                </w:p>
              </w:tc>
              <w:tc>
                <w:tcPr>
                  <w:tcW w:w="5636" w:type="dxa"/>
                  <w:tcBorders>
                    <w:tl2br w:val="nil"/>
                    <w:tr2bl w:val="nil"/>
                  </w:tcBorders>
                  <w:vAlign w:val="center"/>
                </w:tcPr>
                <w:p w14:paraId="343D49F0">
                  <w:pPr>
                    <w:jc w:val="both"/>
                    <w:rPr>
                      <w:color w:val="auto"/>
                      <w:sz w:val="21"/>
                      <w:szCs w:val="21"/>
                    </w:rPr>
                  </w:pPr>
                  <w:r>
                    <w:rPr>
                      <w:rFonts w:hint="eastAsia"/>
                      <w:color w:val="auto"/>
                      <w:sz w:val="21"/>
                      <w:szCs w:val="21"/>
                      <w:lang w:val="en-US" w:eastAsia="zh-CN"/>
                    </w:rPr>
                    <w:t>废砂轮、废陶瓷壳、除尘灰、废沉渣、废布袋等</w:t>
                  </w:r>
                  <w:r>
                    <w:rPr>
                      <w:color w:val="auto"/>
                      <w:sz w:val="21"/>
                      <w:szCs w:val="21"/>
                    </w:rPr>
                    <w:t>暂存于</w:t>
                  </w:r>
                  <w:r>
                    <w:rPr>
                      <w:rFonts w:hint="eastAsia"/>
                      <w:color w:val="auto"/>
                      <w:sz w:val="21"/>
                      <w:szCs w:val="21"/>
                      <w:lang w:val="en-US" w:eastAsia="zh-CN"/>
                    </w:rPr>
                    <w:t>一般固废暂存区</w:t>
                  </w:r>
                  <w:r>
                    <w:rPr>
                      <w:rFonts w:hint="eastAsia"/>
                      <w:color w:val="auto"/>
                      <w:szCs w:val="21"/>
                      <w:lang w:val="en-US" w:eastAsia="zh-CN"/>
                    </w:rPr>
                    <w:t>（车间东侧，面积5m</w:t>
                  </w:r>
                  <w:r>
                    <w:rPr>
                      <w:rFonts w:hint="eastAsia"/>
                      <w:color w:val="auto"/>
                      <w:szCs w:val="21"/>
                      <w:vertAlign w:val="superscript"/>
                      <w:lang w:val="en-US" w:eastAsia="zh-CN"/>
                    </w:rPr>
                    <w:t>2</w:t>
                  </w:r>
                  <w:r>
                    <w:rPr>
                      <w:rFonts w:hint="eastAsia"/>
                      <w:color w:val="auto"/>
                      <w:szCs w:val="21"/>
                      <w:lang w:val="en-US" w:eastAsia="zh-CN"/>
                    </w:rPr>
                    <w:t>）</w:t>
                  </w:r>
                  <w:r>
                    <w:rPr>
                      <w:color w:val="auto"/>
                      <w:szCs w:val="21"/>
                    </w:rPr>
                    <w:t>，外售</w:t>
                  </w:r>
                  <w:r>
                    <w:rPr>
                      <w:rFonts w:hint="eastAsia"/>
                      <w:color w:val="auto"/>
                      <w:szCs w:val="21"/>
                      <w:lang w:eastAsia="zh-CN"/>
                    </w:rPr>
                    <w:t>给回收单位</w:t>
                  </w:r>
                  <w:r>
                    <w:rPr>
                      <w:color w:val="auto"/>
                      <w:szCs w:val="21"/>
                    </w:rPr>
                    <w:t>处置</w:t>
                  </w:r>
                </w:p>
              </w:tc>
              <w:tc>
                <w:tcPr>
                  <w:tcW w:w="621" w:type="dxa"/>
                  <w:tcBorders>
                    <w:tl2br w:val="nil"/>
                    <w:tr2bl w:val="nil"/>
                  </w:tcBorders>
                  <w:vAlign w:val="center"/>
                </w:tcPr>
                <w:p w14:paraId="7393DB3C">
                  <w:pPr>
                    <w:adjustRightInd w:val="0"/>
                    <w:snapToGrid w:val="0"/>
                    <w:jc w:val="center"/>
                    <w:rPr>
                      <w:color w:val="auto"/>
                      <w:sz w:val="21"/>
                      <w:szCs w:val="21"/>
                    </w:rPr>
                  </w:pPr>
                  <w:r>
                    <w:rPr>
                      <w:rFonts w:hint="eastAsia"/>
                      <w:color w:val="auto"/>
                      <w:sz w:val="21"/>
                      <w:szCs w:val="21"/>
                      <w:lang w:val="en-US" w:eastAsia="zh-CN"/>
                    </w:rPr>
                    <w:t>新建</w:t>
                  </w:r>
                </w:p>
              </w:tc>
            </w:tr>
            <w:tr w14:paraId="386CF7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3" w:hRule="atLeast"/>
                <w:jc w:val="center"/>
              </w:trPr>
              <w:tc>
                <w:tcPr>
                  <w:tcW w:w="581" w:type="dxa"/>
                  <w:tcBorders>
                    <w:tl2br w:val="nil"/>
                    <w:tr2bl w:val="nil"/>
                  </w:tcBorders>
                  <w:vAlign w:val="center"/>
                </w:tcPr>
                <w:p w14:paraId="2DA8ADF6">
                  <w:pPr>
                    <w:widowControl/>
                    <w:wordWrap w:val="0"/>
                    <w:adjustRightInd w:val="0"/>
                    <w:snapToGrid w:val="0"/>
                    <w:jc w:val="center"/>
                    <w:rPr>
                      <w:color w:val="auto"/>
                      <w:sz w:val="21"/>
                      <w:szCs w:val="21"/>
                    </w:rPr>
                  </w:pPr>
                  <w:r>
                    <w:rPr>
                      <w:color w:val="auto"/>
                      <w:sz w:val="21"/>
                      <w:szCs w:val="21"/>
                    </w:rPr>
                    <w:t>依托工程</w:t>
                  </w:r>
                </w:p>
              </w:tc>
              <w:tc>
                <w:tcPr>
                  <w:tcW w:w="7757" w:type="dxa"/>
                  <w:gridSpan w:val="4"/>
                  <w:tcBorders>
                    <w:tl2br w:val="nil"/>
                    <w:tr2bl w:val="nil"/>
                  </w:tcBorders>
                  <w:vAlign w:val="center"/>
                </w:tcPr>
                <w:p w14:paraId="7D0DFDDD">
                  <w:pPr>
                    <w:widowControl/>
                    <w:wordWrap w:val="0"/>
                    <w:adjustRightInd w:val="0"/>
                    <w:snapToGrid w:val="0"/>
                    <w:jc w:val="both"/>
                    <w:rPr>
                      <w:color w:val="auto"/>
                      <w:sz w:val="21"/>
                      <w:szCs w:val="21"/>
                    </w:rPr>
                  </w:pPr>
                  <w:r>
                    <w:rPr>
                      <w:rFonts w:hint="eastAsia"/>
                      <w:bCs/>
                      <w:color w:val="auto"/>
                      <w:szCs w:val="21"/>
                      <w:lang w:val="en-US" w:eastAsia="zh-CN"/>
                    </w:rPr>
                    <w:t>生活污水依托陕西重型机械制造有限公司化粪池（100m</w:t>
                  </w:r>
                  <w:r>
                    <w:rPr>
                      <w:rFonts w:hint="eastAsia"/>
                      <w:bCs/>
                      <w:color w:val="auto"/>
                      <w:szCs w:val="21"/>
                      <w:vertAlign w:val="superscript"/>
                      <w:lang w:val="en-US" w:eastAsia="zh-CN"/>
                    </w:rPr>
                    <w:t>3</w:t>
                  </w:r>
                  <w:r>
                    <w:rPr>
                      <w:rFonts w:hint="eastAsia"/>
                      <w:bCs/>
                      <w:color w:val="auto"/>
                      <w:szCs w:val="21"/>
                      <w:lang w:val="en-US" w:eastAsia="zh-CN"/>
                    </w:rPr>
                    <w:t>）处理</w:t>
                  </w:r>
                </w:p>
              </w:tc>
            </w:tr>
          </w:tbl>
          <w:p w14:paraId="34C85AC2">
            <w:pPr>
              <w:spacing w:line="360" w:lineRule="auto"/>
              <w:ind w:firstLine="480" w:firstLineChars="200"/>
              <w:rPr>
                <w:rFonts w:hint="default" w:eastAsia="宋体"/>
                <w:color w:val="auto"/>
                <w:kern w:val="0"/>
                <w:sz w:val="24"/>
                <w:szCs w:val="20"/>
                <w:lang w:val="en-US" w:eastAsia="zh-CN"/>
              </w:rPr>
            </w:pPr>
            <w:r>
              <w:rPr>
                <w:color w:val="auto"/>
                <w:kern w:val="0"/>
                <w:sz w:val="24"/>
                <w:szCs w:val="20"/>
              </w:rPr>
              <w:t>（3）</w:t>
            </w:r>
            <w:r>
              <w:rPr>
                <w:rFonts w:hint="eastAsia"/>
                <w:color w:val="auto"/>
                <w:kern w:val="0"/>
                <w:sz w:val="24"/>
                <w:szCs w:val="20"/>
                <w:lang w:val="en-US" w:eastAsia="zh-CN"/>
              </w:rPr>
              <w:t>项目产能</w:t>
            </w:r>
          </w:p>
          <w:p w14:paraId="4EE2843A">
            <w:pPr>
              <w:spacing w:line="360" w:lineRule="auto"/>
              <w:ind w:firstLine="480" w:firstLineChars="200"/>
              <w:rPr>
                <w:color w:val="auto"/>
                <w:kern w:val="0"/>
                <w:sz w:val="24"/>
                <w:szCs w:val="20"/>
              </w:rPr>
            </w:pPr>
            <w:r>
              <w:rPr>
                <w:rFonts w:hint="eastAsia"/>
                <w:color w:val="auto"/>
                <w:kern w:val="0"/>
                <w:sz w:val="24"/>
                <w:szCs w:val="20"/>
                <w:lang w:val="en-US" w:eastAsia="zh-CN"/>
              </w:rPr>
              <w:t>本项目产品方案</w:t>
            </w:r>
            <w:r>
              <w:rPr>
                <w:color w:val="auto"/>
                <w:kern w:val="0"/>
                <w:sz w:val="24"/>
                <w:szCs w:val="20"/>
              </w:rPr>
              <w:t>见表</w:t>
            </w:r>
            <w:r>
              <w:rPr>
                <w:rFonts w:hint="eastAsia"/>
                <w:color w:val="auto"/>
                <w:kern w:val="0"/>
                <w:sz w:val="24"/>
                <w:szCs w:val="20"/>
              </w:rPr>
              <w:t>2-2</w:t>
            </w:r>
            <w:r>
              <w:rPr>
                <w:color w:val="auto"/>
                <w:kern w:val="0"/>
                <w:sz w:val="24"/>
                <w:szCs w:val="20"/>
              </w:rPr>
              <w:t>。</w:t>
            </w:r>
          </w:p>
          <w:p w14:paraId="1CCEBF15">
            <w:pPr>
              <w:autoSpaceDE w:val="0"/>
              <w:autoSpaceDN w:val="0"/>
              <w:jc w:val="center"/>
              <w:rPr>
                <w:rFonts w:hint="default" w:eastAsia="宋体"/>
                <w:b/>
                <w:color w:val="auto"/>
                <w:szCs w:val="21"/>
                <w:lang w:val="en-US" w:eastAsia="zh-CN"/>
              </w:rPr>
            </w:pPr>
            <w:r>
              <w:rPr>
                <w:b/>
                <w:color w:val="auto"/>
                <w:szCs w:val="21"/>
              </w:rPr>
              <w:t>表</w:t>
            </w:r>
            <w:r>
              <w:rPr>
                <w:rFonts w:hint="eastAsia"/>
                <w:b/>
                <w:color w:val="auto"/>
                <w:szCs w:val="21"/>
              </w:rPr>
              <w:t xml:space="preserve">2-2   </w:t>
            </w:r>
            <w:r>
              <w:rPr>
                <w:rFonts w:hint="eastAsia"/>
                <w:b/>
                <w:color w:val="auto"/>
                <w:szCs w:val="21"/>
                <w:lang w:val="en-US" w:eastAsia="zh-CN"/>
              </w:rPr>
              <w:t>产品方案一览表</w:t>
            </w:r>
          </w:p>
          <w:tbl>
            <w:tblPr>
              <w:tblStyle w:val="17"/>
              <w:tblW w:w="837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2"/>
              <w:gridCol w:w="1176"/>
              <w:gridCol w:w="840"/>
              <w:gridCol w:w="945"/>
              <w:gridCol w:w="3354"/>
              <w:gridCol w:w="1392"/>
            </w:tblGrid>
            <w:tr w14:paraId="506709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8" w:hRule="atLeast"/>
              </w:trPr>
              <w:tc>
                <w:tcPr>
                  <w:tcW w:w="672" w:type="dxa"/>
                  <w:tcBorders>
                    <w:top w:val="single" w:color="auto" w:sz="4" w:space="0"/>
                    <w:left w:val="single" w:color="auto" w:sz="4" w:space="0"/>
                    <w:bottom w:val="single" w:color="auto" w:sz="4" w:space="0"/>
                    <w:right w:val="single" w:color="auto" w:sz="4" w:space="0"/>
                  </w:tcBorders>
                  <w:vAlign w:val="center"/>
                </w:tcPr>
                <w:p w14:paraId="4B822FBB">
                  <w:pPr>
                    <w:snapToGrid w:val="0"/>
                    <w:jc w:val="center"/>
                    <w:rPr>
                      <w:rFonts w:hint="eastAsia" w:eastAsia="宋体"/>
                      <w:color w:val="auto"/>
                      <w:kern w:val="0"/>
                      <w:sz w:val="21"/>
                      <w:szCs w:val="21"/>
                      <w:lang w:val="en-US" w:eastAsia="zh-CN"/>
                    </w:rPr>
                  </w:pPr>
                  <w:r>
                    <w:rPr>
                      <w:rFonts w:hint="eastAsia"/>
                      <w:color w:val="auto"/>
                      <w:kern w:val="0"/>
                      <w:sz w:val="21"/>
                      <w:szCs w:val="21"/>
                      <w:lang w:val="en-US" w:eastAsia="zh-CN"/>
                    </w:rPr>
                    <w:t>序号</w:t>
                  </w:r>
                </w:p>
              </w:tc>
              <w:tc>
                <w:tcPr>
                  <w:tcW w:w="1176" w:type="dxa"/>
                  <w:tcBorders>
                    <w:top w:val="single" w:color="auto" w:sz="4" w:space="0"/>
                    <w:left w:val="single" w:color="auto" w:sz="4" w:space="0"/>
                    <w:bottom w:val="single" w:color="auto" w:sz="4" w:space="0"/>
                    <w:right w:val="single" w:color="auto" w:sz="4" w:space="0"/>
                  </w:tcBorders>
                  <w:vAlign w:val="center"/>
                </w:tcPr>
                <w:p w14:paraId="5CFFD540">
                  <w:pPr>
                    <w:snapToGrid w:val="0"/>
                    <w:jc w:val="center"/>
                    <w:rPr>
                      <w:color w:val="auto"/>
                      <w:kern w:val="0"/>
                      <w:sz w:val="21"/>
                      <w:szCs w:val="21"/>
                    </w:rPr>
                  </w:pPr>
                  <w:r>
                    <w:rPr>
                      <w:color w:val="auto"/>
                      <w:kern w:val="0"/>
                      <w:sz w:val="21"/>
                      <w:szCs w:val="21"/>
                    </w:rPr>
                    <w:t>产品名称</w:t>
                  </w:r>
                </w:p>
              </w:tc>
              <w:tc>
                <w:tcPr>
                  <w:tcW w:w="840" w:type="dxa"/>
                  <w:tcBorders>
                    <w:top w:val="single" w:color="auto" w:sz="4" w:space="0"/>
                    <w:left w:val="single" w:color="auto" w:sz="4" w:space="0"/>
                    <w:bottom w:val="single" w:color="auto" w:sz="4" w:space="0"/>
                    <w:right w:val="single" w:color="auto" w:sz="4" w:space="0"/>
                  </w:tcBorders>
                  <w:vAlign w:val="center"/>
                </w:tcPr>
                <w:p w14:paraId="06B5F257">
                  <w:pPr>
                    <w:snapToGrid w:val="0"/>
                    <w:jc w:val="center"/>
                    <w:rPr>
                      <w:color w:val="auto"/>
                      <w:kern w:val="0"/>
                      <w:sz w:val="21"/>
                      <w:szCs w:val="21"/>
                    </w:rPr>
                  </w:pPr>
                  <w:r>
                    <w:rPr>
                      <w:color w:val="auto"/>
                      <w:kern w:val="0"/>
                      <w:sz w:val="21"/>
                      <w:szCs w:val="21"/>
                    </w:rPr>
                    <w:t>单位</w:t>
                  </w:r>
                </w:p>
              </w:tc>
              <w:tc>
                <w:tcPr>
                  <w:tcW w:w="945" w:type="dxa"/>
                  <w:tcBorders>
                    <w:top w:val="single" w:color="auto" w:sz="4" w:space="0"/>
                    <w:left w:val="single" w:color="auto" w:sz="4" w:space="0"/>
                    <w:bottom w:val="single" w:color="auto" w:sz="4" w:space="0"/>
                    <w:right w:val="single" w:color="auto" w:sz="4" w:space="0"/>
                  </w:tcBorders>
                  <w:vAlign w:val="center"/>
                </w:tcPr>
                <w:p w14:paraId="2D358FBA">
                  <w:pPr>
                    <w:snapToGrid w:val="0"/>
                    <w:jc w:val="center"/>
                    <w:rPr>
                      <w:rFonts w:hint="default" w:eastAsia="宋体"/>
                      <w:color w:val="auto"/>
                      <w:kern w:val="0"/>
                      <w:sz w:val="21"/>
                      <w:szCs w:val="21"/>
                      <w:lang w:val="en-US" w:eastAsia="zh-CN"/>
                    </w:rPr>
                  </w:pPr>
                  <w:r>
                    <w:rPr>
                      <w:rFonts w:hint="eastAsia"/>
                      <w:color w:val="auto"/>
                      <w:kern w:val="0"/>
                      <w:sz w:val="21"/>
                      <w:szCs w:val="21"/>
                      <w:lang w:val="en-US" w:eastAsia="zh-CN"/>
                    </w:rPr>
                    <w:t>年产量</w:t>
                  </w:r>
                </w:p>
              </w:tc>
              <w:tc>
                <w:tcPr>
                  <w:tcW w:w="3354" w:type="dxa"/>
                  <w:tcBorders>
                    <w:top w:val="single" w:color="auto" w:sz="4" w:space="0"/>
                    <w:left w:val="single" w:color="auto" w:sz="4" w:space="0"/>
                    <w:bottom w:val="single" w:color="auto" w:sz="4" w:space="0"/>
                    <w:right w:val="single" w:color="auto" w:sz="4" w:space="0"/>
                  </w:tcBorders>
                  <w:vAlign w:val="center"/>
                </w:tcPr>
                <w:p w14:paraId="6EF04D6B">
                  <w:pPr>
                    <w:snapToGrid w:val="0"/>
                    <w:jc w:val="center"/>
                    <w:rPr>
                      <w:rFonts w:hint="default"/>
                      <w:color w:val="auto"/>
                      <w:kern w:val="0"/>
                      <w:sz w:val="21"/>
                      <w:szCs w:val="21"/>
                      <w:lang w:val="en-US" w:eastAsia="zh-CN"/>
                    </w:rPr>
                  </w:pPr>
                  <w:r>
                    <w:rPr>
                      <w:rFonts w:hint="eastAsia"/>
                      <w:color w:val="auto"/>
                      <w:kern w:val="0"/>
                      <w:sz w:val="21"/>
                      <w:szCs w:val="21"/>
                      <w:lang w:val="en-US" w:eastAsia="zh-CN"/>
                    </w:rPr>
                    <w:t>规格</w:t>
                  </w:r>
                </w:p>
              </w:tc>
              <w:tc>
                <w:tcPr>
                  <w:tcW w:w="1392" w:type="dxa"/>
                  <w:tcBorders>
                    <w:top w:val="single" w:color="auto" w:sz="4" w:space="0"/>
                    <w:left w:val="single" w:color="auto" w:sz="4" w:space="0"/>
                    <w:bottom w:val="single" w:color="auto" w:sz="4" w:space="0"/>
                    <w:right w:val="single" w:color="auto" w:sz="4" w:space="0"/>
                  </w:tcBorders>
                  <w:vAlign w:val="center"/>
                </w:tcPr>
                <w:p w14:paraId="328BCD69">
                  <w:pPr>
                    <w:snapToGrid w:val="0"/>
                    <w:jc w:val="center"/>
                    <w:rPr>
                      <w:color w:val="auto"/>
                      <w:kern w:val="0"/>
                      <w:sz w:val="21"/>
                      <w:szCs w:val="21"/>
                    </w:rPr>
                  </w:pPr>
                  <w:r>
                    <w:rPr>
                      <w:color w:val="auto"/>
                      <w:kern w:val="0"/>
                      <w:sz w:val="21"/>
                      <w:szCs w:val="21"/>
                    </w:rPr>
                    <w:t>备注</w:t>
                  </w:r>
                </w:p>
              </w:tc>
            </w:tr>
            <w:tr w14:paraId="308F18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8" w:hRule="atLeast"/>
              </w:trPr>
              <w:tc>
                <w:tcPr>
                  <w:tcW w:w="672" w:type="dxa"/>
                  <w:tcBorders>
                    <w:top w:val="single" w:color="auto" w:sz="4" w:space="0"/>
                    <w:left w:val="single" w:color="auto" w:sz="4" w:space="0"/>
                    <w:bottom w:val="single" w:color="auto" w:sz="4" w:space="0"/>
                    <w:right w:val="single" w:color="auto" w:sz="4" w:space="0"/>
                  </w:tcBorders>
                  <w:vAlign w:val="center"/>
                </w:tcPr>
                <w:p w14:paraId="2818D233">
                  <w:pPr>
                    <w:keepNext w:val="0"/>
                    <w:keepLines w:val="0"/>
                    <w:pageBreakBefore w:val="0"/>
                    <w:kinsoku/>
                    <w:wordWrap/>
                    <w:overflowPunct/>
                    <w:topLinePunct w:val="0"/>
                    <w:bidi w:val="0"/>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b w:val="0"/>
                      <w:bCs w:val="0"/>
                      <w:color w:val="000000"/>
                      <w:kern w:val="24"/>
                      <w:sz w:val="21"/>
                      <w:szCs w:val="21"/>
                      <w:lang w:val="en-US" w:eastAsia="zh-CN"/>
                    </w:rPr>
                    <w:t>1</w:t>
                  </w:r>
                </w:p>
              </w:tc>
              <w:tc>
                <w:tcPr>
                  <w:tcW w:w="1176" w:type="dxa"/>
                  <w:tcBorders>
                    <w:top w:val="single" w:color="auto" w:sz="4" w:space="0"/>
                    <w:left w:val="single" w:color="auto" w:sz="4" w:space="0"/>
                    <w:bottom w:val="single" w:color="auto" w:sz="4" w:space="0"/>
                    <w:right w:val="single" w:color="auto" w:sz="4" w:space="0"/>
                  </w:tcBorders>
                  <w:vAlign w:val="center"/>
                </w:tcPr>
                <w:p w14:paraId="174E53B1">
                  <w:pPr>
                    <w:keepNext w:val="0"/>
                    <w:keepLines w:val="0"/>
                    <w:pageBreakBefore w:val="0"/>
                    <w:kinsoku/>
                    <w:wordWrap/>
                    <w:overflowPunct/>
                    <w:topLinePunct w:val="0"/>
                    <w:bidi w:val="0"/>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b w:val="0"/>
                      <w:bCs w:val="0"/>
                      <w:color w:val="000000"/>
                      <w:kern w:val="24"/>
                      <w:sz w:val="21"/>
                      <w:szCs w:val="21"/>
                      <w:lang w:val="en-US" w:eastAsia="zh-CN"/>
                    </w:rPr>
                    <w:t>钛及钛合金板坯</w:t>
                  </w:r>
                </w:p>
              </w:tc>
              <w:tc>
                <w:tcPr>
                  <w:tcW w:w="840" w:type="dxa"/>
                  <w:tcBorders>
                    <w:top w:val="single" w:color="auto" w:sz="4" w:space="0"/>
                    <w:left w:val="single" w:color="auto" w:sz="4" w:space="0"/>
                    <w:bottom w:val="single" w:color="auto" w:sz="4" w:space="0"/>
                    <w:right w:val="single" w:color="auto" w:sz="4" w:space="0"/>
                  </w:tcBorders>
                  <w:vAlign w:val="center"/>
                </w:tcPr>
                <w:p w14:paraId="5DA95FDE">
                  <w:pPr>
                    <w:keepNext w:val="0"/>
                    <w:keepLines w:val="0"/>
                    <w:pageBreakBefore w:val="0"/>
                    <w:kinsoku/>
                    <w:wordWrap/>
                    <w:overflowPunct/>
                    <w:topLinePunct w:val="0"/>
                    <w:bidi w:val="0"/>
                    <w:spacing w:line="240" w:lineRule="auto"/>
                    <w:ind w:firstLine="0" w:firstLineChars="0"/>
                    <w:jc w:val="center"/>
                    <w:rPr>
                      <w:color w:val="auto"/>
                      <w:kern w:val="0"/>
                      <w:sz w:val="21"/>
                      <w:szCs w:val="21"/>
                    </w:rPr>
                  </w:pPr>
                  <w:r>
                    <w:rPr>
                      <w:rFonts w:hint="eastAsia" w:cs="Times New Roman"/>
                      <w:b w:val="0"/>
                      <w:bCs w:val="0"/>
                      <w:color w:val="000000"/>
                      <w:kern w:val="24"/>
                      <w:sz w:val="21"/>
                      <w:szCs w:val="21"/>
                      <w:lang w:val="en-US" w:eastAsia="zh-CN"/>
                    </w:rPr>
                    <w:t>件</w:t>
                  </w:r>
                  <w:r>
                    <w:rPr>
                      <w:rFonts w:hint="eastAsia" w:ascii="Times New Roman" w:hAnsi="Times New Roman" w:eastAsia="宋体" w:cs="Times New Roman"/>
                      <w:b w:val="0"/>
                      <w:bCs w:val="0"/>
                      <w:color w:val="000000"/>
                      <w:kern w:val="24"/>
                      <w:sz w:val="21"/>
                      <w:szCs w:val="21"/>
                      <w:lang w:val="en-US" w:eastAsia="zh-CN"/>
                    </w:rPr>
                    <w:t>/a</w:t>
                  </w:r>
                </w:p>
              </w:tc>
              <w:tc>
                <w:tcPr>
                  <w:tcW w:w="945" w:type="dxa"/>
                  <w:tcBorders>
                    <w:top w:val="single" w:color="auto" w:sz="4" w:space="0"/>
                    <w:left w:val="single" w:color="auto" w:sz="4" w:space="0"/>
                    <w:bottom w:val="single" w:color="auto" w:sz="4" w:space="0"/>
                    <w:right w:val="single" w:color="auto" w:sz="4" w:space="0"/>
                  </w:tcBorders>
                  <w:vAlign w:val="center"/>
                </w:tcPr>
                <w:p w14:paraId="4DB863E2">
                  <w:pPr>
                    <w:keepNext w:val="0"/>
                    <w:keepLines w:val="0"/>
                    <w:pageBreakBefore w:val="0"/>
                    <w:kinsoku/>
                    <w:wordWrap/>
                    <w:overflowPunct/>
                    <w:topLinePunct w:val="0"/>
                    <w:bidi w:val="0"/>
                    <w:spacing w:line="240" w:lineRule="auto"/>
                    <w:ind w:firstLine="0" w:firstLineChars="0"/>
                    <w:jc w:val="center"/>
                    <w:rPr>
                      <w:rFonts w:hint="default"/>
                      <w:color w:val="auto"/>
                      <w:kern w:val="0"/>
                      <w:sz w:val="21"/>
                      <w:szCs w:val="21"/>
                      <w:lang w:val="en-US"/>
                    </w:rPr>
                  </w:pPr>
                  <w:r>
                    <w:rPr>
                      <w:rFonts w:hint="eastAsia" w:cs="Times New Roman"/>
                      <w:b w:val="0"/>
                      <w:bCs w:val="0"/>
                      <w:color w:val="000000"/>
                      <w:kern w:val="24"/>
                      <w:sz w:val="21"/>
                      <w:szCs w:val="21"/>
                      <w:lang w:val="en-US" w:eastAsia="zh-CN"/>
                    </w:rPr>
                    <w:t>1</w:t>
                  </w:r>
                  <w:r>
                    <w:rPr>
                      <w:rFonts w:hint="eastAsia" w:ascii="Times New Roman" w:hAnsi="Times New Roman" w:eastAsia="宋体" w:cs="Times New Roman"/>
                      <w:b w:val="0"/>
                      <w:bCs w:val="0"/>
                      <w:color w:val="000000"/>
                      <w:kern w:val="24"/>
                      <w:sz w:val="21"/>
                      <w:szCs w:val="21"/>
                      <w:lang w:val="en-US" w:eastAsia="zh-CN"/>
                    </w:rPr>
                    <w:t>500</w:t>
                  </w:r>
                </w:p>
              </w:tc>
              <w:tc>
                <w:tcPr>
                  <w:tcW w:w="3354" w:type="dxa"/>
                  <w:tcBorders>
                    <w:top w:val="single" w:color="auto" w:sz="4" w:space="0"/>
                    <w:left w:val="single" w:color="auto" w:sz="4" w:space="0"/>
                    <w:bottom w:val="single" w:color="auto" w:sz="4" w:space="0"/>
                    <w:right w:val="single" w:color="auto" w:sz="4" w:space="0"/>
                  </w:tcBorders>
                  <w:vAlign w:val="center"/>
                </w:tcPr>
                <w:p w14:paraId="77579D7B">
                  <w:pPr>
                    <w:keepNext w:val="0"/>
                    <w:keepLines w:val="0"/>
                    <w:pageBreakBefore w:val="0"/>
                    <w:kinsoku/>
                    <w:wordWrap/>
                    <w:overflowPunct/>
                    <w:topLinePunct w:val="0"/>
                    <w:bidi w:val="0"/>
                    <w:spacing w:line="240" w:lineRule="auto"/>
                    <w:ind w:firstLine="0" w:firstLineChars="0"/>
                    <w:jc w:val="center"/>
                    <w:rPr>
                      <w:rFonts w:hint="default"/>
                      <w:color w:val="auto"/>
                      <w:kern w:val="0"/>
                      <w:sz w:val="21"/>
                      <w:szCs w:val="21"/>
                      <w:lang w:val="en-US"/>
                    </w:rPr>
                  </w:pPr>
                  <w:r>
                    <w:rPr>
                      <w:rFonts w:hint="eastAsia" w:ascii="Times New Roman" w:hAnsi="Times New Roman" w:eastAsia="宋体" w:cs="Times New Roman"/>
                      <w:b w:val="0"/>
                      <w:bCs w:val="0"/>
                      <w:color w:val="000000"/>
                      <w:kern w:val="24"/>
                      <w:sz w:val="21"/>
                      <w:szCs w:val="21"/>
                      <w:lang w:val="en-US" w:eastAsia="zh-CN"/>
                    </w:rPr>
                    <w:t>尺寸（长×宽）：5.5-6.5M*1.2M</w:t>
                  </w:r>
                </w:p>
              </w:tc>
              <w:tc>
                <w:tcPr>
                  <w:tcW w:w="1392" w:type="dxa"/>
                  <w:tcBorders>
                    <w:top w:val="single" w:color="auto" w:sz="4" w:space="0"/>
                    <w:left w:val="single" w:color="auto" w:sz="4" w:space="0"/>
                    <w:bottom w:val="single" w:color="auto" w:sz="4" w:space="0"/>
                    <w:right w:val="single" w:color="auto" w:sz="4" w:space="0"/>
                  </w:tcBorders>
                  <w:vAlign w:val="center"/>
                </w:tcPr>
                <w:p w14:paraId="1A052424">
                  <w:pPr>
                    <w:keepNext w:val="0"/>
                    <w:keepLines w:val="0"/>
                    <w:pageBreakBefore w:val="0"/>
                    <w:kinsoku/>
                    <w:wordWrap/>
                    <w:overflowPunct/>
                    <w:topLinePunct w:val="0"/>
                    <w:bidi w:val="0"/>
                    <w:spacing w:line="240" w:lineRule="auto"/>
                    <w:ind w:firstLine="0" w:firstLineChars="0"/>
                    <w:jc w:val="center"/>
                    <w:rPr>
                      <w:rFonts w:hint="default" w:eastAsia="宋体"/>
                      <w:color w:val="auto"/>
                      <w:kern w:val="0"/>
                      <w:sz w:val="21"/>
                      <w:szCs w:val="21"/>
                      <w:lang w:val="en-US" w:eastAsia="zh-CN"/>
                    </w:rPr>
                  </w:pPr>
                  <w:r>
                    <w:rPr>
                      <w:rFonts w:hint="eastAsia" w:ascii="Times New Roman" w:hAnsi="Times New Roman" w:eastAsia="宋体" w:cs="Times New Roman"/>
                      <w:b w:val="0"/>
                      <w:bCs w:val="0"/>
                      <w:color w:val="000000"/>
                      <w:kern w:val="24"/>
                      <w:sz w:val="21"/>
                      <w:szCs w:val="21"/>
                      <w:lang w:val="en-US" w:eastAsia="zh-CN"/>
                    </w:rPr>
                    <w:t>外协加工件</w:t>
                  </w:r>
                </w:p>
              </w:tc>
            </w:tr>
            <w:tr w14:paraId="7B263A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8" w:hRule="atLeast"/>
              </w:trPr>
              <w:tc>
                <w:tcPr>
                  <w:tcW w:w="672" w:type="dxa"/>
                  <w:tcBorders>
                    <w:top w:val="single" w:color="auto" w:sz="4" w:space="0"/>
                    <w:left w:val="single" w:color="auto" w:sz="4" w:space="0"/>
                    <w:bottom w:val="single" w:color="auto" w:sz="4" w:space="0"/>
                    <w:right w:val="single" w:color="auto" w:sz="4" w:space="0"/>
                  </w:tcBorders>
                  <w:vAlign w:val="center"/>
                </w:tcPr>
                <w:p w14:paraId="7BF76438">
                  <w:pPr>
                    <w:keepNext w:val="0"/>
                    <w:keepLines w:val="0"/>
                    <w:pageBreakBefore w:val="0"/>
                    <w:kinsoku/>
                    <w:wordWrap/>
                    <w:overflowPunct/>
                    <w:topLinePunct w:val="0"/>
                    <w:bidi w:val="0"/>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b w:val="0"/>
                      <w:bCs w:val="0"/>
                      <w:color w:val="000000"/>
                      <w:kern w:val="24"/>
                      <w:sz w:val="21"/>
                      <w:szCs w:val="21"/>
                      <w:lang w:val="en-US" w:eastAsia="zh-CN"/>
                    </w:rPr>
                    <w:t>2</w:t>
                  </w:r>
                </w:p>
              </w:tc>
              <w:tc>
                <w:tcPr>
                  <w:tcW w:w="1176" w:type="dxa"/>
                  <w:tcBorders>
                    <w:top w:val="single" w:color="auto" w:sz="4" w:space="0"/>
                    <w:left w:val="single" w:color="auto" w:sz="4" w:space="0"/>
                    <w:bottom w:val="single" w:color="auto" w:sz="4" w:space="0"/>
                    <w:right w:val="single" w:color="auto" w:sz="4" w:space="0"/>
                  </w:tcBorders>
                  <w:vAlign w:val="center"/>
                </w:tcPr>
                <w:p w14:paraId="46A18363">
                  <w:pPr>
                    <w:keepNext w:val="0"/>
                    <w:keepLines w:val="0"/>
                    <w:pageBreakBefore w:val="0"/>
                    <w:kinsoku/>
                    <w:wordWrap/>
                    <w:overflowPunct/>
                    <w:topLinePunct w:val="0"/>
                    <w:bidi w:val="0"/>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b w:val="0"/>
                      <w:bCs w:val="0"/>
                      <w:color w:val="000000"/>
                      <w:kern w:val="24"/>
                      <w:sz w:val="21"/>
                      <w:szCs w:val="21"/>
                      <w:lang w:val="en-US" w:eastAsia="zh-CN"/>
                    </w:rPr>
                    <w:t>钛棒</w:t>
                  </w:r>
                </w:p>
              </w:tc>
              <w:tc>
                <w:tcPr>
                  <w:tcW w:w="840" w:type="dxa"/>
                  <w:tcBorders>
                    <w:top w:val="single" w:color="auto" w:sz="4" w:space="0"/>
                    <w:left w:val="single" w:color="auto" w:sz="4" w:space="0"/>
                    <w:bottom w:val="single" w:color="auto" w:sz="4" w:space="0"/>
                    <w:right w:val="single" w:color="auto" w:sz="4" w:space="0"/>
                  </w:tcBorders>
                  <w:vAlign w:val="center"/>
                </w:tcPr>
                <w:p w14:paraId="71FEDF3D">
                  <w:pPr>
                    <w:keepNext w:val="0"/>
                    <w:keepLines w:val="0"/>
                    <w:pageBreakBefore w:val="0"/>
                    <w:kinsoku/>
                    <w:wordWrap/>
                    <w:overflowPunct/>
                    <w:topLinePunct w:val="0"/>
                    <w:bidi w:val="0"/>
                    <w:spacing w:line="240" w:lineRule="auto"/>
                    <w:ind w:firstLine="0" w:firstLineChars="0"/>
                    <w:jc w:val="center"/>
                    <w:rPr>
                      <w:rFonts w:hint="eastAsia" w:cs="Times New Roman"/>
                      <w:color w:val="auto"/>
                      <w:sz w:val="21"/>
                      <w:szCs w:val="21"/>
                      <w:lang w:val="en-US" w:eastAsia="zh-CN"/>
                    </w:rPr>
                  </w:pPr>
                  <w:r>
                    <w:rPr>
                      <w:rFonts w:hint="eastAsia" w:cs="Times New Roman"/>
                      <w:b w:val="0"/>
                      <w:bCs w:val="0"/>
                      <w:color w:val="000000"/>
                      <w:kern w:val="24"/>
                      <w:sz w:val="21"/>
                      <w:szCs w:val="21"/>
                      <w:lang w:val="en-US" w:eastAsia="zh-CN"/>
                    </w:rPr>
                    <w:t>件</w:t>
                  </w:r>
                  <w:r>
                    <w:rPr>
                      <w:rFonts w:hint="eastAsia" w:ascii="Times New Roman" w:hAnsi="Times New Roman" w:eastAsia="宋体" w:cs="Times New Roman"/>
                      <w:b w:val="0"/>
                      <w:bCs w:val="0"/>
                      <w:color w:val="000000"/>
                      <w:kern w:val="24"/>
                      <w:sz w:val="21"/>
                      <w:szCs w:val="21"/>
                      <w:lang w:val="en-US" w:eastAsia="zh-CN"/>
                    </w:rPr>
                    <w:t>/a</w:t>
                  </w:r>
                </w:p>
              </w:tc>
              <w:tc>
                <w:tcPr>
                  <w:tcW w:w="945" w:type="dxa"/>
                  <w:tcBorders>
                    <w:top w:val="single" w:color="auto" w:sz="4" w:space="0"/>
                    <w:left w:val="single" w:color="auto" w:sz="4" w:space="0"/>
                    <w:bottom w:val="single" w:color="auto" w:sz="4" w:space="0"/>
                    <w:right w:val="single" w:color="auto" w:sz="4" w:space="0"/>
                  </w:tcBorders>
                  <w:vAlign w:val="center"/>
                </w:tcPr>
                <w:p w14:paraId="3AF920A0">
                  <w:pPr>
                    <w:keepNext w:val="0"/>
                    <w:keepLines w:val="0"/>
                    <w:pageBreakBefore w:val="0"/>
                    <w:kinsoku/>
                    <w:wordWrap/>
                    <w:overflowPunct/>
                    <w:topLinePunct w:val="0"/>
                    <w:bidi w:val="0"/>
                    <w:spacing w:line="240" w:lineRule="auto"/>
                    <w:ind w:firstLine="0" w:firstLineChars="0"/>
                    <w:jc w:val="center"/>
                    <w:rPr>
                      <w:rFonts w:hint="default" w:cs="Times New Roman"/>
                      <w:color w:val="auto"/>
                      <w:sz w:val="21"/>
                      <w:szCs w:val="21"/>
                      <w:lang w:val="en-US" w:eastAsia="zh-CN"/>
                    </w:rPr>
                  </w:pPr>
                  <w:r>
                    <w:rPr>
                      <w:rFonts w:hint="eastAsia" w:cs="Times New Roman"/>
                      <w:b w:val="0"/>
                      <w:bCs w:val="0"/>
                      <w:color w:val="000000"/>
                      <w:kern w:val="24"/>
                      <w:sz w:val="21"/>
                      <w:szCs w:val="21"/>
                      <w:lang w:val="en-US" w:eastAsia="zh-CN"/>
                    </w:rPr>
                    <w:t>3000</w:t>
                  </w:r>
                </w:p>
              </w:tc>
              <w:tc>
                <w:tcPr>
                  <w:tcW w:w="3354" w:type="dxa"/>
                  <w:tcBorders>
                    <w:top w:val="single" w:color="auto" w:sz="4" w:space="0"/>
                    <w:left w:val="single" w:color="auto" w:sz="4" w:space="0"/>
                    <w:bottom w:val="single" w:color="auto" w:sz="4" w:space="0"/>
                    <w:right w:val="single" w:color="auto" w:sz="4" w:space="0"/>
                  </w:tcBorders>
                  <w:vAlign w:val="center"/>
                </w:tcPr>
                <w:p w14:paraId="1E4F6FE2">
                  <w:pPr>
                    <w:keepNext w:val="0"/>
                    <w:keepLines w:val="0"/>
                    <w:pageBreakBefore w:val="0"/>
                    <w:kinsoku/>
                    <w:wordWrap/>
                    <w:overflowPunct/>
                    <w:topLinePunct w:val="0"/>
                    <w:bidi w:val="0"/>
                    <w:spacing w:line="240" w:lineRule="auto"/>
                    <w:ind w:firstLine="0" w:firstLineChars="0"/>
                    <w:jc w:val="center"/>
                    <w:rPr>
                      <w:rFonts w:hint="eastAsia" w:cs="Times New Roman"/>
                      <w:color w:val="auto"/>
                      <w:sz w:val="21"/>
                      <w:szCs w:val="21"/>
                      <w:lang w:val="en-US" w:eastAsia="zh-CN"/>
                    </w:rPr>
                  </w:pPr>
                  <w:r>
                    <w:rPr>
                      <w:rFonts w:hint="eastAsia" w:ascii="Times New Roman" w:hAnsi="Times New Roman" w:eastAsia="宋体" w:cs="Times New Roman"/>
                      <w:b w:val="0"/>
                      <w:bCs w:val="0"/>
                      <w:color w:val="000000"/>
                      <w:kern w:val="24"/>
                      <w:sz w:val="21"/>
                      <w:szCs w:val="21"/>
                      <w:lang w:val="en-US" w:eastAsia="zh-CN"/>
                    </w:rPr>
                    <w:t>尺寸（长×直径）：3.5-5M*1.2-0.4M</w:t>
                  </w:r>
                </w:p>
              </w:tc>
              <w:tc>
                <w:tcPr>
                  <w:tcW w:w="1392" w:type="dxa"/>
                  <w:tcBorders>
                    <w:top w:val="single" w:color="auto" w:sz="4" w:space="0"/>
                    <w:left w:val="single" w:color="auto" w:sz="4" w:space="0"/>
                    <w:bottom w:val="single" w:color="auto" w:sz="4" w:space="0"/>
                    <w:right w:val="single" w:color="auto" w:sz="4" w:space="0"/>
                  </w:tcBorders>
                  <w:vAlign w:val="center"/>
                </w:tcPr>
                <w:p w14:paraId="3327724D">
                  <w:pPr>
                    <w:keepNext w:val="0"/>
                    <w:keepLines w:val="0"/>
                    <w:pageBreakBefore w:val="0"/>
                    <w:kinsoku/>
                    <w:wordWrap/>
                    <w:overflowPunct/>
                    <w:topLinePunct w:val="0"/>
                    <w:bidi w:val="0"/>
                    <w:spacing w:line="240" w:lineRule="auto"/>
                    <w:ind w:firstLine="0" w:firstLineChars="0"/>
                    <w:jc w:val="center"/>
                    <w:rPr>
                      <w:rFonts w:hint="eastAsia"/>
                      <w:color w:val="auto"/>
                      <w:kern w:val="0"/>
                      <w:sz w:val="21"/>
                      <w:szCs w:val="21"/>
                      <w:lang w:val="en-US" w:eastAsia="zh-CN"/>
                    </w:rPr>
                  </w:pPr>
                  <w:r>
                    <w:rPr>
                      <w:rFonts w:hint="eastAsia" w:ascii="Times New Roman" w:hAnsi="Times New Roman" w:eastAsia="宋体" w:cs="Times New Roman"/>
                      <w:b w:val="0"/>
                      <w:bCs w:val="0"/>
                      <w:color w:val="000000"/>
                      <w:kern w:val="24"/>
                      <w:sz w:val="21"/>
                      <w:szCs w:val="21"/>
                      <w:lang w:val="en-US" w:eastAsia="zh-CN"/>
                    </w:rPr>
                    <w:t>外协加工件</w:t>
                  </w:r>
                </w:p>
              </w:tc>
            </w:tr>
            <w:tr w14:paraId="7FD6C7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8" w:hRule="atLeast"/>
              </w:trPr>
              <w:tc>
                <w:tcPr>
                  <w:tcW w:w="672" w:type="dxa"/>
                  <w:tcBorders>
                    <w:top w:val="single" w:color="auto" w:sz="4" w:space="0"/>
                    <w:left w:val="single" w:color="auto" w:sz="4" w:space="0"/>
                    <w:bottom w:val="single" w:color="auto" w:sz="4" w:space="0"/>
                    <w:right w:val="single" w:color="auto" w:sz="4" w:space="0"/>
                  </w:tcBorders>
                  <w:vAlign w:val="center"/>
                </w:tcPr>
                <w:p w14:paraId="4895FA9D">
                  <w:pPr>
                    <w:jc w:val="center"/>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3</w:t>
                  </w:r>
                </w:p>
              </w:tc>
              <w:tc>
                <w:tcPr>
                  <w:tcW w:w="1176" w:type="dxa"/>
                  <w:tcBorders>
                    <w:top w:val="single" w:color="auto" w:sz="4" w:space="0"/>
                    <w:left w:val="single" w:color="auto" w:sz="4" w:space="0"/>
                    <w:bottom w:val="single" w:color="auto" w:sz="4" w:space="0"/>
                    <w:right w:val="single" w:color="auto" w:sz="4" w:space="0"/>
                  </w:tcBorders>
                  <w:vAlign w:val="center"/>
                </w:tcPr>
                <w:p w14:paraId="0F382CF1">
                  <w:pPr>
                    <w:jc w:val="center"/>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钛铸件</w:t>
                  </w:r>
                </w:p>
              </w:tc>
              <w:tc>
                <w:tcPr>
                  <w:tcW w:w="840" w:type="dxa"/>
                  <w:tcBorders>
                    <w:top w:val="single" w:color="auto" w:sz="4" w:space="0"/>
                    <w:left w:val="single" w:color="auto" w:sz="4" w:space="0"/>
                    <w:bottom w:val="single" w:color="auto" w:sz="4" w:space="0"/>
                    <w:right w:val="single" w:color="auto" w:sz="4" w:space="0"/>
                  </w:tcBorders>
                  <w:vAlign w:val="center"/>
                </w:tcPr>
                <w:p w14:paraId="2478459E">
                  <w:pPr>
                    <w:snapToGrid w:val="0"/>
                    <w:jc w:val="center"/>
                    <w:rPr>
                      <w:rFonts w:hint="default" w:cs="Times New Roman"/>
                      <w:color w:val="auto"/>
                      <w:sz w:val="21"/>
                      <w:szCs w:val="21"/>
                      <w:lang w:val="en-US" w:eastAsia="zh-CN"/>
                    </w:rPr>
                  </w:pPr>
                  <w:r>
                    <w:rPr>
                      <w:rFonts w:hint="eastAsia" w:cs="Times New Roman"/>
                      <w:color w:val="auto"/>
                      <w:sz w:val="21"/>
                      <w:szCs w:val="21"/>
                      <w:lang w:val="en-US" w:eastAsia="zh-CN"/>
                    </w:rPr>
                    <w:t>t/a</w:t>
                  </w:r>
                </w:p>
              </w:tc>
              <w:tc>
                <w:tcPr>
                  <w:tcW w:w="945" w:type="dxa"/>
                  <w:tcBorders>
                    <w:top w:val="single" w:color="auto" w:sz="4" w:space="0"/>
                    <w:left w:val="single" w:color="auto" w:sz="4" w:space="0"/>
                    <w:bottom w:val="single" w:color="auto" w:sz="4" w:space="0"/>
                    <w:right w:val="single" w:color="auto" w:sz="4" w:space="0"/>
                  </w:tcBorders>
                  <w:vAlign w:val="center"/>
                </w:tcPr>
                <w:p w14:paraId="366C0A52">
                  <w:pPr>
                    <w:jc w:val="center"/>
                    <w:rPr>
                      <w:rFonts w:hint="default" w:cs="Times New Roman"/>
                      <w:color w:val="auto"/>
                      <w:sz w:val="21"/>
                      <w:szCs w:val="21"/>
                      <w:lang w:val="en-US" w:eastAsia="zh-CN"/>
                    </w:rPr>
                  </w:pPr>
                  <w:r>
                    <w:rPr>
                      <w:rFonts w:hint="eastAsia" w:cs="Times New Roman"/>
                      <w:color w:val="auto"/>
                      <w:sz w:val="21"/>
                      <w:szCs w:val="21"/>
                      <w:lang w:val="en-US" w:eastAsia="zh-CN"/>
                    </w:rPr>
                    <w:t>1.5</w:t>
                  </w:r>
                </w:p>
              </w:tc>
              <w:tc>
                <w:tcPr>
                  <w:tcW w:w="3354" w:type="dxa"/>
                  <w:tcBorders>
                    <w:top w:val="single" w:color="auto" w:sz="4" w:space="0"/>
                    <w:left w:val="single" w:color="auto" w:sz="4" w:space="0"/>
                    <w:right w:val="single" w:color="auto" w:sz="4" w:space="0"/>
                  </w:tcBorders>
                  <w:vAlign w:val="center"/>
                </w:tcPr>
                <w:p w14:paraId="28C4215E">
                  <w:pPr>
                    <w:jc w:val="center"/>
                    <w:rPr>
                      <w:rFonts w:hint="default" w:cs="Times New Roman"/>
                      <w:color w:val="auto"/>
                      <w:sz w:val="21"/>
                      <w:szCs w:val="21"/>
                      <w:lang w:val="en-US" w:eastAsia="zh-CN"/>
                    </w:rPr>
                  </w:pPr>
                  <w:r>
                    <w:rPr>
                      <w:rFonts w:hint="eastAsia" w:cs="Times New Roman"/>
                      <w:color w:val="auto"/>
                      <w:sz w:val="21"/>
                      <w:szCs w:val="21"/>
                      <w:lang w:val="en-US" w:eastAsia="zh-CN"/>
                    </w:rPr>
                    <w:t>/</w:t>
                  </w:r>
                </w:p>
              </w:tc>
              <w:tc>
                <w:tcPr>
                  <w:tcW w:w="1392" w:type="dxa"/>
                  <w:tcBorders>
                    <w:top w:val="single" w:color="auto" w:sz="4" w:space="0"/>
                    <w:left w:val="single" w:color="auto" w:sz="4" w:space="0"/>
                    <w:right w:val="single" w:color="auto" w:sz="4" w:space="0"/>
                  </w:tcBorders>
                  <w:vAlign w:val="center"/>
                </w:tcPr>
                <w:p w14:paraId="385638AA">
                  <w:pPr>
                    <w:snapToGrid w:val="0"/>
                    <w:jc w:val="center"/>
                    <w:rPr>
                      <w:rFonts w:hint="eastAsia"/>
                      <w:color w:val="auto"/>
                      <w:kern w:val="0"/>
                      <w:sz w:val="21"/>
                      <w:szCs w:val="21"/>
                      <w:lang w:val="en-US" w:eastAsia="zh-CN"/>
                    </w:rPr>
                  </w:pPr>
                  <w:r>
                    <w:rPr>
                      <w:rFonts w:hint="eastAsia" w:ascii="Times New Roman" w:hAnsi="Times New Roman" w:eastAsia="宋体" w:cs="Times New Roman"/>
                      <w:b w:val="0"/>
                      <w:bCs w:val="0"/>
                      <w:color w:val="000000"/>
                      <w:kern w:val="24"/>
                      <w:sz w:val="21"/>
                      <w:szCs w:val="21"/>
                      <w:lang w:val="en-US" w:eastAsia="zh-CN"/>
                    </w:rPr>
                    <w:t>外协加工件</w:t>
                  </w:r>
                </w:p>
              </w:tc>
            </w:tr>
          </w:tbl>
          <w:p w14:paraId="2E3347A7">
            <w:pPr>
              <w:spacing w:line="360" w:lineRule="auto"/>
              <w:ind w:firstLine="480" w:firstLineChars="200"/>
              <w:rPr>
                <w:bCs/>
                <w:color w:val="auto"/>
                <w:kern w:val="0"/>
                <w:sz w:val="24"/>
                <w:szCs w:val="20"/>
              </w:rPr>
            </w:pPr>
            <w:r>
              <w:rPr>
                <w:color w:val="auto"/>
                <w:kern w:val="0"/>
                <w:sz w:val="24"/>
                <w:szCs w:val="20"/>
              </w:rPr>
              <w:t>（4）原辅材料用量</w:t>
            </w:r>
          </w:p>
          <w:p w14:paraId="51C77A70">
            <w:pPr>
              <w:autoSpaceDE w:val="0"/>
              <w:autoSpaceDN w:val="0"/>
              <w:spacing w:line="360" w:lineRule="auto"/>
              <w:ind w:firstLine="480" w:firstLineChars="200"/>
              <w:jc w:val="left"/>
              <w:rPr>
                <w:b/>
                <w:color w:val="auto"/>
                <w:kern w:val="0"/>
                <w:sz w:val="24"/>
                <w:szCs w:val="20"/>
              </w:rPr>
            </w:pPr>
            <w:r>
              <w:rPr>
                <w:color w:val="auto"/>
                <w:kern w:val="0"/>
                <w:sz w:val="24"/>
                <w:szCs w:val="20"/>
              </w:rPr>
              <w:t>项目主要原材料用量</w:t>
            </w:r>
            <w:r>
              <w:rPr>
                <w:rFonts w:hint="eastAsia"/>
                <w:color w:val="auto"/>
                <w:kern w:val="0"/>
                <w:sz w:val="24"/>
                <w:szCs w:val="20"/>
                <w:lang w:val="en-US" w:eastAsia="zh-CN"/>
              </w:rPr>
              <w:t>及变化情况</w:t>
            </w:r>
            <w:r>
              <w:rPr>
                <w:color w:val="auto"/>
                <w:kern w:val="0"/>
                <w:sz w:val="24"/>
                <w:szCs w:val="20"/>
              </w:rPr>
              <w:t>见表</w:t>
            </w:r>
            <w:r>
              <w:rPr>
                <w:rFonts w:hint="eastAsia"/>
                <w:color w:val="auto"/>
                <w:kern w:val="0"/>
                <w:sz w:val="24"/>
                <w:szCs w:val="20"/>
              </w:rPr>
              <w:t>2-3</w:t>
            </w:r>
            <w:r>
              <w:rPr>
                <w:color w:val="auto"/>
                <w:kern w:val="0"/>
                <w:sz w:val="24"/>
                <w:szCs w:val="20"/>
              </w:rPr>
              <w:t>。</w:t>
            </w:r>
          </w:p>
          <w:p w14:paraId="30B049D9">
            <w:pPr>
              <w:autoSpaceDE w:val="0"/>
              <w:autoSpaceDN w:val="0"/>
              <w:jc w:val="center"/>
              <w:rPr>
                <w:b/>
                <w:color w:val="auto"/>
                <w:szCs w:val="21"/>
              </w:rPr>
            </w:pPr>
            <w:r>
              <w:rPr>
                <w:b/>
                <w:color w:val="auto"/>
                <w:szCs w:val="21"/>
              </w:rPr>
              <w:t>表</w:t>
            </w:r>
            <w:r>
              <w:rPr>
                <w:rFonts w:hint="eastAsia"/>
                <w:b/>
                <w:color w:val="auto"/>
                <w:szCs w:val="21"/>
              </w:rPr>
              <w:t xml:space="preserve">2-3   </w:t>
            </w:r>
            <w:r>
              <w:rPr>
                <w:b/>
                <w:color w:val="auto"/>
                <w:szCs w:val="21"/>
              </w:rPr>
              <w:t>主要原材料一览表</w:t>
            </w:r>
          </w:p>
          <w:tbl>
            <w:tblPr>
              <w:tblStyle w:val="17"/>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43"/>
              <w:gridCol w:w="1716"/>
              <w:gridCol w:w="1023"/>
              <w:gridCol w:w="1005"/>
              <w:gridCol w:w="795"/>
              <w:gridCol w:w="3376"/>
            </w:tblGrid>
            <w:tr w14:paraId="077F19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291" w:type="pct"/>
                  <w:gridSpan w:val="2"/>
                  <w:tcBorders>
                    <w:top w:val="single" w:color="auto" w:sz="4" w:space="0"/>
                    <w:left w:val="single" w:color="auto" w:sz="4" w:space="0"/>
                    <w:bottom w:val="single" w:color="auto" w:sz="4" w:space="0"/>
                    <w:right w:val="single" w:color="auto" w:sz="4" w:space="0"/>
                  </w:tcBorders>
                  <w:vAlign w:val="center"/>
                </w:tcPr>
                <w:p w14:paraId="23DAB34E">
                  <w:pPr>
                    <w:snapToGrid w:val="0"/>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名称</w:t>
                  </w:r>
                </w:p>
              </w:tc>
              <w:tc>
                <w:tcPr>
                  <w:tcW w:w="611" w:type="pct"/>
                  <w:tcBorders>
                    <w:top w:val="single" w:color="auto" w:sz="4" w:space="0"/>
                    <w:left w:val="single" w:color="auto" w:sz="4" w:space="0"/>
                    <w:bottom w:val="single" w:color="auto" w:sz="4" w:space="0"/>
                    <w:right w:val="single" w:color="auto" w:sz="4" w:space="0"/>
                  </w:tcBorders>
                  <w:vAlign w:val="center"/>
                </w:tcPr>
                <w:p w14:paraId="55D4A942">
                  <w:pPr>
                    <w:snapToGrid w:val="0"/>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单位</w:t>
                  </w:r>
                </w:p>
              </w:tc>
              <w:tc>
                <w:tcPr>
                  <w:tcW w:w="601" w:type="pct"/>
                  <w:tcBorders>
                    <w:top w:val="single" w:color="auto" w:sz="4" w:space="0"/>
                    <w:left w:val="single" w:color="auto" w:sz="4" w:space="0"/>
                    <w:bottom w:val="single" w:color="auto" w:sz="4" w:space="0"/>
                    <w:right w:val="single" w:color="auto" w:sz="4" w:space="0"/>
                  </w:tcBorders>
                  <w:vAlign w:val="center"/>
                </w:tcPr>
                <w:p w14:paraId="2FE45B20">
                  <w:pPr>
                    <w:snapToGrid w:val="0"/>
                    <w:spacing w:line="240" w:lineRule="auto"/>
                    <w:jc w:val="center"/>
                    <w:rPr>
                      <w:rFonts w:hint="eastAsia" w:ascii="Times New Roman" w:hAnsi="Times New Roman" w:eastAsia="宋体" w:cs="Times New Roman"/>
                      <w:color w:val="auto"/>
                      <w:sz w:val="21"/>
                      <w:szCs w:val="21"/>
                      <w:lang w:eastAsia="zh-CN"/>
                    </w:rPr>
                  </w:pPr>
                  <w:r>
                    <w:rPr>
                      <w:rFonts w:hint="eastAsia" w:cs="Times New Roman"/>
                      <w:color w:val="auto"/>
                      <w:sz w:val="21"/>
                      <w:szCs w:val="21"/>
                      <w:lang w:val="en-US" w:eastAsia="zh-CN"/>
                    </w:rPr>
                    <w:t>年用量</w:t>
                  </w:r>
                </w:p>
              </w:tc>
              <w:tc>
                <w:tcPr>
                  <w:tcW w:w="475" w:type="pct"/>
                  <w:tcBorders>
                    <w:top w:val="single" w:color="auto" w:sz="4" w:space="0"/>
                    <w:left w:val="single" w:color="auto" w:sz="4" w:space="0"/>
                    <w:bottom w:val="single" w:color="auto" w:sz="4" w:space="0"/>
                    <w:right w:val="single" w:color="auto" w:sz="4" w:space="0"/>
                  </w:tcBorders>
                  <w:vAlign w:val="center"/>
                </w:tcPr>
                <w:p w14:paraId="2A40C61F">
                  <w:pPr>
                    <w:snapToGrid w:val="0"/>
                    <w:spacing w:line="240" w:lineRule="auto"/>
                    <w:jc w:val="center"/>
                    <w:rPr>
                      <w:rFonts w:hint="default" w:cs="Times New Roman"/>
                      <w:color w:val="auto"/>
                      <w:sz w:val="21"/>
                      <w:szCs w:val="21"/>
                      <w:lang w:val="en-US" w:eastAsia="zh-CN"/>
                    </w:rPr>
                  </w:pPr>
                  <w:r>
                    <w:rPr>
                      <w:rFonts w:hint="eastAsia" w:cs="Times New Roman"/>
                      <w:color w:val="auto"/>
                      <w:sz w:val="21"/>
                      <w:szCs w:val="21"/>
                      <w:lang w:val="en-US" w:eastAsia="zh-CN"/>
                    </w:rPr>
                    <w:t>重量</w:t>
                  </w:r>
                </w:p>
              </w:tc>
              <w:tc>
                <w:tcPr>
                  <w:tcW w:w="2019" w:type="pct"/>
                  <w:tcBorders>
                    <w:top w:val="single" w:color="auto" w:sz="4" w:space="0"/>
                    <w:left w:val="single" w:color="auto" w:sz="4" w:space="0"/>
                    <w:bottom w:val="single" w:color="auto" w:sz="4" w:space="0"/>
                    <w:right w:val="single" w:color="auto" w:sz="4" w:space="0"/>
                  </w:tcBorders>
                  <w:vAlign w:val="center"/>
                </w:tcPr>
                <w:p w14:paraId="30DDBC1C">
                  <w:pPr>
                    <w:snapToGrid w:val="0"/>
                    <w:spacing w:line="240" w:lineRule="auto"/>
                    <w:jc w:val="center"/>
                    <w:rPr>
                      <w:rFonts w:hint="default" w:ascii="Times New Roman" w:hAnsi="Times New Roman" w:eastAsia="宋体" w:cs="Times New Roman"/>
                      <w:color w:val="auto"/>
                      <w:sz w:val="21"/>
                      <w:szCs w:val="21"/>
                      <w:lang w:eastAsia="zh-CN"/>
                    </w:rPr>
                  </w:pPr>
                  <w:r>
                    <w:rPr>
                      <w:rFonts w:hint="eastAsia" w:cs="Times New Roman"/>
                      <w:color w:val="auto"/>
                      <w:sz w:val="21"/>
                      <w:szCs w:val="21"/>
                      <w:lang w:val="en-US" w:eastAsia="zh-CN"/>
                    </w:rPr>
                    <w:t>规格</w:t>
                  </w:r>
                </w:p>
              </w:tc>
            </w:tr>
            <w:tr w14:paraId="422D1A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65" w:type="pct"/>
                  <w:vMerge w:val="restart"/>
                  <w:tcBorders>
                    <w:top w:val="single" w:color="auto" w:sz="4" w:space="0"/>
                    <w:left w:val="single" w:color="auto" w:sz="4" w:space="0"/>
                    <w:right w:val="single" w:color="auto" w:sz="4" w:space="0"/>
                  </w:tcBorders>
                  <w:vAlign w:val="center"/>
                </w:tcPr>
                <w:p w14:paraId="1181B711">
                  <w:pPr>
                    <w:keepNext w:val="0"/>
                    <w:keepLines w:val="0"/>
                    <w:widowControl/>
                    <w:suppressLineNumbers w:val="0"/>
                    <w:spacing w:line="240" w:lineRule="auto"/>
                    <w:jc w:val="center"/>
                    <w:textAlignment w:val="center"/>
                    <w:rPr>
                      <w:rFonts w:hint="default" w:ascii="Times New Roman" w:hAnsi="Times New Roman"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原辅料</w:t>
                  </w:r>
                </w:p>
              </w:tc>
              <w:tc>
                <w:tcPr>
                  <w:tcW w:w="1026" w:type="pct"/>
                  <w:tcBorders>
                    <w:top w:val="single" w:color="auto" w:sz="4" w:space="0"/>
                    <w:left w:val="single" w:color="auto" w:sz="4" w:space="0"/>
                    <w:bottom w:val="single" w:color="auto" w:sz="4" w:space="0"/>
                    <w:right w:val="single" w:color="auto" w:sz="4" w:space="0"/>
                  </w:tcBorders>
                  <w:vAlign w:val="center"/>
                </w:tcPr>
                <w:p w14:paraId="36B085A5">
                  <w:pPr>
                    <w:keepNext w:val="0"/>
                    <w:keepLines w:val="0"/>
                    <w:pageBreakBefore w:val="0"/>
                    <w:kinsoku/>
                    <w:wordWrap/>
                    <w:overflowPunct/>
                    <w:topLinePunct w:val="0"/>
                    <w:autoSpaceDE/>
                    <w:bidi w:val="0"/>
                    <w:adjustRightInd w:val="0"/>
                    <w:snapToGrid w:val="0"/>
                    <w:spacing w:line="240" w:lineRule="auto"/>
                    <w:jc w:val="center"/>
                    <w:rPr>
                      <w:rFonts w:hint="default" w:ascii="Times New Roman" w:hAnsi="Times New Roman" w:eastAsia="宋体" w:cs="Times New Roman"/>
                      <w:i w:val="0"/>
                      <w:iCs w:val="0"/>
                      <w:color w:val="auto"/>
                      <w:kern w:val="2"/>
                      <w:sz w:val="21"/>
                      <w:szCs w:val="21"/>
                      <w:u w:val="none"/>
                      <w:lang w:val="en-US" w:eastAsia="zh-CN" w:bidi="ar-SA"/>
                    </w:rPr>
                  </w:pPr>
                  <w:r>
                    <w:rPr>
                      <w:rFonts w:hint="eastAsia" w:ascii="Times New Roman" w:hAnsi="Times New Roman" w:eastAsia="宋体" w:cs="Times New Roman"/>
                      <w:color w:val="000000"/>
                      <w:sz w:val="21"/>
                      <w:szCs w:val="21"/>
                      <w:lang w:val="en-US" w:eastAsia="zh-CN" w:bidi="ar-SA"/>
                    </w:rPr>
                    <w:t>钛及钛合金板坯</w:t>
                  </w:r>
                </w:p>
              </w:tc>
              <w:tc>
                <w:tcPr>
                  <w:tcW w:w="611" w:type="pct"/>
                  <w:tcBorders>
                    <w:top w:val="single" w:color="auto" w:sz="4" w:space="0"/>
                    <w:left w:val="single" w:color="auto" w:sz="4" w:space="0"/>
                    <w:bottom w:val="single" w:color="auto" w:sz="4" w:space="0"/>
                    <w:right w:val="single" w:color="auto" w:sz="4" w:space="0"/>
                  </w:tcBorders>
                  <w:vAlign w:val="center"/>
                </w:tcPr>
                <w:p w14:paraId="4A4891FC">
                  <w:pPr>
                    <w:keepNext w:val="0"/>
                    <w:keepLines w:val="0"/>
                    <w:pageBreakBefore w:val="0"/>
                    <w:kinsoku/>
                    <w:wordWrap/>
                    <w:overflowPunct/>
                    <w:topLinePunct w:val="0"/>
                    <w:autoSpaceDE/>
                    <w:bidi w:val="0"/>
                    <w:adjustRightInd w:val="0"/>
                    <w:snapToGrid w:val="0"/>
                    <w:spacing w:line="240" w:lineRule="auto"/>
                    <w:jc w:val="center"/>
                    <w:rPr>
                      <w:rFonts w:hint="default" w:ascii="Times New Roman" w:hAnsi="Times New Roman" w:eastAsia="宋体" w:cs="Times New Roman"/>
                      <w:i w:val="0"/>
                      <w:iCs w:val="0"/>
                      <w:color w:val="auto"/>
                      <w:kern w:val="2"/>
                      <w:sz w:val="21"/>
                      <w:szCs w:val="21"/>
                      <w:u w:val="none"/>
                      <w:lang w:val="en-US" w:eastAsia="zh-CN" w:bidi="ar-SA"/>
                    </w:rPr>
                  </w:pPr>
                  <w:r>
                    <w:rPr>
                      <w:rFonts w:hint="eastAsia" w:ascii="Times New Roman" w:hAnsi="Times New Roman" w:eastAsia="宋体" w:cs="Times New Roman"/>
                      <w:b w:val="0"/>
                      <w:bCs w:val="0"/>
                      <w:color w:val="000000"/>
                      <w:kern w:val="24"/>
                      <w:sz w:val="21"/>
                      <w:szCs w:val="21"/>
                      <w:lang w:val="en-US" w:eastAsia="zh-CN"/>
                    </w:rPr>
                    <w:t>m</w:t>
                  </w:r>
                  <w:r>
                    <w:rPr>
                      <w:rFonts w:hint="eastAsia" w:ascii="Times New Roman" w:hAnsi="Times New Roman" w:eastAsia="宋体" w:cs="Times New Roman"/>
                      <w:b w:val="0"/>
                      <w:bCs w:val="0"/>
                      <w:color w:val="000000"/>
                      <w:kern w:val="24"/>
                      <w:sz w:val="21"/>
                      <w:szCs w:val="21"/>
                      <w:vertAlign w:val="superscript"/>
                      <w:lang w:val="en-US" w:eastAsia="zh-CN"/>
                    </w:rPr>
                    <w:t>2</w:t>
                  </w:r>
                  <w:r>
                    <w:rPr>
                      <w:rFonts w:hint="eastAsia" w:ascii="Times New Roman" w:hAnsi="Times New Roman" w:eastAsia="宋体" w:cs="Times New Roman"/>
                      <w:color w:val="000000"/>
                      <w:sz w:val="21"/>
                      <w:szCs w:val="21"/>
                      <w:lang w:val="en-US" w:eastAsia="zh-CN" w:bidi="ar-SA"/>
                    </w:rPr>
                    <w:t>/a</w:t>
                  </w:r>
                </w:p>
              </w:tc>
              <w:tc>
                <w:tcPr>
                  <w:tcW w:w="601" w:type="pct"/>
                  <w:tcBorders>
                    <w:top w:val="single" w:color="auto" w:sz="4" w:space="0"/>
                    <w:left w:val="single" w:color="auto" w:sz="4" w:space="0"/>
                    <w:bottom w:val="single" w:color="auto" w:sz="4" w:space="0"/>
                    <w:right w:val="single" w:color="auto" w:sz="4" w:space="0"/>
                  </w:tcBorders>
                  <w:vAlign w:val="center"/>
                </w:tcPr>
                <w:p w14:paraId="4BBD0AE2">
                  <w:pPr>
                    <w:pStyle w:val="37"/>
                    <w:keepNext w:val="0"/>
                    <w:keepLines w:val="0"/>
                    <w:pageBreakBefore w:val="0"/>
                    <w:kinsoku/>
                    <w:wordWrap/>
                    <w:overflowPunct/>
                    <w:topLinePunct w:val="0"/>
                    <w:autoSpaceDE/>
                    <w:bidi w:val="0"/>
                    <w:spacing w:line="240" w:lineRule="auto"/>
                    <w:ind w:firstLine="0" w:firstLineChars="0"/>
                    <w:jc w:val="center"/>
                    <w:rPr>
                      <w:rFonts w:hint="default" w:ascii="Times New Roman" w:hAnsi="Times New Roman" w:eastAsia="宋体" w:cs="Times New Roman"/>
                      <w:i w:val="0"/>
                      <w:iCs w:val="0"/>
                      <w:color w:val="auto"/>
                      <w:kern w:val="2"/>
                      <w:sz w:val="21"/>
                      <w:szCs w:val="21"/>
                      <w:u w:val="none"/>
                      <w:lang w:val="en-US" w:eastAsia="zh-CN" w:bidi="ar-SA"/>
                    </w:rPr>
                  </w:pPr>
                  <w:r>
                    <w:rPr>
                      <w:rFonts w:hint="eastAsia" w:ascii="Times New Roman" w:hAnsi="Times New Roman" w:eastAsia="宋体" w:cs="Times New Roman"/>
                      <w:color w:val="000000"/>
                      <w:sz w:val="21"/>
                      <w:szCs w:val="21"/>
                      <w:lang w:val="en-US" w:eastAsia="zh-CN" w:bidi="ar-SA"/>
                    </w:rPr>
                    <w:t>2500</w:t>
                  </w:r>
                </w:p>
              </w:tc>
              <w:tc>
                <w:tcPr>
                  <w:tcW w:w="475" w:type="pct"/>
                  <w:tcBorders>
                    <w:top w:val="single" w:color="auto" w:sz="4" w:space="0"/>
                    <w:left w:val="single" w:color="auto" w:sz="4" w:space="0"/>
                    <w:bottom w:val="single" w:color="auto" w:sz="4" w:space="0"/>
                    <w:right w:val="single" w:color="auto" w:sz="4" w:space="0"/>
                  </w:tcBorders>
                  <w:vAlign w:val="center"/>
                </w:tcPr>
                <w:p w14:paraId="5A4A802B">
                  <w:pPr>
                    <w:pStyle w:val="37"/>
                    <w:keepNext w:val="0"/>
                    <w:keepLines w:val="0"/>
                    <w:pageBreakBefore w:val="0"/>
                    <w:kinsoku/>
                    <w:wordWrap/>
                    <w:overflowPunct/>
                    <w:topLinePunct w:val="0"/>
                    <w:autoSpaceDE/>
                    <w:bidi w:val="0"/>
                    <w:spacing w:line="240" w:lineRule="auto"/>
                    <w:ind w:firstLine="0" w:firstLineChars="0"/>
                    <w:jc w:val="center"/>
                    <w:rPr>
                      <w:rFonts w:hint="default" w:ascii="Times New Roman" w:hAnsi="Times New Roman" w:eastAsia="宋体" w:cs="Times New Roman"/>
                      <w:color w:val="000000"/>
                      <w:sz w:val="21"/>
                      <w:szCs w:val="21"/>
                      <w:lang w:val="en-US" w:eastAsia="zh-CN" w:bidi="ar-SA"/>
                    </w:rPr>
                  </w:pPr>
                  <w:r>
                    <w:rPr>
                      <w:rFonts w:hint="eastAsia" w:eastAsia="宋体" w:cs="Times New Roman"/>
                      <w:color w:val="000000"/>
                      <w:sz w:val="21"/>
                      <w:szCs w:val="21"/>
                      <w:lang w:val="en-US" w:eastAsia="zh-CN" w:bidi="ar-SA"/>
                    </w:rPr>
                    <w:t>9.02t</w:t>
                  </w:r>
                </w:p>
              </w:tc>
              <w:tc>
                <w:tcPr>
                  <w:tcW w:w="2019" w:type="pct"/>
                  <w:tcBorders>
                    <w:top w:val="single" w:color="auto" w:sz="4" w:space="0"/>
                    <w:left w:val="single" w:color="auto" w:sz="4" w:space="0"/>
                    <w:bottom w:val="single" w:color="auto" w:sz="4" w:space="0"/>
                    <w:right w:val="single" w:color="auto" w:sz="4" w:space="0"/>
                  </w:tcBorders>
                  <w:vAlign w:val="center"/>
                </w:tcPr>
                <w:p w14:paraId="01F3D2AB">
                  <w:pPr>
                    <w:keepNext w:val="0"/>
                    <w:keepLines w:val="0"/>
                    <w:pageBreakBefore w:val="0"/>
                    <w:widowControl w:val="0"/>
                    <w:kinsoku/>
                    <w:wordWrap/>
                    <w:overflowPunct/>
                    <w:topLinePunct w:val="0"/>
                    <w:autoSpaceDE/>
                    <w:autoSpaceDN/>
                    <w:bidi w:val="0"/>
                    <w:adjustRightInd/>
                    <w:snapToGrid/>
                    <w:spacing w:line="240" w:lineRule="auto"/>
                    <w:ind w:firstLine="0" w:firstLineChars="0"/>
                    <w:jc w:val="left"/>
                    <w:textAlignment w:val="auto"/>
                    <w:rPr>
                      <w:rFonts w:hint="eastAsia" w:ascii="Times New Roman" w:hAnsi="Times New Roman" w:eastAsia="宋体" w:cs="Times New Roman"/>
                      <w:color w:val="000000"/>
                      <w:sz w:val="21"/>
                      <w:szCs w:val="21"/>
                      <w:lang w:val="en-US" w:eastAsia="zh-CN" w:bidi="ar-SA"/>
                    </w:rPr>
                  </w:pPr>
                  <w:r>
                    <w:rPr>
                      <w:rFonts w:hint="eastAsia" w:ascii="Times New Roman" w:hAnsi="Times New Roman" w:eastAsia="宋体" w:cs="Times New Roman"/>
                      <w:color w:val="000000"/>
                      <w:sz w:val="21"/>
                      <w:szCs w:val="21"/>
                      <w:lang w:val="en-US" w:eastAsia="zh-CN" w:bidi="ar-SA"/>
                    </w:rPr>
                    <w:t>大板材：宽5.5-6.2m长12-</w:t>
                  </w:r>
                  <w:r>
                    <w:rPr>
                      <w:rFonts w:hint="eastAsia" w:cs="Times New Roman"/>
                      <w:color w:val="000000"/>
                      <w:sz w:val="21"/>
                      <w:szCs w:val="21"/>
                      <w:lang w:val="en-US" w:eastAsia="zh-CN" w:bidi="ar-SA"/>
                    </w:rPr>
                    <w:t>20m</w:t>
                  </w:r>
                </w:p>
                <w:p w14:paraId="6221FB7B">
                  <w:pPr>
                    <w:keepNext w:val="0"/>
                    <w:keepLines w:val="0"/>
                    <w:pageBreakBefore w:val="0"/>
                    <w:widowControl w:val="0"/>
                    <w:kinsoku/>
                    <w:wordWrap/>
                    <w:overflowPunct/>
                    <w:topLinePunct w:val="0"/>
                    <w:autoSpaceDE/>
                    <w:autoSpaceDN/>
                    <w:bidi w:val="0"/>
                    <w:adjustRightInd/>
                    <w:snapToGrid/>
                    <w:spacing w:line="240" w:lineRule="auto"/>
                    <w:ind w:firstLine="0" w:firstLineChars="0"/>
                    <w:jc w:val="left"/>
                    <w:textAlignment w:val="auto"/>
                    <w:rPr>
                      <w:rFonts w:hint="default" w:ascii="Times New Roman" w:hAnsi="Times New Roman" w:eastAsia="宋体" w:cs="Times New Roman"/>
                      <w:i w:val="0"/>
                      <w:iCs w:val="0"/>
                      <w:color w:val="auto"/>
                      <w:kern w:val="2"/>
                      <w:sz w:val="21"/>
                      <w:szCs w:val="21"/>
                      <w:u w:val="none"/>
                      <w:lang w:val="en-US" w:eastAsia="zh-CN" w:bidi="ar-SA"/>
                    </w:rPr>
                  </w:pPr>
                  <w:r>
                    <w:rPr>
                      <w:rFonts w:hint="eastAsia" w:ascii="Times New Roman" w:hAnsi="Times New Roman" w:eastAsia="宋体" w:cs="Times New Roman"/>
                      <w:color w:val="000000"/>
                      <w:sz w:val="21"/>
                      <w:szCs w:val="21"/>
                      <w:lang w:val="en-US" w:eastAsia="zh-CN" w:bidi="ar-SA"/>
                    </w:rPr>
                    <w:t>小板材：宽0.3m长0.3m</w:t>
                  </w:r>
                </w:p>
              </w:tc>
            </w:tr>
            <w:tr w14:paraId="1A53CA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65" w:type="pct"/>
                  <w:vMerge w:val="continue"/>
                  <w:tcBorders>
                    <w:left w:val="single" w:color="auto" w:sz="4" w:space="0"/>
                    <w:right w:val="single" w:color="auto" w:sz="4" w:space="0"/>
                  </w:tcBorders>
                  <w:vAlign w:val="center"/>
                </w:tcPr>
                <w:p w14:paraId="4BF08E1E">
                  <w:pPr>
                    <w:keepNext w:val="0"/>
                    <w:keepLines w:val="0"/>
                    <w:widowControl/>
                    <w:suppressLineNumbers w:val="0"/>
                    <w:spacing w:line="240" w:lineRule="auto"/>
                    <w:jc w:val="center"/>
                    <w:textAlignment w:val="center"/>
                    <w:rPr>
                      <w:rFonts w:hint="default" w:ascii="Times New Roman" w:hAnsi="Times New Roman" w:eastAsia="宋体" w:cs="Times New Roman"/>
                      <w:i w:val="0"/>
                      <w:iCs w:val="0"/>
                      <w:color w:val="auto"/>
                      <w:kern w:val="0"/>
                      <w:sz w:val="21"/>
                      <w:szCs w:val="21"/>
                      <w:u w:val="none"/>
                      <w:lang w:val="en-US" w:eastAsia="zh-CN" w:bidi="ar"/>
                    </w:rPr>
                  </w:pPr>
                </w:p>
              </w:tc>
              <w:tc>
                <w:tcPr>
                  <w:tcW w:w="1026" w:type="pct"/>
                  <w:tcBorders>
                    <w:top w:val="single" w:color="auto" w:sz="4" w:space="0"/>
                    <w:left w:val="single" w:color="auto" w:sz="4" w:space="0"/>
                    <w:bottom w:val="single" w:color="auto" w:sz="4" w:space="0"/>
                    <w:right w:val="single" w:color="auto" w:sz="4" w:space="0"/>
                  </w:tcBorders>
                  <w:vAlign w:val="center"/>
                </w:tcPr>
                <w:p w14:paraId="31EE189C">
                  <w:pPr>
                    <w:keepNext w:val="0"/>
                    <w:keepLines w:val="0"/>
                    <w:pageBreakBefore w:val="0"/>
                    <w:kinsoku/>
                    <w:wordWrap/>
                    <w:overflowPunct/>
                    <w:topLinePunct w:val="0"/>
                    <w:autoSpaceDE/>
                    <w:bidi w:val="0"/>
                    <w:adjustRightInd w:val="0"/>
                    <w:snapToGrid w:val="0"/>
                    <w:spacing w:line="240" w:lineRule="auto"/>
                    <w:jc w:val="center"/>
                    <w:rPr>
                      <w:rFonts w:hint="eastAsia" w:cs="Times New Roman"/>
                      <w:i w:val="0"/>
                      <w:iCs w:val="0"/>
                      <w:color w:val="auto"/>
                      <w:kern w:val="2"/>
                      <w:sz w:val="21"/>
                      <w:szCs w:val="21"/>
                      <w:u w:val="none"/>
                      <w:lang w:val="en-US" w:eastAsia="zh-CN" w:bidi="ar-SA"/>
                    </w:rPr>
                  </w:pPr>
                  <w:r>
                    <w:rPr>
                      <w:rFonts w:hint="eastAsia" w:ascii="Times New Roman" w:hAnsi="Times New Roman" w:eastAsia="宋体" w:cs="Times New Roman"/>
                      <w:color w:val="000000"/>
                      <w:sz w:val="21"/>
                      <w:szCs w:val="21"/>
                      <w:lang w:val="en-US" w:eastAsia="zh-CN" w:bidi="ar-SA"/>
                    </w:rPr>
                    <w:t>钛棒</w:t>
                  </w:r>
                </w:p>
              </w:tc>
              <w:tc>
                <w:tcPr>
                  <w:tcW w:w="611" w:type="pct"/>
                  <w:tcBorders>
                    <w:top w:val="single" w:color="auto" w:sz="4" w:space="0"/>
                    <w:left w:val="single" w:color="auto" w:sz="4" w:space="0"/>
                    <w:bottom w:val="single" w:color="auto" w:sz="4" w:space="0"/>
                    <w:right w:val="single" w:color="auto" w:sz="4" w:space="0"/>
                  </w:tcBorders>
                  <w:vAlign w:val="center"/>
                </w:tcPr>
                <w:p w14:paraId="7C9ADF7C">
                  <w:pPr>
                    <w:keepNext w:val="0"/>
                    <w:keepLines w:val="0"/>
                    <w:pageBreakBefore w:val="0"/>
                    <w:kinsoku/>
                    <w:wordWrap/>
                    <w:overflowPunct/>
                    <w:topLinePunct w:val="0"/>
                    <w:autoSpaceDE/>
                    <w:bidi w:val="0"/>
                    <w:adjustRightInd w:val="0"/>
                    <w:snapToGrid w:val="0"/>
                    <w:spacing w:line="240" w:lineRule="auto"/>
                    <w:jc w:val="center"/>
                    <w:rPr>
                      <w:rFonts w:hint="default" w:ascii="Times New Roman" w:hAnsi="Times New Roman" w:cs="Times New Roman"/>
                      <w:i w:val="0"/>
                      <w:iCs w:val="0"/>
                      <w:color w:val="auto"/>
                      <w:kern w:val="0"/>
                      <w:sz w:val="21"/>
                      <w:szCs w:val="21"/>
                      <w:u w:val="none"/>
                      <w:lang w:val="en-US" w:eastAsia="zh-CN" w:bidi="ar"/>
                    </w:rPr>
                  </w:pPr>
                  <w:r>
                    <w:rPr>
                      <w:rFonts w:hint="eastAsia" w:ascii="Times New Roman" w:hAnsi="Times New Roman" w:eastAsia="宋体" w:cs="Times New Roman"/>
                      <w:b w:val="0"/>
                      <w:bCs w:val="0"/>
                      <w:color w:val="000000"/>
                      <w:kern w:val="24"/>
                      <w:sz w:val="21"/>
                      <w:szCs w:val="21"/>
                      <w:lang w:val="en-US" w:eastAsia="zh-CN"/>
                    </w:rPr>
                    <w:t>m</w:t>
                  </w:r>
                  <w:r>
                    <w:rPr>
                      <w:rFonts w:hint="eastAsia" w:ascii="Times New Roman" w:hAnsi="Times New Roman" w:eastAsia="宋体" w:cs="Times New Roman"/>
                      <w:b w:val="0"/>
                      <w:bCs w:val="0"/>
                      <w:color w:val="000000"/>
                      <w:kern w:val="24"/>
                      <w:sz w:val="21"/>
                      <w:szCs w:val="21"/>
                      <w:vertAlign w:val="superscript"/>
                      <w:lang w:val="en-US" w:eastAsia="zh-CN"/>
                    </w:rPr>
                    <w:t>2</w:t>
                  </w:r>
                  <w:r>
                    <w:rPr>
                      <w:rFonts w:hint="eastAsia" w:ascii="Times New Roman" w:hAnsi="Times New Roman" w:eastAsia="宋体" w:cs="Times New Roman"/>
                      <w:color w:val="000000"/>
                      <w:sz w:val="21"/>
                      <w:szCs w:val="21"/>
                      <w:lang w:val="en-US" w:eastAsia="zh-CN" w:bidi="ar-SA"/>
                    </w:rPr>
                    <w:t>/a</w:t>
                  </w:r>
                </w:p>
              </w:tc>
              <w:tc>
                <w:tcPr>
                  <w:tcW w:w="601" w:type="pct"/>
                  <w:tcBorders>
                    <w:top w:val="single" w:color="auto" w:sz="4" w:space="0"/>
                    <w:left w:val="single" w:color="auto" w:sz="4" w:space="0"/>
                    <w:bottom w:val="single" w:color="auto" w:sz="4" w:space="0"/>
                    <w:right w:val="single" w:color="auto" w:sz="4" w:space="0"/>
                  </w:tcBorders>
                  <w:vAlign w:val="center"/>
                </w:tcPr>
                <w:p w14:paraId="596E9634">
                  <w:pPr>
                    <w:pStyle w:val="37"/>
                    <w:keepNext w:val="0"/>
                    <w:keepLines w:val="0"/>
                    <w:pageBreakBefore w:val="0"/>
                    <w:kinsoku/>
                    <w:wordWrap/>
                    <w:overflowPunct/>
                    <w:topLinePunct w:val="0"/>
                    <w:autoSpaceDE/>
                    <w:bidi w:val="0"/>
                    <w:spacing w:line="240" w:lineRule="auto"/>
                    <w:ind w:firstLine="0" w:firstLineChars="0"/>
                    <w:jc w:val="center"/>
                    <w:rPr>
                      <w:rFonts w:hint="default" w:ascii="Times New Roman" w:hAnsi="Times New Roman" w:eastAsia="宋体" w:cs="Times New Roman"/>
                      <w:i w:val="0"/>
                      <w:iCs w:val="0"/>
                      <w:color w:val="auto"/>
                      <w:kern w:val="0"/>
                      <w:sz w:val="21"/>
                      <w:szCs w:val="21"/>
                      <w:u w:val="none"/>
                      <w:lang w:val="en-US" w:eastAsia="zh-CN" w:bidi="ar"/>
                    </w:rPr>
                  </w:pPr>
                  <w:r>
                    <w:rPr>
                      <w:rFonts w:hint="eastAsia" w:ascii="Times New Roman" w:hAnsi="Times New Roman" w:eastAsia="宋体" w:cs="Times New Roman"/>
                      <w:color w:val="000000"/>
                      <w:sz w:val="21"/>
                      <w:szCs w:val="21"/>
                      <w:lang w:val="en-US" w:eastAsia="zh-CN" w:bidi="ar-SA"/>
                    </w:rPr>
                    <w:t>1000</w:t>
                  </w:r>
                </w:p>
              </w:tc>
              <w:tc>
                <w:tcPr>
                  <w:tcW w:w="475" w:type="pct"/>
                  <w:tcBorders>
                    <w:top w:val="single" w:color="auto" w:sz="4" w:space="0"/>
                    <w:left w:val="single" w:color="auto" w:sz="4" w:space="0"/>
                    <w:bottom w:val="single" w:color="auto" w:sz="4" w:space="0"/>
                    <w:right w:val="single" w:color="auto" w:sz="4" w:space="0"/>
                  </w:tcBorders>
                  <w:vAlign w:val="center"/>
                </w:tcPr>
                <w:p w14:paraId="570B2D77">
                  <w:pPr>
                    <w:pStyle w:val="37"/>
                    <w:keepNext w:val="0"/>
                    <w:keepLines w:val="0"/>
                    <w:pageBreakBefore w:val="0"/>
                    <w:kinsoku/>
                    <w:wordWrap/>
                    <w:overflowPunct/>
                    <w:topLinePunct w:val="0"/>
                    <w:autoSpaceDE/>
                    <w:bidi w:val="0"/>
                    <w:spacing w:line="240" w:lineRule="auto"/>
                    <w:ind w:firstLine="0" w:firstLineChars="0"/>
                    <w:jc w:val="center"/>
                    <w:rPr>
                      <w:rFonts w:hint="default" w:ascii="Times New Roman" w:hAnsi="Times New Roman" w:eastAsia="宋体" w:cs="Times New Roman"/>
                      <w:color w:val="000000"/>
                      <w:sz w:val="21"/>
                      <w:szCs w:val="21"/>
                      <w:lang w:val="en-US" w:eastAsia="zh-CN" w:bidi="ar-SA"/>
                    </w:rPr>
                  </w:pPr>
                  <w:r>
                    <w:rPr>
                      <w:rFonts w:hint="eastAsia" w:eastAsia="宋体" w:cs="Times New Roman"/>
                      <w:color w:val="000000"/>
                      <w:sz w:val="21"/>
                      <w:szCs w:val="21"/>
                      <w:lang w:val="en-US" w:eastAsia="zh-CN" w:bidi="ar-SA"/>
                    </w:rPr>
                    <w:t>300t</w:t>
                  </w:r>
                </w:p>
              </w:tc>
              <w:tc>
                <w:tcPr>
                  <w:tcW w:w="2019" w:type="pct"/>
                  <w:tcBorders>
                    <w:top w:val="single" w:color="auto" w:sz="4" w:space="0"/>
                    <w:left w:val="single" w:color="auto" w:sz="4" w:space="0"/>
                    <w:bottom w:val="single" w:color="auto" w:sz="4" w:space="0"/>
                    <w:right w:val="single" w:color="auto" w:sz="4" w:space="0"/>
                  </w:tcBorders>
                  <w:vAlign w:val="center"/>
                </w:tcPr>
                <w:p w14:paraId="2FD55F99">
                  <w:pPr>
                    <w:keepNext w:val="0"/>
                    <w:keepLines w:val="0"/>
                    <w:pageBreakBefore w:val="0"/>
                    <w:kinsoku/>
                    <w:wordWrap/>
                    <w:overflowPunct/>
                    <w:topLinePunct w:val="0"/>
                    <w:bidi w:val="0"/>
                    <w:spacing w:line="240" w:lineRule="auto"/>
                    <w:ind w:firstLine="0" w:firstLineChars="0"/>
                    <w:jc w:val="center"/>
                    <w:rPr>
                      <w:rFonts w:hint="default" w:cs="Times New Roman"/>
                      <w:i w:val="0"/>
                      <w:iCs w:val="0"/>
                      <w:color w:val="auto"/>
                      <w:kern w:val="2"/>
                      <w:sz w:val="21"/>
                      <w:szCs w:val="21"/>
                      <w:u w:val="none"/>
                      <w:lang w:val="en-US" w:eastAsia="zh-CN" w:bidi="ar-SA"/>
                    </w:rPr>
                  </w:pPr>
                  <w:r>
                    <w:rPr>
                      <w:rFonts w:hint="eastAsia" w:ascii="Times New Roman" w:hAnsi="Times New Roman" w:eastAsia="宋体" w:cs="Times New Roman"/>
                      <w:b w:val="0"/>
                      <w:bCs w:val="0"/>
                      <w:color w:val="auto"/>
                      <w:kern w:val="24"/>
                      <w:sz w:val="21"/>
                      <w:szCs w:val="21"/>
                      <w:lang w:val="en-US" w:eastAsia="zh-CN"/>
                    </w:rPr>
                    <w:t>尺寸（长×直径）：3.5-5M*1.2-0.4M</w:t>
                  </w:r>
                </w:p>
              </w:tc>
            </w:tr>
            <w:tr w14:paraId="6F836D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65" w:type="pct"/>
                  <w:vMerge w:val="continue"/>
                  <w:tcBorders>
                    <w:left w:val="single" w:color="auto" w:sz="4" w:space="0"/>
                    <w:right w:val="single" w:color="auto" w:sz="4" w:space="0"/>
                  </w:tcBorders>
                  <w:vAlign w:val="center"/>
                </w:tcPr>
                <w:p w14:paraId="6E87F2D5">
                  <w:pPr>
                    <w:snapToGrid w:val="0"/>
                    <w:spacing w:line="240" w:lineRule="auto"/>
                    <w:jc w:val="center"/>
                    <w:rPr>
                      <w:rFonts w:hint="default" w:ascii="Times New Roman" w:hAnsi="Times New Roman" w:cs="Times New Roman"/>
                      <w:color w:val="auto"/>
                      <w:sz w:val="21"/>
                      <w:szCs w:val="21"/>
                    </w:rPr>
                  </w:pPr>
                </w:p>
              </w:tc>
              <w:tc>
                <w:tcPr>
                  <w:tcW w:w="1026" w:type="pct"/>
                  <w:tcBorders>
                    <w:top w:val="single" w:color="auto" w:sz="4" w:space="0"/>
                    <w:left w:val="single" w:color="auto" w:sz="4" w:space="0"/>
                    <w:bottom w:val="single" w:color="auto" w:sz="4" w:space="0"/>
                    <w:right w:val="single" w:color="auto" w:sz="4" w:space="0"/>
                  </w:tcBorders>
                  <w:vAlign w:val="center"/>
                </w:tcPr>
                <w:p w14:paraId="09CA0C3E">
                  <w:pPr>
                    <w:jc w:val="center"/>
                    <w:rPr>
                      <w:rFonts w:hint="default" w:ascii="Times New Roman" w:hAnsi="Times New Roman" w:eastAsia="宋体" w:cs="Times New Roman"/>
                      <w:i w:val="0"/>
                      <w:iCs w:val="0"/>
                      <w:color w:val="auto"/>
                      <w:kern w:val="2"/>
                      <w:sz w:val="21"/>
                      <w:szCs w:val="21"/>
                      <w:u w:val="none"/>
                      <w:lang w:val="en-US" w:eastAsia="zh-CN" w:bidi="ar-SA"/>
                    </w:rPr>
                  </w:pPr>
                  <w:r>
                    <w:rPr>
                      <w:rFonts w:hint="eastAsia" w:cs="Times New Roman"/>
                      <w:i w:val="0"/>
                      <w:iCs w:val="0"/>
                      <w:color w:val="auto"/>
                      <w:kern w:val="2"/>
                      <w:sz w:val="21"/>
                      <w:szCs w:val="21"/>
                      <w:u w:val="none"/>
                      <w:lang w:val="en-US" w:eastAsia="zh-CN" w:bidi="ar-SA"/>
                    </w:rPr>
                    <w:t>钛铸件</w:t>
                  </w:r>
                </w:p>
              </w:tc>
              <w:tc>
                <w:tcPr>
                  <w:tcW w:w="611" w:type="pct"/>
                  <w:tcBorders>
                    <w:top w:val="single" w:color="auto" w:sz="4" w:space="0"/>
                    <w:left w:val="single" w:color="auto" w:sz="4" w:space="0"/>
                    <w:bottom w:val="single" w:color="auto" w:sz="4" w:space="0"/>
                    <w:right w:val="single" w:color="auto" w:sz="4" w:space="0"/>
                  </w:tcBorders>
                  <w:vAlign w:val="center"/>
                </w:tcPr>
                <w:p w14:paraId="7CD39B5D">
                  <w:pPr>
                    <w:keepNext w:val="0"/>
                    <w:keepLines w:val="0"/>
                    <w:widowControl/>
                    <w:suppressLineNumbers w:val="0"/>
                    <w:spacing w:line="240" w:lineRule="auto"/>
                    <w:jc w:val="center"/>
                    <w:textAlignment w:val="center"/>
                    <w:rPr>
                      <w:rFonts w:hint="default" w:ascii="Times New Roman" w:hAnsi="Times New Roman" w:eastAsia="宋体" w:cs="Times New Roman"/>
                      <w:i w:val="0"/>
                      <w:iCs w:val="0"/>
                      <w:color w:val="auto"/>
                      <w:kern w:val="2"/>
                      <w:sz w:val="21"/>
                      <w:szCs w:val="21"/>
                      <w:u w:val="none"/>
                      <w:lang w:val="en-US" w:eastAsia="zh-CN" w:bidi="ar-SA"/>
                    </w:rPr>
                  </w:pPr>
                  <w:r>
                    <w:rPr>
                      <w:rFonts w:hint="default" w:ascii="Times New Roman" w:hAnsi="Times New Roman" w:cs="Times New Roman"/>
                      <w:i w:val="0"/>
                      <w:iCs w:val="0"/>
                      <w:color w:val="auto"/>
                      <w:kern w:val="0"/>
                      <w:sz w:val="21"/>
                      <w:szCs w:val="21"/>
                      <w:u w:val="none"/>
                      <w:lang w:val="en-US" w:eastAsia="zh-CN" w:bidi="ar"/>
                    </w:rPr>
                    <w:t>t</w:t>
                  </w:r>
                  <w:r>
                    <w:rPr>
                      <w:rFonts w:hint="default" w:ascii="Times New Roman" w:hAnsi="Times New Roman" w:eastAsia="宋体" w:cs="Times New Roman"/>
                      <w:i w:val="0"/>
                      <w:iCs w:val="0"/>
                      <w:color w:val="auto"/>
                      <w:kern w:val="0"/>
                      <w:sz w:val="21"/>
                      <w:szCs w:val="21"/>
                      <w:u w:val="none"/>
                      <w:lang w:val="en-US" w:eastAsia="zh-CN" w:bidi="ar"/>
                    </w:rPr>
                    <w:t>/</w:t>
                  </w:r>
                  <w:r>
                    <w:rPr>
                      <w:rStyle w:val="31"/>
                      <w:rFonts w:hint="default" w:ascii="Times New Roman" w:hAnsi="Times New Roman" w:cs="Times New Roman"/>
                      <w:color w:val="auto"/>
                      <w:sz w:val="21"/>
                      <w:szCs w:val="21"/>
                      <w:lang w:val="en-US" w:eastAsia="zh-CN" w:bidi="ar"/>
                    </w:rPr>
                    <w:t>a</w:t>
                  </w:r>
                </w:p>
              </w:tc>
              <w:tc>
                <w:tcPr>
                  <w:tcW w:w="601" w:type="pct"/>
                  <w:tcBorders>
                    <w:top w:val="single" w:color="auto" w:sz="4" w:space="0"/>
                    <w:left w:val="single" w:color="auto" w:sz="4" w:space="0"/>
                    <w:bottom w:val="single" w:color="auto" w:sz="4" w:space="0"/>
                    <w:right w:val="single" w:color="auto" w:sz="4" w:space="0"/>
                  </w:tcBorders>
                  <w:vAlign w:val="center"/>
                </w:tcPr>
                <w:p w14:paraId="57F99DCD">
                  <w:pPr>
                    <w:keepNext w:val="0"/>
                    <w:keepLines w:val="0"/>
                    <w:widowControl/>
                    <w:suppressLineNumbers w:val="0"/>
                    <w:spacing w:line="240" w:lineRule="auto"/>
                    <w:jc w:val="center"/>
                    <w:textAlignment w:val="center"/>
                    <w:rPr>
                      <w:rFonts w:hint="default" w:ascii="Times New Roman" w:hAnsi="Times New Roman" w:eastAsia="宋体" w:cs="Times New Roman"/>
                      <w:i w:val="0"/>
                      <w:iCs w:val="0"/>
                      <w:color w:val="auto"/>
                      <w:kern w:val="2"/>
                      <w:sz w:val="21"/>
                      <w:szCs w:val="21"/>
                      <w:u w:val="none"/>
                      <w:lang w:val="en-US" w:eastAsia="zh-CN" w:bidi="ar-SA"/>
                    </w:rPr>
                  </w:pPr>
                  <w:r>
                    <w:rPr>
                      <w:rFonts w:hint="eastAsia" w:cs="Times New Roman"/>
                      <w:i w:val="0"/>
                      <w:iCs w:val="0"/>
                      <w:color w:val="auto"/>
                      <w:kern w:val="2"/>
                      <w:sz w:val="21"/>
                      <w:szCs w:val="21"/>
                      <w:u w:val="none"/>
                      <w:lang w:val="en-US" w:eastAsia="zh-CN" w:bidi="ar-SA"/>
                    </w:rPr>
                    <w:t>2</w:t>
                  </w:r>
                </w:p>
              </w:tc>
              <w:tc>
                <w:tcPr>
                  <w:tcW w:w="475" w:type="pct"/>
                  <w:tcBorders>
                    <w:top w:val="single" w:color="auto" w:sz="4" w:space="0"/>
                    <w:left w:val="single" w:color="auto" w:sz="4" w:space="0"/>
                    <w:bottom w:val="single" w:color="auto" w:sz="4" w:space="0"/>
                    <w:right w:val="single" w:color="auto" w:sz="4" w:space="0"/>
                  </w:tcBorders>
                  <w:vAlign w:val="center"/>
                </w:tcPr>
                <w:p w14:paraId="59234E93">
                  <w:pPr>
                    <w:keepNext w:val="0"/>
                    <w:keepLines w:val="0"/>
                    <w:widowControl/>
                    <w:suppressLineNumbers w:val="0"/>
                    <w:spacing w:line="240" w:lineRule="auto"/>
                    <w:jc w:val="center"/>
                    <w:textAlignment w:val="center"/>
                    <w:rPr>
                      <w:rFonts w:hint="default" w:cs="Times New Roman"/>
                      <w:i w:val="0"/>
                      <w:iCs w:val="0"/>
                      <w:color w:val="auto"/>
                      <w:kern w:val="2"/>
                      <w:sz w:val="21"/>
                      <w:szCs w:val="21"/>
                      <w:u w:val="none"/>
                      <w:lang w:val="en-US" w:eastAsia="zh-CN" w:bidi="ar-SA"/>
                    </w:rPr>
                  </w:pPr>
                  <w:r>
                    <w:rPr>
                      <w:rFonts w:hint="eastAsia" w:cs="Times New Roman"/>
                      <w:i w:val="0"/>
                      <w:iCs w:val="0"/>
                      <w:color w:val="auto"/>
                      <w:kern w:val="2"/>
                      <w:sz w:val="21"/>
                      <w:szCs w:val="21"/>
                      <w:u w:val="none"/>
                      <w:lang w:val="en-US" w:eastAsia="zh-CN" w:bidi="ar-SA"/>
                    </w:rPr>
                    <w:t>/</w:t>
                  </w:r>
                </w:p>
              </w:tc>
              <w:tc>
                <w:tcPr>
                  <w:tcW w:w="2019" w:type="pct"/>
                  <w:tcBorders>
                    <w:top w:val="single" w:color="auto" w:sz="4" w:space="0"/>
                    <w:left w:val="single" w:color="auto" w:sz="4" w:space="0"/>
                    <w:bottom w:val="single" w:color="auto" w:sz="4" w:space="0"/>
                    <w:right w:val="single" w:color="auto" w:sz="4" w:space="0"/>
                  </w:tcBorders>
                  <w:vAlign w:val="center"/>
                </w:tcPr>
                <w:p w14:paraId="5EB9B065">
                  <w:pPr>
                    <w:keepNext w:val="0"/>
                    <w:keepLines w:val="0"/>
                    <w:widowControl/>
                    <w:suppressLineNumbers w:val="0"/>
                    <w:spacing w:line="240" w:lineRule="auto"/>
                    <w:jc w:val="center"/>
                    <w:textAlignment w:val="center"/>
                    <w:rPr>
                      <w:rFonts w:hint="default" w:ascii="Times New Roman" w:hAnsi="Times New Roman" w:eastAsia="宋体" w:cs="Times New Roman"/>
                      <w:i w:val="0"/>
                      <w:iCs w:val="0"/>
                      <w:color w:val="auto"/>
                      <w:kern w:val="2"/>
                      <w:sz w:val="21"/>
                      <w:szCs w:val="21"/>
                      <w:u w:val="none"/>
                      <w:lang w:val="en-US" w:eastAsia="zh-CN" w:bidi="ar-SA"/>
                    </w:rPr>
                  </w:pPr>
                  <w:r>
                    <w:rPr>
                      <w:rFonts w:hint="eastAsia" w:cs="Times New Roman"/>
                      <w:i w:val="0"/>
                      <w:iCs w:val="0"/>
                      <w:color w:val="auto"/>
                      <w:kern w:val="2"/>
                      <w:sz w:val="21"/>
                      <w:szCs w:val="21"/>
                      <w:u w:val="none"/>
                      <w:lang w:val="en-US" w:eastAsia="zh-CN" w:bidi="ar-SA"/>
                    </w:rPr>
                    <w:t>/</w:t>
                  </w:r>
                </w:p>
              </w:tc>
            </w:tr>
            <w:tr w14:paraId="2B6117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1" w:hRule="atLeast"/>
                <w:jc w:val="center"/>
              </w:trPr>
              <w:tc>
                <w:tcPr>
                  <w:tcW w:w="265" w:type="pct"/>
                  <w:vMerge w:val="continue"/>
                  <w:tcBorders>
                    <w:left w:val="single" w:color="auto" w:sz="4" w:space="0"/>
                    <w:right w:val="single" w:color="auto" w:sz="4" w:space="0"/>
                  </w:tcBorders>
                  <w:vAlign w:val="center"/>
                </w:tcPr>
                <w:p w14:paraId="515E31B5">
                  <w:pPr>
                    <w:snapToGrid w:val="0"/>
                    <w:spacing w:line="240" w:lineRule="auto"/>
                    <w:jc w:val="center"/>
                    <w:rPr>
                      <w:rFonts w:hint="default" w:ascii="Times New Roman" w:hAnsi="Times New Roman" w:cs="Times New Roman"/>
                      <w:color w:val="auto"/>
                      <w:sz w:val="21"/>
                      <w:szCs w:val="21"/>
                    </w:rPr>
                  </w:pPr>
                </w:p>
              </w:tc>
              <w:tc>
                <w:tcPr>
                  <w:tcW w:w="1026" w:type="pct"/>
                  <w:tcBorders>
                    <w:top w:val="single" w:color="auto" w:sz="4" w:space="0"/>
                    <w:left w:val="single" w:color="auto" w:sz="4" w:space="0"/>
                    <w:bottom w:val="single" w:color="auto" w:sz="4" w:space="0"/>
                    <w:right w:val="single" w:color="auto" w:sz="4" w:space="0"/>
                  </w:tcBorders>
                  <w:vAlign w:val="center"/>
                </w:tcPr>
                <w:p w14:paraId="5A6430AC">
                  <w:pPr>
                    <w:keepNext w:val="0"/>
                    <w:keepLines w:val="0"/>
                    <w:pageBreakBefore w:val="0"/>
                    <w:kinsoku/>
                    <w:wordWrap/>
                    <w:overflowPunct/>
                    <w:topLinePunct w:val="0"/>
                    <w:autoSpaceDE/>
                    <w:bidi w:val="0"/>
                    <w:adjustRightInd w:val="0"/>
                    <w:snapToGrid w:val="0"/>
                    <w:spacing w:line="240" w:lineRule="auto"/>
                    <w:jc w:val="center"/>
                    <w:rPr>
                      <w:rFonts w:hint="default" w:ascii="Times New Roman" w:hAnsi="Times New Roman" w:eastAsia="宋体" w:cs="Times New Roman"/>
                      <w:i w:val="0"/>
                      <w:iCs w:val="0"/>
                      <w:color w:val="auto"/>
                      <w:kern w:val="2"/>
                      <w:sz w:val="21"/>
                      <w:szCs w:val="21"/>
                      <w:u w:val="none"/>
                      <w:lang w:val="en-US" w:eastAsia="zh-CN" w:bidi="ar-SA"/>
                    </w:rPr>
                  </w:pPr>
                  <w:r>
                    <w:rPr>
                      <w:rFonts w:hint="eastAsia" w:ascii="Times New Roman" w:hAnsi="Times New Roman" w:eastAsia="宋体" w:cs="Times New Roman"/>
                      <w:color w:val="000000"/>
                      <w:sz w:val="21"/>
                      <w:szCs w:val="21"/>
                      <w:lang w:val="en-US" w:eastAsia="zh-CN" w:bidi="ar-SA"/>
                    </w:rPr>
                    <w:t>千叶轮+砂轮</w:t>
                  </w:r>
                </w:p>
              </w:tc>
              <w:tc>
                <w:tcPr>
                  <w:tcW w:w="611" w:type="pct"/>
                  <w:tcBorders>
                    <w:top w:val="single" w:color="auto" w:sz="4" w:space="0"/>
                    <w:left w:val="single" w:color="auto" w:sz="4" w:space="0"/>
                    <w:bottom w:val="single" w:color="auto" w:sz="4" w:space="0"/>
                    <w:right w:val="single" w:color="auto" w:sz="4" w:space="0"/>
                  </w:tcBorders>
                  <w:vAlign w:val="center"/>
                </w:tcPr>
                <w:p w14:paraId="28E5317D">
                  <w:pPr>
                    <w:keepNext w:val="0"/>
                    <w:keepLines w:val="0"/>
                    <w:pageBreakBefore w:val="0"/>
                    <w:kinsoku/>
                    <w:wordWrap/>
                    <w:overflowPunct/>
                    <w:topLinePunct w:val="0"/>
                    <w:autoSpaceDE/>
                    <w:bidi w:val="0"/>
                    <w:adjustRightInd w:val="0"/>
                    <w:snapToGrid w:val="0"/>
                    <w:spacing w:line="240" w:lineRule="auto"/>
                    <w:jc w:val="center"/>
                    <w:rPr>
                      <w:rFonts w:hint="default" w:ascii="Times New Roman" w:hAnsi="Times New Roman" w:eastAsia="宋体" w:cs="Times New Roman"/>
                      <w:i w:val="0"/>
                      <w:iCs w:val="0"/>
                      <w:color w:val="auto"/>
                      <w:kern w:val="2"/>
                      <w:sz w:val="21"/>
                      <w:szCs w:val="21"/>
                      <w:u w:val="none"/>
                      <w:lang w:val="en-US" w:eastAsia="zh-CN" w:bidi="ar-SA"/>
                    </w:rPr>
                  </w:pPr>
                  <w:r>
                    <w:rPr>
                      <w:rFonts w:hint="eastAsia" w:ascii="Times New Roman" w:hAnsi="Times New Roman" w:eastAsia="宋体" w:cs="Times New Roman"/>
                      <w:color w:val="000000"/>
                      <w:sz w:val="21"/>
                      <w:szCs w:val="21"/>
                      <w:lang w:val="en-US" w:eastAsia="zh-CN" w:bidi="ar-SA"/>
                    </w:rPr>
                    <w:t>个</w:t>
                  </w:r>
                </w:p>
              </w:tc>
              <w:tc>
                <w:tcPr>
                  <w:tcW w:w="601" w:type="pct"/>
                  <w:tcBorders>
                    <w:top w:val="single" w:color="auto" w:sz="4" w:space="0"/>
                    <w:left w:val="single" w:color="auto" w:sz="4" w:space="0"/>
                    <w:bottom w:val="single" w:color="auto" w:sz="4" w:space="0"/>
                    <w:right w:val="single" w:color="auto" w:sz="4" w:space="0"/>
                  </w:tcBorders>
                  <w:vAlign w:val="center"/>
                </w:tcPr>
                <w:p w14:paraId="397FDB47">
                  <w:pPr>
                    <w:pStyle w:val="37"/>
                    <w:keepNext w:val="0"/>
                    <w:keepLines w:val="0"/>
                    <w:pageBreakBefore w:val="0"/>
                    <w:kinsoku/>
                    <w:wordWrap/>
                    <w:overflowPunct/>
                    <w:topLinePunct w:val="0"/>
                    <w:autoSpaceDE/>
                    <w:bidi w:val="0"/>
                    <w:spacing w:line="240" w:lineRule="auto"/>
                    <w:ind w:firstLine="0" w:firstLineChars="0"/>
                    <w:jc w:val="center"/>
                    <w:rPr>
                      <w:rFonts w:hint="default" w:ascii="Times New Roman" w:hAnsi="Times New Roman" w:eastAsia="宋体" w:cs="Times New Roman"/>
                      <w:i w:val="0"/>
                      <w:iCs w:val="0"/>
                      <w:color w:val="auto"/>
                      <w:kern w:val="2"/>
                      <w:sz w:val="21"/>
                      <w:szCs w:val="21"/>
                      <w:u w:val="none"/>
                      <w:lang w:val="en-US" w:eastAsia="zh-CN" w:bidi="ar-SA"/>
                    </w:rPr>
                  </w:pPr>
                  <w:r>
                    <w:rPr>
                      <w:rFonts w:hint="eastAsia" w:ascii="Times New Roman" w:hAnsi="Times New Roman" w:eastAsia="宋体" w:cs="Times New Roman"/>
                      <w:color w:val="000000"/>
                      <w:sz w:val="21"/>
                      <w:szCs w:val="21"/>
                      <w:lang w:val="en-US" w:eastAsia="zh-CN" w:bidi="ar-SA"/>
                    </w:rPr>
                    <w:t>200+800</w:t>
                  </w:r>
                </w:p>
              </w:tc>
              <w:tc>
                <w:tcPr>
                  <w:tcW w:w="475" w:type="pct"/>
                  <w:tcBorders>
                    <w:top w:val="single" w:color="auto" w:sz="4" w:space="0"/>
                    <w:left w:val="single" w:color="auto" w:sz="4" w:space="0"/>
                    <w:bottom w:val="single" w:color="auto" w:sz="4" w:space="0"/>
                    <w:right w:val="single" w:color="auto" w:sz="4" w:space="0"/>
                  </w:tcBorders>
                  <w:vAlign w:val="center"/>
                </w:tcPr>
                <w:p w14:paraId="0BA7F73B">
                  <w:pPr>
                    <w:pStyle w:val="37"/>
                    <w:keepNext w:val="0"/>
                    <w:keepLines w:val="0"/>
                    <w:pageBreakBefore w:val="0"/>
                    <w:kinsoku/>
                    <w:wordWrap/>
                    <w:overflowPunct/>
                    <w:topLinePunct w:val="0"/>
                    <w:autoSpaceDE/>
                    <w:bidi w:val="0"/>
                    <w:spacing w:line="240" w:lineRule="auto"/>
                    <w:ind w:firstLine="0" w:firstLineChars="0"/>
                    <w:jc w:val="center"/>
                    <w:rPr>
                      <w:rFonts w:hint="default" w:ascii="Times New Roman" w:hAnsi="Times New Roman" w:eastAsia="宋体" w:cs="Times New Roman"/>
                      <w:color w:val="000000"/>
                      <w:sz w:val="21"/>
                      <w:szCs w:val="21"/>
                      <w:lang w:val="en-US" w:eastAsia="zh-CN" w:bidi="ar-SA"/>
                    </w:rPr>
                  </w:pPr>
                  <w:r>
                    <w:rPr>
                      <w:rFonts w:hint="eastAsia" w:eastAsia="宋体" w:cs="Times New Roman"/>
                      <w:color w:val="000000"/>
                      <w:sz w:val="21"/>
                      <w:szCs w:val="21"/>
                      <w:lang w:val="en-US" w:eastAsia="zh-CN" w:bidi="ar-SA"/>
                    </w:rPr>
                    <w:t>/</w:t>
                  </w:r>
                </w:p>
              </w:tc>
              <w:tc>
                <w:tcPr>
                  <w:tcW w:w="2019" w:type="pct"/>
                  <w:tcBorders>
                    <w:top w:val="single" w:color="auto" w:sz="4" w:space="0"/>
                    <w:left w:val="single" w:color="auto" w:sz="4" w:space="0"/>
                    <w:bottom w:val="single" w:color="auto" w:sz="4" w:space="0"/>
                    <w:right w:val="single" w:color="auto" w:sz="4" w:space="0"/>
                  </w:tcBorders>
                  <w:vAlign w:val="center"/>
                </w:tcPr>
                <w:p w14:paraId="0ACD7BB0">
                  <w:pPr>
                    <w:pStyle w:val="38"/>
                    <w:keepNext w:val="0"/>
                    <w:keepLines w:val="0"/>
                    <w:pageBreakBefore w:val="0"/>
                    <w:kinsoku/>
                    <w:wordWrap/>
                    <w:overflowPunct/>
                    <w:topLinePunct w:val="0"/>
                    <w:autoSpaceDE/>
                    <w:bidi w:val="0"/>
                    <w:spacing w:line="240" w:lineRule="auto"/>
                    <w:rPr>
                      <w:rFonts w:hint="default" w:ascii="Times New Roman" w:hAnsi="Times New Roman" w:eastAsia="宋体" w:cs="Times New Roman"/>
                      <w:i w:val="0"/>
                      <w:iCs w:val="0"/>
                      <w:color w:val="auto"/>
                      <w:kern w:val="2"/>
                      <w:sz w:val="21"/>
                      <w:szCs w:val="21"/>
                      <w:u w:val="none"/>
                      <w:lang w:val="en-US" w:eastAsia="zh-CN" w:bidi="ar-SA"/>
                    </w:rPr>
                  </w:pPr>
                  <w:r>
                    <w:rPr>
                      <w:rFonts w:hint="eastAsia" w:cs="Times New Roman"/>
                      <w:color w:val="auto"/>
                      <w:sz w:val="21"/>
                      <w:szCs w:val="21"/>
                      <w:lang w:val="en-US" w:eastAsia="zh-CN" w:bidi="ar-SA"/>
                    </w:rPr>
                    <w:t>单片重1.5kg</w:t>
                  </w:r>
                </w:p>
              </w:tc>
            </w:tr>
            <w:tr w14:paraId="120196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1" w:hRule="atLeast"/>
                <w:jc w:val="center"/>
              </w:trPr>
              <w:tc>
                <w:tcPr>
                  <w:tcW w:w="265" w:type="pct"/>
                  <w:vMerge w:val="continue"/>
                  <w:tcBorders>
                    <w:left w:val="single" w:color="auto" w:sz="4" w:space="0"/>
                    <w:right w:val="single" w:color="auto" w:sz="4" w:space="0"/>
                  </w:tcBorders>
                  <w:vAlign w:val="center"/>
                </w:tcPr>
                <w:p w14:paraId="3A5FAEA6">
                  <w:pPr>
                    <w:pStyle w:val="38"/>
                    <w:keepNext w:val="0"/>
                    <w:keepLines w:val="0"/>
                    <w:pageBreakBefore w:val="0"/>
                    <w:kinsoku/>
                    <w:wordWrap/>
                    <w:overflowPunct/>
                    <w:topLinePunct w:val="0"/>
                    <w:autoSpaceDE/>
                    <w:bidi w:val="0"/>
                    <w:spacing w:line="240" w:lineRule="auto"/>
                  </w:pPr>
                </w:p>
              </w:tc>
              <w:tc>
                <w:tcPr>
                  <w:tcW w:w="1026" w:type="pct"/>
                  <w:tcBorders>
                    <w:top w:val="single" w:color="auto" w:sz="4" w:space="0"/>
                    <w:left w:val="single" w:color="auto" w:sz="4" w:space="0"/>
                    <w:bottom w:val="single" w:color="auto" w:sz="4" w:space="0"/>
                    <w:right w:val="single" w:color="auto" w:sz="4" w:space="0"/>
                  </w:tcBorders>
                  <w:vAlign w:val="center"/>
                </w:tcPr>
                <w:p w14:paraId="230BC6C8">
                  <w:pPr>
                    <w:pStyle w:val="38"/>
                    <w:keepNext w:val="0"/>
                    <w:keepLines w:val="0"/>
                    <w:pageBreakBefore w:val="0"/>
                    <w:kinsoku/>
                    <w:wordWrap/>
                    <w:overflowPunct/>
                    <w:topLinePunct w:val="0"/>
                    <w:autoSpaceDE/>
                    <w:bidi w:val="0"/>
                    <w:spacing w:line="240" w:lineRule="auto"/>
                    <w:rPr>
                      <w:rFonts w:hint="default" w:ascii="Times New Roman" w:hAnsi="Times New Roman" w:eastAsia="宋体" w:cs="Times New Roman"/>
                      <w:color w:val="000000"/>
                      <w:sz w:val="21"/>
                      <w:szCs w:val="21"/>
                      <w:lang w:val="en-US" w:eastAsia="zh-CN" w:bidi="ar-SA"/>
                    </w:rPr>
                  </w:pPr>
                  <w:r>
                    <w:rPr>
                      <w:rFonts w:hint="eastAsia" w:cs="Times New Roman"/>
                      <w:color w:val="000000"/>
                      <w:sz w:val="21"/>
                      <w:szCs w:val="21"/>
                      <w:lang w:val="en-US" w:eastAsia="zh-CN" w:bidi="ar-SA"/>
                    </w:rPr>
                    <w:t>砂</w:t>
                  </w:r>
                </w:p>
              </w:tc>
              <w:tc>
                <w:tcPr>
                  <w:tcW w:w="611" w:type="pct"/>
                  <w:tcBorders>
                    <w:top w:val="single" w:color="auto" w:sz="4" w:space="0"/>
                    <w:left w:val="single" w:color="auto" w:sz="4" w:space="0"/>
                    <w:bottom w:val="single" w:color="auto" w:sz="4" w:space="0"/>
                    <w:right w:val="single" w:color="auto" w:sz="4" w:space="0"/>
                  </w:tcBorders>
                  <w:vAlign w:val="center"/>
                </w:tcPr>
                <w:p w14:paraId="55046699">
                  <w:pPr>
                    <w:pStyle w:val="38"/>
                    <w:keepNext w:val="0"/>
                    <w:keepLines w:val="0"/>
                    <w:pageBreakBefore w:val="0"/>
                    <w:kinsoku/>
                    <w:wordWrap/>
                    <w:overflowPunct/>
                    <w:topLinePunct w:val="0"/>
                    <w:autoSpaceDE/>
                    <w:bidi w:val="0"/>
                    <w:spacing w:line="240" w:lineRule="auto"/>
                    <w:rPr>
                      <w:rFonts w:hint="default" w:ascii="Times New Roman" w:hAnsi="Times New Roman" w:eastAsia="宋体" w:cs="Times New Roman"/>
                      <w:color w:val="000000"/>
                      <w:sz w:val="21"/>
                      <w:szCs w:val="21"/>
                      <w:lang w:val="en-US" w:eastAsia="zh-CN" w:bidi="ar-SA"/>
                    </w:rPr>
                  </w:pPr>
                  <w:r>
                    <w:rPr>
                      <w:rFonts w:hint="eastAsia" w:cs="Times New Roman"/>
                      <w:color w:val="000000"/>
                      <w:sz w:val="21"/>
                      <w:szCs w:val="21"/>
                      <w:lang w:val="en-US" w:eastAsia="zh-CN" w:bidi="ar-SA"/>
                    </w:rPr>
                    <w:t>t/a</w:t>
                  </w:r>
                </w:p>
              </w:tc>
              <w:tc>
                <w:tcPr>
                  <w:tcW w:w="601" w:type="pct"/>
                  <w:tcBorders>
                    <w:top w:val="single" w:color="auto" w:sz="4" w:space="0"/>
                    <w:left w:val="single" w:color="auto" w:sz="4" w:space="0"/>
                    <w:bottom w:val="single" w:color="auto" w:sz="4" w:space="0"/>
                    <w:right w:val="single" w:color="auto" w:sz="4" w:space="0"/>
                  </w:tcBorders>
                  <w:vAlign w:val="center"/>
                </w:tcPr>
                <w:p w14:paraId="7C2B9CAB">
                  <w:pPr>
                    <w:pStyle w:val="38"/>
                    <w:keepNext w:val="0"/>
                    <w:keepLines w:val="0"/>
                    <w:pageBreakBefore w:val="0"/>
                    <w:kinsoku/>
                    <w:wordWrap/>
                    <w:overflowPunct/>
                    <w:topLinePunct w:val="0"/>
                    <w:autoSpaceDE/>
                    <w:bidi w:val="0"/>
                    <w:spacing w:line="240" w:lineRule="auto"/>
                    <w:rPr>
                      <w:rFonts w:hint="default" w:ascii="Times New Roman" w:hAnsi="Times New Roman" w:eastAsia="宋体" w:cs="Times New Roman"/>
                      <w:color w:val="000000"/>
                      <w:sz w:val="21"/>
                      <w:szCs w:val="21"/>
                      <w:lang w:val="en-US" w:eastAsia="zh-CN" w:bidi="ar-SA"/>
                    </w:rPr>
                  </w:pPr>
                  <w:r>
                    <w:rPr>
                      <w:rFonts w:hint="eastAsia" w:cs="Times New Roman"/>
                      <w:color w:val="000000"/>
                      <w:sz w:val="21"/>
                      <w:szCs w:val="21"/>
                      <w:lang w:val="en-US" w:eastAsia="zh-CN" w:bidi="ar-SA"/>
                    </w:rPr>
                    <w:t>0.3</w:t>
                  </w:r>
                </w:p>
              </w:tc>
              <w:tc>
                <w:tcPr>
                  <w:tcW w:w="475" w:type="pct"/>
                  <w:tcBorders>
                    <w:top w:val="single" w:color="auto" w:sz="4" w:space="0"/>
                    <w:left w:val="single" w:color="auto" w:sz="4" w:space="0"/>
                    <w:bottom w:val="single" w:color="auto" w:sz="4" w:space="0"/>
                    <w:right w:val="single" w:color="auto" w:sz="4" w:space="0"/>
                  </w:tcBorders>
                  <w:vAlign w:val="center"/>
                </w:tcPr>
                <w:p w14:paraId="21EA3EBC">
                  <w:pPr>
                    <w:pStyle w:val="38"/>
                    <w:keepNext w:val="0"/>
                    <w:keepLines w:val="0"/>
                    <w:pageBreakBefore w:val="0"/>
                    <w:kinsoku/>
                    <w:wordWrap/>
                    <w:overflowPunct/>
                    <w:topLinePunct w:val="0"/>
                    <w:autoSpaceDE/>
                    <w:bidi w:val="0"/>
                    <w:spacing w:line="240" w:lineRule="auto"/>
                    <w:rPr>
                      <w:rFonts w:hint="default" w:ascii="Times New Roman" w:hAnsi="Times New Roman" w:eastAsia="宋体" w:cs="Times New Roman"/>
                      <w:color w:val="000000"/>
                      <w:sz w:val="21"/>
                      <w:szCs w:val="21"/>
                      <w:lang w:val="en-US" w:eastAsia="zh-CN" w:bidi="ar-SA"/>
                    </w:rPr>
                  </w:pPr>
                  <w:r>
                    <w:rPr>
                      <w:rFonts w:hint="eastAsia" w:cs="Times New Roman"/>
                      <w:color w:val="000000"/>
                      <w:sz w:val="21"/>
                      <w:szCs w:val="21"/>
                      <w:lang w:val="en-US" w:eastAsia="zh-CN" w:bidi="ar-SA"/>
                    </w:rPr>
                    <w:t>/</w:t>
                  </w:r>
                </w:p>
              </w:tc>
              <w:tc>
                <w:tcPr>
                  <w:tcW w:w="2019" w:type="pct"/>
                  <w:tcBorders>
                    <w:top w:val="single" w:color="auto" w:sz="4" w:space="0"/>
                    <w:left w:val="single" w:color="auto" w:sz="4" w:space="0"/>
                    <w:bottom w:val="single" w:color="auto" w:sz="4" w:space="0"/>
                    <w:right w:val="single" w:color="auto" w:sz="4" w:space="0"/>
                  </w:tcBorders>
                  <w:vAlign w:val="center"/>
                </w:tcPr>
                <w:p w14:paraId="511AC6D6">
                  <w:pPr>
                    <w:pStyle w:val="38"/>
                    <w:keepNext w:val="0"/>
                    <w:keepLines w:val="0"/>
                    <w:pageBreakBefore w:val="0"/>
                    <w:kinsoku/>
                    <w:wordWrap/>
                    <w:overflowPunct/>
                    <w:topLinePunct w:val="0"/>
                    <w:autoSpaceDE/>
                    <w:bidi w:val="0"/>
                    <w:spacing w:line="240" w:lineRule="auto"/>
                    <w:rPr>
                      <w:rFonts w:hint="default" w:ascii="Times New Roman" w:hAnsi="Times New Roman" w:eastAsia="宋体" w:cs="Times New Roman"/>
                      <w:color w:val="000000"/>
                      <w:sz w:val="21"/>
                      <w:szCs w:val="21"/>
                      <w:lang w:val="en-US" w:eastAsia="zh-CN" w:bidi="ar-SA"/>
                    </w:rPr>
                  </w:pPr>
                  <w:r>
                    <w:rPr>
                      <w:rFonts w:hint="eastAsia" w:cs="Times New Roman"/>
                      <w:color w:val="000000"/>
                      <w:sz w:val="21"/>
                      <w:szCs w:val="21"/>
                      <w:lang w:val="en-US" w:eastAsia="zh-CN" w:bidi="ar-SA"/>
                    </w:rPr>
                    <w:t>/</w:t>
                  </w:r>
                </w:p>
              </w:tc>
            </w:tr>
            <w:tr w14:paraId="406908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2" w:hRule="atLeast"/>
                <w:jc w:val="center"/>
              </w:trPr>
              <w:tc>
                <w:tcPr>
                  <w:tcW w:w="265" w:type="pct"/>
                  <w:vMerge w:val="restart"/>
                  <w:tcBorders>
                    <w:top w:val="single" w:color="auto" w:sz="4" w:space="0"/>
                    <w:left w:val="single" w:color="auto" w:sz="4" w:space="0"/>
                    <w:right w:val="single" w:color="auto" w:sz="4" w:space="0"/>
                  </w:tcBorders>
                  <w:vAlign w:val="center"/>
                </w:tcPr>
                <w:p w14:paraId="76149BCD">
                  <w:pPr>
                    <w:snapToGrid w:val="0"/>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能源</w:t>
                  </w:r>
                </w:p>
              </w:tc>
              <w:tc>
                <w:tcPr>
                  <w:tcW w:w="1026" w:type="pct"/>
                  <w:tcBorders>
                    <w:top w:val="single" w:color="auto" w:sz="4" w:space="0"/>
                    <w:left w:val="single" w:color="auto" w:sz="4" w:space="0"/>
                    <w:bottom w:val="single" w:color="auto" w:sz="4" w:space="0"/>
                    <w:right w:val="single" w:color="auto" w:sz="4" w:space="0"/>
                  </w:tcBorders>
                  <w:vAlign w:val="center"/>
                </w:tcPr>
                <w:p w14:paraId="708D69DF">
                  <w:pPr>
                    <w:snapToGrid w:val="0"/>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水</w:t>
                  </w:r>
                </w:p>
              </w:tc>
              <w:tc>
                <w:tcPr>
                  <w:tcW w:w="611" w:type="pct"/>
                  <w:tcBorders>
                    <w:top w:val="single" w:color="auto" w:sz="4" w:space="0"/>
                    <w:left w:val="single" w:color="auto" w:sz="4" w:space="0"/>
                    <w:bottom w:val="single" w:color="auto" w:sz="4" w:space="0"/>
                    <w:right w:val="single" w:color="auto" w:sz="4" w:space="0"/>
                  </w:tcBorders>
                  <w:vAlign w:val="center"/>
                </w:tcPr>
                <w:p w14:paraId="06DA4613">
                  <w:pPr>
                    <w:snapToGrid w:val="0"/>
                    <w:spacing w:line="240" w:lineRule="auto"/>
                    <w:jc w:val="center"/>
                    <w:rPr>
                      <w:rFonts w:hint="default" w:ascii="Times New Roman" w:hAnsi="Times New Roman" w:cs="Times New Roman" w:eastAsiaTheme="minorEastAsia"/>
                      <w:color w:val="auto"/>
                      <w:sz w:val="21"/>
                      <w:szCs w:val="21"/>
                      <w:lang w:eastAsia="zh-CN"/>
                    </w:rPr>
                  </w:pPr>
                  <w:r>
                    <w:rPr>
                      <w:rFonts w:hint="eastAsia" w:cs="Times New Roman"/>
                      <w:i w:val="0"/>
                      <w:iCs w:val="0"/>
                      <w:color w:val="auto"/>
                      <w:kern w:val="0"/>
                      <w:sz w:val="21"/>
                      <w:szCs w:val="21"/>
                      <w:u w:val="none"/>
                      <w:lang w:val="en-US" w:eastAsia="zh-CN" w:bidi="ar"/>
                    </w:rPr>
                    <w:t>m</w:t>
                  </w:r>
                  <w:r>
                    <w:rPr>
                      <w:rFonts w:hint="eastAsia" w:cs="Times New Roman"/>
                      <w:i w:val="0"/>
                      <w:iCs w:val="0"/>
                      <w:color w:val="auto"/>
                      <w:kern w:val="0"/>
                      <w:sz w:val="21"/>
                      <w:szCs w:val="21"/>
                      <w:u w:val="none"/>
                      <w:vertAlign w:val="superscript"/>
                      <w:lang w:val="en-US" w:eastAsia="zh-CN" w:bidi="ar"/>
                    </w:rPr>
                    <w:t>3</w:t>
                  </w:r>
                  <w:r>
                    <w:rPr>
                      <w:rFonts w:hint="default" w:ascii="Times New Roman" w:hAnsi="Times New Roman" w:eastAsia="宋体" w:cs="Times New Roman"/>
                      <w:i w:val="0"/>
                      <w:iCs w:val="0"/>
                      <w:color w:val="auto"/>
                      <w:kern w:val="0"/>
                      <w:sz w:val="21"/>
                      <w:szCs w:val="21"/>
                      <w:u w:val="none"/>
                      <w:lang w:val="en-US" w:eastAsia="zh-CN" w:bidi="ar"/>
                    </w:rPr>
                    <w:t>/</w:t>
                  </w:r>
                  <w:r>
                    <w:rPr>
                      <w:rStyle w:val="31"/>
                      <w:rFonts w:hint="default" w:ascii="Times New Roman" w:hAnsi="Times New Roman" w:cs="Times New Roman"/>
                      <w:color w:val="auto"/>
                      <w:sz w:val="21"/>
                      <w:szCs w:val="21"/>
                      <w:lang w:val="en-US" w:eastAsia="zh-CN" w:bidi="ar"/>
                    </w:rPr>
                    <w:t>a</w:t>
                  </w:r>
                </w:p>
              </w:tc>
              <w:tc>
                <w:tcPr>
                  <w:tcW w:w="601" w:type="pct"/>
                  <w:tcBorders>
                    <w:top w:val="single" w:color="auto" w:sz="4" w:space="0"/>
                    <w:left w:val="single" w:color="auto" w:sz="4" w:space="0"/>
                    <w:bottom w:val="single" w:color="auto" w:sz="4" w:space="0"/>
                    <w:right w:val="single" w:color="auto" w:sz="4" w:space="0"/>
                  </w:tcBorders>
                  <w:vAlign w:val="center"/>
                </w:tcPr>
                <w:p w14:paraId="5E95F477">
                  <w:pPr>
                    <w:snapToGrid w:val="0"/>
                    <w:spacing w:line="240" w:lineRule="auto"/>
                    <w:jc w:val="center"/>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164.384</w:t>
                  </w:r>
                </w:p>
              </w:tc>
              <w:tc>
                <w:tcPr>
                  <w:tcW w:w="475" w:type="pct"/>
                  <w:tcBorders>
                    <w:top w:val="single" w:color="auto" w:sz="4" w:space="0"/>
                    <w:left w:val="single" w:color="auto" w:sz="4" w:space="0"/>
                    <w:bottom w:val="single" w:color="auto" w:sz="4" w:space="0"/>
                    <w:right w:val="single" w:color="auto" w:sz="4" w:space="0"/>
                  </w:tcBorders>
                  <w:vAlign w:val="center"/>
                </w:tcPr>
                <w:p w14:paraId="36B4C33E">
                  <w:pPr>
                    <w:snapToGrid w:val="0"/>
                    <w:spacing w:line="240" w:lineRule="auto"/>
                    <w:jc w:val="center"/>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w:t>
                  </w:r>
                </w:p>
              </w:tc>
              <w:tc>
                <w:tcPr>
                  <w:tcW w:w="2019" w:type="pct"/>
                  <w:tcBorders>
                    <w:top w:val="single" w:color="auto" w:sz="4" w:space="0"/>
                    <w:left w:val="single" w:color="auto" w:sz="4" w:space="0"/>
                    <w:bottom w:val="single" w:color="auto" w:sz="4" w:space="0"/>
                    <w:right w:val="single" w:color="auto" w:sz="4" w:space="0"/>
                  </w:tcBorders>
                  <w:vAlign w:val="center"/>
                </w:tcPr>
                <w:p w14:paraId="0E01EC69">
                  <w:pPr>
                    <w:snapToGrid w:val="0"/>
                    <w:spacing w:line="240" w:lineRule="auto"/>
                    <w:jc w:val="center"/>
                    <w:rPr>
                      <w:rFonts w:hint="default" w:ascii="Times New Roman" w:hAnsi="Times New Roman" w:cs="Times New Roman"/>
                      <w:color w:val="auto"/>
                      <w:sz w:val="21"/>
                      <w:szCs w:val="21"/>
                      <w:lang w:val="en-US" w:eastAsia="zh-CN"/>
                    </w:rPr>
                  </w:pPr>
                  <w:r>
                    <w:rPr>
                      <w:rFonts w:hint="eastAsia" w:cs="Times New Roman"/>
                      <w:color w:val="auto"/>
                      <w:sz w:val="21"/>
                      <w:szCs w:val="21"/>
                      <w:lang w:val="en-US" w:eastAsia="zh-CN"/>
                    </w:rPr>
                    <w:t>/</w:t>
                  </w:r>
                </w:p>
              </w:tc>
            </w:tr>
            <w:tr w14:paraId="08EBD8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5" w:hRule="atLeast"/>
                <w:jc w:val="center"/>
              </w:trPr>
              <w:tc>
                <w:tcPr>
                  <w:tcW w:w="265" w:type="pct"/>
                  <w:vMerge w:val="continue"/>
                  <w:tcBorders>
                    <w:left w:val="single" w:color="auto" w:sz="4" w:space="0"/>
                    <w:right w:val="single" w:color="auto" w:sz="4" w:space="0"/>
                  </w:tcBorders>
                  <w:vAlign w:val="center"/>
                </w:tcPr>
                <w:p w14:paraId="5EFA84A6">
                  <w:pPr>
                    <w:snapToGrid w:val="0"/>
                    <w:spacing w:line="240" w:lineRule="auto"/>
                    <w:jc w:val="center"/>
                    <w:rPr>
                      <w:color w:val="auto"/>
                    </w:rPr>
                  </w:pPr>
                </w:p>
              </w:tc>
              <w:tc>
                <w:tcPr>
                  <w:tcW w:w="1026" w:type="pct"/>
                  <w:tcBorders>
                    <w:top w:val="single" w:color="auto" w:sz="4" w:space="0"/>
                    <w:left w:val="single" w:color="auto" w:sz="4" w:space="0"/>
                    <w:bottom w:val="single" w:color="auto" w:sz="4" w:space="0"/>
                    <w:right w:val="single" w:color="auto" w:sz="4" w:space="0"/>
                  </w:tcBorders>
                  <w:vAlign w:val="center"/>
                </w:tcPr>
                <w:p w14:paraId="32F3903D">
                  <w:pPr>
                    <w:snapToGrid w:val="0"/>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电</w:t>
                  </w:r>
                </w:p>
              </w:tc>
              <w:tc>
                <w:tcPr>
                  <w:tcW w:w="611" w:type="pct"/>
                  <w:tcBorders>
                    <w:top w:val="single" w:color="auto" w:sz="4" w:space="0"/>
                    <w:left w:val="single" w:color="auto" w:sz="4" w:space="0"/>
                    <w:bottom w:val="single" w:color="auto" w:sz="4" w:space="0"/>
                    <w:right w:val="single" w:color="auto" w:sz="4" w:space="0"/>
                  </w:tcBorders>
                  <w:vAlign w:val="center"/>
                </w:tcPr>
                <w:p w14:paraId="53A10ED2">
                  <w:pPr>
                    <w:snapToGrid w:val="0"/>
                    <w:spacing w:line="240" w:lineRule="auto"/>
                    <w:jc w:val="center"/>
                    <w:rPr>
                      <w:rFonts w:hint="default" w:ascii="Times New Roman" w:hAnsi="Times New Roman" w:cs="Times New Roman"/>
                      <w:color w:val="auto"/>
                      <w:sz w:val="21"/>
                      <w:szCs w:val="21"/>
                    </w:rPr>
                  </w:pPr>
                  <w:r>
                    <w:rPr>
                      <w:rFonts w:hint="eastAsia" w:cs="Times New Roman"/>
                      <w:color w:val="auto"/>
                      <w:sz w:val="21"/>
                      <w:szCs w:val="21"/>
                      <w:lang w:val="en-US" w:eastAsia="zh-CN"/>
                    </w:rPr>
                    <w:t>万</w:t>
                  </w:r>
                  <w:r>
                    <w:rPr>
                      <w:rFonts w:hint="default" w:ascii="Times New Roman" w:hAnsi="Times New Roman" w:cs="Times New Roman"/>
                      <w:color w:val="auto"/>
                      <w:sz w:val="21"/>
                      <w:szCs w:val="21"/>
                    </w:rPr>
                    <w:t>度/年</w:t>
                  </w:r>
                </w:p>
              </w:tc>
              <w:tc>
                <w:tcPr>
                  <w:tcW w:w="601" w:type="pct"/>
                  <w:tcBorders>
                    <w:top w:val="single" w:color="auto" w:sz="4" w:space="0"/>
                    <w:left w:val="single" w:color="auto" w:sz="4" w:space="0"/>
                    <w:bottom w:val="single" w:color="auto" w:sz="4" w:space="0"/>
                    <w:right w:val="single" w:color="auto" w:sz="4" w:space="0"/>
                  </w:tcBorders>
                  <w:vAlign w:val="center"/>
                </w:tcPr>
                <w:p w14:paraId="09422C51">
                  <w:pPr>
                    <w:snapToGrid w:val="0"/>
                    <w:spacing w:line="240" w:lineRule="auto"/>
                    <w:jc w:val="center"/>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145</w:t>
                  </w:r>
                </w:p>
              </w:tc>
              <w:tc>
                <w:tcPr>
                  <w:tcW w:w="475" w:type="pct"/>
                  <w:tcBorders>
                    <w:top w:val="single" w:color="auto" w:sz="4" w:space="0"/>
                    <w:left w:val="single" w:color="auto" w:sz="4" w:space="0"/>
                    <w:bottom w:val="single" w:color="auto" w:sz="4" w:space="0"/>
                    <w:right w:val="single" w:color="auto" w:sz="4" w:space="0"/>
                  </w:tcBorders>
                  <w:vAlign w:val="center"/>
                </w:tcPr>
                <w:p w14:paraId="46EA6FDE">
                  <w:pPr>
                    <w:snapToGrid w:val="0"/>
                    <w:spacing w:line="240" w:lineRule="auto"/>
                    <w:jc w:val="center"/>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w:t>
                  </w:r>
                </w:p>
              </w:tc>
              <w:tc>
                <w:tcPr>
                  <w:tcW w:w="2019" w:type="pct"/>
                  <w:tcBorders>
                    <w:top w:val="single" w:color="auto" w:sz="4" w:space="0"/>
                    <w:left w:val="single" w:color="auto" w:sz="4" w:space="0"/>
                    <w:bottom w:val="single" w:color="auto" w:sz="4" w:space="0"/>
                    <w:right w:val="single" w:color="auto" w:sz="4" w:space="0"/>
                  </w:tcBorders>
                  <w:vAlign w:val="center"/>
                </w:tcPr>
                <w:p w14:paraId="1C90C12E">
                  <w:pPr>
                    <w:snapToGrid w:val="0"/>
                    <w:spacing w:line="240" w:lineRule="auto"/>
                    <w:jc w:val="center"/>
                    <w:rPr>
                      <w:rFonts w:hint="eastAsia"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w:t>
                  </w:r>
                </w:p>
              </w:tc>
            </w:tr>
          </w:tbl>
          <w:p w14:paraId="04B9DCF3">
            <w:pPr>
              <w:spacing w:line="360" w:lineRule="auto"/>
              <w:ind w:firstLine="480" w:firstLineChars="200"/>
              <w:rPr>
                <w:color w:val="auto"/>
                <w:kern w:val="0"/>
                <w:sz w:val="24"/>
                <w:szCs w:val="20"/>
              </w:rPr>
            </w:pPr>
            <w:r>
              <w:rPr>
                <w:color w:val="auto"/>
                <w:kern w:val="0"/>
                <w:sz w:val="24"/>
                <w:szCs w:val="20"/>
              </w:rPr>
              <w:t>（5）主要工艺设备</w:t>
            </w:r>
          </w:p>
          <w:p w14:paraId="3CFF26BE">
            <w:pPr>
              <w:spacing w:line="360" w:lineRule="auto"/>
              <w:ind w:firstLine="480" w:firstLineChars="200"/>
              <w:rPr>
                <w:color w:val="auto"/>
                <w:kern w:val="0"/>
                <w:sz w:val="24"/>
                <w:szCs w:val="20"/>
              </w:rPr>
            </w:pPr>
            <w:r>
              <w:rPr>
                <w:color w:val="auto"/>
                <w:kern w:val="0"/>
                <w:sz w:val="24"/>
                <w:szCs w:val="20"/>
              </w:rPr>
              <w:t>本项目主要设备清单见下表</w:t>
            </w:r>
            <w:r>
              <w:rPr>
                <w:rFonts w:hint="eastAsia"/>
                <w:color w:val="auto"/>
                <w:kern w:val="0"/>
                <w:sz w:val="24"/>
                <w:szCs w:val="20"/>
              </w:rPr>
              <w:t>2-</w:t>
            </w:r>
            <w:r>
              <w:rPr>
                <w:rFonts w:hint="eastAsia"/>
                <w:color w:val="auto"/>
                <w:kern w:val="0"/>
                <w:sz w:val="24"/>
                <w:szCs w:val="20"/>
                <w:lang w:val="en-US" w:eastAsia="zh-CN"/>
              </w:rPr>
              <w:t>4</w:t>
            </w:r>
            <w:r>
              <w:rPr>
                <w:color w:val="auto"/>
                <w:kern w:val="0"/>
                <w:sz w:val="24"/>
                <w:szCs w:val="20"/>
              </w:rPr>
              <w:t>。</w:t>
            </w:r>
          </w:p>
          <w:p w14:paraId="7513D1AC">
            <w:pPr>
              <w:autoSpaceDE w:val="0"/>
              <w:autoSpaceDN w:val="0"/>
              <w:jc w:val="center"/>
              <w:rPr>
                <w:b/>
                <w:color w:val="auto"/>
                <w:szCs w:val="21"/>
                <w:lang w:val="zh-CN"/>
              </w:rPr>
            </w:pPr>
            <w:r>
              <w:rPr>
                <w:b/>
                <w:color w:val="auto"/>
                <w:szCs w:val="21"/>
                <w:lang w:val="zh-CN"/>
              </w:rPr>
              <w:t>表</w:t>
            </w:r>
            <w:r>
              <w:rPr>
                <w:rFonts w:hint="eastAsia"/>
                <w:b/>
                <w:color w:val="auto"/>
                <w:szCs w:val="21"/>
              </w:rPr>
              <w:t>2-</w:t>
            </w:r>
            <w:r>
              <w:rPr>
                <w:rFonts w:hint="eastAsia"/>
                <w:b/>
                <w:color w:val="auto"/>
                <w:szCs w:val="21"/>
                <w:lang w:val="en-US" w:eastAsia="zh-CN"/>
              </w:rPr>
              <w:t>4</w:t>
            </w:r>
            <w:r>
              <w:rPr>
                <w:rFonts w:hint="eastAsia"/>
                <w:b/>
                <w:color w:val="auto"/>
                <w:szCs w:val="21"/>
              </w:rPr>
              <w:t xml:space="preserve">   </w:t>
            </w:r>
            <w:r>
              <w:rPr>
                <w:b/>
                <w:color w:val="auto"/>
                <w:szCs w:val="21"/>
                <w:lang w:val="zh-CN"/>
              </w:rPr>
              <w:t>主要生产设备清单</w:t>
            </w:r>
          </w:p>
          <w:tbl>
            <w:tblPr>
              <w:tblStyle w:val="18"/>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61"/>
              <w:gridCol w:w="1828"/>
              <w:gridCol w:w="1572"/>
              <w:gridCol w:w="1331"/>
              <w:gridCol w:w="2766"/>
            </w:tblGrid>
            <w:tr w14:paraId="5FC0E6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515" w:type="pct"/>
                  <w:tcBorders>
                    <w:tl2br w:val="nil"/>
                    <w:tr2bl w:val="nil"/>
                  </w:tcBorders>
                  <w:vAlign w:val="center"/>
                </w:tcPr>
                <w:p w14:paraId="4814965C">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b w:val="0"/>
                      <w:bCs w:val="0"/>
                      <w:color w:val="auto"/>
                      <w:sz w:val="21"/>
                      <w:szCs w:val="21"/>
                    </w:rPr>
                  </w:pPr>
                  <w:r>
                    <w:rPr>
                      <w:rFonts w:hint="default" w:ascii="Times New Roman" w:hAnsi="Times New Roman" w:eastAsia="宋体" w:cs="Times New Roman"/>
                      <w:b w:val="0"/>
                      <w:bCs w:val="0"/>
                      <w:color w:val="auto"/>
                      <w:sz w:val="21"/>
                      <w:szCs w:val="21"/>
                    </w:rPr>
                    <w:t>序号</w:t>
                  </w:r>
                </w:p>
              </w:tc>
              <w:tc>
                <w:tcPr>
                  <w:tcW w:w="1093" w:type="pct"/>
                  <w:tcBorders>
                    <w:tl2br w:val="nil"/>
                    <w:tr2bl w:val="nil"/>
                  </w:tcBorders>
                  <w:vAlign w:val="center"/>
                </w:tcPr>
                <w:p w14:paraId="4F2B775A">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b w:val="0"/>
                      <w:bCs w:val="0"/>
                      <w:color w:val="auto"/>
                      <w:sz w:val="21"/>
                      <w:szCs w:val="21"/>
                    </w:rPr>
                  </w:pPr>
                  <w:r>
                    <w:rPr>
                      <w:rFonts w:hint="default" w:ascii="Times New Roman" w:hAnsi="Times New Roman" w:eastAsia="宋体" w:cs="Times New Roman"/>
                      <w:b w:val="0"/>
                      <w:bCs w:val="0"/>
                      <w:color w:val="auto"/>
                      <w:sz w:val="21"/>
                      <w:szCs w:val="21"/>
                    </w:rPr>
                    <w:t>设备名称</w:t>
                  </w:r>
                </w:p>
              </w:tc>
              <w:tc>
                <w:tcPr>
                  <w:tcW w:w="940" w:type="pct"/>
                  <w:tcBorders>
                    <w:tl2br w:val="nil"/>
                    <w:tr2bl w:val="nil"/>
                  </w:tcBorders>
                  <w:vAlign w:val="center"/>
                </w:tcPr>
                <w:p w14:paraId="711C23F6">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b w:val="0"/>
                      <w:bCs w:val="0"/>
                      <w:color w:val="auto"/>
                      <w:sz w:val="21"/>
                      <w:szCs w:val="21"/>
                    </w:rPr>
                  </w:pPr>
                  <w:r>
                    <w:rPr>
                      <w:rFonts w:hint="default" w:ascii="Times New Roman" w:hAnsi="Times New Roman" w:eastAsia="宋体" w:cs="Times New Roman"/>
                      <w:b w:val="0"/>
                      <w:bCs w:val="0"/>
                      <w:color w:val="auto"/>
                      <w:sz w:val="21"/>
                      <w:szCs w:val="21"/>
                    </w:rPr>
                    <w:t>数量</w:t>
                  </w:r>
                </w:p>
              </w:tc>
              <w:tc>
                <w:tcPr>
                  <w:tcW w:w="796" w:type="pct"/>
                  <w:tcBorders>
                    <w:tl2br w:val="nil"/>
                    <w:tr2bl w:val="nil"/>
                  </w:tcBorders>
                  <w:vAlign w:val="center"/>
                </w:tcPr>
                <w:p w14:paraId="268789F4">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b w:val="0"/>
                      <w:bCs w:val="0"/>
                      <w:color w:val="auto"/>
                      <w:sz w:val="21"/>
                      <w:szCs w:val="21"/>
                    </w:rPr>
                  </w:pPr>
                  <w:r>
                    <w:rPr>
                      <w:rFonts w:hint="default" w:ascii="Times New Roman" w:hAnsi="Times New Roman" w:eastAsia="宋体" w:cs="Times New Roman"/>
                      <w:b w:val="0"/>
                      <w:bCs w:val="0"/>
                      <w:color w:val="auto"/>
                      <w:sz w:val="21"/>
                      <w:szCs w:val="21"/>
                    </w:rPr>
                    <w:t>单位</w:t>
                  </w:r>
                </w:p>
              </w:tc>
              <w:tc>
                <w:tcPr>
                  <w:tcW w:w="1654" w:type="pct"/>
                  <w:tcBorders>
                    <w:tl2br w:val="nil"/>
                    <w:tr2bl w:val="nil"/>
                  </w:tcBorders>
                  <w:vAlign w:val="center"/>
                </w:tcPr>
                <w:p w14:paraId="1D83D38C">
                  <w:pPr>
                    <w:keepNext w:val="0"/>
                    <w:keepLines w:val="0"/>
                    <w:pageBreakBefore w:val="0"/>
                    <w:kinsoku/>
                    <w:wordWrap/>
                    <w:overflowPunct/>
                    <w:topLinePunct w:val="0"/>
                    <w:autoSpaceDE/>
                    <w:autoSpaceDN/>
                    <w:bidi w:val="0"/>
                    <w:adjustRightInd w:val="0"/>
                    <w:snapToGrid w:val="0"/>
                    <w:spacing w:line="240" w:lineRule="auto"/>
                    <w:jc w:val="center"/>
                    <w:rPr>
                      <w:rFonts w:hint="eastAsia" w:ascii="Times New Roman" w:hAnsi="Times New Roman" w:eastAsia="宋体" w:cs="Times New Roman"/>
                      <w:b w:val="0"/>
                      <w:bCs w:val="0"/>
                      <w:color w:val="auto"/>
                      <w:sz w:val="21"/>
                      <w:szCs w:val="21"/>
                      <w:lang w:eastAsia="zh-CN"/>
                    </w:rPr>
                  </w:pPr>
                  <w:r>
                    <w:rPr>
                      <w:rFonts w:hint="default" w:ascii="Times New Roman" w:hAnsi="Times New Roman" w:eastAsia="宋体" w:cs="Times New Roman"/>
                      <w:b w:val="0"/>
                      <w:bCs w:val="0"/>
                      <w:color w:val="000000"/>
                      <w:sz w:val="21"/>
                      <w:szCs w:val="21"/>
                    </w:rPr>
                    <w:t>主要生产设施参数</w:t>
                  </w:r>
                </w:p>
              </w:tc>
            </w:tr>
            <w:tr w14:paraId="3351BD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515" w:type="pct"/>
                  <w:tcBorders>
                    <w:tl2br w:val="nil"/>
                    <w:tr2bl w:val="nil"/>
                  </w:tcBorders>
                  <w:vAlign w:val="center"/>
                </w:tcPr>
                <w:p w14:paraId="2D5D567F">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b w:val="0"/>
                      <w:bCs w:val="0"/>
                      <w:color w:val="auto"/>
                      <w:sz w:val="21"/>
                      <w:szCs w:val="21"/>
                    </w:rPr>
                  </w:pPr>
                  <w:r>
                    <w:rPr>
                      <w:rFonts w:hint="default" w:ascii="Times New Roman" w:hAnsi="Times New Roman" w:eastAsia="宋体" w:cs="Times New Roman"/>
                      <w:b w:val="0"/>
                      <w:bCs w:val="0"/>
                      <w:color w:val="auto"/>
                      <w:sz w:val="21"/>
                      <w:szCs w:val="21"/>
                    </w:rPr>
                    <w:t>1</w:t>
                  </w:r>
                </w:p>
              </w:tc>
              <w:tc>
                <w:tcPr>
                  <w:tcW w:w="1093" w:type="pct"/>
                  <w:tcBorders>
                    <w:tl2br w:val="nil"/>
                    <w:tr2bl w:val="nil"/>
                  </w:tcBorders>
                  <w:vAlign w:val="center"/>
                </w:tcPr>
                <w:p w14:paraId="312DA7E5">
                  <w:pPr>
                    <w:keepNext w:val="0"/>
                    <w:keepLines w:val="0"/>
                    <w:pageBreakBefore w:val="0"/>
                    <w:kinsoku/>
                    <w:wordWrap/>
                    <w:overflowPunct/>
                    <w:topLinePunct w:val="0"/>
                    <w:bidi w:val="0"/>
                    <w:snapToGrid w:val="0"/>
                    <w:spacing w:line="240" w:lineRule="auto"/>
                    <w:jc w:val="center"/>
                    <w:rPr>
                      <w:rFonts w:hint="default" w:ascii="Times New Roman" w:hAnsi="Times New Roman" w:eastAsia="宋体" w:cs="Times New Roman"/>
                      <w:b w:val="0"/>
                      <w:bCs w:val="0"/>
                      <w:color w:val="auto"/>
                      <w:sz w:val="21"/>
                      <w:szCs w:val="21"/>
                    </w:rPr>
                  </w:pPr>
                  <w:r>
                    <w:rPr>
                      <w:rFonts w:hint="eastAsia" w:ascii="Times New Roman" w:hAnsi="Times New Roman" w:eastAsia="宋体" w:cs="Times New Roman"/>
                      <w:color w:val="000000"/>
                      <w:sz w:val="21"/>
                      <w:szCs w:val="21"/>
                      <w:lang w:val="en-US" w:eastAsia="zh-CN"/>
                    </w:rPr>
                    <w:t>打磨砂轮机</w:t>
                  </w:r>
                </w:p>
              </w:tc>
              <w:tc>
                <w:tcPr>
                  <w:tcW w:w="940" w:type="pct"/>
                  <w:tcBorders>
                    <w:tl2br w:val="nil"/>
                    <w:tr2bl w:val="nil"/>
                  </w:tcBorders>
                  <w:vAlign w:val="center"/>
                </w:tcPr>
                <w:p w14:paraId="5E60F92F">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b w:val="0"/>
                      <w:bCs w:val="0"/>
                      <w:color w:val="auto"/>
                      <w:sz w:val="21"/>
                      <w:szCs w:val="21"/>
                      <w:lang w:val="en-US" w:eastAsia="zh-CN"/>
                    </w:rPr>
                  </w:pPr>
                  <w:r>
                    <w:rPr>
                      <w:rFonts w:hint="eastAsia" w:cs="Times New Roman"/>
                      <w:b w:val="0"/>
                      <w:bCs w:val="0"/>
                      <w:color w:val="auto"/>
                      <w:sz w:val="21"/>
                      <w:szCs w:val="21"/>
                      <w:lang w:val="en-US" w:eastAsia="zh-CN"/>
                    </w:rPr>
                    <w:t>20</w:t>
                  </w:r>
                </w:p>
              </w:tc>
              <w:tc>
                <w:tcPr>
                  <w:tcW w:w="796" w:type="pct"/>
                  <w:tcBorders>
                    <w:tl2br w:val="nil"/>
                    <w:tr2bl w:val="nil"/>
                  </w:tcBorders>
                  <w:vAlign w:val="center"/>
                </w:tcPr>
                <w:p w14:paraId="683CE854">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b w:val="0"/>
                      <w:bCs w:val="0"/>
                      <w:color w:val="auto"/>
                      <w:sz w:val="21"/>
                      <w:szCs w:val="21"/>
                    </w:rPr>
                  </w:pPr>
                  <w:r>
                    <w:rPr>
                      <w:rFonts w:hint="default" w:ascii="Times New Roman" w:hAnsi="Times New Roman" w:eastAsia="宋体" w:cs="Times New Roman"/>
                      <w:b w:val="0"/>
                      <w:bCs w:val="0"/>
                      <w:color w:val="auto"/>
                      <w:sz w:val="21"/>
                      <w:szCs w:val="21"/>
                    </w:rPr>
                    <w:t>台</w:t>
                  </w:r>
                </w:p>
              </w:tc>
              <w:tc>
                <w:tcPr>
                  <w:tcW w:w="1654" w:type="pct"/>
                  <w:tcBorders>
                    <w:tl2br w:val="nil"/>
                    <w:tr2bl w:val="nil"/>
                  </w:tcBorders>
                  <w:vAlign w:val="center"/>
                </w:tcPr>
                <w:p w14:paraId="4F801B4A">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b w:val="0"/>
                      <w:bCs w:val="0"/>
                      <w:color w:val="auto"/>
                      <w:sz w:val="21"/>
                      <w:szCs w:val="21"/>
                    </w:rPr>
                  </w:pPr>
                  <w:r>
                    <w:rPr>
                      <w:rFonts w:hint="default" w:ascii="Times New Roman" w:hAnsi="Times New Roman" w:eastAsia="宋体" w:cs="Times New Roman"/>
                      <w:color w:val="000000"/>
                      <w:szCs w:val="21"/>
                      <w:lang w:val="en-US" w:eastAsia="zh-CN"/>
                    </w:rPr>
                    <w:t>功率：</w:t>
                  </w:r>
                  <w:r>
                    <w:rPr>
                      <w:rFonts w:hint="eastAsia" w:ascii="Times New Roman" w:hAnsi="Times New Roman" w:eastAsia="宋体" w:cs="Times New Roman"/>
                      <w:color w:val="000000"/>
                      <w:szCs w:val="21"/>
                      <w:lang w:val="en-US" w:eastAsia="zh-CN"/>
                    </w:rPr>
                    <w:t>4.5Kw</w:t>
                  </w:r>
                </w:p>
              </w:tc>
            </w:tr>
            <w:tr w14:paraId="110B87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1" w:hRule="atLeast"/>
                <w:jc w:val="center"/>
              </w:trPr>
              <w:tc>
                <w:tcPr>
                  <w:tcW w:w="515" w:type="pct"/>
                  <w:tcBorders>
                    <w:tl2br w:val="nil"/>
                    <w:tr2bl w:val="nil"/>
                  </w:tcBorders>
                  <w:vAlign w:val="center"/>
                </w:tcPr>
                <w:p w14:paraId="4B6C3D2F">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b w:val="0"/>
                      <w:bCs w:val="0"/>
                      <w:color w:val="auto"/>
                      <w:sz w:val="21"/>
                      <w:szCs w:val="21"/>
                    </w:rPr>
                  </w:pPr>
                  <w:r>
                    <w:rPr>
                      <w:rFonts w:hint="default" w:ascii="Times New Roman" w:hAnsi="Times New Roman" w:eastAsia="宋体" w:cs="Times New Roman"/>
                      <w:b w:val="0"/>
                      <w:bCs w:val="0"/>
                      <w:color w:val="auto"/>
                      <w:sz w:val="21"/>
                      <w:szCs w:val="21"/>
                    </w:rPr>
                    <w:t>2</w:t>
                  </w:r>
                </w:p>
              </w:tc>
              <w:tc>
                <w:tcPr>
                  <w:tcW w:w="1093" w:type="pct"/>
                  <w:tcBorders>
                    <w:tl2br w:val="nil"/>
                    <w:tr2bl w:val="nil"/>
                  </w:tcBorders>
                  <w:vAlign w:val="center"/>
                </w:tcPr>
                <w:p w14:paraId="5C2532A1">
                  <w:pPr>
                    <w:keepNext w:val="0"/>
                    <w:keepLines w:val="0"/>
                    <w:pageBreakBefore w:val="0"/>
                    <w:kinsoku/>
                    <w:wordWrap/>
                    <w:overflowPunct/>
                    <w:topLinePunct w:val="0"/>
                    <w:bidi w:val="0"/>
                    <w:snapToGrid w:val="0"/>
                    <w:spacing w:line="240" w:lineRule="auto"/>
                    <w:jc w:val="center"/>
                    <w:rPr>
                      <w:rFonts w:hint="default" w:ascii="Times New Roman" w:hAnsi="Times New Roman" w:eastAsia="宋体" w:cs="Times New Roman"/>
                      <w:b w:val="0"/>
                      <w:bCs w:val="0"/>
                      <w:color w:val="auto"/>
                      <w:sz w:val="21"/>
                      <w:szCs w:val="21"/>
                    </w:rPr>
                  </w:pPr>
                  <w:r>
                    <w:rPr>
                      <w:rFonts w:hint="eastAsia" w:ascii="Times New Roman" w:hAnsi="Times New Roman" w:eastAsia="宋体" w:cs="Times New Roman"/>
                      <w:color w:val="000000"/>
                      <w:sz w:val="21"/>
                      <w:szCs w:val="21"/>
                      <w:lang w:val="en-US" w:eastAsia="zh-CN"/>
                    </w:rPr>
                    <w:t>行车</w:t>
                  </w:r>
                </w:p>
              </w:tc>
              <w:tc>
                <w:tcPr>
                  <w:tcW w:w="940" w:type="pct"/>
                  <w:tcBorders>
                    <w:tl2br w:val="nil"/>
                    <w:tr2bl w:val="nil"/>
                  </w:tcBorders>
                  <w:vAlign w:val="center"/>
                </w:tcPr>
                <w:p w14:paraId="5C385449">
                  <w:pPr>
                    <w:keepNext w:val="0"/>
                    <w:keepLines w:val="0"/>
                    <w:pageBreakBefore w:val="0"/>
                    <w:kinsoku/>
                    <w:wordWrap/>
                    <w:overflowPunct/>
                    <w:topLinePunct w:val="0"/>
                    <w:autoSpaceDE/>
                    <w:autoSpaceDN/>
                    <w:bidi w:val="0"/>
                    <w:adjustRightInd w:val="0"/>
                    <w:snapToGrid w:val="0"/>
                    <w:spacing w:line="240" w:lineRule="auto"/>
                    <w:jc w:val="center"/>
                    <w:rPr>
                      <w:rFonts w:hint="eastAsia" w:ascii="Times New Roman" w:hAnsi="Times New Roman" w:eastAsia="宋体" w:cs="Times New Roman"/>
                      <w:b w:val="0"/>
                      <w:bCs w:val="0"/>
                      <w:color w:val="auto"/>
                      <w:sz w:val="21"/>
                      <w:szCs w:val="21"/>
                      <w:lang w:val="en-US" w:eastAsia="zh-CN"/>
                    </w:rPr>
                  </w:pPr>
                  <w:r>
                    <w:rPr>
                      <w:rFonts w:hint="eastAsia" w:cs="Times New Roman"/>
                      <w:b w:val="0"/>
                      <w:bCs w:val="0"/>
                      <w:color w:val="auto"/>
                      <w:sz w:val="21"/>
                      <w:szCs w:val="21"/>
                      <w:lang w:val="en-US" w:eastAsia="zh-CN"/>
                    </w:rPr>
                    <w:t>2</w:t>
                  </w:r>
                </w:p>
              </w:tc>
              <w:tc>
                <w:tcPr>
                  <w:tcW w:w="796" w:type="pct"/>
                  <w:tcBorders>
                    <w:tl2br w:val="nil"/>
                    <w:tr2bl w:val="nil"/>
                  </w:tcBorders>
                  <w:vAlign w:val="center"/>
                </w:tcPr>
                <w:p w14:paraId="50D7F09D">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b w:val="0"/>
                      <w:bCs w:val="0"/>
                      <w:color w:val="auto"/>
                      <w:sz w:val="21"/>
                      <w:szCs w:val="21"/>
                    </w:rPr>
                  </w:pPr>
                  <w:r>
                    <w:rPr>
                      <w:rFonts w:hint="default" w:ascii="Times New Roman" w:hAnsi="Times New Roman" w:eastAsia="宋体" w:cs="Times New Roman"/>
                      <w:b w:val="0"/>
                      <w:bCs w:val="0"/>
                      <w:color w:val="auto"/>
                      <w:sz w:val="21"/>
                      <w:szCs w:val="21"/>
                    </w:rPr>
                    <w:t>台</w:t>
                  </w:r>
                </w:p>
              </w:tc>
              <w:tc>
                <w:tcPr>
                  <w:tcW w:w="1654" w:type="pct"/>
                  <w:tcBorders>
                    <w:tl2br w:val="nil"/>
                    <w:tr2bl w:val="nil"/>
                  </w:tcBorders>
                  <w:vAlign w:val="center"/>
                </w:tcPr>
                <w:p w14:paraId="1F7AF086">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b w:val="0"/>
                      <w:bCs w:val="0"/>
                      <w:color w:val="auto"/>
                      <w:sz w:val="21"/>
                      <w:szCs w:val="21"/>
                    </w:rPr>
                  </w:pPr>
                  <w:r>
                    <w:rPr>
                      <w:rFonts w:hint="eastAsia" w:ascii="Times New Roman" w:hAnsi="Times New Roman" w:eastAsia="宋体" w:cs="Times New Roman"/>
                      <w:color w:val="000000"/>
                      <w:sz w:val="21"/>
                      <w:szCs w:val="21"/>
                      <w:lang w:val="en-US" w:eastAsia="zh-CN"/>
                    </w:rPr>
                    <w:t>高度：10m</w:t>
                  </w:r>
                </w:p>
              </w:tc>
            </w:tr>
            <w:tr w14:paraId="3879D0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515" w:type="pct"/>
                  <w:tcBorders>
                    <w:tl2br w:val="nil"/>
                    <w:tr2bl w:val="nil"/>
                  </w:tcBorders>
                  <w:vAlign w:val="center"/>
                </w:tcPr>
                <w:p w14:paraId="07745FF2">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b w:val="0"/>
                      <w:bCs w:val="0"/>
                      <w:color w:val="auto"/>
                      <w:sz w:val="21"/>
                      <w:szCs w:val="21"/>
                    </w:rPr>
                  </w:pPr>
                  <w:r>
                    <w:rPr>
                      <w:rFonts w:hint="default" w:ascii="Times New Roman" w:hAnsi="Times New Roman" w:eastAsia="宋体" w:cs="Times New Roman"/>
                      <w:b w:val="0"/>
                      <w:bCs w:val="0"/>
                      <w:color w:val="auto"/>
                      <w:sz w:val="21"/>
                      <w:szCs w:val="21"/>
                    </w:rPr>
                    <w:t>3</w:t>
                  </w:r>
                </w:p>
              </w:tc>
              <w:tc>
                <w:tcPr>
                  <w:tcW w:w="1093" w:type="pct"/>
                  <w:tcBorders>
                    <w:tl2br w:val="nil"/>
                    <w:tr2bl w:val="nil"/>
                  </w:tcBorders>
                  <w:vAlign w:val="center"/>
                </w:tcPr>
                <w:p w14:paraId="5292F3E5">
                  <w:pPr>
                    <w:keepNext w:val="0"/>
                    <w:keepLines w:val="0"/>
                    <w:pageBreakBefore w:val="0"/>
                    <w:kinsoku/>
                    <w:wordWrap/>
                    <w:overflowPunct/>
                    <w:topLinePunct w:val="0"/>
                    <w:autoSpaceDE/>
                    <w:autoSpaceDN/>
                    <w:bidi w:val="0"/>
                    <w:adjustRightInd w:val="0"/>
                    <w:snapToGrid w:val="0"/>
                    <w:spacing w:line="240" w:lineRule="auto"/>
                    <w:jc w:val="center"/>
                    <w:rPr>
                      <w:rFonts w:hint="eastAsia" w:ascii="Times New Roman" w:hAnsi="Times New Roman" w:eastAsia="宋体" w:cs="Times New Roman"/>
                      <w:b w:val="0"/>
                      <w:bCs w:val="0"/>
                      <w:color w:val="auto"/>
                      <w:sz w:val="21"/>
                      <w:szCs w:val="21"/>
                      <w:lang w:val="en-US" w:eastAsia="zh-CN"/>
                    </w:rPr>
                  </w:pPr>
                  <w:r>
                    <w:rPr>
                      <w:rFonts w:hint="eastAsia" w:cs="Times New Roman"/>
                      <w:b w:val="0"/>
                      <w:bCs w:val="0"/>
                      <w:color w:val="auto"/>
                      <w:sz w:val="21"/>
                      <w:szCs w:val="21"/>
                      <w:lang w:val="en-US" w:eastAsia="zh-CN"/>
                    </w:rPr>
                    <w:t>振壳机</w:t>
                  </w:r>
                </w:p>
              </w:tc>
              <w:tc>
                <w:tcPr>
                  <w:tcW w:w="940" w:type="pct"/>
                  <w:tcBorders>
                    <w:tl2br w:val="nil"/>
                    <w:tr2bl w:val="nil"/>
                  </w:tcBorders>
                  <w:vAlign w:val="center"/>
                </w:tcPr>
                <w:p w14:paraId="01AB82AD">
                  <w:pPr>
                    <w:keepNext w:val="0"/>
                    <w:keepLines w:val="0"/>
                    <w:pageBreakBefore w:val="0"/>
                    <w:kinsoku/>
                    <w:wordWrap/>
                    <w:overflowPunct/>
                    <w:topLinePunct w:val="0"/>
                    <w:autoSpaceDE/>
                    <w:autoSpaceDN/>
                    <w:bidi w:val="0"/>
                    <w:adjustRightInd w:val="0"/>
                    <w:snapToGrid w:val="0"/>
                    <w:spacing w:line="240" w:lineRule="auto"/>
                    <w:jc w:val="center"/>
                    <w:rPr>
                      <w:rFonts w:hint="eastAsia" w:ascii="Times New Roman" w:hAnsi="Times New Roman" w:eastAsia="宋体" w:cs="Times New Roman"/>
                      <w:b w:val="0"/>
                      <w:bCs w:val="0"/>
                      <w:color w:val="auto"/>
                      <w:sz w:val="21"/>
                      <w:szCs w:val="21"/>
                      <w:lang w:val="en-US" w:eastAsia="zh-CN"/>
                    </w:rPr>
                  </w:pPr>
                  <w:r>
                    <w:rPr>
                      <w:rFonts w:hint="eastAsia" w:cs="Times New Roman"/>
                      <w:b w:val="0"/>
                      <w:bCs w:val="0"/>
                      <w:color w:val="auto"/>
                      <w:sz w:val="21"/>
                      <w:szCs w:val="21"/>
                      <w:lang w:val="en-US" w:eastAsia="zh-CN"/>
                    </w:rPr>
                    <w:t>2</w:t>
                  </w:r>
                </w:p>
              </w:tc>
              <w:tc>
                <w:tcPr>
                  <w:tcW w:w="796" w:type="pct"/>
                  <w:tcBorders>
                    <w:tl2br w:val="nil"/>
                    <w:tr2bl w:val="nil"/>
                  </w:tcBorders>
                  <w:vAlign w:val="center"/>
                </w:tcPr>
                <w:p w14:paraId="6EA9C53F">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b w:val="0"/>
                      <w:bCs w:val="0"/>
                      <w:color w:val="auto"/>
                      <w:sz w:val="21"/>
                      <w:szCs w:val="21"/>
                    </w:rPr>
                  </w:pPr>
                  <w:r>
                    <w:rPr>
                      <w:rFonts w:hint="default" w:ascii="Times New Roman" w:hAnsi="Times New Roman" w:eastAsia="宋体" w:cs="Times New Roman"/>
                      <w:b w:val="0"/>
                      <w:bCs w:val="0"/>
                      <w:color w:val="auto"/>
                      <w:sz w:val="21"/>
                      <w:szCs w:val="21"/>
                    </w:rPr>
                    <w:t>台</w:t>
                  </w:r>
                </w:p>
              </w:tc>
              <w:tc>
                <w:tcPr>
                  <w:tcW w:w="1654" w:type="pct"/>
                  <w:tcBorders>
                    <w:tl2br w:val="nil"/>
                    <w:tr2bl w:val="nil"/>
                  </w:tcBorders>
                  <w:vAlign w:val="center"/>
                </w:tcPr>
                <w:p w14:paraId="15C1A231">
                  <w:pPr>
                    <w:keepNext w:val="0"/>
                    <w:keepLines w:val="0"/>
                    <w:pageBreakBefore w:val="0"/>
                    <w:kinsoku/>
                    <w:wordWrap/>
                    <w:overflowPunct/>
                    <w:topLinePunct w:val="0"/>
                    <w:autoSpaceDE/>
                    <w:autoSpaceDN/>
                    <w:bidi w:val="0"/>
                    <w:adjustRightInd w:val="0"/>
                    <w:snapToGrid w:val="0"/>
                    <w:spacing w:line="240" w:lineRule="auto"/>
                    <w:jc w:val="center"/>
                    <w:rPr>
                      <w:rFonts w:hint="eastAsia" w:ascii="Times New Roman" w:hAnsi="Times New Roman" w:eastAsia="宋体" w:cs="Times New Roman"/>
                      <w:b w:val="0"/>
                      <w:bCs w:val="0"/>
                      <w:color w:val="auto"/>
                      <w:sz w:val="21"/>
                      <w:szCs w:val="21"/>
                      <w:lang w:val="en-US" w:eastAsia="zh-CN"/>
                    </w:rPr>
                  </w:pPr>
                  <w:r>
                    <w:rPr>
                      <w:rFonts w:hint="eastAsia" w:cs="Times New Roman"/>
                      <w:b w:val="0"/>
                      <w:bCs w:val="0"/>
                      <w:color w:val="auto"/>
                      <w:sz w:val="21"/>
                      <w:szCs w:val="21"/>
                      <w:lang w:val="en-US" w:eastAsia="zh-CN"/>
                    </w:rPr>
                    <w:t>/</w:t>
                  </w:r>
                </w:p>
              </w:tc>
            </w:tr>
            <w:tr w14:paraId="5D1A7F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515" w:type="pct"/>
                  <w:tcBorders>
                    <w:tl2br w:val="nil"/>
                    <w:tr2bl w:val="nil"/>
                  </w:tcBorders>
                  <w:vAlign w:val="center"/>
                </w:tcPr>
                <w:p w14:paraId="00F4FFBD">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b w:val="0"/>
                      <w:bCs w:val="0"/>
                      <w:color w:val="auto"/>
                      <w:sz w:val="21"/>
                      <w:szCs w:val="21"/>
                    </w:rPr>
                  </w:pPr>
                  <w:r>
                    <w:rPr>
                      <w:rFonts w:hint="default" w:ascii="Times New Roman" w:hAnsi="Times New Roman" w:eastAsia="宋体" w:cs="Times New Roman"/>
                      <w:b w:val="0"/>
                      <w:bCs w:val="0"/>
                      <w:color w:val="auto"/>
                      <w:sz w:val="21"/>
                      <w:szCs w:val="21"/>
                    </w:rPr>
                    <w:t>4</w:t>
                  </w:r>
                </w:p>
              </w:tc>
              <w:tc>
                <w:tcPr>
                  <w:tcW w:w="1093" w:type="pct"/>
                  <w:tcBorders>
                    <w:tl2br w:val="nil"/>
                    <w:tr2bl w:val="nil"/>
                  </w:tcBorders>
                  <w:vAlign w:val="center"/>
                </w:tcPr>
                <w:p w14:paraId="18FF7F5B">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b w:val="0"/>
                      <w:bCs w:val="0"/>
                      <w:color w:val="auto"/>
                      <w:sz w:val="21"/>
                      <w:szCs w:val="21"/>
                      <w:lang w:val="en-US" w:eastAsia="zh-CN"/>
                    </w:rPr>
                  </w:pPr>
                  <w:r>
                    <w:rPr>
                      <w:rFonts w:hint="eastAsia" w:cs="Times New Roman"/>
                      <w:b w:val="0"/>
                      <w:bCs w:val="0"/>
                      <w:color w:val="auto"/>
                      <w:sz w:val="21"/>
                      <w:szCs w:val="21"/>
                      <w:lang w:val="en-US" w:eastAsia="zh-CN"/>
                    </w:rPr>
                    <w:t>喷砂机</w:t>
                  </w:r>
                </w:p>
              </w:tc>
              <w:tc>
                <w:tcPr>
                  <w:tcW w:w="940" w:type="pct"/>
                  <w:tcBorders>
                    <w:tl2br w:val="nil"/>
                    <w:tr2bl w:val="nil"/>
                  </w:tcBorders>
                  <w:vAlign w:val="center"/>
                </w:tcPr>
                <w:p w14:paraId="0E2F8CCD">
                  <w:pPr>
                    <w:keepNext w:val="0"/>
                    <w:keepLines w:val="0"/>
                    <w:pageBreakBefore w:val="0"/>
                    <w:kinsoku/>
                    <w:wordWrap/>
                    <w:overflowPunct/>
                    <w:topLinePunct w:val="0"/>
                    <w:autoSpaceDE/>
                    <w:autoSpaceDN/>
                    <w:bidi w:val="0"/>
                    <w:adjustRightInd w:val="0"/>
                    <w:snapToGrid w:val="0"/>
                    <w:spacing w:line="240" w:lineRule="auto"/>
                    <w:jc w:val="center"/>
                    <w:rPr>
                      <w:rFonts w:hint="eastAsia" w:ascii="Times New Roman" w:hAnsi="Times New Roman" w:eastAsia="宋体" w:cs="Times New Roman"/>
                      <w:b w:val="0"/>
                      <w:bCs w:val="0"/>
                      <w:color w:val="auto"/>
                      <w:sz w:val="21"/>
                      <w:szCs w:val="21"/>
                      <w:lang w:val="en-US" w:eastAsia="zh-CN"/>
                    </w:rPr>
                  </w:pPr>
                  <w:r>
                    <w:rPr>
                      <w:rFonts w:hint="eastAsia" w:cs="Times New Roman"/>
                      <w:b w:val="0"/>
                      <w:bCs w:val="0"/>
                      <w:color w:val="auto"/>
                      <w:sz w:val="21"/>
                      <w:szCs w:val="21"/>
                      <w:lang w:val="en-US" w:eastAsia="zh-CN"/>
                    </w:rPr>
                    <w:t>2</w:t>
                  </w:r>
                </w:p>
              </w:tc>
              <w:tc>
                <w:tcPr>
                  <w:tcW w:w="796" w:type="pct"/>
                  <w:tcBorders>
                    <w:tl2br w:val="nil"/>
                    <w:tr2bl w:val="nil"/>
                  </w:tcBorders>
                  <w:vAlign w:val="center"/>
                </w:tcPr>
                <w:p w14:paraId="1EB36B7B">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b w:val="0"/>
                      <w:bCs w:val="0"/>
                      <w:color w:val="auto"/>
                      <w:sz w:val="21"/>
                      <w:szCs w:val="21"/>
                    </w:rPr>
                  </w:pPr>
                  <w:r>
                    <w:rPr>
                      <w:rFonts w:hint="default" w:ascii="Times New Roman" w:hAnsi="Times New Roman" w:eastAsia="宋体" w:cs="Times New Roman"/>
                      <w:b w:val="0"/>
                      <w:bCs w:val="0"/>
                      <w:color w:val="auto"/>
                      <w:sz w:val="21"/>
                      <w:szCs w:val="21"/>
                    </w:rPr>
                    <w:t>台</w:t>
                  </w:r>
                </w:p>
              </w:tc>
              <w:tc>
                <w:tcPr>
                  <w:tcW w:w="1654" w:type="pct"/>
                  <w:tcBorders>
                    <w:tl2br w:val="nil"/>
                    <w:tr2bl w:val="nil"/>
                  </w:tcBorders>
                  <w:vAlign w:val="center"/>
                </w:tcPr>
                <w:p w14:paraId="3B3785AD">
                  <w:pPr>
                    <w:keepNext w:val="0"/>
                    <w:keepLines w:val="0"/>
                    <w:pageBreakBefore w:val="0"/>
                    <w:kinsoku/>
                    <w:wordWrap/>
                    <w:overflowPunct/>
                    <w:topLinePunct w:val="0"/>
                    <w:autoSpaceDE/>
                    <w:autoSpaceDN/>
                    <w:bidi w:val="0"/>
                    <w:adjustRightInd w:val="0"/>
                    <w:snapToGrid w:val="0"/>
                    <w:spacing w:line="240" w:lineRule="auto"/>
                    <w:jc w:val="center"/>
                    <w:rPr>
                      <w:rFonts w:hint="eastAsia" w:ascii="Times New Roman" w:hAnsi="Times New Roman" w:eastAsia="宋体" w:cs="Times New Roman"/>
                      <w:b w:val="0"/>
                      <w:bCs w:val="0"/>
                      <w:color w:val="auto"/>
                      <w:sz w:val="21"/>
                      <w:szCs w:val="21"/>
                      <w:lang w:val="en-US" w:eastAsia="zh-CN"/>
                    </w:rPr>
                  </w:pPr>
                  <w:r>
                    <w:rPr>
                      <w:rFonts w:hint="eastAsia" w:cs="Times New Roman"/>
                      <w:b w:val="0"/>
                      <w:bCs w:val="0"/>
                      <w:color w:val="auto"/>
                      <w:sz w:val="21"/>
                      <w:szCs w:val="21"/>
                      <w:lang w:val="en-US" w:eastAsia="zh-CN"/>
                    </w:rPr>
                    <w:t>/</w:t>
                  </w:r>
                </w:p>
              </w:tc>
            </w:tr>
            <w:tr w14:paraId="759ABD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515" w:type="pct"/>
                  <w:tcBorders>
                    <w:tl2br w:val="nil"/>
                    <w:tr2bl w:val="nil"/>
                  </w:tcBorders>
                  <w:vAlign w:val="center"/>
                </w:tcPr>
                <w:p w14:paraId="33E2D840">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b w:val="0"/>
                      <w:bCs w:val="0"/>
                      <w:color w:val="auto"/>
                      <w:sz w:val="21"/>
                      <w:szCs w:val="21"/>
                    </w:rPr>
                  </w:pPr>
                  <w:r>
                    <w:rPr>
                      <w:rFonts w:hint="default" w:ascii="Times New Roman" w:hAnsi="Times New Roman" w:eastAsia="宋体" w:cs="Times New Roman"/>
                      <w:b w:val="0"/>
                      <w:bCs w:val="0"/>
                      <w:color w:val="auto"/>
                      <w:sz w:val="21"/>
                      <w:szCs w:val="21"/>
                    </w:rPr>
                    <w:t>5</w:t>
                  </w:r>
                </w:p>
              </w:tc>
              <w:tc>
                <w:tcPr>
                  <w:tcW w:w="1093" w:type="pct"/>
                  <w:tcBorders>
                    <w:tl2br w:val="nil"/>
                    <w:tr2bl w:val="nil"/>
                  </w:tcBorders>
                  <w:vAlign w:val="center"/>
                </w:tcPr>
                <w:p w14:paraId="60E8DD0B">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b w:val="0"/>
                      <w:bCs w:val="0"/>
                      <w:color w:val="auto"/>
                      <w:sz w:val="21"/>
                      <w:szCs w:val="21"/>
                      <w:lang w:val="en-US" w:eastAsia="zh-CN"/>
                    </w:rPr>
                  </w:pPr>
                  <w:r>
                    <w:rPr>
                      <w:rFonts w:hint="eastAsia" w:cs="Times New Roman"/>
                      <w:b w:val="0"/>
                      <w:bCs w:val="0"/>
                      <w:color w:val="auto"/>
                      <w:sz w:val="21"/>
                      <w:szCs w:val="21"/>
                      <w:lang w:val="en-US" w:eastAsia="zh-CN"/>
                    </w:rPr>
                    <w:t>水雾式除尘</w:t>
                  </w:r>
                </w:p>
              </w:tc>
              <w:tc>
                <w:tcPr>
                  <w:tcW w:w="940" w:type="pct"/>
                  <w:tcBorders>
                    <w:tl2br w:val="nil"/>
                    <w:tr2bl w:val="nil"/>
                  </w:tcBorders>
                  <w:vAlign w:val="center"/>
                </w:tcPr>
                <w:p w14:paraId="4AA35367">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b w:val="0"/>
                      <w:bCs w:val="0"/>
                      <w:color w:val="auto"/>
                      <w:sz w:val="21"/>
                      <w:szCs w:val="21"/>
                      <w:lang w:val="en-US" w:eastAsia="zh-CN"/>
                    </w:rPr>
                  </w:pPr>
                  <w:r>
                    <w:rPr>
                      <w:rFonts w:hint="eastAsia" w:cs="Times New Roman"/>
                      <w:b w:val="0"/>
                      <w:bCs w:val="0"/>
                      <w:color w:val="auto"/>
                      <w:sz w:val="21"/>
                      <w:szCs w:val="21"/>
                      <w:lang w:val="en-US" w:eastAsia="zh-CN"/>
                    </w:rPr>
                    <w:t>20</w:t>
                  </w:r>
                </w:p>
              </w:tc>
              <w:tc>
                <w:tcPr>
                  <w:tcW w:w="796" w:type="pct"/>
                  <w:tcBorders>
                    <w:tl2br w:val="nil"/>
                    <w:tr2bl w:val="nil"/>
                  </w:tcBorders>
                  <w:vAlign w:val="center"/>
                </w:tcPr>
                <w:p w14:paraId="04F6667F">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b w:val="0"/>
                      <w:bCs w:val="0"/>
                      <w:color w:val="auto"/>
                      <w:sz w:val="21"/>
                      <w:szCs w:val="21"/>
                    </w:rPr>
                  </w:pPr>
                  <w:r>
                    <w:rPr>
                      <w:rFonts w:hint="default" w:ascii="Times New Roman" w:hAnsi="Times New Roman" w:eastAsia="宋体" w:cs="Times New Roman"/>
                      <w:b w:val="0"/>
                      <w:bCs w:val="0"/>
                      <w:color w:val="auto"/>
                      <w:sz w:val="21"/>
                      <w:szCs w:val="21"/>
                    </w:rPr>
                    <w:t>台</w:t>
                  </w:r>
                </w:p>
              </w:tc>
              <w:tc>
                <w:tcPr>
                  <w:tcW w:w="1654" w:type="pct"/>
                  <w:tcBorders>
                    <w:tl2br w:val="nil"/>
                    <w:tr2bl w:val="nil"/>
                  </w:tcBorders>
                  <w:vAlign w:val="center"/>
                </w:tcPr>
                <w:p w14:paraId="2ED7FC9B">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b w:val="0"/>
                      <w:bCs w:val="0"/>
                      <w:color w:val="auto"/>
                      <w:sz w:val="21"/>
                      <w:szCs w:val="21"/>
                      <w:lang w:val="en-US" w:eastAsia="zh-CN"/>
                    </w:rPr>
                  </w:pPr>
                  <w:r>
                    <w:rPr>
                      <w:rFonts w:hint="eastAsia" w:cs="Times New Roman"/>
                      <w:b w:val="0"/>
                      <w:bCs w:val="0"/>
                      <w:color w:val="auto"/>
                      <w:sz w:val="21"/>
                      <w:szCs w:val="21"/>
                      <w:lang w:val="en-US" w:eastAsia="zh-CN"/>
                    </w:rPr>
                    <w:t>配套1.5Kw及0.55Kw风机</w:t>
                  </w:r>
                </w:p>
              </w:tc>
            </w:tr>
            <w:tr w14:paraId="1F30F0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515" w:type="pct"/>
                  <w:tcBorders>
                    <w:tl2br w:val="nil"/>
                    <w:tr2bl w:val="nil"/>
                  </w:tcBorders>
                  <w:vAlign w:val="center"/>
                </w:tcPr>
                <w:p w14:paraId="187E13D1">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b w:val="0"/>
                      <w:bCs w:val="0"/>
                      <w:color w:val="auto"/>
                      <w:sz w:val="21"/>
                      <w:szCs w:val="21"/>
                    </w:rPr>
                  </w:pPr>
                  <w:r>
                    <w:rPr>
                      <w:rFonts w:hint="default" w:ascii="Times New Roman" w:hAnsi="Times New Roman" w:eastAsia="宋体" w:cs="Times New Roman"/>
                      <w:b w:val="0"/>
                      <w:bCs w:val="0"/>
                      <w:color w:val="auto"/>
                      <w:sz w:val="21"/>
                      <w:szCs w:val="21"/>
                    </w:rPr>
                    <w:t>6</w:t>
                  </w:r>
                </w:p>
              </w:tc>
              <w:tc>
                <w:tcPr>
                  <w:tcW w:w="1093" w:type="pct"/>
                  <w:tcBorders>
                    <w:tl2br w:val="nil"/>
                    <w:tr2bl w:val="nil"/>
                  </w:tcBorders>
                  <w:vAlign w:val="center"/>
                </w:tcPr>
                <w:p w14:paraId="4AEA21E3">
                  <w:pPr>
                    <w:keepNext w:val="0"/>
                    <w:keepLines w:val="0"/>
                    <w:pageBreakBefore w:val="0"/>
                    <w:kinsoku/>
                    <w:wordWrap/>
                    <w:overflowPunct/>
                    <w:topLinePunct w:val="0"/>
                    <w:autoSpaceDE/>
                    <w:autoSpaceDN/>
                    <w:bidi w:val="0"/>
                    <w:adjustRightInd w:val="0"/>
                    <w:snapToGrid w:val="0"/>
                    <w:spacing w:line="240" w:lineRule="auto"/>
                    <w:jc w:val="center"/>
                    <w:rPr>
                      <w:rFonts w:hint="default" w:cs="Times New Roman"/>
                      <w:b w:val="0"/>
                      <w:bCs w:val="0"/>
                      <w:color w:val="auto"/>
                      <w:sz w:val="21"/>
                      <w:szCs w:val="21"/>
                      <w:lang w:val="en-US" w:eastAsia="zh-CN"/>
                    </w:rPr>
                  </w:pPr>
                  <w:r>
                    <w:rPr>
                      <w:rFonts w:hint="eastAsia" w:cs="Times New Roman"/>
                      <w:b w:val="0"/>
                      <w:bCs w:val="0"/>
                      <w:color w:val="auto"/>
                      <w:sz w:val="21"/>
                      <w:szCs w:val="21"/>
                      <w:lang w:val="en-US" w:eastAsia="zh-CN"/>
                    </w:rPr>
                    <w:t>袋式除尘器</w:t>
                  </w:r>
                </w:p>
              </w:tc>
              <w:tc>
                <w:tcPr>
                  <w:tcW w:w="940" w:type="pct"/>
                  <w:tcBorders>
                    <w:tl2br w:val="nil"/>
                    <w:tr2bl w:val="nil"/>
                  </w:tcBorders>
                  <w:vAlign w:val="center"/>
                </w:tcPr>
                <w:p w14:paraId="46F76E6C">
                  <w:pPr>
                    <w:keepNext w:val="0"/>
                    <w:keepLines w:val="0"/>
                    <w:pageBreakBefore w:val="0"/>
                    <w:kinsoku/>
                    <w:wordWrap/>
                    <w:overflowPunct/>
                    <w:topLinePunct w:val="0"/>
                    <w:autoSpaceDE/>
                    <w:autoSpaceDN/>
                    <w:bidi w:val="0"/>
                    <w:adjustRightInd w:val="0"/>
                    <w:snapToGrid w:val="0"/>
                    <w:spacing w:line="240" w:lineRule="auto"/>
                    <w:jc w:val="center"/>
                    <w:rPr>
                      <w:rFonts w:hint="default" w:cs="Times New Roman"/>
                      <w:b w:val="0"/>
                      <w:bCs w:val="0"/>
                      <w:color w:val="auto"/>
                      <w:sz w:val="21"/>
                      <w:szCs w:val="21"/>
                      <w:lang w:val="en-US" w:eastAsia="zh-CN"/>
                    </w:rPr>
                  </w:pPr>
                  <w:r>
                    <w:rPr>
                      <w:rFonts w:hint="eastAsia" w:cs="Times New Roman"/>
                      <w:b w:val="0"/>
                      <w:bCs w:val="0"/>
                      <w:color w:val="auto"/>
                      <w:sz w:val="21"/>
                      <w:szCs w:val="21"/>
                      <w:lang w:val="en-US" w:eastAsia="zh-CN"/>
                    </w:rPr>
                    <w:t>3</w:t>
                  </w:r>
                </w:p>
              </w:tc>
              <w:tc>
                <w:tcPr>
                  <w:tcW w:w="796" w:type="pct"/>
                  <w:tcBorders>
                    <w:tl2br w:val="nil"/>
                    <w:tr2bl w:val="nil"/>
                  </w:tcBorders>
                  <w:vAlign w:val="center"/>
                </w:tcPr>
                <w:p w14:paraId="1C773760">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b w:val="0"/>
                      <w:bCs w:val="0"/>
                      <w:color w:val="auto"/>
                      <w:sz w:val="21"/>
                      <w:szCs w:val="21"/>
                      <w:lang w:val="en-US" w:eastAsia="zh-CN"/>
                    </w:rPr>
                  </w:pPr>
                  <w:r>
                    <w:rPr>
                      <w:rFonts w:hint="eastAsia" w:cs="Times New Roman"/>
                      <w:b w:val="0"/>
                      <w:bCs w:val="0"/>
                      <w:color w:val="auto"/>
                      <w:sz w:val="21"/>
                      <w:szCs w:val="21"/>
                      <w:lang w:val="en-US" w:eastAsia="zh-CN"/>
                    </w:rPr>
                    <w:t>台</w:t>
                  </w:r>
                </w:p>
              </w:tc>
              <w:tc>
                <w:tcPr>
                  <w:tcW w:w="1654" w:type="pct"/>
                  <w:tcBorders>
                    <w:tl2br w:val="nil"/>
                    <w:tr2bl w:val="nil"/>
                  </w:tcBorders>
                  <w:vAlign w:val="center"/>
                </w:tcPr>
                <w:p w14:paraId="5267DC4A">
                  <w:pPr>
                    <w:keepNext w:val="0"/>
                    <w:keepLines w:val="0"/>
                    <w:pageBreakBefore w:val="0"/>
                    <w:kinsoku/>
                    <w:wordWrap/>
                    <w:overflowPunct/>
                    <w:topLinePunct w:val="0"/>
                    <w:autoSpaceDE/>
                    <w:autoSpaceDN/>
                    <w:bidi w:val="0"/>
                    <w:adjustRightInd w:val="0"/>
                    <w:snapToGrid w:val="0"/>
                    <w:spacing w:line="240" w:lineRule="auto"/>
                    <w:jc w:val="center"/>
                    <w:rPr>
                      <w:rFonts w:hint="default" w:cs="Times New Roman"/>
                      <w:b w:val="0"/>
                      <w:bCs w:val="0"/>
                      <w:color w:val="auto"/>
                      <w:sz w:val="21"/>
                      <w:szCs w:val="21"/>
                      <w:lang w:val="en-US" w:eastAsia="zh-CN"/>
                    </w:rPr>
                  </w:pPr>
                  <w:r>
                    <w:rPr>
                      <w:rFonts w:hint="eastAsia" w:cs="Times New Roman"/>
                      <w:b w:val="0"/>
                      <w:bCs w:val="0"/>
                      <w:color w:val="auto"/>
                      <w:sz w:val="21"/>
                      <w:szCs w:val="21"/>
                      <w:lang w:val="en-US" w:eastAsia="zh-CN"/>
                    </w:rPr>
                    <w:t>/</w:t>
                  </w:r>
                </w:p>
              </w:tc>
            </w:tr>
            <w:tr w14:paraId="6C1262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515" w:type="pct"/>
                  <w:tcBorders>
                    <w:tl2br w:val="nil"/>
                    <w:tr2bl w:val="nil"/>
                  </w:tcBorders>
                  <w:vAlign w:val="center"/>
                </w:tcPr>
                <w:p w14:paraId="534DE75B">
                  <w:pPr>
                    <w:keepNext w:val="0"/>
                    <w:keepLines w:val="0"/>
                    <w:pageBreakBefore w:val="0"/>
                    <w:kinsoku/>
                    <w:wordWrap/>
                    <w:overflowPunct/>
                    <w:topLinePunct w:val="0"/>
                    <w:autoSpaceDE/>
                    <w:autoSpaceDN/>
                    <w:bidi w:val="0"/>
                    <w:adjustRightInd w:val="0"/>
                    <w:snapToGrid w:val="0"/>
                    <w:spacing w:line="240" w:lineRule="auto"/>
                    <w:jc w:val="center"/>
                    <w:rPr>
                      <w:rFonts w:hint="eastAsia" w:ascii="Times New Roman" w:hAnsi="Times New Roman" w:eastAsia="宋体" w:cs="Times New Roman"/>
                      <w:b w:val="0"/>
                      <w:bCs w:val="0"/>
                      <w:color w:val="auto"/>
                      <w:sz w:val="21"/>
                      <w:szCs w:val="21"/>
                      <w:lang w:val="en-US" w:eastAsia="zh-CN"/>
                    </w:rPr>
                  </w:pPr>
                  <w:r>
                    <w:rPr>
                      <w:rFonts w:hint="eastAsia" w:cs="Times New Roman"/>
                      <w:b w:val="0"/>
                      <w:bCs w:val="0"/>
                      <w:color w:val="auto"/>
                      <w:sz w:val="21"/>
                      <w:szCs w:val="21"/>
                      <w:lang w:val="en-US" w:eastAsia="zh-CN"/>
                    </w:rPr>
                    <w:t>7</w:t>
                  </w:r>
                </w:p>
              </w:tc>
              <w:tc>
                <w:tcPr>
                  <w:tcW w:w="1093" w:type="pct"/>
                  <w:tcBorders>
                    <w:tl2br w:val="nil"/>
                    <w:tr2bl w:val="nil"/>
                  </w:tcBorders>
                  <w:vAlign w:val="center"/>
                </w:tcPr>
                <w:p w14:paraId="0514D216">
                  <w:pPr>
                    <w:keepNext w:val="0"/>
                    <w:keepLines w:val="0"/>
                    <w:pageBreakBefore w:val="0"/>
                    <w:kinsoku/>
                    <w:wordWrap/>
                    <w:overflowPunct/>
                    <w:topLinePunct w:val="0"/>
                    <w:autoSpaceDE/>
                    <w:autoSpaceDN/>
                    <w:bidi w:val="0"/>
                    <w:adjustRightInd w:val="0"/>
                    <w:snapToGrid w:val="0"/>
                    <w:spacing w:line="240" w:lineRule="auto"/>
                    <w:jc w:val="center"/>
                    <w:rPr>
                      <w:rFonts w:hint="eastAsia" w:ascii="Times New Roman" w:hAnsi="Times New Roman" w:eastAsia="宋体" w:cs="Times New Roman"/>
                      <w:b w:val="0"/>
                      <w:bCs w:val="0"/>
                      <w:color w:val="auto"/>
                      <w:sz w:val="21"/>
                      <w:szCs w:val="21"/>
                      <w:lang w:val="en-US" w:eastAsia="zh-CN"/>
                    </w:rPr>
                  </w:pPr>
                  <w:r>
                    <w:rPr>
                      <w:rFonts w:hint="eastAsia" w:cs="Times New Roman"/>
                      <w:b w:val="0"/>
                      <w:bCs w:val="0"/>
                      <w:color w:val="auto"/>
                      <w:sz w:val="21"/>
                      <w:szCs w:val="21"/>
                      <w:lang w:val="en-US" w:eastAsia="zh-CN"/>
                    </w:rPr>
                    <w:t>循环水泵</w:t>
                  </w:r>
                </w:p>
              </w:tc>
              <w:tc>
                <w:tcPr>
                  <w:tcW w:w="940" w:type="pct"/>
                  <w:tcBorders>
                    <w:tl2br w:val="nil"/>
                    <w:tr2bl w:val="nil"/>
                  </w:tcBorders>
                  <w:vAlign w:val="center"/>
                </w:tcPr>
                <w:p w14:paraId="1BCA820F">
                  <w:pPr>
                    <w:keepNext w:val="0"/>
                    <w:keepLines w:val="0"/>
                    <w:pageBreakBefore w:val="0"/>
                    <w:kinsoku/>
                    <w:wordWrap/>
                    <w:overflowPunct/>
                    <w:topLinePunct w:val="0"/>
                    <w:autoSpaceDE/>
                    <w:autoSpaceDN/>
                    <w:bidi w:val="0"/>
                    <w:adjustRightInd w:val="0"/>
                    <w:snapToGrid w:val="0"/>
                    <w:spacing w:line="240" w:lineRule="auto"/>
                    <w:jc w:val="center"/>
                    <w:rPr>
                      <w:rFonts w:hint="eastAsia" w:ascii="Times New Roman" w:hAnsi="Times New Roman" w:eastAsia="宋体" w:cs="Times New Roman"/>
                      <w:b w:val="0"/>
                      <w:bCs w:val="0"/>
                      <w:color w:val="auto"/>
                      <w:sz w:val="21"/>
                      <w:szCs w:val="21"/>
                      <w:lang w:val="en-US" w:eastAsia="zh-CN"/>
                    </w:rPr>
                  </w:pPr>
                  <w:r>
                    <w:rPr>
                      <w:rFonts w:hint="eastAsia" w:cs="Times New Roman"/>
                      <w:b w:val="0"/>
                      <w:bCs w:val="0"/>
                      <w:color w:val="auto"/>
                      <w:sz w:val="21"/>
                      <w:szCs w:val="21"/>
                      <w:lang w:val="en-US" w:eastAsia="zh-CN"/>
                    </w:rPr>
                    <w:t>2</w:t>
                  </w:r>
                </w:p>
              </w:tc>
              <w:tc>
                <w:tcPr>
                  <w:tcW w:w="796" w:type="pct"/>
                  <w:tcBorders>
                    <w:tl2br w:val="nil"/>
                    <w:tr2bl w:val="nil"/>
                  </w:tcBorders>
                  <w:vAlign w:val="center"/>
                </w:tcPr>
                <w:p w14:paraId="6C97D974">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b w:val="0"/>
                      <w:bCs w:val="0"/>
                      <w:color w:val="auto"/>
                      <w:sz w:val="21"/>
                      <w:szCs w:val="21"/>
                    </w:rPr>
                  </w:pPr>
                  <w:r>
                    <w:rPr>
                      <w:rFonts w:hint="default" w:ascii="Times New Roman" w:hAnsi="Times New Roman" w:eastAsia="宋体" w:cs="Times New Roman"/>
                      <w:b w:val="0"/>
                      <w:bCs w:val="0"/>
                      <w:color w:val="auto"/>
                      <w:sz w:val="21"/>
                      <w:szCs w:val="21"/>
                    </w:rPr>
                    <w:t>台</w:t>
                  </w:r>
                </w:p>
              </w:tc>
              <w:tc>
                <w:tcPr>
                  <w:tcW w:w="1654" w:type="pct"/>
                  <w:tcBorders>
                    <w:tl2br w:val="nil"/>
                    <w:tr2bl w:val="nil"/>
                  </w:tcBorders>
                  <w:vAlign w:val="center"/>
                </w:tcPr>
                <w:p w14:paraId="15AD0F72">
                  <w:pPr>
                    <w:keepNext w:val="0"/>
                    <w:keepLines w:val="0"/>
                    <w:widowControl/>
                    <w:suppressLineNumbers w:val="0"/>
                    <w:jc w:val="center"/>
                    <w:rPr>
                      <w:rFonts w:hint="default" w:ascii="Times New Roman" w:hAnsi="Times New Roman" w:eastAsia="宋体" w:cs="Times New Roman"/>
                      <w:b w:val="0"/>
                      <w:bCs w:val="0"/>
                      <w:color w:val="auto"/>
                      <w:sz w:val="21"/>
                      <w:szCs w:val="21"/>
                      <w:lang w:val="en-US" w:eastAsia="zh-CN"/>
                    </w:rPr>
                  </w:pPr>
                  <w:r>
                    <w:rPr>
                      <w:rFonts w:hint="eastAsia" w:cs="Times New Roman"/>
                      <w:b w:val="0"/>
                      <w:bCs w:val="0"/>
                      <w:color w:val="auto"/>
                      <w:sz w:val="21"/>
                      <w:szCs w:val="21"/>
                      <w:lang w:val="en-US" w:eastAsia="zh-CN"/>
                    </w:rPr>
                    <w:t>7.5Kw</w:t>
                  </w:r>
                </w:p>
              </w:tc>
            </w:tr>
          </w:tbl>
          <w:p w14:paraId="4794D9BF">
            <w:pPr>
              <w:spacing w:line="360" w:lineRule="auto"/>
              <w:ind w:firstLine="482" w:firstLineChars="200"/>
              <w:rPr>
                <w:b/>
                <w:color w:val="auto"/>
                <w:kern w:val="0"/>
                <w:sz w:val="24"/>
                <w:szCs w:val="20"/>
              </w:rPr>
            </w:pPr>
            <w:r>
              <w:rPr>
                <w:b/>
                <w:color w:val="auto"/>
                <w:kern w:val="0"/>
                <w:sz w:val="24"/>
                <w:szCs w:val="20"/>
              </w:rPr>
              <w:t>2、</w:t>
            </w:r>
            <w:bookmarkStart w:id="3" w:name="_Toc177024812"/>
            <w:bookmarkStart w:id="4" w:name="_Toc177024663"/>
            <w:bookmarkStart w:id="5" w:name="_Toc200961231"/>
            <w:bookmarkStart w:id="6" w:name="_Toc200961391"/>
            <w:r>
              <w:rPr>
                <w:b/>
                <w:color w:val="auto"/>
                <w:kern w:val="0"/>
                <w:sz w:val="24"/>
                <w:szCs w:val="20"/>
              </w:rPr>
              <w:t>公用工程</w:t>
            </w:r>
          </w:p>
          <w:bookmarkEnd w:id="3"/>
          <w:bookmarkEnd w:id="4"/>
          <w:bookmarkEnd w:id="5"/>
          <w:bookmarkEnd w:id="6"/>
          <w:p w14:paraId="0EEBECF3">
            <w:pPr>
              <w:spacing w:line="360" w:lineRule="auto"/>
              <w:ind w:firstLine="480" w:firstLineChars="200"/>
              <w:rPr>
                <w:color w:val="auto"/>
                <w:kern w:val="0"/>
                <w:sz w:val="24"/>
                <w:szCs w:val="22"/>
              </w:rPr>
            </w:pPr>
            <w:r>
              <w:rPr>
                <w:color w:val="auto"/>
                <w:kern w:val="0"/>
                <w:sz w:val="24"/>
                <w:szCs w:val="22"/>
              </w:rPr>
              <w:t>（1）给水</w:t>
            </w:r>
          </w:p>
          <w:p w14:paraId="07491486">
            <w:pPr>
              <w:spacing w:line="360" w:lineRule="auto"/>
              <w:ind w:firstLine="480" w:firstLineChars="200"/>
              <w:rPr>
                <w:rFonts w:hint="default" w:ascii="Times New Roman" w:hAnsi="Times New Roman" w:cs="Times New Roman"/>
                <w:color w:val="auto"/>
                <w:kern w:val="0"/>
                <w:sz w:val="24"/>
              </w:rPr>
            </w:pPr>
            <w:r>
              <w:rPr>
                <w:rFonts w:hint="default" w:ascii="Times New Roman" w:hAnsi="Times New Roman" w:cs="Times New Roman"/>
                <w:color w:val="auto"/>
                <w:kern w:val="0"/>
                <w:sz w:val="24"/>
                <w:szCs w:val="22"/>
                <w:lang w:val="zh-TW"/>
              </w:rPr>
              <w:t>项目</w:t>
            </w:r>
            <w:r>
              <w:rPr>
                <w:rFonts w:hint="default" w:ascii="Times New Roman" w:hAnsi="Times New Roman" w:cs="Times New Roman"/>
                <w:color w:val="auto"/>
                <w:kern w:val="0"/>
                <w:sz w:val="24"/>
                <w:szCs w:val="22"/>
              </w:rPr>
              <w:t>用水由市政</w:t>
            </w:r>
            <w:r>
              <w:rPr>
                <w:rFonts w:hint="default" w:ascii="Times New Roman" w:hAnsi="Times New Roman" w:cs="Times New Roman"/>
                <w:color w:val="auto"/>
                <w:kern w:val="0"/>
                <w:sz w:val="24"/>
                <w:szCs w:val="22"/>
                <w:lang w:val="zh-TW"/>
              </w:rPr>
              <w:t>给水管网统一供给</w:t>
            </w:r>
            <w:r>
              <w:rPr>
                <w:rFonts w:hint="default" w:ascii="Times New Roman" w:hAnsi="Times New Roman" w:cs="Times New Roman"/>
                <w:color w:val="auto"/>
                <w:kern w:val="0"/>
                <w:sz w:val="24"/>
                <w:szCs w:val="22"/>
              </w:rPr>
              <w:t>。</w:t>
            </w:r>
            <w:r>
              <w:rPr>
                <w:rFonts w:hint="default" w:ascii="Times New Roman" w:hAnsi="Times New Roman" w:cs="Times New Roman"/>
                <w:color w:val="auto"/>
                <w:kern w:val="0"/>
                <w:sz w:val="24"/>
              </w:rPr>
              <w:t>本项目用水主要为生活用水</w:t>
            </w:r>
            <w:r>
              <w:rPr>
                <w:rFonts w:hint="default" w:ascii="Times New Roman" w:hAnsi="Times New Roman" w:cs="Times New Roman"/>
                <w:color w:val="auto"/>
                <w:kern w:val="0"/>
                <w:sz w:val="24"/>
                <w:lang w:eastAsia="zh-CN"/>
              </w:rPr>
              <w:t>、</w:t>
            </w:r>
            <w:r>
              <w:rPr>
                <w:rFonts w:hint="default" w:ascii="Times New Roman" w:hAnsi="Times New Roman" w:cs="Times New Roman"/>
                <w:color w:val="auto"/>
                <w:kern w:val="0"/>
                <w:sz w:val="24"/>
                <w:lang w:val="en-US" w:eastAsia="zh-CN"/>
              </w:rPr>
              <w:t>除尘用水</w:t>
            </w:r>
            <w:r>
              <w:rPr>
                <w:rFonts w:hint="default" w:ascii="Times New Roman" w:hAnsi="Times New Roman" w:cs="Times New Roman"/>
                <w:color w:val="auto"/>
                <w:kern w:val="0"/>
                <w:sz w:val="24"/>
              </w:rPr>
              <w:t>。</w:t>
            </w:r>
          </w:p>
          <w:p w14:paraId="3EF89842">
            <w:pPr>
              <w:spacing w:line="360" w:lineRule="auto"/>
              <w:ind w:firstLine="480" w:firstLineChars="200"/>
              <w:rPr>
                <w:rFonts w:hint="default" w:ascii="Times New Roman" w:hAnsi="Times New Roman" w:cs="Times New Roman"/>
                <w:color w:val="auto"/>
                <w:kern w:val="0"/>
                <w:sz w:val="24"/>
                <w:lang w:val="en-US" w:eastAsia="zh-CN"/>
              </w:rPr>
            </w:pPr>
            <w:r>
              <w:rPr>
                <w:rFonts w:hint="default" w:ascii="Times New Roman" w:hAnsi="Times New Roman" w:cs="Times New Roman"/>
                <w:color w:val="auto"/>
                <w:kern w:val="0"/>
                <w:sz w:val="24"/>
                <w:lang w:val="en-US" w:eastAsia="zh-CN"/>
              </w:rPr>
              <w:t>①</w:t>
            </w:r>
            <w:r>
              <w:rPr>
                <w:rFonts w:hint="eastAsia" w:ascii="Times New Roman" w:hAnsi="Times New Roman" w:cs="Times New Roman"/>
                <w:color w:val="auto"/>
                <w:kern w:val="0"/>
                <w:sz w:val="24"/>
                <w:lang w:val="en-US" w:eastAsia="zh-CN"/>
              </w:rPr>
              <w:t>生活用水</w:t>
            </w:r>
          </w:p>
          <w:p w14:paraId="33455306">
            <w:pPr>
              <w:spacing w:line="360" w:lineRule="auto"/>
              <w:ind w:firstLine="480" w:firstLineChars="200"/>
              <w:rPr>
                <w:color w:val="auto"/>
                <w:kern w:val="0"/>
                <w:sz w:val="24"/>
              </w:rPr>
            </w:pPr>
            <w:r>
              <w:rPr>
                <w:rFonts w:hint="eastAsia"/>
                <w:color w:val="auto"/>
                <w:kern w:val="0"/>
                <w:sz w:val="24"/>
                <w:lang w:val="en-US" w:eastAsia="zh-CN"/>
              </w:rPr>
              <w:t>本</w:t>
            </w:r>
            <w:r>
              <w:rPr>
                <w:color w:val="auto"/>
                <w:kern w:val="0"/>
                <w:sz w:val="24"/>
              </w:rPr>
              <w:t>项目</w:t>
            </w:r>
            <w:r>
              <w:rPr>
                <w:rFonts w:hint="eastAsia"/>
                <w:color w:val="auto"/>
                <w:kern w:val="0"/>
                <w:sz w:val="24"/>
                <w:lang w:val="en-US" w:eastAsia="zh-CN"/>
              </w:rPr>
              <w:t>建成后</w:t>
            </w:r>
            <w:r>
              <w:rPr>
                <w:color w:val="auto"/>
                <w:kern w:val="0"/>
                <w:sz w:val="24"/>
              </w:rPr>
              <w:t>劳动定员</w:t>
            </w:r>
            <w:r>
              <w:rPr>
                <w:rFonts w:hint="eastAsia"/>
                <w:color w:val="auto"/>
                <w:kern w:val="0"/>
                <w:sz w:val="24"/>
                <w:lang w:val="en-US" w:eastAsia="zh-CN"/>
              </w:rPr>
              <w:t>20</w:t>
            </w:r>
            <w:r>
              <w:rPr>
                <w:color w:val="auto"/>
                <w:kern w:val="0"/>
                <w:sz w:val="24"/>
              </w:rPr>
              <w:t>人，</w:t>
            </w:r>
            <w:r>
              <w:rPr>
                <w:rFonts w:hint="eastAsia"/>
                <w:color w:val="auto"/>
                <w:kern w:val="0"/>
                <w:sz w:val="24"/>
                <w:lang w:val="en-US" w:eastAsia="zh-CN"/>
              </w:rPr>
              <w:t>厂区不提供食宿，</w:t>
            </w:r>
            <w:r>
              <w:rPr>
                <w:rFonts w:hint="default" w:ascii="Times New Roman" w:hAnsi="Times New Roman" w:cs="Times New Roman"/>
                <w:color w:val="auto"/>
                <w:kern w:val="0"/>
                <w:sz w:val="24"/>
              </w:rPr>
              <w:t>用水情况根据《陕西省地方标准行业用水定额》（DB61/T943-2020），</w:t>
            </w:r>
            <w:r>
              <w:rPr>
                <w:color w:val="auto"/>
                <w:kern w:val="0"/>
                <w:sz w:val="24"/>
              </w:rPr>
              <w:t>生活用水量</w:t>
            </w:r>
            <w:r>
              <w:rPr>
                <w:color w:val="auto"/>
                <w:sz w:val="24"/>
              </w:rPr>
              <w:t>按行政办公</w:t>
            </w:r>
            <w:r>
              <w:rPr>
                <w:rFonts w:hint="eastAsia"/>
                <w:color w:val="auto"/>
                <w:sz w:val="24"/>
                <w:lang w:val="en-US" w:eastAsia="zh-CN"/>
              </w:rPr>
              <w:t>先进</w:t>
            </w:r>
            <w:r>
              <w:rPr>
                <w:rFonts w:hint="eastAsia"/>
                <w:color w:val="auto"/>
                <w:sz w:val="24"/>
              </w:rPr>
              <w:t>值</w:t>
            </w:r>
            <w:r>
              <w:rPr>
                <w:rFonts w:hint="eastAsia"/>
                <w:color w:val="auto"/>
                <w:sz w:val="24"/>
                <w:lang w:val="en-US" w:eastAsia="zh-CN"/>
              </w:rPr>
              <w:t>10</w:t>
            </w:r>
            <w:r>
              <w:rPr>
                <w:color w:val="auto"/>
                <w:sz w:val="24"/>
              </w:rPr>
              <w:t>m</w:t>
            </w:r>
            <w:r>
              <w:rPr>
                <w:color w:val="auto"/>
                <w:sz w:val="24"/>
                <w:vertAlign w:val="superscript"/>
              </w:rPr>
              <w:t>3</w:t>
            </w:r>
            <w:r>
              <w:rPr>
                <w:color w:val="auto"/>
                <w:sz w:val="24"/>
              </w:rPr>
              <w:t>/（人·a）计</w:t>
            </w:r>
            <w:r>
              <w:rPr>
                <w:rFonts w:hint="eastAsia"/>
                <w:color w:val="auto"/>
                <w:kern w:val="0"/>
                <w:sz w:val="24"/>
                <w:lang w:eastAsia="zh-CN"/>
              </w:rPr>
              <w:t>，</w:t>
            </w:r>
            <w:r>
              <w:rPr>
                <w:color w:val="auto"/>
                <w:kern w:val="0"/>
                <w:sz w:val="24"/>
              </w:rPr>
              <w:t>年工作日</w:t>
            </w:r>
            <w:r>
              <w:rPr>
                <w:rFonts w:hint="eastAsia"/>
                <w:color w:val="auto"/>
                <w:kern w:val="0"/>
                <w:sz w:val="24"/>
                <w:lang w:val="en-US" w:eastAsia="zh-CN"/>
              </w:rPr>
              <w:t>300</w:t>
            </w:r>
            <w:r>
              <w:rPr>
                <w:color w:val="auto"/>
                <w:kern w:val="0"/>
                <w:sz w:val="24"/>
              </w:rPr>
              <w:t>天，则项目生活用水量为</w:t>
            </w:r>
            <w:r>
              <w:rPr>
                <w:rFonts w:hint="eastAsia"/>
                <w:color w:val="auto"/>
                <w:kern w:val="0"/>
                <w:sz w:val="24"/>
                <w:lang w:val="en-US" w:eastAsia="zh-CN"/>
              </w:rPr>
              <w:t>164.384</w:t>
            </w:r>
            <w:r>
              <w:rPr>
                <w:color w:val="auto"/>
                <w:kern w:val="0"/>
                <w:sz w:val="24"/>
              </w:rPr>
              <w:t>m</w:t>
            </w:r>
            <w:r>
              <w:rPr>
                <w:color w:val="auto"/>
                <w:kern w:val="0"/>
                <w:sz w:val="24"/>
                <w:vertAlign w:val="superscript"/>
              </w:rPr>
              <w:t>3</w:t>
            </w:r>
            <w:r>
              <w:rPr>
                <w:color w:val="auto"/>
                <w:kern w:val="0"/>
                <w:sz w:val="24"/>
              </w:rPr>
              <w:t>/a</w:t>
            </w:r>
            <w:r>
              <w:rPr>
                <w:rFonts w:hint="eastAsia"/>
                <w:color w:val="auto"/>
                <w:kern w:val="0"/>
                <w:sz w:val="24"/>
                <w:lang w:eastAsia="zh-CN"/>
              </w:rPr>
              <w:t>（</w:t>
            </w:r>
            <w:r>
              <w:rPr>
                <w:rFonts w:hint="eastAsia"/>
                <w:color w:val="auto"/>
                <w:kern w:val="0"/>
                <w:sz w:val="24"/>
                <w:lang w:val="en-US" w:eastAsia="zh-CN"/>
              </w:rPr>
              <w:t>0.548m</w:t>
            </w:r>
            <w:r>
              <w:rPr>
                <w:rFonts w:hint="eastAsia"/>
                <w:color w:val="auto"/>
                <w:kern w:val="0"/>
                <w:sz w:val="24"/>
                <w:vertAlign w:val="superscript"/>
                <w:lang w:val="en-US" w:eastAsia="zh-CN"/>
              </w:rPr>
              <w:t>3</w:t>
            </w:r>
            <w:r>
              <w:rPr>
                <w:rFonts w:hint="eastAsia"/>
                <w:color w:val="auto"/>
                <w:kern w:val="0"/>
                <w:sz w:val="24"/>
                <w:lang w:val="en-US" w:eastAsia="zh-CN"/>
              </w:rPr>
              <w:t>/d</w:t>
            </w:r>
            <w:r>
              <w:rPr>
                <w:rFonts w:hint="eastAsia"/>
                <w:color w:val="auto"/>
                <w:kern w:val="0"/>
                <w:sz w:val="24"/>
                <w:lang w:eastAsia="zh-CN"/>
              </w:rPr>
              <w:t>）</w:t>
            </w:r>
            <w:r>
              <w:rPr>
                <w:rFonts w:hint="default" w:ascii="Times New Roman" w:hAnsi="Times New Roman" w:cs="Times New Roman"/>
                <w:color w:val="auto"/>
                <w:kern w:val="0"/>
                <w:sz w:val="24"/>
              </w:rPr>
              <w:t>。</w:t>
            </w:r>
          </w:p>
          <w:p w14:paraId="16D39E52">
            <w:pPr>
              <w:spacing w:line="360" w:lineRule="auto"/>
              <w:ind w:firstLine="480" w:firstLineChars="200"/>
              <w:rPr>
                <w:rFonts w:hint="default" w:ascii="Times New Roman" w:hAnsi="Times New Roman" w:cs="Times New Roman"/>
                <w:color w:val="0000FF"/>
                <w:kern w:val="0"/>
                <w:sz w:val="24"/>
                <w:lang w:val="en-US" w:eastAsia="zh-CN"/>
              </w:rPr>
            </w:pPr>
            <w:r>
              <w:rPr>
                <w:rFonts w:hint="default" w:ascii="Times New Roman" w:hAnsi="Times New Roman" w:cs="Times New Roman"/>
                <w:color w:val="0000FF"/>
                <w:kern w:val="0"/>
                <w:sz w:val="24"/>
                <w:lang w:val="en-US" w:eastAsia="zh-CN"/>
              </w:rPr>
              <w:t>②</w:t>
            </w:r>
            <w:r>
              <w:rPr>
                <w:rFonts w:hint="eastAsia" w:ascii="Times New Roman" w:hAnsi="Times New Roman" w:cs="Times New Roman"/>
                <w:color w:val="0000FF"/>
                <w:kern w:val="0"/>
                <w:sz w:val="24"/>
                <w:lang w:val="en-US" w:eastAsia="zh-CN"/>
              </w:rPr>
              <w:t>除尘用水</w:t>
            </w:r>
          </w:p>
          <w:p w14:paraId="4BF48812">
            <w:pPr>
              <w:spacing w:line="360" w:lineRule="auto"/>
              <w:ind w:firstLine="480" w:firstLineChars="200"/>
              <w:rPr>
                <w:color w:val="auto"/>
                <w:kern w:val="0"/>
                <w:sz w:val="24"/>
              </w:rPr>
            </w:pPr>
            <w:r>
              <w:rPr>
                <w:rFonts w:hint="eastAsia"/>
                <w:color w:val="0000FF"/>
                <w:kern w:val="0"/>
                <w:sz w:val="24"/>
                <w:lang w:val="en-US" w:eastAsia="zh-CN"/>
              </w:rPr>
              <w:t>本项目水雾式除尘区域设置2个循环水池，容积共15m</w:t>
            </w:r>
            <w:r>
              <w:rPr>
                <w:rFonts w:hint="eastAsia"/>
                <w:color w:val="0000FF"/>
                <w:kern w:val="0"/>
                <w:sz w:val="24"/>
                <w:vertAlign w:val="superscript"/>
                <w:lang w:val="en-US" w:eastAsia="zh-CN"/>
              </w:rPr>
              <w:t>3</w:t>
            </w:r>
            <w:r>
              <w:rPr>
                <w:rFonts w:hint="eastAsia"/>
                <w:color w:val="0000FF"/>
                <w:kern w:val="0"/>
                <w:sz w:val="24"/>
                <w:lang w:val="en-US" w:eastAsia="zh-CN"/>
              </w:rPr>
              <w:t>，根据企业实际生产经验，打磨砂轮机除尘用水在水池内循环使用，需定期补充损失水量，每天补充水量按0.1m</w:t>
            </w:r>
            <w:r>
              <w:rPr>
                <w:rFonts w:hint="eastAsia"/>
                <w:color w:val="0000FF"/>
                <w:kern w:val="0"/>
                <w:sz w:val="24"/>
                <w:vertAlign w:val="superscript"/>
                <w:lang w:val="en-US" w:eastAsia="zh-CN"/>
              </w:rPr>
              <w:t>3</w:t>
            </w:r>
            <w:r>
              <w:rPr>
                <w:rFonts w:hint="eastAsia"/>
                <w:color w:val="0000FF"/>
                <w:kern w:val="0"/>
                <w:sz w:val="24"/>
                <w:lang w:val="en-US" w:eastAsia="zh-CN"/>
              </w:rPr>
              <w:t>计，则打磨砂轮机除尘用水共计44.9</w:t>
            </w:r>
            <w:r>
              <w:rPr>
                <w:rFonts w:hint="default"/>
                <w:color w:val="0000FF"/>
                <w:kern w:val="0"/>
                <w:sz w:val="24"/>
                <w:lang w:val="en-US" w:eastAsia="zh-CN"/>
              </w:rPr>
              <w:t>m</w:t>
            </w:r>
            <w:r>
              <w:rPr>
                <w:rFonts w:hint="default"/>
                <w:color w:val="0000FF"/>
                <w:kern w:val="0"/>
                <w:sz w:val="24"/>
                <w:vertAlign w:val="superscript"/>
                <w:lang w:val="en-US" w:eastAsia="zh-CN"/>
              </w:rPr>
              <w:t>3</w:t>
            </w:r>
            <w:r>
              <w:rPr>
                <w:rFonts w:hint="default"/>
                <w:color w:val="0000FF"/>
                <w:kern w:val="0"/>
                <w:sz w:val="24"/>
                <w:lang w:val="en-US" w:eastAsia="zh-CN"/>
              </w:rPr>
              <w:t>/a</w:t>
            </w:r>
            <w:r>
              <w:rPr>
                <w:rFonts w:hint="eastAsia"/>
                <w:color w:val="0000FF"/>
                <w:kern w:val="0"/>
                <w:sz w:val="24"/>
                <w:lang w:val="en-US" w:eastAsia="zh-CN"/>
              </w:rPr>
              <w:t>（0.15</w:t>
            </w:r>
            <w:r>
              <w:rPr>
                <w:rFonts w:hint="default"/>
                <w:color w:val="0000FF"/>
                <w:kern w:val="0"/>
                <w:sz w:val="24"/>
                <w:lang w:val="en-US" w:eastAsia="zh-CN"/>
              </w:rPr>
              <w:t>m</w:t>
            </w:r>
            <w:r>
              <w:rPr>
                <w:rFonts w:hint="default"/>
                <w:color w:val="0000FF"/>
                <w:kern w:val="0"/>
                <w:sz w:val="24"/>
                <w:vertAlign w:val="superscript"/>
                <w:lang w:val="en-US" w:eastAsia="zh-CN"/>
              </w:rPr>
              <w:t>3</w:t>
            </w:r>
            <w:r>
              <w:rPr>
                <w:rFonts w:hint="default"/>
                <w:color w:val="0000FF"/>
                <w:kern w:val="0"/>
                <w:sz w:val="24"/>
                <w:lang w:val="en-US" w:eastAsia="zh-CN"/>
              </w:rPr>
              <w:t>/d</w:t>
            </w:r>
            <w:r>
              <w:rPr>
                <w:rFonts w:hint="eastAsia"/>
                <w:color w:val="0000FF"/>
                <w:kern w:val="0"/>
                <w:sz w:val="24"/>
                <w:lang w:val="en-US" w:eastAsia="zh-CN"/>
              </w:rPr>
              <w:t>）。</w:t>
            </w:r>
          </w:p>
          <w:p w14:paraId="5B24DA6D">
            <w:pPr>
              <w:spacing w:line="360" w:lineRule="auto"/>
              <w:ind w:firstLine="480" w:firstLineChars="200"/>
              <w:rPr>
                <w:color w:val="auto"/>
                <w:kern w:val="0"/>
                <w:sz w:val="24"/>
              </w:rPr>
            </w:pPr>
            <w:r>
              <w:rPr>
                <w:color w:val="auto"/>
                <w:kern w:val="0"/>
                <w:sz w:val="24"/>
              </w:rPr>
              <w:t>（2）排水</w:t>
            </w:r>
          </w:p>
          <w:p w14:paraId="37CF691E">
            <w:pPr>
              <w:spacing w:line="360" w:lineRule="auto"/>
              <w:ind w:firstLine="480" w:firstLineChars="200"/>
              <w:rPr>
                <w:color w:val="FF0000"/>
                <w:kern w:val="0"/>
                <w:sz w:val="24"/>
              </w:rPr>
            </w:pPr>
            <w:r>
              <w:rPr>
                <w:color w:val="auto"/>
                <w:kern w:val="0"/>
                <w:sz w:val="24"/>
              </w:rPr>
              <w:t>生活污水</w:t>
            </w:r>
            <w:r>
              <w:rPr>
                <w:rFonts w:hint="eastAsia"/>
                <w:color w:val="auto"/>
                <w:kern w:val="0"/>
                <w:sz w:val="24"/>
                <w:lang w:val="en-US" w:eastAsia="zh-CN"/>
              </w:rPr>
              <w:t>依托陕西重型机械制造有限公司化粪池处理后经市政管网排入西安工业资产经营公司泾河产业基地污水处理站处理</w:t>
            </w:r>
            <w:r>
              <w:rPr>
                <w:color w:val="auto"/>
                <w:kern w:val="0"/>
                <w:sz w:val="24"/>
              </w:rPr>
              <w:t>。</w:t>
            </w:r>
          </w:p>
          <w:p w14:paraId="1FF299DF">
            <w:pPr>
              <w:spacing w:line="360" w:lineRule="auto"/>
              <w:ind w:firstLine="480" w:firstLineChars="200"/>
              <w:rPr>
                <w:color w:val="auto"/>
                <w:kern w:val="0"/>
                <w:sz w:val="24"/>
              </w:rPr>
            </w:pPr>
            <w:r>
              <w:rPr>
                <w:color w:val="auto"/>
                <w:kern w:val="0"/>
                <w:sz w:val="24"/>
              </w:rPr>
              <w:t>由上述分析可知，</w:t>
            </w:r>
            <w:r>
              <w:rPr>
                <w:rFonts w:hint="eastAsia"/>
                <w:color w:val="auto"/>
                <w:kern w:val="0"/>
                <w:sz w:val="24"/>
                <w:lang w:val="en-US" w:eastAsia="zh-CN"/>
              </w:rPr>
              <w:t>本</w:t>
            </w:r>
            <w:r>
              <w:rPr>
                <w:color w:val="auto"/>
                <w:kern w:val="0"/>
                <w:sz w:val="24"/>
              </w:rPr>
              <w:t>项目年工作日</w:t>
            </w:r>
            <w:r>
              <w:rPr>
                <w:rFonts w:hint="eastAsia"/>
                <w:color w:val="auto"/>
                <w:kern w:val="0"/>
                <w:sz w:val="24"/>
                <w:lang w:val="en-US" w:eastAsia="zh-CN"/>
              </w:rPr>
              <w:t>300</w:t>
            </w:r>
            <w:r>
              <w:rPr>
                <w:color w:val="auto"/>
                <w:kern w:val="0"/>
                <w:sz w:val="24"/>
              </w:rPr>
              <w:t>天，</w:t>
            </w:r>
            <w:r>
              <w:rPr>
                <w:rFonts w:hint="eastAsia"/>
                <w:color w:val="auto"/>
                <w:kern w:val="0"/>
                <w:sz w:val="24"/>
                <w:lang w:val="en-US" w:eastAsia="zh-CN"/>
              </w:rPr>
              <w:t>生活</w:t>
            </w:r>
            <w:r>
              <w:rPr>
                <w:color w:val="auto"/>
                <w:kern w:val="0"/>
                <w:sz w:val="24"/>
              </w:rPr>
              <w:t>污水产生量按照新鲜用水量的80%计算，则</w:t>
            </w:r>
            <w:r>
              <w:rPr>
                <w:rFonts w:hint="default" w:ascii="Times New Roman" w:hAnsi="Times New Roman" w:cs="Times New Roman"/>
                <w:color w:val="auto"/>
                <w:kern w:val="0"/>
                <w:sz w:val="24"/>
              </w:rPr>
              <w:t>生活</w:t>
            </w:r>
            <w:r>
              <w:rPr>
                <w:rFonts w:hint="eastAsia" w:ascii="Times New Roman" w:hAnsi="Times New Roman" w:cs="Times New Roman"/>
                <w:color w:val="auto"/>
                <w:kern w:val="0"/>
                <w:sz w:val="24"/>
                <w:lang w:val="en-US" w:eastAsia="zh-CN"/>
              </w:rPr>
              <w:t>污水</w:t>
            </w:r>
            <w:r>
              <w:rPr>
                <w:rFonts w:hint="default" w:ascii="Times New Roman" w:hAnsi="Times New Roman" w:cs="Times New Roman"/>
                <w:color w:val="auto"/>
                <w:kern w:val="0"/>
                <w:sz w:val="24"/>
              </w:rPr>
              <w:t>量为</w:t>
            </w:r>
            <w:r>
              <w:rPr>
                <w:rFonts w:hint="eastAsia" w:cs="Times New Roman"/>
                <w:color w:val="auto"/>
                <w:kern w:val="0"/>
                <w:sz w:val="24"/>
                <w:lang w:val="en-US" w:eastAsia="zh-CN"/>
              </w:rPr>
              <w:t>131.507</w:t>
            </w:r>
            <w:r>
              <w:rPr>
                <w:rFonts w:hint="default" w:ascii="Times New Roman" w:hAnsi="Times New Roman" w:cs="Times New Roman"/>
                <w:color w:val="auto"/>
                <w:kern w:val="0"/>
                <w:sz w:val="24"/>
              </w:rPr>
              <w:t>m</w:t>
            </w:r>
            <w:r>
              <w:rPr>
                <w:rFonts w:hint="default" w:ascii="Times New Roman" w:hAnsi="Times New Roman" w:cs="Times New Roman"/>
                <w:color w:val="auto"/>
                <w:kern w:val="0"/>
                <w:sz w:val="24"/>
                <w:vertAlign w:val="superscript"/>
              </w:rPr>
              <w:t>3</w:t>
            </w:r>
            <w:r>
              <w:rPr>
                <w:rFonts w:hint="default" w:ascii="Times New Roman" w:hAnsi="Times New Roman" w:cs="Times New Roman"/>
                <w:color w:val="auto"/>
                <w:kern w:val="0"/>
                <w:sz w:val="24"/>
              </w:rPr>
              <w:t>/a</w:t>
            </w:r>
            <w:r>
              <w:rPr>
                <w:rFonts w:hint="eastAsia" w:cs="Times New Roman"/>
                <w:color w:val="auto"/>
                <w:kern w:val="0"/>
                <w:sz w:val="24"/>
                <w:lang w:val="en-US" w:eastAsia="zh-CN"/>
              </w:rPr>
              <w:t>（0.438</w:t>
            </w:r>
            <w:r>
              <w:rPr>
                <w:rFonts w:hint="default" w:ascii="Times New Roman" w:hAnsi="Times New Roman" w:cs="Times New Roman"/>
                <w:color w:val="auto"/>
                <w:kern w:val="0"/>
                <w:sz w:val="24"/>
              </w:rPr>
              <w:t>m</w:t>
            </w:r>
            <w:r>
              <w:rPr>
                <w:rFonts w:hint="default" w:ascii="Times New Roman" w:hAnsi="Times New Roman" w:cs="Times New Roman"/>
                <w:color w:val="auto"/>
                <w:kern w:val="0"/>
                <w:sz w:val="24"/>
                <w:vertAlign w:val="superscript"/>
              </w:rPr>
              <w:t>3</w:t>
            </w:r>
            <w:r>
              <w:rPr>
                <w:rFonts w:hint="default" w:ascii="Times New Roman" w:hAnsi="Times New Roman" w:cs="Times New Roman"/>
                <w:color w:val="auto"/>
                <w:kern w:val="0"/>
                <w:sz w:val="24"/>
              </w:rPr>
              <w:t>/</w:t>
            </w:r>
            <w:r>
              <w:rPr>
                <w:rFonts w:hint="eastAsia" w:cs="Times New Roman"/>
                <w:color w:val="auto"/>
                <w:kern w:val="0"/>
                <w:sz w:val="24"/>
                <w:lang w:val="en-US" w:eastAsia="zh-CN"/>
              </w:rPr>
              <w:t>d）</w:t>
            </w:r>
            <w:r>
              <w:rPr>
                <w:color w:val="auto"/>
                <w:kern w:val="0"/>
                <w:sz w:val="24"/>
              </w:rPr>
              <w:t>。</w:t>
            </w:r>
          </w:p>
          <w:p w14:paraId="2AAB6785">
            <w:pPr>
              <w:autoSpaceDN w:val="0"/>
              <w:spacing w:line="360" w:lineRule="auto"/>
              <w:ind w:firstLine="480" w:firstLineChars="200"/>
              <w:rPr>
                <w:color w:val="auto"/>
                <w:kern w:val="0"/>
                <w:sz w:val="24"/>
                <w:szCs w:val="20"/>
              </w:rPr>
            </w:pPr>
            <w:r>
              <w:rPr>
                <w:color w:val="auto"/>
                <w:kern w:val="0"/>
                <w:sz w:val="24"/>
                <w:szCs w:val="20"/>
              </w:rPr>
              <w:t>具体用水及排水情况见表下表。</w:t>
            </w:r>
          </w:p>
          <w:p w14:paraId="02BE94F7">
            <w:pPr>
              <w:autoSpaceDN w:val="0"/>
              <w:spacing w:line="240" w:lineRule="auto"/>
              <w:jc w:val="center"/>
              <w:rPr>
                <w:rFonts w:hint="eastAsia" w:eastAsia="宋体"/>
                <w:color w:val="auto"/>
                <w:kern w:val="0"/>
                <w:sz w:val="24"/>
                <w:szCs w:val="20"/>
                <w:lang w:eastAsia="zh-CN"/>
              </w:rPr>
            </w:pPr>
            <w:r>
              <w:rPr>
                <w:rFonts w:hint="eastAsia" w:eastAsia="宋体"/>
                <w:color w:val="auto"/>
                <w:kern w:val="0"/>
                <w:sz w:val="24"/>
                <w:szCs w:val="20"/>
                <w:lang w:eastAsia="zh-CN"/>
              </w:rPr>
              <w:drawing>
                <wp:inline distT="0" distB="0" distL="114300" distR="114300">
                  <wp:extent cx="4892040" cy="1320800"/>
                  <wp:effectExtent l="0" t="0" r="0" b="12700"/>
                  <wp:docPr id="3" name="ECB019B1-382A-4266-B25C-5B523AA43C14-1" descr="C:/Users/Administrator/AppData/Local/Temp/wps.wAoVMpw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ECB019B1-382A-4266-B25C-5B523AA43C14-1" descr="C:/Users/Administrator/AppData/Local/Temp/wps.wAoVMpwps"/>
                          <pic:cNvPicPr>
                            <a:picLocks noChangeAspect="1"/>
                          </pic:cNvPicPr>
                        </pic:nvPicPr>
                        <pic:blipFill>
                          <a:blip r:embed="rId9"/>
                          <a:srcRect t="11095" b="9611"/>
                          <a:stretch>
                            <a:fillRect/>
                          </a:stretch>
                        </pic:blipFill>
                        <pic:spPr>
                          <a:xfrm>
                            <a:off x="0" y="0"/>
                            <a:ext cx="4892040" cy="1320800"/>
                          </a:xfrm>
                          <a:prstGeom prst="rect">
                            <a:avLst/>
                          </a:prstGeom>
                        </pic:spPr>
                      </pic:pic>
                    </a:graphicData>
                  </a:graphic>
                </wp:inline>
              </w:drawing>
            </w:r>
          </w:p>
          <w:p w14:paraId="147E830E">
            <w:pPr>
              <w:spacing w:line="240" w:lineRule="auto"/>
              <w:jc w:val="center"/>
              <w:rPr>
                <w:b/>
                <w:color w:val="auto"/>
                <w:kern w:val="0"/>
                <w:szCs w:val="21"/>
              </w:rPr>
            </w:pPr>
            <w:r>
              <w:rPr>
                <w:b/>
                <w:color w:val="auto"/>
                <w:kern w:val="0"/>
                <w:szCs w:val="21"/>
              </w:rPr>
              <w:t>图</w:t>
            </w:r>
            <w:r>
              <w:rPr>
                <w:rFonts w:hint="eastAsia"/>
                <w:b/>
                <w:color w:val="auto"/>
                <w:kern w:val="0"/>
                <w:szCs w:val="21"/>
              </w:rPr>
              <w:t xml:space="preserve">2-1   </w:t>
            </w:r>
            <w:r>
              <w:rPr>
                <w:rFonts w:hint="eastAsia"/>
                <w:b/>
                <w:color w:val="auto"/>
                <w:kern w:val="0"/>
                <w:szCs w:val="21"/>
                <w:lang w:val="en-US" w:eastAsia="zh-CN"/>
              </w:rPr>
              <w:t>本项目</w:t>
            </w:r>
            <w:r>
              <w:rPr>
                <w:b/>
                <w:color w:val="auto"/>
                <w:kern w:val="0"/>
                <w:szCs w:val="21"/>
              </w:rPr>
              <w:t>水平衡图（m</w:t>
            </w:r>
            <w:r>
              <w:rPr>
                <w:b/>
                <w:color w:val="auto"/>
                <w:kern w:val="0"/>
                <w:szCs w:val="21"/>
                <w:vertAlign w:val="superscript"/>
              </w:rPr>
              <w:t>3</w:t>
            </w:r>
            <w:r>
              <w:rPr>
                <w:b/>
                <w:color w:val="auto"/>
                <w:kern w:val="0"/>
                <w:szCs w:val="21"/>
              </w:rPr>
              <w:t>/</w:t>
            </w:r>
            <w:r>
              <w:rPr>
                <w:rFonts w:hint="eastAsia"/>
                <w:b/>
                <w:color w:val="auto"/>
                <w:kern w:val="0"/>
                <w:szCs w:val="21"/>
                <w:lang w:val="en-US" w:eastAsia="zh-CN"/>
              </w:rPr>
              <w:t>d</w:t>
            </w:r>
            <w:r>
              <w:rPr>
                <w:b/>
                <w:color w:val="auto"/>
                <w:kern w:val="0"/>
                <w:szCs w:val="21"/>
              </w:rPr>
              <w:t>）</w:t>
            </w:r>
          </w:p>
          <w:p w14:paraId="3B93EBE1">
            <w:pPr>
              <w:jc w:val="center"/>
              <w:rPr>
                <w:b/>
                <w:color w:val="auto"/>
                <w:kern w:val="0"/>
                <w:szCs w:val="21"/>
              </w:rPr>
            </w:pPr>
            <w:r>
              <w:rPr>
                <w:b/>
                <w:color w:val="auto"/>
                <w:kern w:val="0"/>
                <w:szCs w:val="21"/>
              </w:rPr>
              <w:t>表</w:t>
            </w:r>
            <w:r>
              <w:rPr>
                <w:rFonts w:hint="eastAsia"/>
                <w:b/>
                <w:color w:val="auto"/>
                <w:kern w:val="0"/>
                <w:szCs w:val="21"/>
              </w:rPr>
              <w:t>2-</w:t>
            </w:r>
            <w:r>
              <w:rPr>
                <w:rFonts w:hint="eastAsia"/>
                <w:b/>
                <w:color w:val="auto"/>
                <w:kern w:val="0"/>
                <w:szCs w:val="21"/>
                <w:lang w:val="en-US" w:eastAsia="zh-CN"/>
              </w:rPr>
              <w:t>5</w:t>
            </w:r>
            <w:r>
              <w:rPr>
                <w:rFonts w:hint="eastAsia"/>
                <w:b/>
                <w:color w:val="auto"/>
                <w:kern w:val="0"/>
                <w:szCs w:val="21"/>
              </w:rPr>
              <w:t xml:space="preserve">   </w:t>
            </w:r>
            <w:r>
              <w:rPr>
                <w:rFonts w:hint="eastAsia"/>
                <w:b/>
                <w:color w:val="auto"/>
                <w:kern w:val="0"/>
                <w:szCs w:val="21"/>
                <w:lang w:val="en-US" w:eastAsia="zh-CN"/>
              </w:rPr>
              <w:t>本</w:t>
            </w:r>
            <w:r>
              <w:rPr>
                <w:b/>
                <w:color w:val="auto"/>
                <w:kern w:val="0"/>
                <w:szCs w:val="21"/>
              </w:rPr>
              <w:t>项目用水及排水情况一览表</w:t>
            </w:r>
          </w:p>
          <w:tbl>
            <w:tblPr>
              <w:tblStyle w:val="17"/>
              <w:tblW w:w="838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5"/>
              <w:gridCol w:w="1132"/>
              <w:gridCol w:w="1486"/>
              <w:gridCol w:w="795"/>
              <w:gridCol w:w="780"/>
              <w:gridCol w:w="885"/>
              <w:gridCol w:w="900"/>
              <w:gridCol w:w="915"/>
              <w:gridCol w:w="942"/>
            </w:tblGrid>
            <w:tr w14:paraId="2DC1E9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5" w:type="dxa"/>
                  <w:vAlign w:val="center"/>
                </w:tcPr>
                <w:p w14:paraId="01C1662B">
                  <w:pPr>
                    <w:autoSpaceDE w:val="0"/>
                    <w:autoSpaceDN w:val="0"/>
                    <w:jc w:val="both"/>
                    <w:rPr>
                      <w:color w:val="auto"/>
                      <w:kern w:val="0"/>
                      <w:sz w:val="21"/>
                      <w:szCs w:val="21"/>
                    </w:rPr>
                  </w:pPr>
                  <w:r>
                    <w:rPr>
                      <w:color w:val="auto"/>
                      <w:kern w:val="0"/>
                      <w:sz w:val="21"/>
                      <w:szCs w:val="21"/>
                    </w:rPr>
                    <w:t>序号</w:t>
                  </w:r>
                </w:p>
              </w:tc>
              <w:tc>
                <w:tcPr>
                  <w:tcW w:w="1132" w:type="dxa"/>
                  <w:vAlign w:val="center"/>
                </w:tcPr>
                <w:p w14:paraId="0792DCF8">
                  <w:pPr>
                    <w:autoSpaceDE w:val="0"/>
                    <w:autoSpaceDN w:val="0"/>
                    <w:jc w:val="both"/>
                    <w:rPr>
                      <w:color w:val="auto"/>
                      <w:kern w:val="0"/>
                      <w:sz w:val="21"/>
                      <w:szCs w:val="21"/>
                    </w:rPr>
                  </w:pPr>
                  <w:r>
                    <w:rPr>
                      <w:color w:val="auto"/>
                      <w:kern w:val="0"/>
                      <w:sz w:val="21"/>
                      <w:szCs w:val="21"/>
                    </w:rPr>
                    <w:t>名称</w:t>
                  </w:r>
                </w:p>
              </w:tc>
              <w:tc>
                <w:tcPr>
                  <w:tcW w:w="1486" w:type="dxa"/>
                  <w:vAlign w:val="center"/>
                </w:tcPr>
                <w:p w14:paraId="16C110ED">
                  <w:pPr>
                    <w:autoSpaceDE w:val="0"/>
                    <w:autoSpaceDN w:val="0"/>
                    <w:jc w:val="both"/>
                    <w:rPr>
                      <w:color w:val="auto"/>
                      <w:kern w:val="0"/>
                      <w:sz w:val="21"/>
                      <w:szCs w:val="21"/>
                    </w:rPr>
                  </w:pPr>
                  <w:r>
                    <w:rPr>
                      <w:color w:val="auto"/>
                      <w:kern w:val="0"/>
                      <w:sz w:val="21"/>
                      <w:szCs w:val="21"/>
                    </w:rPr>
                    <w:t>用水定额</w:t>
                  </w:r>
                </w:p>
              </w:tc>
              <w:tc>
                <w:tcPr>
                  <w:tcW w:w="795" w:type="dxa"/>
                  <w:vAlign w:val="center"/>
                </w:tcPr>
                <w:p w14:paraId="37581F6E">
                  <w:pPr>
                    <w:autoSpaceDE w:val="0"/>
                    <w:autoSpaceDN w:val="0"/>
                    <w:jc w:val="both"/>
                    <w:rPr>
                      <w:color w:val="auto"/>
                      <w:kern w:val="0"/>
                      <w:sz w:val="21"/>
                      <w:szCs w:val="21"/>
                    </w:rPr>
                  </w:pPr>
                  <w:r>
                    <w:rPr>
                      <w:color w:val="auto"/>
                      <w:kern w:val="0"/>
                      <w:sz w:val="21"/>
                      <w:szCs w:val="21"/>
                    </w:rPr>
                    <w:t>数量</w:t>
                  </w:r>
                </w:p>
              </w:tc>
              <w:tc>
                <w:tcPr>
                  <w:tcW w:w="780" w:type="dxa"/>
                  <w:vAlign w:val="center"/>
                </w:tcPr>
                <w:p w14:paraId="0CD9611C">
                  <w:pPr>
                    <w:autoSpaceDE w:val="0"/>
                    <w:autoSpaceDN w:val="0"/>
                    <w:jc w:val="both"/>
                    <w:rPr>
                      <w:color w:val="auto"/>
                      <w:kern w:val="0"/>
                      <w:sz w:val="21"/>
                      <w:szCs w:val="21"/>
                    </w:rPr>
                  </w:pPr>
                  <w:r>
                    <w:rPr>
                      <w:color w:val="auto"/>
                      <w:kern w:val="0"/>
                      <w:sz w:val="21"/>
                      <w:szCs w:val="21"/>
                    </w:rPr>
                    <w:t>天数</w:t>
                  </w:r>
                </w:p>
              </w:tc>
              <w:tc>
                <w:tcPr>
                  <w:tcW w:w="885" w:type="dxa"/>
                  <w:vAlign w:val="center"/>
                </w:tcPr>
                <w:p w14:paraId="25A14AF4">
                  <w:pPr>
                    <w:autoSpaceDE w:val="0"/>
                    <w:autoSpaceDN w:val="0"/>
                    <w:jc w:val="both"/>
                    <w:rPr>
                      <w:color w:val="auto"/>
                      <w:kern w:val="0"/>
                      <w:sz w:val="21"/>
                      <w:szCs w:val="21"/>
                    </w:rPr>
                  </w:pPr>
                  <w:r>
                    <w:rPr>
                      <w:rFonts w:hint="default" w:ascii="Times New Roman" w:hAnsi="Times New Roman" w:cs="Times New Roman"/>
                      <w:color w:val="auto"/>
                      <w:kern w:val="0"/>
                      <w:sz w:val="21"/>
                      <w:szCs w:val="21"/>
                    </w:rPr>
                    <w:t>用水量m</w:t>
                  </w:r>
                  <w:r>
                    <w:rPr>
                      <w:rFonts w:hint="default" w:ascii="Times New Roman" w:hAnsi="Times New Roman" w:cs="Times New Roman"/>
                      <w:color w:val="auto"/>
                      <w:kern w:val="0"/>
                      <w:sz w:val="21"/>
                      <w:szCs w:val="21"/>
                      <w:vertAlign w:val="superscript"/>
                    </w:rPr>
                    <w:t>3</w:t>
                  </w:r>
                  <w:r>
                    <w:rPr>
                      <w:rFonts w:hint="default" w:ascii="Times New Roman" w:hAnsi="Times New Roman" w:cs="Times New Roman"/>
                      <w:color w:val="auto"/>
                      <w:kern w:val="0"/>
                      <w:sz w:val="21"/>
                      <w:szCs w:val="21"/>
                    </w:rPr>
                    <w:t>/</w:t>
                  </w:r>
                  <w:r>
                    <w:rPr>
                      <w:rFonts w:hint="eastAsia" w:cs="Times New Roman"/>
                      <w:color w:val="auto"/>
                      <w:kern w:val="0"/>
                      <w:sz w:val="21"/>
                      <w:szCs w:val="21"/>
                      <w:lang w:val="en-US" w:eastAsia="zh-CN"/>
                    </w:rPr>
                    <w:t>d</w:t>
                  </w:r>
                </w:p>
              </w:tc>
              <w:tc>
                <w:tcPr>
                  <w:tcW w:w="900" w:type="dxa"/>
                  <w:vAlign w:val="center"/>
                </w:tcPr>
                <w:p w14:paraId="62E6E8E7">
                  <w:pPr>
                    <w:autoSpaceDE w:val="0"/>
                    <w:autoSpaceDN w:val="0"/>
                    <w:jc w:val="both"/>
                    <w:rPr>
                      <w:color w:val="auto"/>
                      <w:kern w:val="0"/>
                      <w:sz w:val="21"/>
                      <w:szCs w:val="21"/>
                    </w:rPr>
                  </w:pPr>
                  <w:r>
                    <w:rPr>
                      <w:color w:val="auto"/>
                      <w:kern w:val="0"/>
                      <w:sz w:val="21"/>
                      <w:szCs w:val="21"/>
                    </w:rPr>
                    <w:t>用水量m</w:t>
                  </w:r>
                  <w:r>
                    <w:rPr>
                      <w:color w:val="auto"/>
                      <w:kern w:val="0"/>
                      <w:sz w:val="21"/>
                      <w:szCs w:val="21"/>
                      <w:vertAlign w:val="superscript"/>
                    </w:rPr>
                    <w:t>3</w:t>
                  </w:r>
                  <w:r>
                    <w:rPr>
                      <w:color w:val="auto"/>
                      <w:kern w:val="0"/>
                      <w:sz w:val="21"/>
                      <w:szCs w:val="21"/>
                    </w:rPr>
                    <w:t>/a</w:t>
                  </w:r>
                </w:p>
              </w:tc>
              <w:tc>
                <w:tcPr>
                  <w:tcW w:w="915" w:type="dxa"/>
                  <w:vAlign w:val="center"/>
                </w:tcPr>
                <w:p w14:paraId="026CA244">
                  <w:pPr>
                    <w:autoSpaceDE w:val="0"/>
                    <w:autoSpaceDN w:val="0"/>
                    <w:jc w:val="both"/>
                    <w:rPr>
                      <w:color w:val="auto"/>
                      <w:kern w:val="0"/>
                      <w:sz w:val="21"/>
                      <w:szCs w:val="21"/>
                    </w:rPr>
                  </w:pPr>
                  <w:r>
                    <w:rPr>
                      <w:rFonts w:hint="default" w:ascii="Times New Roman" w:hAnsi="Times New Roman" w:cs="Times New Roman"/>
                      <w:color w:val="auto"/>
                      <w:kern w:val="0"/>
                      <w:sz w:val="21"/>
                      <w:szCs w:val="21"/>
                    </w:rPr>
                    <w:t>排放量m</w:t>
                  </w:r>
                  <w:r>
                    <w:rPr>
                      <w:rFonts w:hint="default" w:ascii="Times New Roman" w:hAnsi="Times New Roman" w:cs="Times New Roman"/>
                      <w:color w:val="auto"/>
                      <w:kern w:val="0"/>
                      <w:sz w:val="21"/>
                      <w:szCs w:val="21"/>
                      <w:vertAlign w:val="superscript"/>
                    </w:rPr>
                    <w:t>3</w:t>
                  </w:r>
                  <w:r>
                    <w:rPr>
                      <w:rFonts w:hint="default" w:ascii="Times New Roman" w:hAnsi="Times New Roman" w:cs="Times New Roman"/>
                      <w:color w:val="auto"/>
                      <w:kern w:val="0"/>
                      <w:sz w:val="21"/>
                      <w:szCs w:val="21"/>
                    </w:rPr>
                    <w:t>/</w:t>
                  </w:r>
                  <w:r>
                    <w:rPr>
                      <w:rFonts w:hint="eastAsia" w:cs="Times New Roman"/>
                      <w:color w:val="auto"/>
                      <w:kern w:val="0"/>
                      <w:sz w:val="21"/>
                      <w:szCs w:val="21"/>
                      <w:lang w:val="en-US" w:eastAsia="zh-CN"/>
                    </w:rPr>
                    <w:t>d</w:t>
                  </w:r>
                </w:p>
              </w:tc>
              <w:tc>
                <w:tcPr>
                  <w:tcW w:w="942" w:type="dxa"/>
                  <w:vAlign w:val="center"/>
                </w:tcPr>
                <w:p w14:paraId="44396C80">
                  <w:pPr>
                    <w:autoSpaceDE w:val="0"/>
                    <w:autoSpaceDN w:val="0"/>
                    <w:jc w:val="both"/>
                    <w:rPr>
                      <w:color w:val="auto"/>
                      <w:kern w:val="0"/>
                      <w:sz w:val="21"/>
                      <w:szCs w:val="21"/>
                    </w:rPr>
                  </w:pPr>
                  <w:r>
                    <w:rPr>
                      <w:color w:val="auto"/>
                      <w:kern w:val="0"/>
                      <w:sz w:val="21"/>
                      <w:szCs w:val="21"/>
                    </w:rPr>
                    <w:t>排放量m</w:t>
                  </w:r>
                  <w:r>
                    <w:rPr>
                      <w:color w:val="auto"/>
                      <w:kern w:val="0"/>
                      <w:sz w:val="21"/>
                      <w:szCs w:val="21"/>
                      <w:vertAlign w:val="superscript"/>
                    </w:rPr>
                    <w:t>3</w:t>
                  </w:r>
                  <w:r>
                    <w:rPr>
                      <w:color w:val="auto"/>
                      <w:kern w:val="0"/>
                      <w:sz w:val="21"/>
                      <w:szCs w:val="21"/>
                    </w:rPr>
                    <w:t>/a</w:t>
                  </w:r>
                </w:p>
              </w:tc>
            </w:tr>
            <w:tr w14:paraId="44C2FE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5" w:type="dxa"/>
                  <w:vAlign w:val="center"/>
                </w:tcPr>
                <w:p w14:paraId="248D9E93">
                  <w:pPr>
                    <w:autoSpaceDE w:val="0"/>
                    <w:autoSpaceDN w:val="0"/>
                    <w:jc w:val="center"/>
                    <w:rPr>
                      <w:color w:val="auto"/>
                      <w:kern w:val="0"/>
                      <w:sz w:val="21"/>
                      <w:szCs w:val="21"/>
                    </w:rPr>
                  </w:pPr>
                  <w:r>
                    <w:rPr>
                      <w:color w:val="auto"/>
                      <w:kern w:val="0"/>
                      <w:sz w:val="21"/>
                      <w:szCs w:val="21"/>
                    </w:rPr>
                    <w:t>1</w:t>
                  </w:r>
                </w:p>
              </w:tc>
              <w:tc>
                <w:tcPr>
                  <w:tcW w:w="1132" w:type="dxa"/>
                  <w:vAlign w:val="center"/>
                </w:tcPr>
                <w:p w14:paraId="38D1733A">
                  <w:pPr>
                    <w:autoSpaceDE w:val="0"/>
                    <w:autoSpaceDN w:val="0"/>
                    <w:jc w:val="center"/>
                    <w:rPr>
                      <w:color w:val="auto"/>
                      <w:kern w:val="0"/>
                      <w:sz w:val="21"/>
                      <w:szCs w:val="21"/>
                    </w:rPr>
                  </w:pPr>
                  <w:r>
                    <w:rPr>
                      <w:color w:val="auto"/>
                      <w:kern w:val="0"/>
                      <w:sz w:val="21"/>
                      <w:szCs w:val="21"/>
                    </w:rPr>
                    <w:t>生活用水</w:t>
                  </w:r>
                </w:p>
              </w:tc>
              <w:tc>
                <w:tcPr>
                  <w:tcW w:w="1486" w:type="dxa"/>
                  <w:vAlign w:val="center"/>
                </w:tcPr>
                <w:p w14:paraId="0416D950">
                  <w:pPr>
                    <w:autoSpaceDE w:val="0"/>
                    <w:autoSpaceDN w:val="0"/>
                    <w:jc w:val="center"/>
                    <w:rPr>
                      <w:rFonts w:hint="default" w:ascii="Times New Roman" w:hAnsi="Times New Roman" w:cs="Times New Roman"/>
                      <w:color w:val="auto"/>
                      <w:kern w:val="0"/>
                      <w:sz w:val="21"/>
                      <w:szCs w:val="21"/>
                    </w:rPr>
                  </w:pPr>
                  <w:r>
                    <w:rPr>
                      <w:rFonts w:hint="eastAsia" w:cs="Times New Roman"/>
                      <w:color w:val="auto"/>
                      <w:kern w:val="0"/>
                      <w:sz w:val="21"/>
                      <w:szCs w:val="21"/>
                      <w:lang w:val="en-US" w:eastAsia="zh-CN"/>
                    </w:rPr>
                    <w:t>10m</w:t>
                  </w:r>
                  <w:r>
                    <w:rPr>
                      <w:rFonts w:hint="eastAsia" w:cs="Times New Roman"/>
                      <w:color w:val="auto"/>
                      <w:kern w:val="0"/>
                      <w:sz w:val="21"/>
                      <w:szCs w:val="21"/>
                      <w:vertAlign w:val="superscript"/>
                      <w:lang w:val="en-US" w:eastAsia="zh-CN"/>
                    </w:rPr>
                    <w:t>3</w:t>
                  </w:r>
                  <w:r>
                    <w:rPr>
                      <w:rFonts w:hint="default" w:ascii="Times New Roman" w:hAnsi="Times New Roman" w:cs="Times New Roman"/>
                      <w:color w:val="auto"/>
                      <w:kern w:val="0"/>
                      <w:sz w:val="21"/>
                      <w:szCs w:val="21"/>
                    </w:rPr>
                    <w:t>/（人·</w:t>
                  </w:r>
                  <w:r>
                    <w:rPr>
                      <w:rFonts w:hint="eastAsia" w:cs="Times New Roman"/>
                      <w:color w:val="auto"/>
                      <w:kern w:val="0"/>
                      <w:sz w:val="21"/>
                      <w:szCs w:val="21"/>
                      <w:lang w:val="en-US" w:eastAsia="zh-CN"/>
                    </w:rPr>
                    <w:t>a</w:t>
                  </w:r>
                  <w:r>
                    <w:rPr>
                      <w:rFonts w:hint="default" w:ascii="Times New Roman" w:hAnsi="Times New Roman" w:cs="Times New Roman"/>
                      <w:color w:val="auto"/>
                      <w:kern w:val="0"/>
                      <w:sz w:val="21"/>
                      <w:szCs w:val="21"/>
                    </w:rPr>
                    <w:t>）</w:t>
                  </w:r>
                </w:p>
              </w:tc>
              <w:tc>
                <w:tcPr>
                  <w:tcW w:w="795" w:type="dxa"/>
                  <w:vAlign w:val="center"/>
                </w:tcPr>
                <w:p w14:paraId="586F4212">
                  <w:pPr>
                    <w:autoSpaceDE w:val="0"/>
                    <w:autoSpaceDN w:val="0"/>
                    <w:jc w:val="center"/>
                    <w:rPr>
                      <w:color w:val="auto"/>
                      <w:kern w:val="0"/>
                      <w:sz w:val="21"/>
                      <w:szCs w:val="21"/>
                    </w:rPr>
                  </w:pPr>
                  <w:r>
                    <w:rPr>
                      <w:rFonts w:hint="eastAsia"/>
                      <w:color w:val="auto"/>
                      <w:kern w:val="0"/>
                      <w:sz w:val="21"/>
                      <w:szCs w:val="21"/>
                      <w:lang w:val="en-US" w:eastAsia="zh-CN"/>
                    </w:rPr>
                    <w:t>20</w:t>
                  </w:r>
                  <w:r>
                    <w:rPr>
                      <w:color w:val="auto"/>
                      <w:kern w:val="0"/>
                      <w:sz w:val="21"/>
                      <w:szCs w:val="21"/>
                    </w:rPr>
                    <w:t>人</w:t>
                  </w:r>
                </w:p>
              </w:tc>
              <w:tc>
                <w:tcPr>
                  <w:tcW w:w="780" w:type="dxa"/>
                  <w:vAlign w:val="center"/>
                </w:tcPr>
                <w:p w14:paraId="0D4A7D6D">
                  <w:pPr>
                    <w:autoSpaceDE w:val="0"/>
                    <w:autoSpaceDN w:val="0"/>
                    <w:jc w:val="center"/>
                    <w:rPr>
                      <w:color w:val="auto"/>
                      <w:kern w:val="0"/>
                      <w:sz w:val="21"/>
                      <w:szCs w:val="21"/>
                    </w:rPr>
                  </w:pPr>
                  <w:r>
                    <w:rPr>
                      <w:rFonts w:hint="eastAsia"/>
                      <w:color w:val="auto"/>
                      <w:kern w:val="0"/>
                      <w:sz w:val="21"/>
                      <w:szCs w:val="21"/>
                      <w:lang w:val="en-US" w:eastAsia="zh-CN"/>
                    </w:rPr>
                    <w:t>300</w:t>
                  </w:r>
                  <w:r>
                    <w:rPr>
                      <w:color w:val="auto"/>
                      <w:kern w:val="0"/>
                      <w:sz w:val="21"/>
                      <w:szCs w:val="21"/>
                    </w:rPr>
                    <w:t>d</w:t>
                  </w:r>
                </w:p>
              </w:tc>
              <w:tc>
                <w:tcPr>
                  <w:tcW w:w="885" w:type="dxa"/>
                  <w:vAlign w:val="center"/>
                </w:tcPr>
                <w:p w14:paraId="6D2D14B4">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cs="Times New Roman"/>
                      <w:color w:val="auto"/>
                      <w:kern w:val="0"/>
                      <w:sz w:val="21"/>
                      <w:szCs w:val="21"/>
                      <w:lang w:val="en-US" w:eastAsia="zh-CN"/>
                    </w:rPr>
                  </w:pPr>
                  <w:r>
                    <w:rPr>
                      <w:rFonts w:hint="eastAsia" w:cs="Times New Roman"/>
                      <w:color w:val="auto"/>
                      <w:kern w:val="0"/>
                      <w:sz w:val="21"/>
                      <w:szCs w:val="21"/>
                      <w:lang w:val="en-US" w:eastAsia="zh-CN"/>
                    </w:rPr>
                    <w:t>0.548</w:t>
                  </w:r>
                </w:p>
              </w:tc>
              <w:tc>
                <w:tcPr>
                  <w:tcW w:w="900" w:type="dxa"/>
                  <w:vAlign w:val="center"/>
                </w:tcPr>
                <w:p w14:paraId="0767992D">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cs="Times New Roman"/>
                      <w:color w:val="auto"/>
                      <w:kern w:val="0"/>
                      <w:sz w:val="21"/>
                      <w:szCs w:val="21"/>
                      <w:lang w:val="en-US" w:eastAsia="zh-CN"/>
                    </w:rPr>
                  </w:pPr>
                  <w:r>
                    <w:rPr>
                      <w:rFonts w:hint="eastAsia" w:cs="Times New Roman"/>
                      <w:color w:val="auto"/>
                      <w:kern w:val="0"/>
                      <w:sz w:val="21"/>
                      <w:szCs w:val="21"/>
                      <w:lang w:val="en-US" w:eastAsia="zh-CN"/>
                    </w:rPr>
                    <w:t>164.384</w:t>
                  </w:r>
                </w:p>
              </w:tc>
              <w:tc>
                <w:tcPr>
                  <w:tcW w:w="915" w:type="dxa"/>
                  <w:vAlign w:val="center"/>
                </w:tcPr>
                <w:p w14:paraId="2926D984">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cs="Times New Roman"/>
                      <w:color w:val="auto"/>
                      <w:kern w:val="21"/>
                      <w:sz w:val="21"/>
                      <w:szCs w:val="21"/>
                      <w:lang w:val="en-US" w:eastAsia="zh-CN"/>
                    </w:rPr>
                  </w:pPr>
                  <w:r>
                    <w:rPr>
                      <w:rFonts w:hint="eastAsia" w:cs="Times New Roman"/>
                      <w:color w:val="auto"/>
                      <w:kern w:val="21"/>
                      <w:sz w:val="21"/>
                      <w:szCs w:val="21"/>
                      <w:lang w:val="en-US" w:eastAsia="zh-CN"/>
                    </w:rPr>
                    <w:t>0.438</w:t>
                  </w:r>
                </w:p>
              </w:tc>
              <w:tc>
                <w:tcPr>
                  <w:tcW w:w="942" w:type="dxa"/>
                  <w:vAlign w:val="center"/>
                </w:tcPr>
                <w:p w14:paraId="25B69B7A">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cs="Times New Roman"/>
                      <w:color w:val="auto"/>
                      <w:kern w:val="21"/>
                      <w:sz w:val="21"/>
                      <w:szCs w:val="21"/>
                      <w:lang w:val="en-US" w:eastAsia="zh-CN"/>
                    </w:rPr>
                  </w:pPr>
                  <w:r>
                    <w:rPr>
                      <w:rFonts w:hint="eastAsia" w:cs="Times New Roman"/>
                      <w:color w:val="auto"/>
                      <w:kern w:val="21"/>
                      <w:sz w:val="21"/>
                      <w:szCs w:val="21"/>
                      <w:lang w:val="en-US" w:eastAsia="zh-CN"/>
                    </w:rPr>
                    <w:t>131.507</w:t>
                  </w:r>
                </w:p>
              </w:tc>
            </w:tr>
            <w:tr w14:paraId="5D02A0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5" w:type="dxa"/>
                  <w:vAlign w:val="center"/>
                </w:tcPr>
                <w:p w14:paraId="3C207123">
                  <w:pPr>
                    <w:autoSpaceDE w:val="0"/>
                    <w:autoSpaceDN w:val="0"/>
                    <w:jc w:val="center"/>
                    <w:rPr>
                      <w:rFonts w:hint="eastAsia" w:eastAsia="宋体"/>
                      <w:color w:val="auto"/>
                      <w:kern w:val="0"/>
                      <w:sz w:val="21"/>
                      <w:szCs w:val="21"/>
                      <w:lang w:val="en-US" w:eastAsia="zh-CN"/>
                    </w:rPr>
                  </w:pPr>
                  <w:r>
                    <w:rPr>
                      <w:rFonts w:hint="eastAsia"/>
                      <w:color w:val="auto"/>
                      <w:kern w:val="0"/>
                      <w:sz w:val="21"/>
                      <w:szCs w:val="21"/>
                      <w:lang w:val="en-US" w:eastAsia="zh-CN"/>
                    </w:rPr>
                    <w:t>2</w:t>
                  </w:r>
                </w:p>
              </w:tc>
              <w:tc>
                <w:tcPr>
                  <w:tcW w:w="1132" w:type="dxa"/>
                  <w:vAlign w:val="center"/>
                </w:tcPr>
                <w:p w14:paraId="446BF65B">
                  <w:pPr>
                    <w:autoSpaceDE w:val="0"/>
                    <w:autoSpaceDN w:val="0"/>
                    <w:jc w:val="center"/>
                    <w:rPr>
                      <w:rFonts w:hint="default" w:eastAsia="宋体"/>
                      <w:color w:val="auto"/>
                      <w:kern w:val="0"/>
                      <w:sz w:val="21"/>
                      <w:szCs w:val="21"/>
                      <w:lang w:val="en-US" w:eastAsia="zh-CN"/>
                    </w:rPr>
                  </w:pPr>
                  <w:r>
                    <w:rPr>
                      <w:rFonts w:hint="eastAsia"/>
                      <w:color w:val="auto"/>
                      <w:kern w:val="0"/>
                      <w:sz w:val="21"/>
                      <w:szCs w:val="21"/>
                      <w:lang w:val="en-US" w:eastAsia="zh-CN"/>
                    </w:rPr>
                    <w:t>除尘用水</w:t>
                  </w:r>
                </w:p>
              </w:tc>
              <w:tc>
                <w:tcPr>
                  <w:tcW w:w="1486" w:type="dxa"/>
                  <w:vAlign w:val="center"/>
                </w:tcPr>
                <w:p w14:paraId="26FB5AA6">
                  <w:pPr>
                    <w:autoSpaceDE w:val="0"/>
                    <w:autoSpaceDN w:val="0"/>
                    <w:jc w:val="center"/>
                    <w:rPr>
                      <w:rFonts w:hint="default" w:cs="Times New Roman"/>
                      <w:color w:val="auto"/>
                      <w:kern w:val="0"/>
                      <w:sz w:val="21"/>
                      <w:szCs w:val="21"/>
                      <w:lang w:val="en-US" w:eastAsia="zh-CN"/>
                    </w:rPr>
                  </w:pPr>
                  <w:r>
                    <w:rPr>
                      <w:rFonts w:hint="eastAsia" w:cs="Times New Roman"/>
                      <w:color w:val="auto"/>
                      <w:kern w:val="0"/>
                      <w:sz w:val="21"/>
                      <w:szCs w:val="21"/>
                      <w:lang w:val="en-US" w:eastAsia="zh-CN"/>
                    </w:rPr>
                    <w:t>/</w:t>
                  </w:r>
                </w:p>
              </w:tc>
              <w:tc>
                <w:tcPr>
                  <w:tcW w:w="795" w:type="dxa"/>
                  <w:vAlign w:val="center"/>
                </w:tcPr>
                <w:p w14:paraId="30AAB8E3">
                  <w:pPr>
                    <w:autoSpaceDE w:val="0"/>
                    <w:autoSpaceDN w:val="0"/>
                    <w:jc w:val="center"/>
                    <w:rPr>
                      <w:rFonts w:hint="default"/>
                      <w:color w:val="auto"/>
                      <w:kern w:val="0"/>
                      <w:sz w:val="21"/>
                      <w:szCs w:val="21"/>
                      <w:lang w:val="en-US" w:eastAsia="zh-CN"/>
                    </w:rPr>
                  </w:pPr>
                  <w:r>
                    <w:rPr>
                      <w:rFonts w:hint="eastAsia"/>
                      <w:color w:val="auto"/>
                      <w:kern w:val="0"/>
                      <w:sz w:val="21"/>
                      <w:szCs w:val="21"/>
                      <w:lang w:val="en-US" w:eastAsia="zh-CN"/>
                    </w:rPr>
                    <w:t>/</w:t>
                  </w:r>
                </w:p>
              </w:tc>
              <w:tc>
                <w:tcPr>
                  <w:tcW w:w="780" w:type="dxa"/>
                  <w:vAlign w:val="center"/>
                </w:tcPr>
                <w:p w14:paraId="0B336ACF">
                  <w:pPr>
                    <w:autoSpaceDE w:val="0"/>
                    <w:autoSpaceDN w:val="0"/>
                    <w:jc w:val="center"/>
                    <w:rPr>
                      <w:rFonts w:hint="default"/>
                      <w:color w:val="auto"/>
                      <w:kern w:val="0"/>
                      <w:sz w:val="21"/>
                      <w:szCs w:val="21"/>
                      <w:lang w:val="en-US" w:eastAsia="zh-CN"/>
                    </w:rPr>
                  </w:pPr>
                  <w:r>
                    <w:rPr>
                      <w:rFonts w:hint="eastAsia"/>
                      <w:color w:val="auto"/>
                      <w:kern w:val="0"/>
                      <w:sz w:val="21"/>
                      <w:szCs w:val="21"/>
                      <w:lang w:val="en-US" w:eastAsia="zh-CN"/>
                    </w:rPr>
                    <w:t>/</w:t>
                  </w:r>
                </w:p>
              </w:tc>
              <w:tc>
                <w:tcPr>
                  <w:tcW w:w="885" w:type="dxa"/>
                  <w:vAlign w:val="center"/>
                </w:tcPr>
                <w:p w14:paraId="73801EAD">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cs="Times New Roman"/>
                      <w:color w:val="auto"/>
                      <w:kern w:val="0"/>
                      <w:sz w:val="21"/>
                      <w:szCs w:val="21"/>
                      <w:lang w:val="en-US" w:eastAsia="zh-CN"/>
                    </w:rPr>
                  </w:pPr>
                  <w:r>
                    <w:rPr>
                      <w:rFonts w:hint="eastAsia" w:cs="Times New Roman"/>
                      <w:color w:val="auto"/>
                      <w:kern w:val="0"/>
                      <w:sz w:val="21"/>
                      <w:szCs w:val="21"/>
                      <w:lang w:val="en-US" w:eastAsia="zh-CN"/>
                    </w:rPr>
                    <w:t>0.15</w:t>
                  </w:r>
                </w:p>
              </w:tc>
              <w:tc>
                <w:tcPr>
                  <w:tcW w:w="900" w:type="dxa"/>
                  <w:vAlign w:val="center"/>
                </w:tcPr>
                <w:p w14:paraId="551C557F">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cs="Times New Roman"/>
                      <w:color w:val="auto"/>
                      <w:kern w:val="0"/>
                      <w:sz w:val="21"/>
                      <w:szCs w:val="21"/>
                      <w:lang w:val="en-US" w:eastAsia="zh-CN"/>
                    </w:rPr>
                  </w:pPr>
                  <w:r>
                    <w:rPr>
                      <w:rFonts w:hint="eastAsia" w:cs="Times New Roman"/>
                      <w:color w:val="auto"/>
                      <w:kern w:val="0"/>
                      <w:sz w:val="21"/>
                      <w:szCs w:val="21"/>
                      <w:lang w:val="en-US" w:eastAsia="zh-CN"/>
                    </w:rPr>
                    <w:t>44.9</w:t>
                  </w:r>
                </w:p>
              </w:tc>
              <w:tc>
                <w:tcPr>
                  <w:tcW w:w="915" w:type="dxa"/>
                  <w:vAlign w:val="center"/>
                </w:tcPr>
                <w:p w14:paraId="2B18D670">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cs="Times New Roman"/>
                      <w:color w:val="auto"/>
                      <w:kern w:val="21"/>
                      <w:sz w:val="21"/>
                      <w:szCs w:val="21"/>
                      <w:lang w:val="en-US" w:eastAsia="zh-CN"/>
                    </w:rPr>
                  </w:pPr>
                  <w:r>
                    <w:rPr>
                      <w:rFonts w:hint="eastAsia" w:cs="Times New Roman"/>
                      <w:color w:val="auto"/>
                      <w:kern w:val="21"/>
                      <w:sz w:val="21"/>
                      <w:szCs w:val="21"/>
                      <w:lang w:val="en-US" w:eastAsia="zh-CN"/>
                    </w:rPr>
                    <w:t>0</w:t>
                  </w:r>
                </w:p>
              </w:tc>
              <w:tc>
                <w:tcPr>
                  <w:tcW w:w="942" w:type="dxa"/>
                  <w:vAlign w:val="center"/>
                </w:tcPr>
                <w:p w14:paraId="4704D131">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cs="Times New Roman"/>
                      <w:color w:val="auto"/>
                      <w:kern w:val="21"/>
                      <w:sz w:val="21"/>
                      <w:szCs w:val="21"/>
                      <w:lang w:val="en-US" w:eastAsia="zh-CN"/>
                    </w:rPr>
                  </w:pPr>
                  <w:r>
                    <w:rPr>
                      <w:rFonts w:hint="eastAsia" w:cs="Times New Roman"/>
                      <w:color w:val="auto"/>
                      <w:kern w:val="21"/>
                      <w:sz w:val="21"/>
                      <w:szCs w:val="21"/>
                      <w:lang w:val="en-US" w:eastAsia="zh-CN"/>
                    </w:rPr>
                    <w:t>0</w:t>
                  </w:r>
                </w:p>
              </w:tc>
            </w:tr>
            <w:tr w14:paraId="1F2F4C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738" w:type="dxa"/>
                  <w:gridSpan w:val="5"/>
                  <w:vAlign w:val="center"/>
                </w:tcPr>
                <w:p w14:paraId="0A4C6F34">
                  <w:pPr>
                    <w:autoSpaceDE w:val="0"/>
                    <w:autoSpaceDN w:val="0"/>
                    <w:jc w:val="center"/>
                    <w:rPr>
                      <w:color w:val="auto"/>
                      <w:kern w:val="0"/>
                      <w:sz w:val="21"/>
                      <w:szCs w:val="21"/>
                    </w:rPr>
                  </w:pPr>
                  <w:r>
                    <w:rPr>
                      <w:color w:val="auto"/>
                      <w:kern w:val="0"/>
                      <w:sz w:val="21"/>
                      <w:szCs w:val="21"/>
                    </w:rPr>
                    <w:t>合计</w:t>
                  </w:r>
                </w:p>
              </w:tc>
              <w:tc>
                <w:tcPr>
                  <w:tcW w:w="885" w:type="dxa"/>
                  <w:vAlign w:val="center"/>
                </w:tcPr>
                <w:p w14:paraId="2A140A51">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cs="Times New Roman"/>
                      <w:color w:val="auto"/>
                      <w:kern w:val="0"/>
                      <w:sz w:val="21"/>
                      <w:szCs w:val="21"/>
                      <w:lang w:val="en-US" w:eastAsia="zh-CN"/>
                    </w:rPr>
                  </w:pPr>
                  <w:r>
                    <w:rPr>
                      <w:rFonts w:hint="eastAsia" w:cs="Times New Roman"/>
                      <w:color w:val="auto"/>
                      <w:kern w:val="0"/>
                      <w:sz w:val="21"/>
                      <w:szCs w:val="21"/>
                      <w:lang w:val="en-US" w:eastAsia="zh-CN"/>
                    </w:rPr>
                    <w:t>0.698</w:t>
                  </w:r>
                </w:p>
              </w:tc>
              <w:tc>
                <w:tcPr>
                  <w:tcW w:w="900" w:type="dxa"/>
                  <w:vAlign w:val="center"/>
                </w:tcPr>
                <w:p w14:paraId="43A3E2EF">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cs="Times New Roman"/>
                      <w:color w:val="auto"/>
                      <w:kern w:val="0"/>
                      <w:sz w:val="21"/>
                      <w:szCs w:val="21"/>
                      <w:lang w:val="en-US" w:eastAsia="zh-CN"/>
                    </w:rPr>
                  </w:pPr>
                  <w:r>
                    <w:rPr>
                      <w:rFonts w:hint="eastAsia" w:cs="Times New Roman"/>
                      <w:color w:val="auto"/>
                      <w:kern w:val="0"/>
                      <w:sz w:val="21"/>
                      <w:szCs w:val="21"/>
                      <w:lang w:val="en-US" w:eastAsia="zh-CN"/>
                    </w:rPr>
                    <w:t>209.284</w:t>
                  </w:r>
                </w:p>
              </w:tc>
              <w:tc>
                <w:tcPr>
                  <w:tcW w:w="915" w:type="dxa"/>
                  <w:vAlign w:val="center"/>
                </w:tcPr>
                <w:p w14:paraId="3B2BDB23">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cs="Times New Roman"/>
                      <w:color w:val="auto"/>
                      <w:kern w:val="21"/>
                      <w:sz w:val="21"/>
                      <w:szCs w:val="21"/>
                      <w:lang w:val="en-US" w:eastAsia="zh-CN"/>
                    </w:rPr>
                  </w:pPr>
                  <w:r>
                    <w:rPr>
                      <w:rFonts w:hint="eastAsia" w:cs="Times New Roman"/>
                      <w:color w:val="auto"/>
                      <w:kern w:val="21"/>
                      <w:sz w:val="21"/>
                      <w:szCs w:val="21"/>
                      <w:lang w:val="en-US" w:eastAsia="zh-CN"/>
                    </w:rPr>
                    <w:t>0.438</w:t>
                  </w:r>
                </w:p>
              </w:tc>
              <w:tc>
                <w:tcPr>
                  <w:tcW w:w="942" w:type="dxa"/>
                  <w:vAlign w:val="center"/>
                </w:tcPr>
                <w:p w14:paraId="40451661">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cs="Times New Roman"/>
                      <w:color w:val="auto"/>
                      <w:sz w:val="21"/>
                      <w:szCs w:val="21"/>
                      <w:lang w:val="en-US" w:eastAsia="zh-CN"/>
                    </w:rPr>
                  </w:pPr>
                  <w:r>
                    <w:rPr>
                      <w:rFonts w:hint="eastAsia" w:cs="Times New Roman"/>
                      <w:color w:val="auto"/>
                      <w:kern w:val="21"/>
                      <w:sz w:val="21"/>
                      <w:szCs w:val="21"/>
                      <w:lang w:val="en-US" w:eastAsia="zh-CN"/>
                    </w:rPr>
                    <w:t>131.507</w:t>
                  </w:r>
                </w:p>
              </w:tc>
            </w:tr>
          </w:tbl>
          <w:p w14:paraId="36E891A5">
            <w:pPr>
              <w:spacing w:line="360" w:lineRule="auto"/>
              <w:ind w:firstLine="480" w:firstLineChars="200"/>
              <w:rPr>
                <w:color w:val="auto"/>
                <w:kern w:val="0"/>
                <w:sz w:val="24"/>
                <w:szCs w:val="20"/>
              </w:rPr>
            </w:pPr>
            <w:r>
              <w:rPr>
                <w:color w:val="auto"/>
                <w:kern w:val="0"/>
                <w:sz w:val="24"/>
              </w:rPr>
              <w:t>（3</w:t>
            </w:r>
            <w:r>
              <w:rPr>
                <w:color w:val="auto"/>
                <w:kern w:val="0"/>
                <w:sz w:val="24"/>
                <w:szCs w:val="20"/>
              </w:rPr>
              <w:t>）供电</w:t>
            </w:r>
          </w:p>
          <w:p w14:paraId="399607F0">
            <w:pPr>
              <w:spacing w:line="360" w:lineRule="auto"/>
              <w:ind w:firstLine="480" w:firstLineChars="200"/>
              <w:rPr>
                <w:color w:val="auto"/>
                <w:kern w:val="0"/>
                <w:sz w:val="24"/>
                <w:szCs w:val="20"/>
              </w:rPr>
            </w:pPr>
            <w:r>
              <w:rPr>
                <w:color w:val="auto"/>
                <w:kern w:val="0"/>
                <w:sz w:val="24"/>
                <w:szCs w:val="20"/>
              </w:rPr>
              <w:t>项目供电电源由市政电网接入。</w:t>
            </w:r>
          </w:p>
          <w:p w14:paraId="2F5B9AFA">
            <w:pPr>
              <w:spacing w:line="360" w:lineRule="auto"/>
              <w:ind w:firstLine="480" w:firstLineChars="200"/>
              <w:rPr>
                <w:color w:val="auto"/>
                <w:kern w:val="0"/>
                <w:sz w:val="24"/>
                <w:szCs w:val="20"/>
              </w:rPr>
            </w:pPr>
            <w:r>
              <w:rPr>
                <w:color w:val="auto"/>
                <w:kern w:val="0"/>
                <w:sz w:val="24"/>
                <w:szCs w:val="20"/>
              </w:rPr>
              <w:t>（4）采暖及制冷</w:t>
            </w:r>
          </w:p>
          <w:p w14:paraId="64568CDA">
            <w:pPr>
              <w:spacing w:line="360" w:lineRule="auto"/>
              <w:ind w:firstLine="480" w:firstLineChars="200"/>
              <w:rPr>
                <w:color w:val="auto"/>
                <w:kern w:val="0"/>
                <w:sz w:val="24"/>
                <w:szCs w:val="20"/>
              </w:rPr>
            </w:pPr>
            <w:r>
              <w:rPr>
                <w:color w:val="auto"/>
                <w:kern w:val="0"/>
                <w:sz w:val="24"/>
                <w:szCs w:val="20"/>
              </w:rPr>
              <w:t>办公室</w:t>
            </w:r>
            <w:r>
              <w:rPr>
                <w:rFonts w:hint="eastAsia"/>
                <w:color w:val="auto"/>
                <w:kern w:val="0"/>
                <w:sz w:val="24"/>
                <w:szCs w:val="20"/>
                <w:lang w:val="en-US" w:eastAsia="zh-CN"/>
              </w:rPr>
              <w:t>采用</w:t>
            </w:r>
            <w:r>
              <w:rPr>
                <w:color w:val="auto"/>
                <w:kern w:val="0"/>
                <w:sz w:val="24"/>
                <w:szCs w:val="20"/>
              </w:rPr>
              <w:t>分体式空调采暖、制冷。</w:t>
            </w:r>
          </w:p>
          <w:p w14:paraId="01D3D601">
            <w:pPr>
              <w:spacing w:line="360" w:lineRule="auto"/>
              <w:ind w:firstLine="482" w:firstLineChars="200"/>
              <w:rPr>
                <w:b/>
                <w:color w:val="auto"/>
                <w:kern w:val="0"/>
                <w:sz w:val="24"/>
                <w:szCs w:val="20"/>
              </w:rPr>
            </w:pPr>
            <w:r>
              <w:rPr>
                <w:b/>
                <w:color w:val="auto"/>
                <w:kern w:val="0"/>
                <w:sz w:val="24"/>
                <w:szCs w:val="20"/>
              </w:rPr>
              <w:t>3</w:t>
            </w:r>
            <w:r>
              <w:rPr>
                <w:rFonts w:hint="eastAsia"/>
                <w:b/>
                <w:color w:val="auto"/>
                <w:kern w:val="0"/>
                <w:sz w:val="24"/>
                <w:szCs w:val="20"/>
                <w:lang w:eastAsia="zh-CN"/>
              </w:rPr>
              <w:t>、</w:t>
            </w:r>
            <w:r>
              <w:rPr>
                <w:b/>
                <w:color w:val="auto"/>
                <w:kern w:val="0"/>
                <w:sz w:val="24"/>
                <w:szCs w:val="20"/>
              </w:rPr>
              <w:t>劳动定员及工作制度</w:t>
            </w:r>
          </w:p>
          <w:p w14:paraId="1A73A299">
            <w:pPr>
              <w:spacing w:line="360" w:lineRule="auto"/>
              <w:ind w:firstLine="480" w:firstLineChars="200"/>
              <w:rPr>
                <w:color w:val="auto"/>
                <w:kern w:val="0"/>
                <w:sz w:val="24"/>
                <w:szCs w:val="22"/>
                <w:lang w:val="zh-TW"/>
              </w:rPr>
            </w:pPr>
            <w:r>
              <w:rPr>
                <w:rFonts w:hint="eastAsia"/>
                <w:color w:val="auto"/>
                <w:kern w:val="0"/>
                <w:sz w:val="24"/>
                <w:szCs w:val="20"/>
                <w:lang w:val="en-US" w:eastAsia="zh-CN"/>
              </w:rPr>
              <w:t>本</w:t>
            </w:r>
            <w:r>
              <w:rPr>
                <w:color w:val="auto"/>
                <w:kern w:val="0"/>
                <w:sz w:val="24"/>
                <w:szCs w:val="20"/>
              </w:rPr>
              <w:t>项目</w:t>
            </w:r>
            <w:r>
              <w:rPr>
                <w:rFonts w:hint="eastAsia"/>
                <w:color w:val="auto"/>
                <w:kern w:val="0"/>
                <w:sz w:val="24"/>
                <w:szCs w:val="20"/>
                <w:lang w:val="en-US" w:eastAsia="zh-CN"/>
              </w:rPr>
              <w:t>建成后新增</w:t>
            </w:r>
            <w:r>
              <w:rPr>
                <w:color w:val="auto"/>
                <w:kern w:val="0"/>
                <w:sz w:val="24"/>
                <w:szCs w:val="20"/>
              </w:rPr>
              <w:t>劳动</w:t>
            </w:r>
            <w:r>
              <w:rPr>
                <w:color w:val="auto"/>
                <w:kern w:val="0"/>
                <w:sz w:val="24"/>
                <w:szCs w:val="22"/>
                <w:lang w:val="zh-TW" w:eastAsia="zh-TW"/>
              </w:rPr>
              <w:t>定员</w:t>
            </w:r>
            <w:r>
              <w:rPr>
                <w:rFonts w:hint="eastAsia"/>
                <w:color w:val="auto"/>
                <w:kern w:val="0"/>
                <w:sz w:val="24"/>
                <w:szCs w:val="22"/>
                <w:lang w:val="en-US" w:eastAsia="zh-CN"/>
              </w:rPr>
              <w:t>20</w:t>
            </w:r>
            <w:r>
              <w:rPr>
                <w:color w:val="auto"/>
                <w:kern w:val="0"/>
                <w:sz w:val="24"/>
                <w:szCs w:val="22"/>
                <w:lang w:val="zh-TW" w:eastAsia="zh-TW"/>
              </w:rPr>
              <w:t>人</w:t>
            </w:r>
            <w:r>
              <w:rPr>
                <w:color w:val="auto"/>
                <w:kern w:val="0"/>
                <w:sz w:val="24"/>
                <w:szCs w:val="22"/>
              </w:rPr>
              <w:t>，每</w:t>
            </w:r>
            <w:r>
              <w:rPr>
                <w:rFonts w:hint="eastAsia"/>
                <w:color w:val="auto"/>
                <w:kern w:val="0"/>
                <w:sz w:val="24"/>
                <w:szCs w:val="22"/>
                <w:lang w:val="en-US" w:eastAsia="zh-CN"/>
              </w:rPr>
              <w:t>班</w:t>
            </w:r>
            <w:r>
              <w:rPr>
                <w:color w:val="auto"/>
                <w:kern w:val="0"/>
                <w:sz w:val="24"/>
                <w:szCs w:val="22"/>
              </w:rPr>
              <w:t>工作</w:t>
            </w:r>
            <w:r>
              <w:rPr>
                <w:rFonts w:hint="eastAsia"/>
                <w:color w:val="auto"/>
                <w:kern w:val="0"/>
                <w:sz w:val="24"/>
                <w:szCs w:val="22"/>
                <w:lang w:val="en-US" w:eastAsia="zh-CN"/>
              </w:rPr>
              <w:t>8</w:t>
            </w:r>
            <w:r>
              <w:rPr>
                <w:color w:val="auto"/>
                <w:kern w:val="0"/>
                <w:sz w:val="24"/>
                <w:szCs w:val="22"/>
              </w:rPr>
              <w:t>h</w:t>
            </w:r>
            <w:r>
              <w:rPr>
                <w:color w:val="auto"/>
                <w:kern w:val="0"/>
                <w:sz w:val="24"/>
                <w:szCs w:val="22"/>
                <w:lang w:val="zh-TW"/>
              </w:rPr>
              <w:t>，</w:t>
            </w:r>
            <w:r>
              <w:rPr>
                <w:rFonts w:hint="eastAsia"/>
                <w:color w:val="auto"/>
                <w:kern w:val="0"/>
                <w:sz w:val="24"/>
                <w:szCs w:val="22"/>
                <w:lang w:val="en-US" w:eastAsia="zh-CN"/>
              </w:rPr>
              <w:t>每天2班，</w:t>
            </w:r>
            <w:r>
              <w:rPr>
                <w:color w:val="auto"/>
                <w:kern w:val="0"/>
                <w:sz w:val="24"/>
                <w:szCs w:val="22"/>
                <w:lang w:val="zh-TW"/>
              </w:rPr>
              <w:t>年工作</w:t>
            </w:r>
            <w:r>
              <w:rPr>
                <w:rFonts w:hint="eastAsia"/>
                <w:color w:val="auto"/>
                <w:kern w:val="0"/>
                <w:sz w:val="24"/>
                <w:szCs w:val="22"/>
                <w:lang w:val="en-US" w:eastAsia="zh-CN"/>
              </w:rPr>
              <w:t>300</w:t>
            </w:r>
            <w:r>
              <w:rPr>
                <w:color w:val="auto"/>
                <w:kern w:val="0"/>
                <w:sz w:val="24"/>
                <w:szCs w:val="22"/>
                <w:lang w:val="zh-TW"/>
              </w:rPr>
              <w:t>天。</w:t>
            </w:r>
          </w:p>
          <w:p w14:paraId="3864E2C5">
            <w:pPr>
              <w:keepNext w:val="0"/>
              <w:keepLines w:val="0"/>
              <w:pageBreakBefore w:val="0"/>
              <w:widowControl w:val="0"/>
              <w:kinsoku/>
              <w:wordWrap/>
              <w:overflowPunct/>
              <w:topLinePunct w:val="0"/>
              <w:bidi w:val="0"/>
              <w:adjustRightInd w:val="0"/>
              <w:snapToGrid/>
              <w:spacing w:line="360" w:lineRule="auto"/>
              <w:ind w:firstLine="482" w:firstLineChars="200"/>
              <w:textAlignment w:val="auto"/>
              <w:rPr>
                <w:rFonts w:hint="default"/>
                <w:b/>
                <w:bCs/>
                <w:color w:val="auto"/>
                <w:sz w:val="24"/>
                <w:szCs w:val="24"/>
                <w:lang w:val="en-US" w:eastAsia="zh-CN"/>
              </w:rPr>
            </w:pPr>
            <w:r>
              <w:rPr>
                <w:rFonts w:hint="eastAsia"/>
                <w:b/>
                <w:bCs/>
                <w:color w:val="auto"/>
                <w:sz w:val="24"/>
                <w:szCs w:val="24"/>
                <w:lang w:val="en-US" w:eastAsia="zh-CN"/>
              </w:rPr>
              <w:t>4、平面布置合理性分析</w:t>
            </w:r>
          </w:p>
          <w:p w14:paraId="6C170D81">
            <w:pPr>
              <w:keepNext w:val="0"/>
              <w:keepLines w:val="0"/>
              <w:pageBreakBefore w:val="0"/>
              <w:widowControl w:val="0"/>
              <w:kinsoku/>
              <w:wordWrap/>
              <w:overflowPunct/>
              <w:topLinePunct w:val="0"/>
              <w:bidi w:val="0"/>
              <w:adjustRightInd w:val="0"/>
              <w:snapToGrid/>
              <w:spacing w:line="360" w:lineRule="auto"/>
              <w:ind w:firstLine="480" w:firstLineChars="200"/>
              <w:textAlignment w:val="auto"/>
              <w:rPr>
                <w:rFonts w:ascii="Times New Roman" w:hAnsi="Times New Roman" w:eastAsia="宋体" w:cs="Times New Roman"/>
                <w:color w:val="auto"/>
                <w:kern w:val="0"/>
                <w:sz w:val="24"/>
                <w:szCs w:val="24"/>
              </w:rPr>
            </w:pPr>
            <w:r>
              <w:rPr>
                <w:rFonts w:ascii="Times New Roman" w:hAnsi="Times New Roman" w:eastAsia="宋体" w:cs="Times New Roman"/>
                <w:color w:val="auto"/>
                <w:kern w:val="0"/>
                <w:sz w:val="24"/>
                <w:szCs w:val="24"/>
              </w:rPr>
              <w:t>本项目根据</w:t>
            </w:r>
            <w:r>
              <w:rPr>
                <w:rFonts w:hint="eastAsia" w:ascii="宋体" w:hAnsi="宋体" w:eastAsia="宋体" w:cs="宋体"/>
                <w:color w:val="auto"/>
                <w:kern w:val="0"/>
                <w:sz w:val="24"/>
                <w:szCs w:val="24"/>
              </w:rPr>
              <w:t>“分布合理、工艺流畅、物流短捷、突出环保”</w:t>
            </w:r>
            <w:r>
              <w:rPr>
                <w:rFonts w:ascii="Times New Roman" w:hAnsi="Times New Roman" w:eastAsia="宋体" w:cs="Times New Roman"/>
                <w:color w:val="auto"/>
                <w:kern w:val="0"/>
                <w:sz w:val="24"/>
                <w:szCs w:val="24"/>
              </w:rPr>
              <w:t>的原则，结合用地条件及生产工艺，综合考虑环保、消防、卫生等要求，对厂区生产线布置进行统筹安排。</w:t>
            </w:r>
          </w:p>
          <w:p w14:paraId="79EB2648">
            <w:pPr>
              <w:spacing w:line="360" w:lineRule="auto"/>
              <w:ind w:firstLine="480" w:firstLineChars="200"/>
              <w:rPr>
                <w:rFonts w:hint="eastAsia" w:eastAsia="宋体"/>
                <w:color w:val="auto"/>
                <w:lang w:val="en-US" w:eastAsia="zh-CN"/>
              </w:rPr>
            </w:pPr>
            <w:r>
              <w:rPr>
                <w:rFonts w:ascii="Times New Roman" w:hAnsi="Times New Roman" w:eastAsia="宋体" w:cs="Times New Roman"/>
                <w:bCs/>
                <w:color w:val="auto"/>
                <w:kern w:val="0"/>
                <w:sz w:val="24"/>
                <w:szCs w:val="24"/>
              </w:rPr>
              <w:t>本项目</w:t>
            </w:r>
            <w:r>
              <w:rPr>
                <w:rFonts w:hint="eastAsia" w:ascii="Times New Roman" w:hAnsi="Times New Roman" w:eastAsia="宋体" w:cs="Times New Roman"/>
                <w:color w:val="auto"/>
                <w:kern w:val="0"/>
                <w:sz w:val="24"/>
                <w:szCs w:val="24"/>
              </w:rPr>
              <w:t>位于</w:t>
            </w:r>
            <w:r>
              <w:rPr>
                <w:rFonts w:hint="eastAsia"/>
                <w:color w:val="auto"/>
                <w:kern w:val="0"/>
                <w:sz w:val="24"/>
                <w:szCs w:val="24"/>
                <w:lang w:eastAsia="zh-CN"/>
              </w:rPr>
              <w:t>陕西省西咸新区泾河新城崇文镇焦村泾科路1号</w:t>
            </w:r>
            <w:r>
              <w:rPr>
                <w:rFonts w:hint="eastAsia" w:ascii="Times New Roman" w:hAnsi="Times New Roman" w:eastAsia="宋体" w:cs="Times New Roman"/>
                <w:color w:val="auto"/>
                <w:kern w:val="0"/>
                <w:sz w:val="24"/>
                <w:szCs w:val="24"/>
                <w:lang w:val="en-US" w:eastAsia="zh-CN"/>
              </w:rPr>
              <w:t>，</w:t>
            </w:r>
            <w:r>
              <w:rPr>
                <w:rFonts w:hint="eastAsia" w:ascii="Times New Roman" w:hAnsi="Times New Roman" w:eastAsia="宋体" w:cs="Times New Roman"/>
                <w:color w:val="auto"/>
                <w:kern w:val="0"/>
                <w:sz w:val="24"/>
                <w:szCs w:val="24"/>
              </w:rPr>
              <w:t>主要分</w:t>
            </w:r>
            <w:r>
              <w:rPr>
                <w:rFonts w:hint="eastAsia" w:cs="Times New Roman"/>
                <w:color w:val="auto"/>
                <w:kern w:val="0"/>
                <w:sz w:val="24"/>
                <w:szCs w:val="24"/>
                <w:lang w:val="en-US" w:eastAsia="zh-CN"/>
              </w:rPr>
              <w:t>为打磨区、除尘设备区</w:t>
            </w:r>
            <w:r>
              <w:rPr>
                <w:rFonts w:hint="eastAsia" w:ascii="Times New Roman" w:hAnsi="Times New Roman" w:eastAsia="宋体" w:cs="Times New Roman"/>
                <w:color w:val="auto"/>
                <w:kern w:val="0"/>
                <w:sz w:val="24"/>
                <w:szCs w:val="24"/>
              </w:rPr>
              <w:t>等</w:t>
            </w:r>
            <w:r>
              <w:rPr>
                <w:rFonts w:hint="eastAsia" w:cs="Times New Roman"/>
                <w:color w:val="auto"/>
                <w:kern w:val="0"/>
                <w:sz w:val="24"/>
                <w:szCs w:val="24"/>
                <w:lang w:eastAsia="zh-CN"/>
              </w:rPr>
              <w:t>，</w:t>
            </w:r>
            <w:r>
              <w:rPr>
                <w:rFonts w:hint="eastAsia"/>
                <w:color w:val="0000FF"/>
                <w:kern w:val="0"/>
                <w:sz w:val="24"/>
                <w:lang w:val="en-US" w:eastAsia="zh-CN"/>
              </w:rPr>
              <w:t>打磨过程中产生的金属粉尘通过风机吸入一侧的灰房内，灰房内设有水雾式除尘，水雾式除尘过滤的空气经灰房外部的袋式除尘器再次处理后经排气筒高空排放。</w:t>
            </w:r>
            <w:r>
              <w:rPr>
                <w:rFonts w:hint="eastAsia" w:ascii="Times New Roman" w:hAnsi="Times New Roman" w:eastAsia="宋体" w:cs="Times New Roman"/>
                <w:color w:val="auto"/>
                <w:kern w:val="0"/>
                <w:sz w:val="24"/>
                <w:szCs w:val="24"/>
                <w:lang w:val="en-US" w:eastAsia="zh-CN"/>
              </w:rPr>
              <w:t>车间南侧</w:t>
            </w:r>
            <w:r>
              <w:rPr>
                <w:rFonts w:hint="eastAsia" w:cs="Times New Roman"/>
                <w:color w:val="auto"/>
                <w:kern w:val="0"/>
                <w:sz w:val="24"/>
                <w:szCs w:val="24"/>
                <w:lang w:val="en-US" w:eastAsia="zh-CN"/>
              </w:rPr>
              <w:t>及北侧</w:t>
            </w:r>
            <w:r>
              <w:rPr>
                <w:rFonts w:hint="eastAsia" w:ascii="Times New Roman" w:hAnsi="Times New Roman" w:eastAsia="宋体" w:cs="Times New Roman"/>
                <w:color w:val="auto"/>
                <w:kern w:val="0"/>
                <w:sz w:val="24"/>
                <w:szCs w:val="24"/>
                <w:lang w:val="en-US" w:eastAsia="zh-CN"/>
              </w:rPr>
              <w:t>均设置</w:t>
            </w:r>
            <w:r>
              <w:rPr>
                <w:rFonts w:hint="eastAsia" w:ascii="Times New Roman" w:hAnsi="Times New Roman" w:eastAsia="宋体" w:cs="Times New Roman"/>
                <w:color w:val="auto"/>
                <w:kern w:val="0"/>
                <w:sz w:val="24"/>
                <w:szCs w:val="24"/>
              </w:rPr>
              <w:t>出入口，方便</w:t>
            </w:r>
            <w:r>
              <w:rPr>
                <w:rFonts w:hint="eastAsia" w:ascii="Times New Roman" w:hAnsi="Times New Roman" w:eastAsia="宋体" w:cs="Times New Roman"/>
                <w:color w:val="auto"/>
                <w:kern w:val="0"/>
                <w:sz w:val="24"/>
                <w:szCs w:val="24"/>
                <w:lang w:val="en-US" w:eastAsia="zh-CN"/>
              </w:rPr>
              <w:t>原辅材料及产品的运输</w:t>
            </w:r>
            <w:r>
              <w:rPr>
                <w:rFonts w:hint="eastAsia" w:ascii="Times New Roman" w:hAnsi="Times New Roman" w:eastAsia="宋体" w:cs="Times New Roman"/>
                <w:color w:val="auto"/>
                <w:kern w:val="0"/>
                <w:sz w:val="24"/>
                <w:szCs w:val="24"/>
                <w:lang w:eastAsia="zh-CN"/>
              </w:rPr>
              <w:t>。</w:t>
            </w:r>
            <w:r>
              <w:rPr>
                <w:rFonts w:hint="eastAsia" w:ascii="Times New Roman" w:hAnsi="Times New Roman" w:eastAsia="宋体" w:cs="Times New Roman"/>
                <w:color w:val="auto"/>
                <w:kern w:val="0"/>
                <w:sz w:val="24"/>
                <w:szCs w:val="24"/>
                <w:lang w:val="en-US" w:eastAsia="zh-CN"/>
              </w:rPr>
              <w:t>本项目距离较近的敏感点为</w:t>
            </w:r>
            <w:r>
              <w:rPr>
                <w:rFonts w:hint="eastAsia" w:cs="Times New Roman"/>
                <w:color w:val="auto"/>
                <w:kern w:val="0"/>
                <w:sz w:val="24"/>
                <w:szCs w:val="24"/>
                <w:lang w:val="en-US" w:eastAsia="zh-CN"/>
              </w:rPr>
              <w:t>东侧的泾刘</w:t>
            </w:r>
            <w:r>
              <w:rPr>
                <w:rFonts w:hint="eastAsia" w:ascii="Times New Roman" w:hAnsi="Times New Roman" w:eastAsia="宋体" w:cs="Times New Roman"/>
                <w:color w:val="auto"/>
                <w:kern w:val="0"/>
                <w:sz w:val="24"/>
                <w:szCs w:val="24"/>
                <w:lang w:eastAsia="zh-CN"/>
              </w:rPr>
              <w:t>，</w:t>
            </w:r>
            <w:r>
              <w:rPr>
                <w:rFonts w:hint="eastAsia" w:ascii="Times New Roman" w:hAnsi="Times New Roman" w:eastAsia="宋体" w:cs="Times New Roman"/>
                <w:color w:val="auto"/>
                <w:kern w:val="0"/>
                <w:sz w:val="24"/>
                <w:szCs w:val="24"/>
                <w:lang w:val="en-US" w:eastAsia="zh-CN"/>
              </w:rPr>
              <w:t>车间内部设备在进行布局时，安置在远离厂界的位置，</w:t>
            </w:r>
            <w:r>
              <w:rPr>
                <w:rFonts w:hint="eastAsia" w:cs="Times New Roman"/>
                <w:color w:val="auto"/>
                <w:kern w:val="0"/>
                <w:sz w:val="24"/>
                <w:szCs w:val="24"/>
                <w:lang w:val="en-US" w:eastAsia="zh-CN"/>
              </w:rPr>
              <w:t>以</w:t>
            </w:r>
            <w:r>
              <w:rPr>
                <w:rFonts w:hint="eastAsia" w:ascii="Times New Roman" w:hAnsi="Times New Roman" w:eastAsia="宋体" w:cs="Times New Roman"/>
                <w:color w:val="auto"/>
                <w:kern w:val="0"/>
                <w:sz w:val="24"/>
                <w:szCs w:val="24"/>
                <w:lang w:val="en-US" w:eastAsia="zh-CN"/>
              </w:rPr>
              <w:t>降低对敏感点的影响。项目总体上做到按生产线分</w:t>
            </w:r>
            <w:r>
              <w:rPr>
                <w:color w:val="auto"/>
                <w:kern w:val="0"/>
                <w:sz w:val="24"/>
                <w:szCs w:val="24"/>
              </w:rPr>
              <w:t>区，系统分明，布置整齐合理。</w:t>
            </w:r>
          </w:p>
        </w:tc>
      </w:tr>
      <w:tr w14:paraId="20AA16A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15" w:hRule="atLeast"/>
          <w:jc w:val="center"/>
        </w:trPr>
        <w:tc>
          <w:tcPr>
            <w:tcW w:w="473" w:type="dxa"/>
            <w:vAlign w:val="center"/>
          </w:tcPr>
          <w:p w14:paraId="57685DB6">
            <w:pPr>
              <w:widowControl/>
              <w:adjustRightInd w:val="0"/>
              <w:snapToGrid w:val="0"/>
              <w:jc w:val="center"/>
              <w:rPr>
                <w:color w:val="auto"/>
                <w:kern w:val="0"/>
                <w:szCs w:val="21"/>
              </w:rPr>
            </w:pPr>
            <w:r>
              <w:rPr>
                <w:color w:val="auto"/>
                <w:kern w:val="0"/>
                <w:sz w:val="24"/>
              </w:rPr>
              <w:t>工艺流程和产排污环节</w:t>
            </w:r>
          </w:p>
        </w:tc>
        <w:tc>
          <w:tcPr>
            <w:tcW w:w="8587" w:type="dxa"/>
          </w:tcPr>
          <w:p w14:paraId="6997BFB5">
            <w:pPr>
              <w:spacing w:line="360" w:lineRule="auto"/>
              <w:ind w:firstLine="482" w:firstLineChars="200"/>
              <w:rPr>
                <w:b/>
                <w:bCs/>
                <w:color w:val="auto"/>
                <w:kern w:val="0"/>
                <w:sz w:val="24"/>
                <w:szCs w:val="20"/>
              </w:rPr>
            </w:pPr>
            <w:r>
              <w:rPr>
                <w:rFonts w:hint="eastAsia"/>
                <w:b/>
                <w:bCs/>
                <w:color w:val="auto"/>
                <w:kern w:val="0"/>
                <w:sz w:val="24"/>
                <w:szCs w:val="20"/>
                <w:lang w:val="en-US" w:eastAsia="zh-CN"/>
              </w:rPr>
              <w:t>1</w:t>
            </w:r>
            <w:r>
              <w:rPr>
                <w:b/>
                <w:bCs/>
                <w:color w:val="auto"/>
                <w:kern w:val="0"/>
                <w:sz w:val="24"/>
                <w:szCs w:val="20"/>
              </w:rPr>
              <w:t>、施工期工艺流程</w:t>
            </w:r>
          </w:p>
          <w:p w14:paraId="6DD59C6D">
            <w:pPr>
              <w:spacing w:line="360" w:lineRule="auto"/>
              <w:ind w:firstLine="480" w:firstLineChars="200"/>
              <w:rPr>
                <w:color w:val="auto"/>
                <w:kern w:val="0"/>
                <w:sz w:val="24"/>
              </w:rPr>
            </w:pPr>
            <w:r>
              <w:rPr>
                <w:color w:val="auto"/>
                <w:kern w:val="0"/>
                <w:sz w:val="24"/>
              </w:rPr>
              <w:t>项目施工期主要为</w:t>
            </w:r>
            <w:r>
              <w:rPr>
                <w:rFonts w:hint="eastAsia"/>
                <w:color w:val="auto"/>
                <w:kern w:val="0"/>
                <w:sz w:val="24"/>
                <w:lang w:val="en-US" w:eastAsia="zh-CN"/>
              </w:rPr>
              <w:t>厂房装修及</w:t>
            </w:r>
            <w:r>
              <w:rPr>
                <w:color w:val="auto"/>
                <w:kern w:val="0"/>
                <w:sz w:val="24"/>
              </w:rPr>
              <w:t>设备安装，施工过程中主要产生少量的</w:t>
            </w:r>
            <w:r>
              <w:rPr>
                <w:rFonts w:hint="eastAsia"/>
                <w:color w:val="auto"/>
                <w:kern w:val="0"/>
                <w:sz w:val="24"/>
                <w:lang w:val="en-US" w:eastAsia="zh-CN"/>
              </w:rPr>
              <w:t>装修粉尘、</w:t>
            </w:r>
            <w:r>
              <w:rPr>
                <w:rFonts w:hint="eastAsia"/>
                <w:color w:val="auto"/>
                <w:kern w:val="0"/>
                <w:sz w:val="24"/>
              </w:rPr>
              <w:t>设备安装</w:t>
            </w:r>
            <w:r>
              <w:rPr>
                <w:rFonts w:hint="eastAsia"/>
                <w:color w:val="auto"/>
                <w:kern w:val="0"/>
                <w:sz w:val="24"/>
                <w:lang w:val="en-US" w:eastAsia="zh-CN"/>
              </w:rPr>
              <w:t>粉尘</w:t>
            </w:r>
            <w:r>
              <w:rPr>
                <w:color w:val="auto"/>
                <w:kern w:val="0"/>
                <w:sz w:val="24"/>
              </w:rPr>
              <w:t>、噪声</w:t>
            </w:r>
            <w:r>
              <w:rPr>
                <w:rFonts w:hint="eastAsia"/>
                <w:color w:val="auto"/>
                <w:kern w:val="0"/>
                <w:sz w:val="24"/>
                <w:lang w:eastAsia="zh-CN"/>
              </w:rPr>
              <w:t>、</w:t>
            </w:r>
            <w:r>
              <w:rPr>
                <w:color w:val="auto"/>
                <w:kern w:val="0"/>
                <w:sz w:val="24"/>
              </w:rPr>
              <w:t>固废及施工人员生活污水。</w:t>
            </w:r>
          </w:p>
          <w:p w14:paraId="4733C5BC">
            <w:pPr>
              <w:spacing w:line="360" w:lineRule="auto"/>
              <w:ind w:firstLine="480" w:firstLineChars="200"/>
              <w:rPr>
                <w:color w:val="auto"/>
                <w:kern w:val="0"/>
                <w:sz w:val="24"/>
              </w:rPr>
            </w:pPr>
            <w:r>
              <w:rPr>
                <w:color w:val="auto"/>
                <w:kern w:val="0"/>
                <w:sz w:val="24"/>
              </w:rPr>
              <w:t>项目施工期较短，施工量较小，施工结束后污染也随之消失，对环境影响较小。</w:t>
            </w:r>
          </w:p>
          <w:p w14:paraId="7849B020">
            <w:pPr>
              <w:spacing w:line="240" w:lineRule="auto"/>
              <w:jc w:val="center"/>
              <w:rPr>
                <w:b/>
                <w:bCs/>
                <w:color w:val="auto"/>
                <w:szCs w:val="21"/>
              </w:rPr>
            </w:pPr>
            <w:r>
              <w:rPr>
                <w:b/>
                <w:bCs/>
                <w:color w:val="auto"/>
                <w:szCs w:val="21"/>
              </w:rPr>
              <w:drawing>
                <wp:inline distT="0" distB="0" distL="114300" distR="114300">
                  <wp:extent cx="2945130" cy="868045"/>
                  <wp:effectExtent l="0" t="0" r="6985" b="8255"/>
                  <wp:docPr id="12" name="ECB019B1-382A-4266-B25C-5B523AA43C14-2" descr="C:/Users/Administrator/AppData/Local/Temp/wps.keIHxFw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ECB019B1-382A-4266-B25C-5B523AA43C14-2" descr="C:/Users/Administrator/AppData/Local/Temp/wps.keIHxFwps"/>
                          <pic:cNvPicPr>
                            <a:picLocks noChangeAspect="1"/>
                          </pic:cNvPicPr>
                        </pic:nvPicPr>
                        <pic:blipFill>
                          <a:blip r:embed="rId10"/>
                          <a:srcRect l="-2387" t="6082" r="24448" b="65314"/>
                          <a:stretch>
                            <a:fillRect/>
                          </a:stretch>
                        </pic:blipFill>
                        <pic:spPr>
                          <a:xfrm>
                            <a:off x="0" y="0"/>
                            <a:ext cx="2945130" cy="868045"/>
                          </a:xfrm>
                          <a:prstGeom prst="rect">
                            <a:avLst/>
                          </a:prstGeom>
                        </pic:spPr>
                      </pic:pic>
                    </a:graphicData>
                  </a:graphic>
                </wp:inline>
              </w:drawing>
            </w:r>
          </w:p>
          <w:p w14:paraId="501ED4C8">
            <w:pPr>
              <w:spacing w:line="360" w:lineRule="auto"/>
              <w:jc w:val="center"/>
              <w:rPr>
                <w:b/>
                <w:bCs/>
                <w:color w:val="auto"/>
                <w:szCs w:val="21"/>
              </w:rPr>
            </w:pPr>
            <w:r>
              <w:rPr>
                <w:b/>
                <w:bCs/>
                <w:color w:val="auto"/>
                <w:szCs w:val="21"/>
              </w:rPr>
              <w:t>图2</w:t>
            </w:r>
            <w:r>
              <w:rPr>
                <w:rFonts w:hint="eastAsia"/>
                <w:b/>
                <w:bCs/>
                <w:color w:val="auto"/>
                <w:szCs w:val="21"/>
              </w:rPr>
              <w:t xml:space="preserve">-2   </w:t>
            </w:r>
            <w:r>
              <w:rPr>
                <w:b/>
                <w:bCs/>
                <w:color w:val="auto"/>
                <w:szCs w:val="21"/>
              </w:rPr>
              <w:t>施工期工艺流程及产污环节图</w:t>
            </w:r>
          </w:p>
          <w:p w14:paraId="3928B0AB">
            <w:pPr>
              <w:spacing w:line="360" w:lineRule="auto"/>
              <w:ind w:firstLine="482" w:firstLineChars="200"/>
              <w:rPr>
                <w:b/>
                <w:bCs/>
                <w:color w:val="auto"/>
                <w:kern w:val="0"/>
                <w:sz w:val="24"/>
                <w:szCs w:val="20"/>
              </w:rPr>
            </w:pPr>
            <w:r>
              <w:rPr>
                <w:rFonts w:hint="eastAsia"/>
                <w:b/>
                <w:bCs/>
                <w:color w:val="auto"/>
                <w:kern w:val="0"/>
                <w:sz w:val="24"/>
                <w:szCs w:val="20"/>
                <w:lang w:val="en-US" w:eastAsia="zh-CN"/>
              </w:rPr>
              <w:t>2</w:t>
            </w:r>
            <w:r>
              <w:rPr>
                <w:b/>
                <w:bCs/>
                <w:color w:val="auto"/>
                <w:kern w:val="0"/>
                <w:sz w:val="24"/>
                <w:szCs w:val="20"/>
              </w:rPr>
              <w:t>、营运期工艺流程</w:t>
            </w:r>
          </w:p>
          <w:p w14:paraId="79520AD2">
            <w:pPr>
              <w:spacing w:line="360" w:lineRule="auto"/>
              <w:ind w:firstLine="480" w:firstLineChars="200"/>
              <w:rPr>
                <w:color w:val="auto"/>
                <w:kern w:val="0"/>
                <w:sz w:val="24"/>
              </w:rPr>
            </w:pPr>
            <w:r>
              <w:rPr>
                <w:rFonts w:hint="eastAsia"/>
                <w:color w:val="auto"/>
                <w:kern w:val="0"/>
                <w:sz w:val="24"/>
                <w:lang w:val="en-US" w:eastAsia="zh-CN"/>
              </w:rPr>
              <w:t>本项目</w:t>
            </w:r>
            <w:r>
              <w:rPr>
                <w:rFonts w:hint="eastAsia"/>
                <w:color w:val="auto"/>
                <w:sz w:val="24"/>
                <w:lang w:val="en-US" w:eastAsia="zh-CN"/>
              </w:rPr>
              <w:t>钛及钛合金板坯、钛棒</w:t>
            </w:r>
            <w:r>
              <w:rPr>
                <w:color w:val="auto"/>
                <w:kern w:val="0"/>
                <w:sz w:val="24"/>
              </w:rPr>
              <w:t>工艺流程</w:t>
            </w:r>
            <w:r>
              <w:rPr>
                <w:rFonts w:hint="eastAsia"/>
                <w:color w:val="auto"/>
                <w:kern w:val="0"/>
                <w:sz w:val="24"/>
              </w:rPr>
              <w:t>及产污环节</w:t>
            </w:r>
            <w:r>
              <w:rPr>
                <w:color w:val="auto"/>
                <w:kern w:val="0"/>
                <w:sz w:val="24"/>
              </w:rPr>
              <w:t>如下图所示：</w:t>
            </w:r>
          </w:p>
          <w:p w14:paraId="524AC75C">
            <w:pPr>
              <w:spacing w:line="240" w:lineRule="auto"/>
              <w:jc w:val="center"/>
              <w:rPr>
                <w:rFonts w:hint="eastAsia" w:eastAsia="宋体"/>
                <w:color w:val="auto"/>
                <w:lang w:eastAsia="zh-CN"/>
              </w:rPr>
            </w:pPr>
            <w:r>
              <w:rPr>
                <w:rFonts w:hint="eastAsia" w:eastAsia="宋体"/>
                <w:color w:val="auto"/>
                <w:lang w:eastAsia="zh-CN"/>
              </w:rPr>
              <w:drawing>
                <wp:inline distT="0" distB="0" distL="114300" distR="114300">
                  <wp:extent cx="3952875" cy="839470"/>
                  <wp:effectExtent l="0" t="0" r="0" b="17780"/>
                  <wp:docPr id="4" name="ECB019B1-382A-4266-B25C-5B523AA43C14-3" descr="C:/Users/Administrator/AppData/Local/Temp/wps.MLSThjw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ECB019B1-382A-4266-B25C-5B523AA43C14-3" descr="C:/Users/Administrator/AppData/Local/Temp/wps.MLSThjwps"/>
                          <pic:cNvPicPr>
                            <a:picLocks noChangeAspect="1"/>
                          </pic:cNvPicPr>
                        </pic:nvPicPr>
                        <pic:blipFill>
                          <a:blip r:embed="rId11"/>
                          <a:srcRect t="14467" b="13201"/>
                          <a:stretch>
                            <a:fillRect/>
                          </a:stretch>
                        </pic:blipFill>
                        <pic:spPr>
                          <a:xfrm>
                            <a:off x="0" y="0"/>
                            <a:ext cx="3952875" cy="839470"/>
                          </a:xfrm>
                          <a:prstGeom prst="rect">
                            <a:avLst/>
                          </a:prstGeom>
                        </pic:spPr>
                      </pic:pic>
                    </a:graphicData>
                  </a:graphic>
                </wp:inline>
              </w:drawing>
            </w:r>
          </w:p>
          <w:p w14:paraId="3E0570AD">
            <w:pPr>
              <w:spacing w:line="240" w:lineRule="auto"/>
              <w:jc w:val="center"/>
              <w:rPr>
                <w:color w:val="auto"/>
                <w:kern w:val="0"/>
                <w:sz w:val="24"/>
              </w:rPr>
            </w:pPr>
            <w:r>
              <w:rPr>
                <w:b/>
                <w:bCs/>
                <w:color w:val="auto"/>
                <w:szCs w:val="21"/>
              </w:rPr>
              <w:t>图</w:t>
            </w:r>
            <w:r>
              <w:rPr>
                <w:rFonts w:hint="eastAsia"/>
                <w:b/>
                <w:bCs/>
                <w:color w:val="auto"/>
                <w:szCs w:val="21"/>
              </w:rPr>
              <w:t>2-</w:t>
            </w:r>
            <w:r>
              <w:rPr>
                <w:b/>
                <w:bCs/>
                <w:color w:val="auto"/>
                <w:szCs w:val="21"/>
              </w:rPr>
              <w:t>3</w:t>
            </w:r>
            <w:r>
              <w:rPr>
                <w:rFonts w:hint="eastAsia"/>
                <w:b/>
                <w:bCs/>
                <w:color w:val="auto"/>
                <w:szCs w:val="21"/>
              </w:rPr>
              <w:t xml:space="preserve">   </w:t>
            </w:r>
            <w:r>
              <w:rPr>
                <w:b/>
                <w:bCs/>
                <w:color w:val="auto"/>
                <w:szCs w:val="21"/>
              </w:rPr>
              <w:t>工艺流程及产排污环节图</w:t>
            </w:r>
          </w:p>
          <w:p w14:paraId="1EA8D82E">
            <w:pPr>
              <w:spacing w:line="360" w:lineRule="auto"/>
              <w:ind w:firstLine="480" w:firstLineChars="200"/>
              <w:jc w:val="left"/>
              <w:rPr>
                <w:color w:val="auto"/>
                <w:kern w:val="0"/>
                <w:sz w:val="24"/>
                <w:szCs w:val="22"/>
              </w:rPr>
            </w:pPr>
            <w:r>
              <w:rPr>
                <w:color w:val="auto"/>
                <w:kern w:val="0"/>
                <w:sz w:val="24"/>
                <w:szCs w:val="22"/>
              </w:rPr>
              <w:t>工艺流程简述：</w:t>
            </w:r>
          </w:p>
          <w:p w14:paraId="118BE8CF">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firstLine="480" w:firstLineChars="200"/>
              <w:textAlignment w:val="auto"/>
              <w:rPr>
                <w:color w:val="0000FF"/>
                <w:sz w:val="24"/>
              </w:rPr>
            </w:pPr>
            <w:r>
              <w:rPr>
                <w:rFonts w:hint="eastAsia"/>
                <w:color w:val="0000FF"/>
                <w:sz w:val="24"/>
                <w:lang w:val="en-US" w:eastAsia="zh-CN"/>
              </w:rPr>
              <w:t>钛及钛合金板坯、钛棒运送至生产车间后，采用起重机运送至车间西侧车间西侧打磨工位人工操作打磨砂轮机进行表面打磨以</w:t>
            </w:r>
            <w:r>
              <w:rPr>
                <w:rFonts w:hint="eastAsia"/>
                <w:b w:val="0"/>
                <w:bCs w:val="0"/>
                <w:color w:val="0000FF"/>
                <w:sz w:val="24"/>
                <w:lang w:val="en-US" w:eastAsia="zh-CN"/>
              </w:rPr>
              <w:t>去除钛材表面锈迹及不平整处后得到成品</w:t>
            </w:r>
            <w:r>
              <w:rPr>
                <w:rFonts w:hint="eastAsia"/>
                <w:color w:val="0000FF"/>
                <w:sz w:val="24"/>
                <w:lang w:val="en-US" w:eastAsia="zh-CN"/>
              </w:rPr>
              <w:t>。</w:t>
            </w:r>
          </w:p>
          <w:p w14:paraId="21A41721">
            <w:pPr>
              <w:spacing w:line="240" w:lineRule="auto"/>
              <w:ind w:firstLine="480" w:firstLineChars="200"/>
              <w:rPr>
                <w:color w:val="auto"/>
                <w:kern w:val="0"/>
                <w:sz w:val="24"/>
              </w:rPr>
            </w:pPr>
            <w:r>
              <w:rPr>
                <w:rFonts w:hint="eastAsia"/>
                <w:color w:val="auto"/>
                <w:kern w:val="0"/>
                <w:sz w:val="24"/>
                <w:szCs w:val="22"/>
                <w:lang w:val="en-US" w:eastAsia="zh-CN"/>
              </w:rPr>
              <w:t>本项目钛铸件</w:t>
            </w:r>
            <w:r>
              <w:rPr>
                <w:color w:val="auto"/>
                <w:kern w:val="0"/>
                <w:sz w:val="24"/>
              </w:rPr>
              <w:t>工艺流程</w:t>
            </w:r>
            <w:r>
              <w:rPr>
                <w:rFonts w:hint="eastAsia"/>
                <w:color w:val="auto"/>
                <w:kern w:val="0"/>
                <w:sz w:val="24"/>
              </w:rPr>
              <w:t>及产污环节</w:t>
            </w:r>
            <w:r>
              <w:rPr>
                <w:color w:val="auto"/>
                <w:kern w:val="0"/>
                <w:sz w:val="24"/>
              </w:rPr>
              <w:t>如下图所示：</w:t>
            </w:r>
          </w:p>
          <w:p w14:paraId="4B9D480C">
            <w:pPr>
              <w:spacing w:line="240" w:lineRule="auto"/>
              <w:jc w:val="center"/>
              <w:rPr>
                <w:rFonts w:hint="eastAsia" w:eastAsia="宋体"/>
                <w:color w:val="auto"/>
                <w:lang w:eastAsia="zh-CN"/>
              </w:rPr>
            </w:pPr>
            <w:r>
              <w:rPr>
                <w:rFonts w:hint="eastAsia" w:eastAsia="宋体"/>
                <w:color w:val="auto"/>
                <w:lang w:eastAsia="zh-CN"/>
              </w:rPr>
              <w:drawing>
                <wp:inline distT="0" distB="0" distL="114300" distR="114300">
                  <wp:extent cx="4738370" cy="779145"/>
                  <wp:effectExtent l="0" t="0" r="0" b="1905"/>
                  <wp:docPr id="5" name="ECB019B1-382A-4266-B25C-5B523AA43C14-4" descr="C:/Users/Administrator/AppData/Local/Temp/wps.GoafVUw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ECB019B1-382A-4266-B25C-5B523AA43C14-4" descr="C:/Users/Administrator/AppData/Local/Temp/wps.GoafVUwps"/>
                          <pic:cNvPicPr>
                            <a:picLocks noChangeAspect="1"/>
                          </pic:cNvPicPr>
                        </pic:nvPicPr>
                        <pic:blipFill>
                          <a:blip r:embed="rId12"/>
                          <a:srcRect t="62294" b="6112"/>
                          <a:stretch>
                            <a:fillRect/>
                          </a:stretch>
                        </pic:blipFill>
                        <pic:spPr>
                          <a:xfrm>
                            <a:off x="0" y="0"/>
                            <a:ext cx="4738370" cy="779145"/>
                          </a:xfrm>
                          <a:prstGeom prst="rect">
                            <a:avLst/>
                          </a:prstGeom>
                        </pic:spPr>
                      </pic:pic>
                    </a:graphicData>
                  </a:graphic>
                </wp:inline>
              </w:drawing>
            </w:r>
          </w:p>
          <w:p w14:paraId="166A0596">
            <w:pPr>
              <w:adjustRightInd w:val="0"/>
              <w:spacing w:line="240" w:lineRule="auto"/>
              <w:jc w:val="center"/>
              <w:rPr>
                <w:b/>
                <w:bCs/>
                <w:color w:val="auto"/>
                <w:szCs w:val="21"/>
              </w:rPr>
            </w:pPr>
            <w:r>
              <w:rPr>
                <w:b/>
                <w:bCs/>
                <w:color w:val="auto"/>
                <w:szCs w:val="21"/>
              </w:rPr>
              <w:t>图</w:t>
            </w:r>
            <w:r>
              <w:rPr>
                <w:rFonts w:hint="eastAsia"/>
                <w:b/>
                <w:bCs/>
                <w:color w:val="auto"/>
                <w:szCs w:val="21"/>
              </w:rPr>
              <w:t>2-</w:t>
            </w:r>
            <w:r>
              <w:rPr>
                <w:rFonts w:hint="eastAsia"/>
                <w:b/>
                <w:bCs/>
                <w:color w:val="auto"/>
                <w:szCs w:val="21"/>
                <w:lang w:val="en-US" w:eastAsia="zh-CN"/>
              </w:rPr>
              <w:t>4</w:t>
            </w:r>
            <w:r>
              <w:rPr>
                <w:rFonts w:hint="eastAsia"/>
                <w:b/>
                <w:bCs/>
                <w:color w:val="auto"/>
                <w:szCs w:val="21"/>
              </w:rPr>
              <w:t xml:space="preserve">   </w:t>
            </w:r>
            <w:r>
              <w:rPr>
                <w:b/>
                <w:bCs/>
                <w:color w:val="auto"/>
                <w:szCs w:val="21"/>
              </w:rPr>
              <w:t>工艺流程及产排污环节图</w:t>
            </w:r>
          </w:p>
          <w:p w14:paraId="2F1224C8">
            <w:pPr>
              <w:adjustRightInd w:val="0"/>
              <w:spacing w:line="360" w:lineRule="auto"/>
              <w:ind w:firstLine="480" w:firstLineChars="200"/>
              <w:jc w:val="both"/>
              <w:rPr>
                <w:color w:val="auto"/>
                <w:kern w:val="0"/>
                <w:sz w:val="24"/>
                <w:szCs w:val="22"/>
              </w:rPr>
            </w:pPr>
            <w:r>
              <w:rPr>
                <w:color w:val="auto"/>
                <w:kern w:val="0"/>
                <w:sz w:val="24"/>
                <w:szCs w:val="22"/>
              </w:rPr>
              <w:t>工艺流程简述：</w:t>
            </w:r>
          </w:p>
          <w:p w14:paraId="144868B0">
            <w:pPr>
              <w:adjustRightInd w:val="0"/>
              <w:spacing w:line="360" w:lineRule="auto"/>
              <w:ind w:firstLine="480" w:firstLineChars="200"/>
              <w:jc w:val="both"/>
              <w:rPr>
                <w:rFonts w:hint="eastAsia"/>
                <w:color w:val="0000FF"/>
                <w:sz w:val="24"/>
                <w:lang w:val="en-US" w:eastAsia="zh-CN"/>
              </w:rPr>
            </w:pPr>
            <w:r>
              <w:rPr>
                <w:rFonts w:hint="eastAsia"/>
                <w:color w:val="0000FF"/>
                <w:kern w:val="0"/>
                <w:sz w:val="24"/>
                <w:szCs w:val="22"/>
                <w:lang w:val="en-US" w:eastAsia="zh-CN"/>
              </w:rPr>
              <w:t>外购的钛铸件外部包裹有一层陶瓷型壳，运至车间后，人工放入振壳机通过高速震动震碎表面的陶瓷型壳，不会产生粉尘。然后</w:t>
            </w:r>
            <w:r>
              <w:rPr>
                <w:rFonts w:hint="eastAsia"/>
                <w:color w:val="0000FF"/>
                <w:sz w:val="24"/>
                <w:lang w:val="en-US" w:eastAsia="zh-CN"/>
              </w:rPr>
              <w:t>送至车间西侧打磨工位人工操作打磨砂轮机进行表面打磨以</w:t>
            </w:r>
            <w:r>
              <w:rPr>
                <w:rFonts w:hint="eastAsia"/>
                <w:b w:val="0"/>
                <w:bCs w:val="0"/>
                <w:color w:val="0000FF"/>
                <w:sz w:val="24"/>
                <w:lang w:val="en-US" w:eastAsia="zh-CN"/>
              </w:rPr>
              <w:t>去除铸件表面不平整处</w:t>
            </w:r>
            <w:r>
              <w:rPr>
                <w:rFonts w:hint="eastAsia"/>
                <w:color w:val="0000FF"/>
                <w:sz w:val="24"/>
                <w:lang w:val="en-US" w:eastAsia="zh-CN"/>
              </w:rPr>
              <w:t>，结束打磨后放入喷砂机内再次表面处理，去除铸件表面的微小毛刺，并使铸件表面产生细微的凹凸面，最终得到成品。</w:t>
            </w:r>
          </w:p>
          <w:p w14:paraId="4C8F5F27">
            <w:pPr>
              <w:adjustRightInd w:val="0"/>
              <w:spacing w:line="360" w:lineRule="auto"/>
              <w:ind w:firstLine="480" w:firstLineChars="200"/>
              <w:jc w:val="both"/>
              <w:rPr>
                <w:rFonts w:hint="default" w:eastAsia="宋体"/>
                <w:color w:val="auto"/>
                <w:kern w:val="0"/>
                <w:sz w:val="24"/>
                <w:szCs w:val="22"/>
                <w:lang w:val="en-US" w:eastAsia="zh-CN"/>
              </w:rPr>
            </w:pPr>
            <w:r>
              <w:rPr>
                <w:rFonts w:hint="eastAsia"/>
                <w:color w:val="auto"/>
                <w:sz w:val="24"/>
                <w:lang w:val="en-US" w:eastAsia="zh-CN"/>
              </w:rPr>
              <w:t>项目运营期会产生打磨粉尘、喷砂粉尘、噪声、废砂轮片、除尘灰、废陶瓷壳和废沉渣，职工生活会产生生活污水以及生活垃圾。</w:t>
            </w:r>
          </w:p>
        </w:tc>
      </w:tr>
      <w:tr w14:paraId="72177D0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73" w:type="dxa"/>
            <w:vAlign w:val="center"/>
          </w:tcPr>
          <w:p w14:paraId="326051FA">
            <w:pPr>
              <w:keepNext w:val="0"/>
              <w:keepLines w:val="0"/>
              <w:pageBreakBefore w:val="0"/>
              <w:widowControl/>
              <w:kinsoku/>
              <w:wordWrap/>
              <w:overflowPunct/>
              <w:topLinePunct w:val="0"/>
              <w:autoSpaceDE/>
              <w:autoSpaceDN/>
              <w:bidi w:val="0"/>
              <w:adjustRightInd w:val="0"/>
              <w:snapToGrid w:val="0"/>
              <w:spacing w:line="240" w:lineRule="auto"/>
              <w:jc w:val="center"/>
              <w:textAlignment w:val="auto"/>
              <w:rPr>
                <w:color w:val="auto"/>
                <w:kern w:val="0"/>
                <w:szCs w:val="21"/>
              </w:rPr>
            </w:pPr>
            <w:r>
              <w:rPr>
                <w:bCs/>
                <w:color w:val="auto"/>
                <w:sz w:val="24"/>
              </w:rPr>
              <w:t>与项目有关的原有环境污染问题</w:t>
            </w:r>
          </w:p>
        </w:tc>
        <w:tc>
          <w:tcPr>
            <w:tcW w:w="8587" w:type="dxa"/>
            <w:vAlign w:val="center"/>
          </w:tcPr>
          <w:p w14:paraId="630D4FB1">
            <w:pPr>
              <w:pStyle w:val="15"/>
              <w:keepNext w:val="0"/>
              <w:keepLines w:val="0"/>
              <w:pageBreakBefore w:val="0"/>
              <w:widowControl w:val="0"/>
              <w:kinsoku/>
              <w:wordWrap/>
              <w:overflowPunct/>
              <w:topLinePunct w:val="0"/>
              <w:autoSpaceDE/>
              <w:autoSpaceDN/>
              <w:bidi w:val="0"/>
              <w:adjustRightInd/>
              <w:snapToGrid/>
              <w:spacing w:after="0" w:line="360" w:lineRule="auto"/>
              <w:ind w:firstLine="504" w:firstLineChars="200"/>
              <w:textAlignment w:val="auto"/>
              <w:rPr>
                <w:rFonts w:hint="default"/>
                <w:color w:val="auto"/>
                <w:kern w:val="0"/>
                <w:sz w:val="24"/>
                <w:szCs w:val="22"/>
                <w:lang w:val="en-US" w:eastAsia="zh-CN"/>
              </w:rPr>
            </w:pPr>
            <w:r>
              <w:rPr>
                <w:rFonts w:hint="eastAsia"/>
                <w:color w:val="auto"/>
                <w:kern w:val="0"/>
                <w:sz w:val="24"/>
                <w:szCs w:val="22"/>
                <w:lang w:val="en-US" w:eastAsia="zh-CN"/>
              </w:rPr>
              <w:t>本项目租赁陕西重华重工衡器有限公司已建成生产厂房，陕西重华重工衡器有限公司于2018年12月3日取得《陕西重华重工衡器有限公司电子汽车衡器生产项目环境影响报告表的批复意见》（陕泾河环批复〔2018〕35号），环评批复见附件5，该项目包括3栋1F生产车间和1栋2F的办公宿舍楼，2019年1月建成后委托咸阳职业卫生技术服务中心编制完成《陕西重华重工衡器有限公司电子汽车衡器生产项目竣工环境保护验收监测报告表》（咸职环（验）字〔2019〕第1号），并报至陕西省西咸新区泾河新城环境保护局备案，项目实际建设过程中仅占用了部分车间，其余位置暂时空余出租。本项目租赁的厂房属于该项目建设范围内，建设单位与陕西重华重工衡器有限公司法人签订了租赁协议，租赁协议见附件3。</w:t>
            </w:r>
          </w:p>
          <w:p w14:paraId="2B66DE9C">
            <w:pPr>
              <w:pStyle w:val="15"/>
              <w:keepNext w:val="0"/>
              <w:keepLines w:val="0"/>
              <w:pageBreakBefore w:val="0"/>
              <w:widowControl w:val="0"/>
              <w:kinsoku/>
              <w:wordWrap/>
              <w:overflowPunct/>
              <w:topLinePunct w:val="0"/>
              <w:autoSpaceDE/>
              <w:autoSpaceDN/>
              <w:bidi w:val="0"/>
              <w:adjustRightInd/>
              <w:snapToGrid/>
              <w:spacing w:after="0" w:line="360" w:lineRule="auto"/>
              <w:ind w:firstLine="504" w:firstLineChars="200"/>
              <w:textAlignment w:val="auto"/>
              <w:rPr>
                <w:rFonts w:hint="eastAsia"/>
                <w:color w:val="auto"/>
                <w:kern w:val="0"/>
                <w:sz w:val="24"/>
                <w:szCs w:val="22"/>
                <w:vertAlign w:val="baseline"/>
              </w:rPr>
            </w:pPr>
            <w:r>
              <w:rPr>
                <w:rFonts w:hint="eastAsia"/>
                <w:color w:val="auto"/>
                <w:kern w:val="0"/>
                <w:sz w:val="24"/>
                <w:szCs w:val="22"/>
                <w:vertAlign w:val="baseline"/>
              </w:rPr>
              <w:t>厂房已取得相关环保手续。根据现场勘察，目前为空置厂房，</w:t>
            </w:r>
            <w:r>
              <w:rPr>
                <w:rFonts w:hint="eastAsia"/>
                <w:color w:val="0000FF"/>
                <w:kern w:val="0"/>
                <w:sz w:val="24"/>
                <w:szCs w:val="22"/>
                <w:vertAlign w:val="baseline"/>
                <w:lang w:val="en-US" w:eastAsia="zh-CN"/>
              </w:rPr>
              <w:t>地面已进行硬化处理</w:t>
            </w:r>
            <w:r>
              <w:rPr>
                <w:rFonts w:hint="eastAsia"/>
                <w:color w:val="auto"/>
                <w:kern w:val="0"/>
                <w:sz w:val="24"/>
                <w:szCs w:val="22"/>
                <w:vertAlign w:val="baseline"/>
                <w:lang w:val="en-US" w:eastAsia="zh-CN"/>
              </w:rPr>
              <w:t>，</w:t>
            </w:r>
            <w:r>
              <w:rPr>
                <w:rFonts w:hint="eastAsia"/>
                <w:color w:val="auto"/>
                <w:kern w:val="0"/>
                <w:sz w:val="24"/>
                <w:szCs w:val="22"/>
                <w:vertAlign w:val="baseline"/>
              </w:rPr>
              <w:t>无原有污染情况和主要环境问题。</w:t>
            </w:r>
          </w:p>
          <w:p w14:paraId="77462E80">
            <w:pPr>
              <w:pStyle w:val="15"/>
              <w:keepNext w:val="0"/>
              <w:keepLines w:val="0"/>
              <w:pageBreakBefore w:val="0"/>
              <w:widowControl w:val="0"/>
              <w:kinsoku/>
              <w:wordWrap/>
              <w:overflowPunct/>
              <w:topLinePunct w:val="0"/>
              <w:autoSpaceDE/>
              <w:autoSpaceDN/>
              <w:bidi w:val="0"/>
              <w:adjustRightInd/>
              <w:snapToGrid/>
              <w:spacing w:after="0" w:line="360" w:lineRule="auto"/>
              <w:ind w:firstLine="504" w:firstLineChars="200"/>
              <w:textAlignment w:val="auto"/>
              <w:rPr>
                <w:rFonts w:hint="eastAsia"/>
                <w:color w:val="auto"/>
                <w:kern w:val="0"/>
                <w:sz w:val="24"/>
                <w:szCs w:val="22"/>
                <w:vertAlign w:val="baseline"/>
              </w:rPr>
            </w:pPr>
          </w:p>
        </w:tc>
      </w:tr>
    </w:tbl>
    <w:p w14:paraId="393047BC">
      <w:pPr>
        <w:jc w:val="center"/>
        <w:rPr>
          <w:rFonts w:eastAsia="黑体"/>
          <w:snapToGrid w:val="0"/>
          <w:color w:val="auto"/>
          <w:sz w:val="36"/>
          <w:szCs w:val="36"/>
        </w:rPr>
        <w:sectPr>
          <w:pgSz w:w="11906" w:h="16838"/>
          <w:pgMar w:top="1531" w:right="1531" w:bottom="1531" w:left="1531" w:header="851" w:footer="851" w:gutter="0"/>
          <w:pgNumType w:fmt="numberInDash"/>
          <w:cols w:space="720" w:num="1"/>
          <w:docGrid w:linePitch="312" w:charSpace="0"/>
        </w:sectPr>
      </w:pPr>
    </w:p>
    <w:p w14:paraId="64D6A385">
      <w:pPr>
        <w:widowControl/>
        <w:spacing w:before="100" w:beforeAutospacing="1" w:after="100" w:afterAutospacing="1"/>
        <w:jc w:val="center"/>
        <w:outlineLvl w:val="0"/>
        <w:rPr>
          <w:rFonts w:eastAsia="黑体"/>
          <w:snapToGrid w:val="0"/>
          <w:color w:val="auto"/>
          <w:kern w:val="0"/>
          <w:sz w:val="30"/>
          <w:szCs w:val="30"/>
        </w:rPr>
      </w:pPr>
      <w:r>
        <w:rPr>
          <w:rFonts w:eastAsia="黑体"/>
          <w:snapToGrid w:val="0"/>
          <w:color w:val="auto"/>
          <w:kern w:val="0"/>
          <w:sz w:val="30"/>
          <w:szCs w:val="30"/>
        </w:rPr>
        <w:t>三、区域环境质量现状、环境保护目标及评价标准</w:t>
      </w:r>
    </w:p>
    <w:tbl>
      <w:tblPr>
        <w:tblStyle w:val="17"/>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492"/>
        <w:gridCol w:w="8524"/>
      </w:tblGrid>
      <w:tr w14:paraId="44F845B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13" w:type="dxa"/>
            <w:vAlign w:val="center"/>
          </w:tcPr>
          <w:p w14:paraId="320363B1">
            <w:pPr>
              <w:adjustRightInd w:val="0"/>
              <w:snapToGrid w:val="0"/>
              <w:spacing w:line="360" w:lineRule="auto"/>
              <w:jc w:val="center"/>
              <w:rPr>
                <w:color w:val="auto"/>
                <w:kern w:val="0"/>
                <w:sz w:val="24"/>
              </w:rPr>
            </w:pPr>
            <w:r>
              <w:rPr>
                <w:color w:val="auto"/>
                <w:kern w:val="0"/>
                <w:sz w:val="24"/>
              </w:rPr>
              <w:t>区域</w:t>
            </w:r>
          </w:p>
          <w:p w14:paraId="3221DA4E">
            <w:pPr>
              <w:adjustRightInd w:val="0"/>
              <w:snapToGrid w:val="0"/>
              <w:spacing w:line="360" w:lineRule="auto"/>
              <w:jc w:val="center"/>
              <w:rPr>
                <w:color w:val="auto"/>
                <w:kern w:val="0"/>
                <w:sz w:val="24"/>
              </w:rPr>
            </w:pPr>
            <w:r>
              <w:rPr>
                <w:color w:val="auto"/>
                <w:kern w:val="0"/>
                <w:sz w:val="24"/>
              </w:rPr>
              <w:t>环境</w:t>
            </w:r>
          </w:p>
          <w:p w14:paraId="07BB8CD8">
            <w:pPr>
              <w:adjustRightInd w:val="0"/>
              <w:snapToGrid w:val="0"/>
              <w:spacing w:line="360" w:lineRule="auto"/>
              <w:jc w:val="center"/>
              <w:rPr>
                <w:color w:val="auto"/>
                <w:kern w:val="0"/>
                <w:sz w:val="24"/>
              </w:rPr>
            </w:pPr>
            <w:r>
              <w:rPr>
                <w:color w:val="auto"/>
                <w:kern w:val="0"/>
                <w:sz w:val="24"/>
              </w:rPr>
              <w:t>质量</w:t>
            </w:r>
          </w:p>
          <w:p w14:paraId="0D142B92">
            <w:pPr>
              <w:adjustRightInd w:val="0"/>
              <w:snapToGrid w:val="0"/>
              <w:spacing w:line="360" w:lineRule="auto"/>
              <w:jc w:val="center"/>
              <w:rPr>
                <w:color w:val="auto"/>
                <w:kern w:val="0"/>
                <w:szCs w:val="21"/>
              </w:rPr>
            </w:pPr>
            <w:r>
              <w:rPr>
                <w:color w:val="auto"/>
                <w:kern w:val="0"/>
                <w:sz w:val="24"/>
              </w:rPr>
              <w:t>现状</w:t>
            </w:r>
          </w:p>
        </w:tc>
        <w:tc>
          <w:tcPr>
            <w:tcW w:w="8477" w:type="dxa"/>
            <w:vAlign w:val="center"/>
          </w:tcPr>
          <w:p w14:paraId="773A173B">
            <w:pPr>
              <w:spacing w:line="360" w:lineRule="auto"/>
              <w:ind w:firstLine="482" w:firstLineChars="200"/>
              <w:rPr>
                <w:b/>
                <w:bCs/>
                <w:color w:val="auto"/>
                <w:kern w:val="0"/>
                <w:sz w:val="24"/>
                <w:szCs w:val="22"/>
              </w:rPr>
            </w:pPr>
            <w:r>
              <w:rPr>
                <w:b/>
                <w:bCs/>
                <w:color w:val="auto"/>
                <w:kern w:val="0"/>
                <w:sz w:val="24"/>
                <w:szCs w:val="22"/>
              </w:rPr>
              <w:t>1、环境空气质量</w:t>
            </w:r>
          </w:p>
          <w:p w14:paraId="340779F0">
            <w:pPr>
              <w:spacing w:line="360" w:lineRule="auto"/>
              <w:ind w:firstLine="480" w:firstLineChars="200"/>
              <w:contextualSpacing/>
              <w:rPr>
                <w:color w:val="auto"/>
                <w:kern w:val="0"/>
                <w:sz w:val="24"/>
              </w:rPr>
            </w:pPr>
            <w:r>
              <w:rPr>
                <w:color w:val="auto"/>
                <w:kern w:val="0"/>
                <w:sz w:val="24"/>
              </w:rPr>
              <w:t>根据</w:t>
            </w:r>
            <w:r>
              <w:rPr>
                <w:rFonts w:hint="eastAsia"/>
                <w:color w:val="auto"/>
                <w:kern w:val="0"/>
                <w:sz w:val="24"/>
                <w:lang w:eastAsia="zh-CN"/>
              </w:rPr>
              <w:t>《</w:t>
            </w:r>
            <w:r>
              <w:rPr>
                <w:color w:val="auto"/>
                <w:kern w:val="0"/>
                <w:sz w:val="24"/>
              </w:rPr>
              <w:t>环境影响评价技术导则</w:t>
            </w:r>
            <w:r>
              <w:rPr>
                <w:rFonts w:hint="eastAsia"/>
                <w:color w:val="auto"/>
                <w:kern w:val="0"/>
                <w:sz w:val="24"/>
                <w:lang w:val="en-US" w:eastAsia="zh-CN"/>
              </w:rPr>
              <w:t xml:space="preserve"> </w:t>
            </w:r>
            <w:r>
              <w:rPr>
                <w:color w:val="auto"/>
                <w:kern w:val="0"/>
                <w:sz w:val="24"/>
              </w:rPr>
              <w:t>大气环境</w:t>
            </w:r>
            <w:r>
              <w:rPr>
                <w:rFonts w:hint="eastAsia"/>
                <w:color w:val="auto"/>
                <w:kern w:val="0"/>
                <w:sz w:val="24"/>
                <w:lang w:eastAsia="zh-CN"/>
              </w:rPr>
              <w:t>》</w:t>
            </w:r>
            <w:r>
              <w:rPr>
                <w:color w:val="auto"/>
                <w:kern w:val="0"/>
                <w:sz w:val="24"/>
              </w:rPr>
              <w:t>（HJ2.2-2018），基本污染物环境质量现状数据优先采用国家或地方生态环境主管部门公开发布的评价基准年环境质量公告或环境质量报告中的数据或结论。</w:t>
            </w:r>
          </w:p>
          <w:p w14:paraId="23366FF1">
            <w:pPr>
              <w:spacing w:line="360" w:lineRule="auto"/>
              <w:ind w:firstLine="422"/>
              <w:contextualSpacing/>
              <w:rPr>
                <w:color w:val="auto"/>
                <w:kern w:val="0"/>
                <w:sz w:val="24"/>
                <w:szCs w:val="20"/>
              </w:rPr>
            </w:pPr>
            <w:r>
              <w:rPr>
                <w:color w:val="auto"/>
                <w:kern w:val="0"/>
                <w:sz w:val="24"/>
                <w:szCs w:val="20"/>
              </w:rPr>
              <w:t>本项目位于</w:t>
            </w:r>
            <w:r>
              <w:rPr>
                <w:rFonts w:hint="eastAsia"/>
                <w:color w:val="auto"/>
                <w:kern w:val="0"/>
                <w:sz w:val="24"/>
                <w:lang w:eastAsia="zh-CN"/>
              </w:rPr>
              <w:t>陕西省西咸新区泾河新城崇文镇焦村泾科路1号</w:t>
            </w:r>
            <w:r>
              <w:rPr>
                <w:color w:val="auto"/>
                <w:kern w:val="0"/>
                <w:sz w:val="24"/>
                <w:szCs w:val="20"/>
              </w:rPr>
              <w:t>，根据大气功能区划，项目所在地为二类功能区，环境空气质量标准执行《环境空气质量标准》（GB3095-2012）二级标准要求。</w:t>
            </w:r>
          </w:p>
          <w:p w14:paraId="675A03FA">
            <w:pPr>
              <w:spacing w:line="360" w:lineRule="auto"/>
              <w:ind w:firstLine="422"/>
              <w:contextualSpacing/>
              <w:rPr>
                <w:color w:val="auto"/>
                <w:kern w:val="0"/>
                <w:sz w:val="24"/>
                <w:szCs w:val="20"/>
              </w:rPr>
            </w:pPr>
            <w:r>
              <w:rPr>
                <w:color w:val="auto"/>
                <w:kern w:val="0"/>
                <w:sz w:val="24"/>
                <w:szCs w:val="20"/>
              </w:rPr>
              <w:t>本项目空气环境质量现状引</w:t>
            </w:r>
            <w:r>
              <w:rPr>
                <w:rFonts w:hint="default" w:ascii="Times New Roman" w:hAnsi="Times New Roman" w:cs="Times New Roman"/>
                <w:color w:val="auto"/>
                <w:kern w:val="0"/>
                <w:sz w:val="24"/>
                <w:szCs w:val="20"/>
              </w:rPr>
              <w:t>用《202</w:t>
            </w:r>
            <w:r>
              <w:rPr>
                <w:rFonts w:hint="eastAsia" w:cs="Times New Roman"/>
                <w:color w:val="auto"/>
                <w:kern w:val="0"/>
                <w:sz w:val="24"/>
                <w:szCs w:val="20"/>
                <w:lang w:val="en-US" w:eastAsia="zh-CN"/>
              </w:rPr>
              <w:t>3</w:t>
            </w:r>
            <w:r>
              <w:rPr>
                <w:rFonts w:hint="default" w:ascii="Times New Roman" w:hAnsi="Times New Roman" w:cs="Times New Roman"/>
                <w:color w:val="auto"/>
                <w:kern w:val="0"/>
                <w:sz w:val="24"/>
                <w:szCs w:val="20"/>
              </w:rPr>
              <w:t>年12月及1~12月全省环境空气质量状况环保快报》（陕西省生态环境厅办公室，202</w:t>
            </w:r>
            <w:r>
              <w:rPr>
                <w:rFonts w:hint="eastAsia" w:cs="Times New Roman"/>
                <w:color w:val="auto"/>
                <w:kern w:val="0"/>
                <w:sz w:val="24"/>
                <w:szCs w:val="20"/>
                <w:lang w:val="en-US" w:eastAsia="zh-CN"/>
              </w:rPr>
              <w:t>4</w:t>
            </w:r>
            <w:r>
              <w:rPr>
                <w:rFonts w:hint="default" w:ascii="Times New Roman" w:hAnsi="Times New Roman" w:cs="Times New Roman"/>
                <w:color w:val="auto"/>
                <w:kern w:val="0"/>
                <w:sz w:val="24"/>
                <w:szCs w:val="20"/>
              </w:rPr>
              <w:t>年1月1</w:t>
            </w:r>
            <w:r>
              <w:rPr>
                <w:rFonts w:hint="eastAsia" w:cs="Times New Roman"/>
                <w:color w:val="auto"/>
                <w:kern w:val="0"/>
                <w:sz w:val="24"/>
                <w:szCs w:val="20"/>
                <w:lang w:val="en-US" w:eastAsia="zh-CN"/>
              </w:rPr>
              <w:t>9</w:t>
            </w:r>
            <w:r>
              <w:rPr>
                <w:rFonts w:hint="default" w:ascii="Times New Roman" w:hAnsi="Times New Roman" w:cs="Times New Roman"/>
                <w:color w:val="auto"/>
                <w:kern w:val="0"/>
                <w:sz w:val="24"/>
                <w:szCs w:val="20"/>
              </w:rPr>
              <w:t>日发布）中</w:t>
            </w:r>
            <w:r>
              <w:rPr>
                <w:color w:val="auto"/>
                <w:kern w:val="0"/>
                <w:sz w:val="24"/>
                <w:szCs w:val="20"/>
              </w:rPr>
              <w:t>空气常规六项污染物监测结果，对区域环境空气质量现状进行分析，统计结果见下表。</w:t>
            </w:r>
          </w:p>
          <w:p w14:paraId="366BD4AE">
            <w:pPr>
              <w:contextualSpacing/>
              <w:jc w:val="center"/>
              <w:rPr>
                <w:b/>
                <w:bCs/>
                <w:color w:val="auto"/>
                <w:kern w:val="0"/>
                <w:szCs w:val="21"/>
              </w:rPr>
            </w:pPr>
            <w:r>
              <w:rPr>
                <w:b/>
                <w:bCs/>
                <w:color w:val="auto"/>
                <w:kern w:val="0"/>
                <w:szCs w:val="21"/>
              </w:rPr>
              <w:t>表</w:t>
            </w:r>
            <w:r>
              <w:rPr>
                <w:rFonts w:hint="eastAsia"/>
                <w:b/>
                <w:bCs/>
                <w:color w:val="auto"/>
                <w:kern w:val="0"/>
                <w:szCs w:val="21"/>
              </w:rPr>
              <w:t xml:space="preserve">3-1   </w:t>
            </w:r>
            <w:r>
              <w:rPr>
                <w:b/>
                <w:bCs/>
                <w:color w:val="auto"/>
                <w:kern w:val="0"/>
                <w:szCs w:val="21"/>
              </w:rPr>
              <w:t>本项目所在地达标区判定情况一览表（单位：μg/m</w:t>
            </w:r>
            <w:r>
              <w:rPr>
                <w:b/>
                <w:bCs/>
                <w:color w:val="auto"/>
                <w:kern w:val="0"/>
                <w:szCs w:val="21"/>
                <w:vertAlign w:val="superscript"/>
              </w:rPr>
              <w:t>3</w:t>
            </w:r>
            <w:r>
              <w:rPr>
                <w:b/>
                <w:bCs/>
                <w:color w:val="auto"/>
                <w:kern w:val="0"/>
                <w:szCs w:val="21"/>
              </w:rPr>
              <w:t>）</w:t>
            </w:r>
          </w:p>
          <w:tbl>
            <w:tblPr>
              <w:tblStyle w:val="17"/>
              <w:tblW w:w="4999"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57" w:type="dxa"/>
                <w:bottom w:w="0" w:type="dxa"/>
                <w:right w:w="57" w:type="dxa"/>
              </w:tblCellMar>
            </w:tblPr>
            <w:tblGrid>
              <w:gridCol w:w="905"/>
              <w:gridCol w:w="928"/>
              <w:gridCol w:w="2188"/>
              <w:gridCol w:w="1056"/>
              <w:gridCol w:w="1197"/>
              <w:gridCol w:w="1107"/>
              <w:gridCol w:w="915"/>
            </w:tblGrid>
            <w:tr w14:paraId="580EE5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12" w:hRule="atLeast"/>
                <w:jc w:val="center"/>
              </w:trPr>
              <w:tc>
                <w:tcPr>
                  <w:tcW w:w="545" w:type="pct"/>
                  <w:vMerge w:val="restart"/>
                  <w:vAlign w:val="center"/>
                </w:tcPr>
                <w:p w14:paraId="4A863542">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区县名称</w:t>
                  </w:r>
                </w:p>
              </w:tc>
              <w:tc>
                <w:tcPr>
                  <w:tcW w:w="559" w:type="pct"/>
                  <w:vMerge w:val="restart"/>
                  <w:vAlign w:val="center"/>
                </w:tcPr>
                <w:p w14:paraId="05E8B533">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污染物</w:t>
                  </w:r>
                </w:p>
              </w:tc>
              <w:tc>
                <w:tcPr>
                  <w:tcW w:w="1318" w:type="pct"/>
                  <w:vMerge w:val="restart"/>
                  <w:vAlign w:val="center"/>
                </w:tcPr>
                <w:p w14:paraId="48F1652D">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年评价指标</w:t>
                  </w:r>
                </w:p>
              </w:tc>
              <w:tc>
                <w:tcPr>
                  <w:tcW w:w="636" w:type="pct"/>
                  <w:vMerge w:val="restart"/>
                  <w:vAlign w:val="center"/>
                </w:tcPr>
                <w:p w14:paraId="1D32764F">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评价标准</w:t>
                  </w:r>
                </w:p>
              </w:tc>
              <w:tc>
                <w:tcPr>
                  <w:tcW w:w="721" w:type="pct"/>
                  <w:vMerge w:val="restart"/>
                  <w:vAlign w:val="center"/>
                </w:tcPr>
                <w:p w14:paraId="563D36BC">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现状浓度</w:t>
                  </w:r>
                </w:p>
              </w:tc>
              <w:tc>
                <w:tcPr>
                  <w:tcW w:w="667" w:type="pct"/>
                  <w:vMerge w:val="restart"/>
                  <w:vAlign w:val="center"/>
                </w:tcPr>
                <w:p w14:paraId="02FE297A">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最大浓度占标率</w:t>
                  </w:r>
                </w:p>
              </w:tc>
              <w:tc>
                <w:tcPr>
                  <w:tcW w:w="551" w:type="pct"/>
                  <w:vMerge w:val="restart"/>
                  <w:vAlign w:val="center"/>
                </w:tcPr>
                <w:p w14:paraId="7D1595AE">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达标</w:t>
                  </w:r>
                </w:p>
                <w:p w14:paraId="6418F60E">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情况</w:t>
                  </w:r>
                </w:p>
              </w:tc>
            </w:tr>
            <w:tr w14:paraId="4CBC80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12" w:hRule="atLeast"/>
                <w:jc w:val="center"/>
              </w:trPr>
              <w:tc>
                <w:tcPr>
                  <w:tcW w:w="545" w:type="pct"/>
                  <w:vMerge w:val="continue"/>
                  <w:vAlign w:val="center"/>
                </w:tcPr>
                <w:p w14:paraId="34A43942">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宋体" w:cs="Times New Roman"/>
                      <w:color w:val="auto"/>
                      <w:kern w:val="0"/>
                      <w:szCs w:val="21"/>
                    </w:rPr>
                  </w:pPr>
                </w:p>
              </w:tc>
              <w:tc>
                <w:tcPr>
                  <w:tcW w:w="559" w:type="pct"/>
                  <w:vMerge w:val="continue"/>
                  <w:vAlign w:val="center"/>
                </w:tcPr>
                <w:p w14:paraId="6CFFFFCF">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宋体" w:cs="Times New Roman"/>
                      <w:color w:val="auto"/>
                      <w:kern w:val="0"/>
                      <w:szCs w:val="21"/>
                    </w:rPr>
                  </w:pPr>
                </w:p>
              </w:tc>
              <w:tc>
                <w:tcPr>
                  <w:tcW w:w="1318" w:type="pct"/>
                  <w:vMerge w:val="continue"/>
                  <w:vAlign w:val="center"/>
                </w:tcPr>
                <w:p w14:paraId="1AEE27BA">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宋体" w:cs="Times New Roman"/>
                      <w:color w:val="auto"/>
                      <w:kern w:val="0"/>
                      <w:szCs w:val="21"/>
                    </w:rPr>
                  </w:pPr>
                </w:p>
              </w:tc>
              <w:tc>
                <w:tcPr>
                  <w:tcW w:w="636" w:type="pct"/>
                  <w:vMerge w:val="continue"/>
                  <w:vAlign w:val="center"/>
                </w:tcPr>
                <w:p w14:paraId="73EA2DCD">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宋体" w:cs="Times New Roman"/>
                      <w:color w:val="auto"/>
                      <w:kern w:val="0"/>
                      <w:szCs w:val="21"/>
                    </w:rPr>
                  </w:pPr>
                </w:p>
              </w:tc>
              <w:tc>
                <w:tcPr>
                  <w:tcW w:w="721" w:type="pct"/>
                  <w:vMerge w:val="continue"/>
                  <w:vAlign w:val="center"/>
                </w:tcPr>
                <w:p w14:paraId="577D8ECD">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宋体" w:cs="Times New Roman"/>
                      <w:color w:val="auto"/>
                      <w:kern w:val="0"/>
                      <w:szCs w:val="21"/>
                    </w:rPr>
                  </w:pPr>
                </w:p>
              </w:tc>
              <w:tc>
                <w:tcPr>
                  <w:tcW w:w="667" w:type="pct"/>
                  <w:vMerge w:val="continue"/>
                  <w:vAlign w:val="center"/>
                </w:tcPr>
                <w:p w14:paraId="070B3CCA">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宋体" w:cs="Times New Roman"/>
                      <w:color w:val="auto"/>
                      <w:kern w:val="0"/>
                      <w:szCs w:val="21"/>
                    </w:rPr>
                  </w:pPr>
                </w:p>
              </w:tc>
              <w:tc>
                <w:tcPr>
                  <w:tcW w:w="551" w:type="pct"/>
                  <w:vMerge w:val="continue"/>
                  <w:vAlign w:val="center"/>
                </w:tcPr>
                <w:p w14:paraId="3CB9A7E0">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宋体" w:cs="Times New Roman"/>
                      <w:color w:val="auto"/>
                      <w:kern w:val="0"/>
                      <w:szCs w:val="21"/>
                    </w:rPr>
                  </w:pPr>
                </w:p>
              </w:tc>
            </w:tr>
            <w:tr w14:paraId="7EC2DF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3" w:hRule="atLeast"/>
                <w:jc w:val="center"/>
              </w:trPr>
              <w:tc>
                <w:tcPr>
                  <w:tcW w:w="545" w:type="pct"/>
                  <w:vMerge w:val="restart"/>
                  <w:vAlign w:val="center"/>
                </w:tcPr>
                <w:p w14:paraId="6BD9BCC1">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宋体" w:cs="Times New Roman"/>
                      <w:color w:val="auto"/>
                      <w:kern w:val="0"/>
                      <w:szCs w:val="21"/>
                    </w:rPr>
                  </w:pPr>
                  <w:bookmarkStart w:id="7" w:name="OLE_LINK8"/>
                  <w:r>
                    <w:rPr>
                      <w:rFonts w:hint="default" w:ascii="Times New Roman" w:hAnsi="Times New Roman" w:eastAsia="宋体" w:cs="Times New Roman"/>
                      <w:color w:val="auto"/>
                      <w:kern w:val="0"/>
                      <w:szCs w:val="21"/>
                    </w:rPr>
                    <w:t>西咸</w:t>
                  </w:r>
                </w:p>
                <w:p w14:paraId="45AC9CF9">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新区</w:t>
                  </w:r>
                  <w:bookmarkEnd w:id="7"/>
                </w:p>
              </w:tc>
              <w:tc>
                <w:tcPr>
                  <w:tcW w:w="559" w:type="pct"/>
                  <w:vAlign w:val="center"/>
                </w:tcPr>
                <w:p w14:paraId="03E53931">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PM</w:t>
                  </w:r>
                  <w:r>
                    <w:rPr>
                      <w:rFonts w:hint="default" w:ascii="Times New Roman" w:hAnsi="Times New Roman" w:eastAsia="宋体" w:cs="Times New Roman"/>
                      <w:color w:val="auto"/>
                      <w:kern w:val="0"/>
                      <w:szCs w:val="21"/>
                      <w:vertAlign w:val="subscript"/>
                    </w:rPr>
                    <w:t>2.5</w:t>
                  </w:r>
                </w:p>
              </w:tc>
              <w:tc>
                <w:tcPr>
                  <w:tcW w:w="1318" w:type="pct"/>
                  <w:vAlign w:val="center"/>
                </w:tcPr>
                <w:p w14:paraId="35812B4F">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年平均质量浓度</w:t>
                  </w:r>
                </w:p>
              </w:tc>
              <w:tc>
                <w:tcPr>
                  <w:tcW w:w="636" w:type="pct"/>
                  <w:vAlign w:val="center"/>
                </w:tcPr>
                <w:p w14:paraId="62EEA727">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35</w:t>
                  </w:r>
                </w:p>
              </w:tc>
              <w:tc>
                <w:tcPr>
                  <w:tcW w:w="721" w:type="pct"/>
                  <w:vAlign w:val="center"/>
                </w:tcPr>
                <w:p w14:paraId="7598795B">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宋体" w:cs="Times New Roman"/>
                      <w:color w:val="auto"/>
                      <w:kern w:val="0"/>
                      <w:szCs w:val="21"/>
                      <w:lang w:val="en-US" w:eastAsia="zh-CN"/>
                    </w:rPr>
                  </w:pPr>
                  <w:r>
                    <w:rPr>
                      <w:rFonts w:hint="default" w:ascii="Times New Roman" w:hAnsi="Times New Roman" w:eastAsia="宋体" w:cs="Times New Roman"/>
                      <w:color w:val="auto"/>
                      <w:kern w:val="0"/>
                      <w:szCs w:val="21"/>
                      <w:lang w:val="en-US" w:eastAsia="zh-CN"/>
                    </w:rPr>
                    <w:t>48</w:t>
                  </w:r>
                </w:p>
              </w:tc>
              <w:tc>
                <w:tcPr>
                  <w:tcW w:w="667" w:type="pct"/>
                  <w:vAlign w:val="center"/>
                </w:tcPr>
                <w:p w14:paraId="48063A07">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宋体" w:cs="Times New Roman"/>
                      <w:color w:val="auto"/>
                      <w:kern w:val="0"/>
                      <w:szCs w:val="21"/>
                      <w:lang w:val="en-US" w:eastAsia="zh-CN"/>
                    </w:rPr>
                  </w:pPr>
                  <w:r>
                    <w:rPr>
                      <w:rFonts w:hint="default" w:ascii="Times New Roman" w:hAnsi="Times New Roman" w:eastAsia="宋体" w:cs="Times New Roman"/>
                      <w:color w:val="auto"/>
                      <w:kern w:val="0"/>
                      <w:szCs w:val="21"/>
                      <w:lang w:val="en-US" w:eastAsia="zh-CN"/>
                    </w:rPr>
                    <w:t>137%</w:t>
                  </w:r>
                </w:p>
              </w:tc>
              <w:tc>
                <w:tcPr>
                  <w:tcW w:w="551" w:type="pct"/>
                  <w:vAlign w:val="center"/>
                </w:tcPr>
                <w:p w14:paraId="625955E4">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不达标</w:t>
                  </w:r>
                </w:p>
              </w:tc>
            </w:tr>
            <w:tr w14:paraId="34866B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3" w:hRule="atLeast"/>
                <w:jc w:val="center"/>
              </w:trPr>
              <w:tc>
                <w:tcPr>
                  <w:tcW w:w="545" w:type="pct"/>
                  <w:vMerge w:val="continue"/>
                  <w:vAlign w:val="center"/>
                </w:tcPr>
                <w:p w14:paraId="09C70420">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宋体" w:cs="Times New Roman"/>
                      <w:color w:val="auto"/>
                      <w:kern w:val="0"/>
                      <w:szCs w:val="21"/>
                    </w:rPr>
                  </w:pPr>
                </w:p>
              </w:tc>
              <w:tc>
                <w:tcPr>
                  <w:tcW w:w="559" w:type="pct"/>
                  <w:vAlign w:val="center"/>
                </w:tcPr>
                <w:p w14:paraId="1A70B129">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PM</w:t>
                  </w:r>
                  <w:r>
                    <w:rPr>
                      <w:rFonts w:hint="default" w:ascii="Times New Roman" w:hAnsi="Times New Roman" w:eastAsia="宋体" w:cs="Times New Roman"/>
                      <w:color w:val="auto"/>
                      <w:kern w:val="0"/>
                      <w:szCs w:val="21"/>
                      <w:vertAlign w:val="subscript"/>
                    </w:rPr>
                    <w:t>10</w:t>
                  </w:r>
                </w:p>
              </w:tc>
              <w:tc>
                <w:tcPr>
                  <w:tcW w:w="1318" w:type="pct"/>
                  <w:vAlign w:val="center"/>
                </w:tcPr>
                <w:p w14:paraId="5DA73351">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年平均质量浓度</w:t>
                  </w:r>
                </w:p>
              </w:tc>
              <w:tc>
                <w:tcPr>
                  <w:tcW w:w="636" w:type="pct"/>
                  <w:vAlign w:val="center"/>
                </w:tcPr>
                <w:p w14:paraId="6B35A92A">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70</w:t>
                  </w:r>
                </w:p>
              </w:tc>
              <w:tc>
                <w:tcPr>
                  <w:tcW w:w="721" w:type="pct"/>
                  <w:vAlign w:val="center"/>
                </w:tcPr>
                <w:p w14:paraId="49878731">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宋体" w:cs="Times New Roman"/>
                      <w:color w:val="auto"/>
                      <w:kern w:val="0"/>
                      <w:szCs w:val="21"/>
                      <w:lang w:val="en-US" w:eastAsia="zh-CN"/>
                    </w:rPr>
                  </w:pPr>
                  <w:r>
                    <w:rPr>
                      <w:rFonts w:hint="default" w:ascii="Times New Roman" w:hAnsi="Times New Roman" w:eastAsia="宋体" w:cs="Times New Roman"/>
                      <w:color w:val="auto"/>
                      <w:kern w:val="0"/>
                      <w:szCs w:val="21"/>
                      <w:lang w:val="en-US" w:eastAsia="zh-CN"/>
                    </w:rPr>
                    <w:t>82</w:t>
                  </w:r>
                </w:p>
              </w:tc>
              <w:tc>
                <w:tcPr>
                  <w:tcW w:w="667" w:type="pct"/>
                  <w:vAlign w:val="center"/>
                </w:tcPr>
                <w:p w14:paraId="1ADF1962">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宋体" w:cs="Times New Roman"/>
                      <w:color w:val="auto"/>
                      <w:kern w:val="0"/>
                      <w:szCs w:val="21"/>
                      <w:lang w:val="en-US" w:eastAsia="zh-CN"/>
                    </w:rPr>
                  </w:pPr>
                  <w:r>
                    <w:rPr>
                      <w:rFonts w:hint="default" w:ascii="Times New Roman" w:hAnsi="Times New Roman" w:eastAsia="宋体" w:cs="Times New Roman"/>
                      <w:color w:val="auto"/>
                      <w:kern w:val="0"/>
                      <w:szCs w:val="21"/>
                      <w:lang w:val="en-US" w:eastAsia="zh-CN"/>
                    </w:rPr>
                    <w:t>117%</w:t>
                  </w:r>
                </w:p>
              </w:tc>
              <w:tc>
                <w:tcPr>
                  <w:tcW w:w="551" w:type="pct"/>
                  <w:vAlign w:val="center"/>
                </w:tcPr>
                <w:p w14:paraId="23E6CBA0">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不达标</w:t>
                  </w:r>
                </w:p>
              </w:tc>
            </w:tr>
            <w:tr w14:paraId="16330A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3" w:hRule="atLeast"/>
                <w:jc w:val="center"/>
              </w:trPr>
              <w:tc>
                <w:tcPr>
                  <w:tcW w:w="545" w:type="pct"/>
                  <w:vMerge w:val="continue"/>
                  <w:vAlign w:val="center"/>
                </w:tcPr>
                <w:p w14:paraId="0CB6EE7E">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宋体" w:cs="Times New Roman"/>
                      <w:color w:val="auto"/>
                      <w:kern w:val="0"/>
                      <w:szCs w:val="21"/>
                    </w:rPr>
                  </w:pPr>
                </w:p>
              </w:tc>
              <w:tc>
                <w:tcPr>
                  <w:tcW w:w="559" w:type="pct"/>
                  <w:vAlign w:val="center"/>
                </w:tcPr>
                <w:p w14:paraId="5E2B069A">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SO</w:t>
                  </w:r>
                  <w:r>
                    <w:rPr>
                      <w:rFonts w:hint="default" w:ascii="Times New Roman" w:hAnsi="Times New Roman" w:eastAsia="宋体" w:cs="Times New Roman"/>
                      <w:color w:val="auto"/>
                      <w:kern w:val="0"/>
                      <w:szCs w:val="21"/>
                      <w:vertAlign w:val="subscript"/>
                    </w:rPr>
                    <w:t>2</w:t>
                  </w:r>
                </w:p>
              </w:tc>
              <w:tc>
                <w:tcPr>
                  <w:tcW w:w="1318" w:type="pct"/>
                  <w:vAlign w:val="center"/>
                </w:tcPr>
                <w:p w14:paraId="40E51CE8">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年平均质量浓度</w:t>
                  </w:r>
                </w:p>
              </w:tc>
              <w:tc>
                <w:tcPr>
                  <w:tcW w:w="636" w:type="pct"/>
                  <w:vAlign w:val="center"/>
                </w:tcPr>
                <w:p w14:paraId="46599071">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60</w:t>
                  </w:r>
                </w:p>
              </w:tc>
              <w:tc>
                <w:tcPr>
                  <w:tcW w:w="721" w:type="pct"/>
                  <w:vAlign w:val="center"/>
                </w:tcPr>
                <w:p w14:paraId="53C5A823">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宋体" w:cs="Times New Roman"/>
                      <w:color w:val="auto"/>
                      <w:kern w:val="0"/>
                      <w:szCs w:val="21"/>
                      <w:lang w:val="en-US" w:eastAsia="zh-CN"/>
                    </w:rPr>
                  </w:pPr>
                  <w:r>
                    <w:rPr>
                      <w:rFonts w:hint="default" w:ascii="Times New Roman" w:hAnsi="Times New Roman" w:eastAsia="宋体" w:cs="Times New Roman"/>
                      <w:color w:val="auto"/>
                      <w:kern w:val="0"/>
                      <w:szCs w:val="21"/>
                      <w:lang w:val="en-US" w:eastAsia="zh-CN"/>
                    </w:rPr>
                    <w:t>7</w:t>
                  </w:r>
                </w:p>
              </w:tc>
              <w:tc>
                <w:tcPr>
                  <w:tcW w:w="667" w:type="pct"/>
                  <w:vAlign w:val="center"/>
                </w:tcPr>
                <w:p w14:paraId="38F58842">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宋体" w:cs="Times New Roman"/>
                      <w:color w:val="auto"/>
                      <w:kern w:val="0"/>
                      <w:szCs w:val="21"/>
                      <w:lang w:val="en-US" w:eastAsia="zh-CN"/>
                    </w:rPr>
                  </w:pPr>
                  <w:r>
                    <w:rPr>
                      <w:rFonts w:hint="default" w:ascii="Times New Roman" w:hAnsi="Times New Roman" w:eastAsia="宋体" w:cs="Times New Roman"/>
                      <w:color w:val="auto"/>
                      <w:kern w:val="0"/>
                      <w:szCs w:val="21"/>
                      <w:lang w:val="en-US" w:eastAsia="zh-CN"/>
                    </w:rPr>
                    <w:t>12%</w:t>
                  </w:r>
                </w:p>
              </w:tc>
              <w:tc>
                <w:tcPr>
                  <w:tcW w:w="551" w:type="pct"/>
                  <w:vAlign w:val="center"/>
                </w:tcPr>
                <w:p w14:paraId="1F09793A">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达标</w:t>
                  </w:r>
                </w:p>
              </w:tc>
            </w:tr>
            <w:tr w14:paraId="43E7CD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3" w:hRule="atLeast"/>
                <w:jc w:val="center"/>
              </w:trPr>
              <w:tc>
                <w:tcPr>
                  <w:tcW w:w="545" w:type="pct"/>
                  <w:vMerge w:val="continue"/>
                  <w:vAlign w:val="center"/>
                </w:tcPr>
                <w:p w14:paraId="38BCAFD3">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宋体" w:cs="Times New Roman"/>
                      <w:color w:val="auto"/>
                      <w:kern w:val="0"/>
                      <w:szCs w:val="21"/>
                    </w:rPr>
                  </w:pPr>
                </w:p>
              </w:tc>
              <w:tc>
                <w:tcPr>
                  <w:tcW w:w="559" w:type="pct"/>
                  <w:vAlign w:val="center"/>
                </w:tcPr>
                <w:p w14:paraId="53A02E83">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NO</w:t>
                  </w:r>
                  <w:r>
                    <w:rPr>
                      <w:rFonts w:hint="default" w:ascii="Times New Roman" w:hAnsi="Times New Roman" w:eastAsia="宋体" w:cs="Times New Roman"/>
                      <w:color w:val="auto"/>
                      <w:kern w:val="0"/>
                      <w:szCs w:val="21"/>
                      <w:vertAlign w:val="subscript"/>
                    </w:rPr>
                    <w:t>2</w:t>
                  </w:r>
                </w:p>
              </w:tc>
              <w:tc>
                <w:tcPr>
                  <w:tcW w:w="1318" w:type="pct"/>
                  <w:vAlign w:val="center"/>
                </w:tcPr>
                <w:p w14:paraId="0B51DBA7">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年平均质量浓度</w:t>
                  </w:r>
                </w:p>
              </w:tc>
              <w:tc>
                <w:tcPr>
                  <w:tcW w:w="636" w:type="pct"/>
                  <w:vAlign w:val="center"/>
                </w:tcPr>
                <w:p w14:paraId="000D6F30">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40</w:t>
                  </w:r>
                </w:p>
              </w:tc>
              <w:tc>
                <w:tcPr>
                  <w:tcW w:w="721" w:type="pct"/>
                  <w:vAlign w:val="center"/>
                </w:tcPr>
                <w:p w14:paraId="16592D2C">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宋体" w:cs="Times New Roman"/>
                      <w:color w:val="auto"/>
                      <w:kern w:val="0"/>
                      <w:szCs w:val="21"/>
                      <w:lang w:val="en-US" w:eastAsia="zh-CN"/>
                    </w:rPr>
                  </w:pPr>
                  <w:r>
                    <w:rPr>
                      <w:rFonts w:hint="default" w:ascii="Times New Roman" w:hAnsi="Times New Roman" w:eastAsia="宋体" w:cs="Times New Roman"/>
                      <w:color w:val="auto"/>
                      <w:kern w:val="0"/>
                      <w:szCs w:val="21"/>
                      <w:lang w:val="en-US" w:eastAsia="zh-CN"/>
                    </w:rPr>
                    <w:t>37</w:t>
                  </w:r>
                </w:p>
              </w:tc>
              <w:tc>
                <w:tcPr>
                  <w:tcW w:w="667" w:type="pct"/>
                  <w:vAlign w:val="center"/>
                </w:tcPr>
                <w:p w14:paraId="13CE05E5">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宋体" w:cs="Times New Roman"/>
                      <w:color w:val="auto"/>
                      <w:kern w:val="0"/>
                      <w:szCs w:val="21"/>
                      <w:lang w:val="en-US" w:eastAsia="zh-CN"/>
                    </w:rPr>
                  </w:pPr>
                  <w:r>
                    <w:rPr>
                      <w:rFonts w:hint="default" w:ascii="Times New Roman" w:hAnsi="Times New Roman" w:eastAsia="宋体" w:cs="Times New Roman"/>
                      <w:color w:val="auto"/>
                      <w:kern w:val="0"/>
                      <w:szCs w:val="21"/>
                      <w:lang w:val="en-US" w:eastAsia="zh-CN"/>
                    </w:rPr>
                    <w:t>93%</w:t>
                  </w:r>
                </w:p>
              </w:tc>
              <w:tc>
                <w:tcPr>
                  <w:tcW w:w="551" w:type="pct"/>
                  <w:vAlign w:val="center"/>
                </w:tcPr>
                <w:p w14:paraId="4D996D71">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达标</w:t>
                  </w:r>
                </w:p>
              </w:tc>
            </w:tr>
            <w:tr w14:paraId="104F62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3" w:hRule="atLeast"/>
                <w:jc w:val="center"/>
              </w:trPr>
              <w:tc>
                <w:tcPr>
                  <w:tcW w:w="545" w:type="pct"/>
                  <w:vMerge w:val="continue"/>
                  <w:vAlign w:val="center"/>
                </w:tcPr>
                <w:p w14:paraId="4179D276">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宋体" w:cs="Times New Roman"/>
                      <w:color w:val="auto"/>
                      <w:kern w:val="0"/>
                      <w:szCs w:val="21"/>
                    </w:rPr>
                  </w:pPr>
                </w:p>
              </w:tc>
              <w:tc>
                <w:tcPr>
                  <w:tcW w:w="559" w:type="pct"/>
                  <w:vAlign w:val="center"/>
                </w:tcPr>
                <w:p w14:paraId="4F292ABF">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CO</w:t>
                  </w:r>
                </w:p>
              </w:tc>
              <w:tc>
                <w:tcPr>
                  <w:tcW w:w="1318" w:type="pct"/>
                  <w:vAlign w:val="center"/>
                </w:tcPr>
                <w:p w14:paraId="35EF097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lang w:val="en-US" w:eastAsia="zh-CN"/>
                    </w:rPr>
                    <w:t>第95百分位浓度</w:t>
                  </w:r>
                </w:p>
              </w:tc>
              <w:tc>
                <w:tcPr>
                  <w:tcW w:w="636" w:type="pct"/>
                  <w:vAlign w:val="center"/>
                </w:tcPr>
                <w:p w14:paraId="55782B68">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4000</w:t>
                  </w:r>
                </w:p>
              </w:tc>
              <w:tc>
                <w:tcPr>
                  <w:tcW w:w="721" w:type="pct"/>
                  <w:vAlign w:val="center"/>
                </w:tcPr>
                <w:p w14:paraId="3DCA2746">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宋体" w:cs="Times New Roman"/>
                      <w:color w:val="auto"/>
                      <w:kern w:val="0"/>
                      <w:szCs w:val="21"/>
                      <w:lang w:val="en-US" w:eastAsia="zh-CN"/>
                    </w:rPr>
                  </w:pPr>
                  <w:r>
                    <w:rPr>
                      <w:rFonts w:hint="default" w:ascii="Times New Roman" w:hAnsi="Times New Roman" w:eastAsia="宋体" w:cs="Times New Roman"/>
                      <w:color w:val="auto"/>
                      <w:kern w:val="0"/>
                      <w:szCs w:val="21"/>
                      <w:lang w:val="en-US" w:eastAsia="zh-CN"/>
                    </w:rPr>
                    <w:t>1300</w:t>
                  </w:r>
                </w:p>
              </w:tc>
              <w:tc>
                <w:tcPr>
                  <w:tcW w:w="667" w:type="pct"/>
                  <w:vAlign w:val="center"/>
                </w:tcPr>
                <w:p w14:paraId="4AA518F9">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宋体" w:cs="Times New Roman"/>
                      <w:color w:val="auto"/>
                      <w:kern w:val="0"/>
                      <w:szCs w:val="21"/>
                      <w:lang w:val="en-US" w:eastAsia="zh-CN"/>
                    </w:rPr>
                  </w:pPr>
                  <w:r>
                    <w:rPr>
                      <w:rFonts w:hint="default" w:ascii="Times New Roman" w:hAnsi="Times New Roman" w:eastAsia="宋体" w:cs="Times New Roman"/>
                      <w:color w:val="auto"/>
                      <w:kern w:val="0"/>
                      <w:szCs w:val="21"/>
                      <w:lang w:val="en-US" w:eastAsia="zh-CN"/>
                    </w:rPr>
                    <w:t>33%</w:t>
                  </w:r>
                </w:p>
              </w:tc>
              <w:tc>
                <w:tcPr>
                  <w:tcW w:w="551" w:type="pct"/>
                  <w:vAlign w:val="center"/>
                </w:tcPr>
                <w:p w14:paraId="5B324E3A">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达标</w:t>
                  </w:r>
                </w:p>
              </w:tc>
            </w:tr>
            <w:tr w14:paraId="1A1D5E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3" w:hRule="atLeast"/>
                <w:jc w:val="center"/>
              </w:trPr>
              <w:tc>
                <w:tcPr>
                  <w:tcW w:w="545" w:type="pct"/>
                  <w:vMerge w:val="continue"/>
                  <w:vAlign w:val="center"/>
                </w:tcPr>
                <w:p w14:paraId="6EE94880">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宋体" w:cs="Times New Roman"/>
                      <w:color w:val="auto"/>
                      <w:kern w:val="0"/>
                      <w:szCs w:val="21"/>
                    </w:rPr>
                  </w:pPr>
                </w:p>
              </w:tc>
              <w:tc>
                <w:tcPr>
                  <w:tcW w:w="559" w:type="pct"/>
                  <w:vAlign w:val="center"/>
                </w:tcPr>
                <w:p w14:paraId="234C0FC9">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O</w:t>
                  </w:r>
                  <w:r>
                    <w:rPr>
                      <w:rFonts w:hint="default" w:ascii="Times New Roman" w:hAnsi="Times New Roman" w:eastAsia="宋体" w:cs="Times New Roman"/>
                      <w:color w:val="auto"/>
                      <w:kern w:val="0"/>
                      <w:szCs w:val="21"/>
                      <w:vertAlign w:val="subscript"/>
                    </w:rPr>
                    <w:t>3</w:t>
                  </w:r>
                </w:p>
              </w:tc>
              <w:tc>
                <w:tcPr>
                  <w:tcW w:w="1318" w:type="pct"/>
                  <w:vAlign w:val="center"/>
                </w:tcPr>
                <w:p w14:paraId="6A4D82F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lang w:val="en-US" w:eastAsia="zh-CN"/>
                    </w:rPr>
                    <w:t>第90百分位浓度</w:t>
                  </w:r>
                </w:p>
              </w:tc>
              <w:tc>
                <w:tcPr>
                  <w:tcW w:w="636" w:type="pct"/>
                  <w:vAlign w:val="center"/>
                </w:tcPr>
                <w:p w14:paraId="40298CB8">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160</w:t>
                  </w:r>
                </w:p>
              </w:tc>
              <w:tc>
                <w:tcPr>
                  <w:tcW w:w="721" w:type="pct"/>
                  <w:vAlign w:val="center"/>
                </w:tcPr>
                <w:p w14:paraId="302FF118">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宋体" w:cs="Times New Roman"/>
                      <w:color w:val="auto"/>
                      <w:kern w:val="0"/>
                      <w:szCs w:val="21"/>
                      <w:lang w:val="en-US" w:eastAsia="zh-CN"/>
                    </w:rPr>
                  </w:pPr>
                  <w:r>
                    <w:rPr>
                      <w:rFonts w:hint="default" w:ascii="Times New Roman" w:hAnsi="Times New Roman" w:eastAsia="宋体" w:cs="Times New Roman"/>
                      <w:color w:val="auto"/>
                      <w:kern w:val="0"/>
                      <w:szCs w:val="21"/>
                      <w:lang w:val="en-US" w:eastAsia="zh-CN"/>
                    </w:rPr>
                    <w:t>163</w:t>
                  </w:r>
                </w:p>
              </w:tc>
              <w:tc>
                <w:tcPr>
                  <w:tcW w:w="667" w:type="pct"/>
                  <w:vAlign w:val="center"/>
                </w:tcPr>
                <w:p w14:paraId="33E7E3D0">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宋体" w:cs="Times New Roman"/>
                      <w:color w:val="auto"/>
                      <w:kern w:val="0"/>
                      <w:szCs w:val="21"/>
                      <w:lang w:val="en-US" w:eastAsia="zh-CN"/>
                    </w:rPr>
                  </w:pPr>
                  <w:r>
                    <w:rPr>
                      <w:rFonts w:hint="default" w:ascii="Times New Roman" w:hAnsi="Times New Roman" w:eastAsia="宋体" w:cs="Times New Roman"/>
                      <w:color w:val="auto"/>
                      <w:kern w:val="0"/>
                      <w:szCs w:val="21"/>
                      <w:lang w:val="en-US" w:eastAsia="zh-CN"/>
                    </w:rPr>
                    <w:t>102%</w:t>
                  </w:r>
                </w:p>
              </w:tc>
              <w:tc>
                <w:tcPr>
                  <w:tcW w:w="551" w:type="pct"/>
                  <w:vAlign w:val="center"/>
                </w:tcPr>
                <w:p w14:paraId="5CA9E45F">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lang w:eastAsia="zh-CN"/>
                    </w:rPr>
                    <w:t>不</w:t>
                  </w:r>
                  <w:r>
                    <w:rPr>
                      <w:rFonts w:hint="default" w:ascii="Times New Roman" w:hAnsi="Times New Roman" w:eastAsia="宋体" w:cs="Times New Roman"/>
                      <w:color w:val="auto"/>
                      <w:kern w:val="0"/>
                      <w:szCs w:val="21"/>
                    </w:rPr>
                    <w:t>达标</w:t>
                  </w:r>
                </w:p>
              </w:tc>
            </w:tr>
          </w:tbl>
          <w:p w14:paraId="2EB1C327">
            <w:pPr>
              <w:widowControl/>
              <w:tabs>
                <w:tab w:val="left" w:pos="3555"/>
              </w:tabs>
              <w:spacing w:line="360" w:lineRule="auto"/>
              <w:ind w:firstLine="480" w:firstLineChars="200"/>
              <w:rPr>
                <w:color w:val="auto"/>
                <w:kern w:val="0"/>
                <w:sz w:val="24"/>
                <w:szCs w:val="20"/>
              </w:rPr>
            </w:pPr>
            <w:r>
              <w:rPr>
                <w:color w:val="auto"/>
                <w:kern w:val="0"/>
                <w:sz w:val="24"/>
                <w:szCs w:val="20"/>
              </w:rPr>
              <w:t>环境空气常规六项指标中，SO</w:t>
            </w:r>
            <w:r>
              <w:rPr>
                <w:color w:val="auto"/>
                <w:kern w:val="0"/>
                <w:sz w:val="24"/>
                <w:szCs w:val="20"/>
                <w:vertAlign w:val="subscript"/>
              </w:rPr>
              <w:t>2</w:t>
            </w:r>
            <w:r>
              <w:rPr>
                <w:color w:val="auto"/>
                <w:kern w:val="0"/>
                <w:sz w:val="24"/>
                <w:szCs w:val="20"/>
              </w:rPr>
              <w:t>年平均质量浓度、NO</w:t>
            </w:r>
            <w:r>
              <w:rPr>
                <w:color w:val="auto"/>
                <w:kern w:val="0"/>
                <w:sz w:val="24"/>
                <w:szCs w:val="20"/>
                <w:vertAlign w:val="subscript"/>
              </w:rPr>
              <w:t>2</w:t>
            </w:r>
            <w:r>
              <w:rPr>
                <w:color w:val="auto"/>
                <w:kern w:val="0"/>
                <w:sz w:val="24"/>
                <w:szCs w:val="20"/>
              </w:rPr>
              <w:t>年平均质量浓度、CO</w:t>
            </w:r>
            <w:r>
              <w:rPr>
                <w:rFonts w:hint="eastAsia"/>
                <w:color w:val="auto"/>
                <w:kern w:val="0"/>
                <w:sz w:val="24"/>
                <w:szCs w:val="20"/>
                <w:lang w:val="en-US" w:eastAsia="zh-CN"/>
              </w:rPr>
              <w:t>第95百</w:t>
            </w:r>
            <w:r>
              <w:rPr>
                <w:color w:val="auto"/>
                <w:kern w:val="0"/>
                <w:sz w:val="24"/>
                <w:szCs w:val="20"/>
                <w:lang w:val="en-US" w:eastAsia="zh-CN"/>
              </w:rPr>
              <w:t>分位</w:t>
            </w:r>
            <w:r>
              <w:rPr>
                <w:rFonts w:hint="eastAsia"/>
                <w:color w:val="auto"/>
                <w:kern w:val="0"/>
                <w:sz w:val="24"/>
                <w:szCs w:val="20"/>
                <w:lang w:val="en-US" w:eastAsia="zh-CN"/>
              </w:rPr>
              <w:t>浓度</w:t>
            </w:r>
            <w:r>
              <w:rPr>
                <w:color w:val="auto"/>
                <w:kern w:val="0"/>
                <w:sz w:val="24"/>
                <w:szCs w:val="20"/>
              </w:rPr>
              <w:t>达到《环境空气质量标准》（GB3095-2012）二级标准要求，PM</w:t>
            </w:r>
            <w:r>
              <w:rPr>
                <w:color w:val="auto"/>
                <w:kern w:val="0"/>
                <w:sz w:val="24"/>
                <w:szCs w:val="20"/>
                <w:vertAlign w:val="subscript"/>
              </w:rPr>
              <w:t>2.5</w:t>
            </w:r>
            <w:r>
              <w:rPr>
                <w:color w:val="auto"/>
                <w:kern w:val="0"/>
                <w:sz w:val="24"/>
                <w:szCs w:val="20"/>
              </w:rPr>
              <w:t>年平均质量浓度、PM</w:t>
            </w:r>
            <w:r>
              <w:rPr>
                <w:color w:val="auto"/>
                <w:kern w:val="0"/>
                <w:sz w:val="24"/>
                <w:szCs w:val="20"/>
                <w:vertAlign w:val="subscript"/>
              </w:rPr>
              <w:t>10</w:t>
            </w:r>
            <w:r>
              <w:rPr>
                <w:color w:val="auto"/>
                <w:kern w:val="0"/>
                <w:sz w:val="24"/>
                <w:szCs w:val="20"/>
              </w:rPr>
              <w:t>年平均质量浓、O</w:t>
            </w:r>
            <w:r>
              <w:rPr>
                <w:color w:val="auto"/>
                <w:kern w:val="0"/>
                <w:sz w:val="24"/>
                <w:szCs w:val="20"/>
                <w:vertAlign w:val="subscript"/>
              </w:rPr>
              <w:t>3</w:t>
            </w:r>
            <w:r>
              <w:rPr>
                <w:rFonts w:hint="eastAsia"/>
                <w:color w:val="auto"/>
                <w:kern w:val="0"/>
                <w:sz w:val="24"/>
                <w:szCs w:val="20"/>
                <w:vertAlign w:val="baseline"/>
                <w:lang w:val="en-US" w:eastAsia="zh-CN"/>
              </w:rPr>
              <w:t>第95百</w:t>
            </w:r>
            <w:r>
              <w:rPr>
                <w:color w:val="auto"/>
                <w:kern w:val="0"/>
                <w:sz w:val="24"/>
                <w:szCs w:val="20"/>
                <w:vertAlign w:val="baseline"/>
                <w:lang w:val="en-US" w:eastAsia="zh-CN"/>
              </w:rPr>
              <w:t>分位</w:t>
            </w:r>
            <w:r>
              <w:rPr>
                <w:rFonts w:hint="eastAsia"/>
                <w:color w:val="auto"/>
                <w:kern w:val="0"/>
                <w:sz w:val="24"/>
                <w:szCs w:val="20"/>
                <w:vertAlign w:val="baseline"/>
                <w:lang w:val="en-US" w:eastAsia="zh-CN"/>
              </w:rPr>
              <w:t>浓</w:t>
            </w:r>
            <w:r>
              <w:rPr>
                <w:color w:val="auto"/>
                <w:kern w:val="0"/>
                <w:sz w:val="24"/>
                <w:szCs w:val="20"/>
              </w:rPr>
              <w:t>度超过《环境空气质量标准》（GB3095-2012）二级标准要求，本项目所在区域属于不达标区域。</w:t>
            </w:r>
          </w:p>
          <w:p w14:paraId="6926C0B1">
            <w:pPr>
              <w:spacing w:line="360" w:lineRule="auto"/>
              <w:ind w:firstLine="482" w:firstLineChars="200"/>
              <w:rPr>
                <w:b/>
                <w:bCs/>
                <w:color w:val="auto"/>
                <w:kern w:val="0"/>
                <w:sz w:val="24"/>
                <w:szCs w:val="20"/>
              </w:rPr>
            </w:pPr>
            <w:r>
              <w:rPr>
                <w:b/>
                <w:bCs/>
                <w:color w:val="auto"/>
                <w:kern w:val="0"/>
                <w:sz w:val="24"/>
                <w:szCs w:val="20"/>
              </w:rPr>
              <w:t>2、声环境现状监测</w:t>
            </w:r>
          </w:p>
          <w:p w14:paraId="42986B5B">
            <w:pPr>
              <w:spacing w:line="360" w:lineRule="auto"/>
              <w:ind w:firstLine="480" w:firstLineChars="200"/>
              <w:rPr>
                <w:color w:val="auto"/>
                <w:sz w:val="24"/>
              </w:rPr>
            </w:pPr>
            <w:r>
              <w:rPr>
                <w:color w:val="auto"/>
                <w:sz w:val="24"/>
              </w:rPr>
              <w:t>本项目位于</w:t>
            </w:r>
            <w:r>
              <w:rPr>
                <w:rFonts w:hint="eastAsia"/>
                <w:color w:val="auto"/>
                <w:kern w:val="0"/>
                <w:sz w:val="24"/>
                <w:lang w:eastAsia="zh-CN"/>
              </w:rPr>
              <w:t>陕西省西咸新区泾河新城崇文镇焦村泾科路1号</w:t>
            </w:r>
            <w:r>
              <w:rPr>
                <w:color w:val="auto"/>
                <w:kern w:val="0"/>
                <w:sz w:val="24"/>
              </w:rPr>
              <w:t>，</w:t>
            </w:r>
            <w:r>
              <w:rPr>
                <w:rFonts w:hint="eastAsia"/>
                <w:color w:val="auto"/>
                <w:kern w:val="0"/>
                <w:sz w:val="24"/>
                <w:szCs w:val="20"/>
              </w:rPr>
              <w:t>北侧</w:t>
            </w:r>
            <w:r>
              <w:rPr>
                <w:rFonts w:hint="eastAsia"/>
                <w:color w:val="auto"/>
                <w:kern w:val="0"/>
                <w:sz w:val="24"/>
                <w:szCs w:val="20"/>
                <w:lang w:val="en-US" w:eastAsia="zh-CN"/>
              </w:rPr>
              <w:t>为陕西重华重工衡器有限公司、南侧为重华重工空置厂房、西侧及东侧为空地</w:t>
            </w:r>
            <w:r>
              <w:rPr>
                <w:rFonts w:hint="eastAsia"/>
                <w:color w:val="auto"/>
                <w:kern w:val="0"/>
                <w:sz w:val="24"/>
                <w:lang w:val="en-US" w:eastAsia="zh-CN"/>
              </w:rPr>
              <w:t>，</w:t>
            </w:r>
            <w:r>
              <w:rPr>
                <w:color w:val="auto"/>
                <w:kern w:val="0"/>
                <w:sz w:val="24"/>
                <w:szCs w:val="20"/>
              </w:rPr>
              <w:t>厂界外50m范围内无声环境保护目标。</w:t>
            </w:r>
          </w:p>
          <w:p w14:paraId="53C4049C">
            <w:pPr>
              <w:spacing w:line="360" w:lineRule="auto"/>
              <w:ind w:firstLine="482" w:firstLineChars="200"/>
              <w:rPr>
                <w:b/>
                <w:bCs/>
                <w:color w:val="auto"/>
                <w:sz w:val="24"/>
              </w:rPr>
            </w:pPr>
            <w:r>
              <w:rPr>
                <w:b/>
                <w:bCs/>
                <w:color w:val="auto"/>
                <w:sz w:val="24"/>
              </w:rPr>
              <w:t>3、生态环境</w:t>
            </w:r>
          </w:p>
          <w:p w14:paraId="310D111B">
            <w:pPr>
              <w:spacing w:line="360" w:lineRule="auto"/>
              <w:ind w:firstLine="480" w:firstLineChars="200"/>
              <w:rPr>
                <w:color w:val="auto"/>
                <w:sz w:val="24"/>
              </w:rPr>
            </w:pPr>
            <w:r>
              <w:rPr>
                <w:color w:val="auto"/>
                <w:sz w:val="24"/>
              </w:rPr>
              <w:t>本项目位于已建成的厂房内，厂房地面已</w:t>
            </w:r>
            <w:r>
              <w:rPr>
                <w:bCs/>
                <w:color w:val="auto"/>
                <w:sz w:val="24"/>
                <w:szCs w:val="32"/>
              </w:rPr>
              <w:t>采用混凝土硬化处理</w:t>
            </w:r>
            <w:r>
              <w:rPr>
                <w:color w:val="auto"/>
                <w:sz w:val="24"/>
              </w:rPr>
              <w:t>，不新增用地，无需进行生态现状调查。</w:t>
            </w:r>
          </w:p>
          <w:p w14:paraId="182DC91F">
            <w:pPr>
              <w:spacing w:line="360" w:lineRule="auto"/>
              <w:ind w:firstLine="482" w:firstLineChars="200"/>
              <w:rPr>
                <w:b/>
                <w:bCs/>
                <w:color w:val="auto"/>
                <w:sz w:val="24"/>
              </w:rPr>
            </w:pPr>
            <w:r>
              <w:rPr>
                <w:b/>
                <w:bCs/>
                <w:color w:val="auto"/>
                <w:sz w:val="24"/>
              </w:rPr>
              <w:t>4、地下水、土壤环境</w:t>
            </w:r>
          </w:p>
          <w:p w14:paraId="4312CE63">
            <w:pPr>
              <w:spacing w:line="360" w:lineRule="auto"/>
              <w:ind w:firstLine="480" w:firstLineChars="200"/>
              <w:rPr>
                <w:color w:val="auto"/>
                <w:sz w:val="24"/>
              </w:rPr>
            </w:pPr>
            <w:r>
              <w:rPr>
                <w:rFonts w:hint="eastAsia"/>
                <w:color w:val="auto"/>
                <w:sz w:val="24"/>
              </w:rPr>
              <w:t>根据《建设项目环境影响报告表编制技术指南（污染影响类）（试行）》，地下水、土壤环境原则上不开展环境质量现状调查。建设项目存在土壤、地下水环境污染途径的，应结合污染源、保护目标分布情况开展现状调查以留作背景值。</w:t>
            </w:r>
          </w:p>
          <w:p w14:paraId="39B3612A">
            <w:pPr>
              <w:keepNext w:val="0"/>
              <w:keepLines w:val="0"/>
              <w:pageBreakBefore w:val="0"/>
              <w:widowControl w:val="0"/>
              <w:kinsoku/>
              <w:wordWrap/>
              <w:overflowPunct/>
              <w:topLinePunct w:val="0"/>
              <w:autoSpaceDE/>
              <w:autoSpaceDN/>
              <w:bidi w:val="0"/>
              <w:adjustRightInd/>
              <w:snapToGrid w:val="0"/>
              <w:spacing w:line="360" w:lineRule="auto"/>
              <w:ind w:firstLine="480" w:firstLineChars="200"/>
              <w:textAlignment w:val="auto"/>
              <w:rPr>
                <w:color w:val="auto"/>
                <w:kern w:val="0"/>
                <w:szCs w:val="21"/>
              </w:rPr>
            </w:pPr>
            <w:r>
              <w:rPr>
                <w:color w:val="auto"/>
                <w:sz w:val="24"/>
              </w:rPr>
              <w:t>本项目在已建好的厂房安装设备，厂房地面已全部</w:t>
            </w:r>
            <w:r>
              <w:rPr>
                <w:bCs/>
                <w:color w:val="auto"/>
                <w:sz w:val="24"/>
                <w:szCs w:val="32"/>
              </w:rPr>
              <w:t>采用混凝土</w:t>
            </w:r>
            <w:r>
              <w:rPr>
                <w:color w:val="auto"/>
                <w:sz w:val="24"/>
              </w:rPr>
              <w:t>硬化处理</w:t>
            </w:r>
            <w:r>
              <w:rPr>
                <w:rFonts w:hint="eastAsia"/>
                <w:color w:val="auto"/>
                <w:sz w:val="24"/>
              </w:rPr>
              <w:t>；</w:t>
            </w:r>
            <w:r>
              <w:rPr>
                <w:color w:val="auto"/>
                <w:kern w:val="0"/>
                <w:sz w:val="24"/>
              </w:rPr>
              <w:t>生活污水</w:t>
            </w:r>
            <w:r>
              <w:rPr>
                <w:rFonts w:hint="eastAsia"/>
                <w:color w:val="auto"/>
                <w:kern w:val="0"/>
                <w:sz w:val="24"/>
                <w:lang w:val="en-US" w:eastAsia="zh-CN"/>
              </w:rPr>
              <w:t>依托陕西重型机械制造有限公司化粪池处理，循环水池及污水管网已做好防渗处理</w:t>
            </w:r>
            <w:r>
              <w:rPr>
                <w:color w:val="auto"/>
                <w:kern w:val="0"/>
                <w:sz w:val="24"/>
              </w:rPr>
              <w:t>。</w:t>
            </w:r>
            <w:r>
              <w:rPr>
                <w:rFonts w:hint="eastAsia" w:cs="Times New Roman"/>
                <w:color w:val="auto"/>
                <w:sz w:val="24"/>
                <w:lang w:val="en-US" w:eastAsia="zh-CN"/>
              </w:rPr>
              <w:t>经上述措施后不存在土壤及地下水环境污染途径，故不需开展现状调查</w:t>
            </w:r>
            <w:r>
              <w:rPr>
                <w:color w:val="auto"/>
                <w:sz w:val="24"/>
              </w:rPr>
              <w:t>。</w:t>
            </w:r>
          </w:p>
        </w:tc>
      </w:tr>
      <w:tr w14:paraId="7D8408F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13" w:type="dxa"/>
            <w:vAlign w:val="center"/>
          </w:tcPr>
          <w:p w14:paraId="6FB51EAF">
            <w:pPr>
              <w:adjustRightInd w:val="0"/>
              <w:snapToGrid w:val="0"/>
              <w:spacing w:line="360" w:lineRule="auto"/>
              <w:jc w:val="center"/>
              <w:rPr>
                <w:color w:val="auto"/>
                <w:kern w:val="0"/>
                <w:sz w:val="24"/>
              </w:rPr>
            </w:pPr>
            <w:r>
              <w:rPr>
                <w:color w:val="auto"/>
                <w:kern w:val="0"/>
                <w:sz w:val="24"/>
              </w:rPr>
              <w:t>环境</w:t>
            </w:r>
          </w:p>
          <w:p w14:paraId="54F42D0D">
            <w:pPr>
              <w:adjustRightInd w:val="0"/>
              <w:snapToGrid w:val="0"/>
              <w:spacing w:line="360" w:lineRule="auto"/>
              <w:jc w:val="center"/>
              <w:rPr>
                <w:color w:val="auto"/>
                <w:kern w:val="0"/>
                <w:sz w:val="24"/>
              </w:rPr>
            </w:pPr>
            <w:r>
              <w:rPr>
                <w:color w:val="auto"/>
                <w:kern w:val="0"/>
                <w:sz w:val="24"/>
              </w:rPr>
              <w:t>保护</w:t>
            </w:r>
          </w:p>
          <w:p w14:paraId="4FAA1EE1">
            <w:pPr>
              <w:adjustRightInd w:val="0"/>
              <w:snapToGrid w:val="0"/>
              <w:spacing w:line="360" w:lineRule="auto"/>
              <w:jc w:val="center"/>
              <w:rPr>
                <w:color w:val="auto"/>
                <w:kern w:val="0"/>
                <w:szCs w:val="21"/>
              </w:rPr>
            </w:pPr>
            <w:r>
              <w:rPr>
                <w:color w:val="auto"/>
                <w:kern w:val="0"/>
                <w:sz w:val="24"/>
              </w:rPr>
              <w:t>目标</w:t>
            </w:r>
          </w:p>
        </w:tc>
        <w:tc>
          <w:tcPr>
            <w:tcW w:w="8477" w:type="dxa"/>
            <w:vAlign w:val="center"/>
          </w:tcPr>
          <w:p w14:paraId="7013A25C">
            <w:pPr>
              <w:keepNext w:val="0"/>
              <w:keepLines w:val="0"/>
              <w:pageBreakBefore w:val="0"/>
              <w:widowControl w:val="0"/>
              <w:kinsoku/>
              <w:wordWrap/>
              <w:overflowPunct/>
              <w:topLinePunct w:val="0"/>
              <w:autoSpaceDE/>
              <w:autoSpaceDN/>
              <w:bidi w:val="0"/>
              <w:adjustRightInd/>
              <w:snapToGrid/>
              <w:spacing w:line="348" w:lineRule="auto"/>
              <w:ind w:firstLine="480" w:firstLineChars="200"/>
              <w:textAlignment w:val="auto"/>
              <w:rPr>
                <w:color w:val="auto"/>
                <w:kern w:val="0"/>
                <w:sz w:val="24"/>
                <w:szCs w:val="20"/>
              </w:rPr>
            </w:pPr>
            <w:r>
              <w:rPr>
                <w:color w:val="auto"/>
                <w:kern w:val="0"/>
                <w:sz w:val="24"/>
                <w:szCs w:val="20"/>
              </w:rPr>
              <w:t>本项目属于污染影响类建设项目，根据《建设项目环境影响报告表编制技术指南（污染影响类）（试行）》确定各环境要素的环境影响评价范围及项目的环境保护目标。</w:t>
            </w:r>
          </w:p>
          <w:p w14:paraId="551C9F1E">
            <w:pPr>
              <w:keepNext w:val="0"/>
              <w:keepLines w:val="0"/>
              <w:pageBreakBefore w:val="0"/>
              <w:widowControl w:val="0"/>
              <w:kinsoku/>
              <w:wordWrap/>
              <w:overflowPunct/>
              <w:topLinePunct w:val="0"/>
              <w:autoSpaceDE/>
              <w:autoSpaceDN/>
              <w:bidi w:val="0"/>
              <w:adjustRightInd/>
              <w:snapToGrid/>
              <w:spacing w:line="348" w:lineRule="auto"/>
              <w:ind w:firstLine="480" w:firstLineChars="200"/>
              <w:textAlignment w:val="auto"/>
              <w:rPr>
                <w:color w:val="auto"/>
                <w:kern w:val="0"/>
                <w:sz w:val="24"/>
                <w:szCs w:val="20"/>
              </w:rPr>
            </w:pPr>
            <w:r>
              <w:rPr>
                <w:color w:val="auto"/>
                <w:kern w:val="0"/>
                <w:sz w:val="24"/>
                <w:szCs w:val="20"/>
              </w:rPr>
              <w:t>大气环境：厂界外500m范围内的自然保护区、风景名胜区、居住区、文化区和农村地区中人群集中的区域等保护目标。</w:t>
            </w:r>
          </w:p>
          <w:p w14:paraId="570772C0">
            <w:pPr>
              <w:keepNext w:val="0"/>
              <w:keepLines w:val="0"/>
              <w:pageBreakBefore w:val="0"/>
              <w:widowControl w:val="0"/>
              <w:kinsoku/>
              <w:wordWrap/>
              <w:overflowPunct/>
              <w:topLinePunct w:val="0"/>
              <w:autoSpaceDE/>
              <w:autoSpaceDN/>
              <w:bidi w:val="0"/>
              <w:adjustRightInd/>
              <w:snapToGrid/>
              <w:spacing w:line="348" w:lineRule="auto"/>
              <w:ind w:firstLine="480" w:firstLineChars="200"/>
              <w:textAlignment w:val="auto"/>
              <w:rPr>
                <w:color w:val="auto"/>
                <w:kern w:val="0"/>
                <w:sz w:val="24"/>
                <w:szCs w:val="20"/>
              </w:rPr>
            </w:pPr>
            <w:r>
              <w:rPr>
                <w:color w:val="auto"/>
                <w:kern w:val="0"/>
                <w:sz w:val="24"/>
                <w:szCs w:val="20"/>
              </w:rPr>
              <w:t>声环境：厂界外50m范围内声环境保护目标。</w:t>
            </w:r>
          </w:p>
          <w:p w14:paraId="02DDFD83">
            <w:pPr>
              <w:keepNext w:val="0"/>
              <w:keepLines w:val="0"/>
              <w:pageBreakBefore w:val="0"/>
              <w:widowControl w:val="0"/>
              <w:kinsoku/>
              <w:wordWrap/>
              <w:overflowPunct/>
              <w:topLinePunct w:val="0"/>
              <w:autoSpaceDE/>
              <w:autoSpaceDN/>
              <w:bidi w:val="0"/>
              <w:adjustRightInd/>
              <w:snapToGrid/>
              <w:spacing w:line="348" w:lineRule="auto"/>
              <w:ind w:firstLine="480" w:firstLineChars="200"/>
              <w:textAlignment w:val="auto"/>
              <w:rPr>
                <w:color w:val="auto"/>
                <w:kern w:val="0"/>
                <w:sz w:val="24"/>
                <w:szCs w:val="20"/>
              </w:rPr>
            </w:pPr>
            <w:r>
              <w:rPr>
                <w:color w:val="auto"/>
                <w:kern w:val="0"/>
                <w:sz w:val="24"/>
                <w:szCs w:val="20"/>
              </w:rPr>
              <w:t>地下水环境：厂界外500m范围内的地下水集中式饮用水水源和热水、矿泉水、温泉等特殊地下水资源。</w:t>
            </w:r>
          </w:p>
          <w:p w14:paraId="41E2E27D">
            <w:pPr>
              <w:keepNext w:val="0"/>
              <w:keepLines w:val="0"/>
              <w:pageBreakBefore w:val="0"/>
              <w:widowControl w:val="0"/>
              <w:kinsoku/>
              <w:wordWrap/>
              <w:overflowPunct/>
              <w:topLinePunct w:val="0"/>
              <w:autoSpaceDE/>
              <w:autoSpaceDN/>
              <w:bidi w:val="0"/>
              <w:adjustRightInd/>
              <w:snapToGrid/>
              <w:spacing w:line="348" w:lineRule="auto"/>
              <w:ind w:firstLine="480" w:firstLineChars="200"/>
              <w:textAlignment w:val="auto"/>
              <w:rPr>
                <w:color w:val="auto"/>
                <w:kern w:val="0"/>
                <w:sz w:val="24"/>
                <w:szCs w:val="20"/>
              </w:rPr>
            </w:pPr>
            <w:r>
              <w:rPr>
                <w:color w:val="auto"/>
                <w:kern w:val="0"/>
                <w:sz w:val="24"/>
                <w:szCs w:val="20"/>
              </w:rPr>
              <w:t>生态环境：产业园区外建设项目新增用地的，应明确新增用地范围内生态环境保护目标。</w:t>
            </w:r>
          </w:p>
          <w:p w14:paraId="7CA4B8E6">
            <w:pPr>
              <w:keepNext w:val="0"/>
              <w:keepLines w:val="0"/>
              <w:pageBreakBefore w:val="0"/>
              <w:widowControl w:val="0"/>
              <w:kinsoku/>
              <w:wordWrap/>
              <w:overflowPunct/>
              <w:topLinePunct w:val="0"/>
              <w:autoSpaceDE/>
              <w:autoSpaceDN/>
              <w:bidi w:val="0"/>
              <w:adjustRightInd/>
              <w:snapToGrid/>
              <w:spacing w:line="348" w:lineRule="auto"/>
              <w:ind w:firstLine="480" w:firstLineChars="200"/>
              <w:textAlignment w:val="auto"/>
              <w:rPr>
                <w:rFonts w:hint="default" w:ascii="Times New Roman" w:hAnsi="Times New Roman" w:eastAsia="宋体" w:cs="Times New Roman"/>
                <w:color w:val="auto"/>
                <w:kern w:val="0"/>
                <w:sz w:val="24"/>
                <w:szCs w:val="20"/>
                <w:lang w:val="en-US" w:eastAsia="zh-CN"/>
              </w:rPr>
            </w:pPr>
            <w:r>
              <w:rPr>
                <w:color w:val="auto"/>
                <w:kern w:val="0"/>
                <w:sz w:val="24"/>
                <w:szCs w:val="20"/>
              </w:rPr>
              <w:t>根据现场调查，</w:t>
            </w:r>
            <w:r>
              <w:rPr>
                <w:rFonts w:hint="default" w:ascii="Times New Roman" w:hAnsi="Times New Roman" w:eastAsia="宋体" w:cs="Times New Roman"/>
                <w:color w:val="auto"/>
                <w:kern w:val="0"/>
                <w:sz w:val="24"/>
                <w:szCs w:val="20"/>
                <w:lang w:val="en-US" w:eastAsia="zh-CN"/>
              </w:rPr>
              <w:t>厂界外500m范围内不涉及地下水集中式饮用水水源和热水、矿泉水、温泉等特殊地下水水资源；项目租赁已建成生产厂房，不涉及新增用地，不涉及生态环境保护目标</w:t>
            </w:r>
            <w:r>
              <w:rPr>
                <w:rFonts w:hint="eastAsia" w:cs="Times New Roman"/>
                <w:color w:val="auto"/>
                <w:kern w:val="0"/>
                <w:sz w:val="24"/>
                <w:szCs w:val="20"/>
                <w:lang w:val="en-US" w:eastAsia="zh-CN"/>
              </w:rPr>
              <w:t>；项目</w:t>
            </w:r>
            <w:r>
              <w:rPr>
                <w:rFonts w:hint="eastAsia"/>
                <w:color w:val="auto"/>
                <w:kern w:val="0"/>
                <w:sz w:val="24"/>
                <w:szCs w:val="20"/>
                <w:lang w:val="en-US" w:eastAsia="zh-CN"/>
              </w:rPr>
              <w:t>500m范围内大气环境保护目标</w:t>
            </w:r>
            <w:r>
              <w:rPr>
                <w:rFonts w:hint="eastAsia"/>
                <w:color w:val="auto"/>
                <w:sz w:val="24"/>
              </w:rPr>
              <w:t>见下表。</w:t>
            </w:r>
          </w:p>
          <w:p w14:paraId="00D45EA0">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b/>
                <w:bCs/>
                <w:color w:val="auto"/>
                <w:kern w:val="0"/>
                <w:szCs w:val="21"/>
              </w:rPr>
            </w:pPr>
            <w:r>
              <w:rPr>
                <w:rFonts w:hint="default" w:ascii="Times New Roman" w:hAnsi="Times New Roman" w:cs="Times New Roman"/>
                <w:b/>
                <w:bCs/>
                <w:color w:val="auto"/>
                <w:kern w:val="0"/>
                <w:szCs w:val="21"/>
              </w:rPr>
              <w:t>表</w:t>
            </w:r>
            <w:r>
              <w:rPr>
                <w:rFonts w:hint="eastAsia" w:cs="Times New Roman"/>
                <w:b/>
                <w:bCs/>
                <w:color w:val="auto"/>
                <w:kern w:val="0"/>
                <w:szCs w:val="21"/>
                <w:lang w:val="en-US" w:eastAsia="zh-CN"/>
              </w:rPr>
              <w:t xml:space="preserve">3-2   </w:t>
            </w:r>
            <w:r>
              <w:rPr>
                <w:rFonts w:hint="default" w:ascii="Times New Roman" w:hAnsi="Times New Roman" w:cs="Times New Roman"/>
                <w:b/>
                <w:bCs/>
                <w:color w:val="auto"/>
                <w:kern w:val="0"/>
                <w:szCs w:val="21"/>
              </w:rPr>
              <w:t>主要环境保护目标一览表</w:t>
            </w:r>
          </w:p>
          <w:tbl>
            <w:tblPr>
              <w:tblStyle w:val="17"/>
              <w:tblW w:w="503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471"/>
              <w:gridCol w:w="639"/>
              <w:gridCol w:w="1345"/>
              <w:gridCol w:w="1326"/>
              <w:gridCol w:w="488"/>
              <w:gridCol w:w="640"/>
              <w:gridCol w:w="1632"/>
              <w:gridCol w:w="472"/>
              <w:gridCol w:w="558"/>
              <w:gridCol w:w="790"/>
            </w:tblGrid>
            <w:tr w14:paraId="6B9B68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18" w:hRule="atLeast"/>
                <w:tblHeader/>
                <w:jc w:val="center"/>
              </w:trPr>
              <w:tc>
                <w:tcPr>
                  <w:tcW w:w="300" w:type="pct"/>
                  <w:vMerge w:val="restart"/>
                  <w:noWrap w:val="0"/>
                  <w:vAlign w:val="center"/>
                </w:tcPr>
                <w:p w14:paraId="6E9F8E20">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color w:val="auto"/>
                      <w:kern w:val="0"/>
                      <w:sz w:val="21"/>
                      <w:szCs w:val="21"/>
                    </w:rPr>
                  </w:pPr>
                  <w:r>
                    <w:rPr>
                      <w:color w:val="auto"/>
                      <w:kern w:val="0"/>
                      <w:sz w:val="21"/>
                      <w:szCs w:val="21"/>
                    </w:rPr>
                    <w:t>环境</w:t>
                  </w:r>
                </w:p>
                <w:p w14:paraId="29BEE9E3">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b/>
                      <w:color w:val="auto"/>
                      <w:sz w:val="21"/>
                      <w:szCs w:val="21"/>
                    </w:rPr>
                  </w:pPr>
                  <w:r>
                    <w:rPr>
                      <w:color w:val="auto"/>
                      <w:kern w:val="0"/>
                      <w:sz w:val="21"/>
                      <w:szCs w:val="21"/>
                    </w:rPr>
                    <w:t>要素</w:t>
                  </w:r>
                </w:p>
              </w:tc>
              <w:tc>
                <w:tcPr>
                  <w:tcW w:w="400" w:type="pct"/>
                  <w:vMerge w:val="restart"/>
                  <w:noWrap w:val="0"/>
                  <w:vAlign w:val="center"/>
                </w:tcPr>
                <w:p w14:paraId="74DF9341">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b/>
                      <w:color w:val="auto"/>
                      <w:sz w:val="21"/>
                      <w:szCs w:val="21"/>
                    </w:rPr>
                  </w:pPr>
                  <w:r>
                    <w:rPr>
                      <w:bCs/>
                      <w:color w:val="auto"/>
                      <w:sz w:val="21"/>
                      <w:szCs w:val="21"/>
                    </w:rPr>
                    <w:t>名称</w:t>
                  </w:r>
                </w:p>
              </w:tc>
              <w:tc>
                <w:tcPr>
                  <w:tcW w:w="1633" w:type="pct"/>
                  <w:gridSpan w:val="2"/>
                  <w:noWrap w:val="0"/>
                  <w:vAlign w:val="center"/>
                </w:tcPr>
                <w:p w14:paraId="088D7593">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color w:val="auto"/>
                      <w:kern w:val="0"/>
                      <w:sz w:val="21"/>
                      <w:szCs w:val="21"/>
                    </w:rPr>
                  </w:pPr>
                  <w:r>
                    <w:rPr>
                      <w:color w:val="auto"/>
                      <w:kern w:val="0"/>
                      <w:sz w:val="21"/>
                      <w:szCs w:val="21"/>
                    </w:rPr>
                    <w:t>坐标/m</w:t>
                  </w:r>
                </w:p>
              </w:tc>
              <w:tc>
                <w:tcPr>
                  <w:tcW w:w="310" w:type="pct"/>
                  <w:vMerge w:val="restart"/>
                  <w:noWrap w:val="0"/>
                  <w:vAlign w:val="center"/>
                </w:tcPr>
                <w:p w14:paraId="6D25BFD0">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color w:val="auto"/>
                      <w:kern w:val="0"/>
                      <w:sz w:val="21"/>
                      <w:szCs w:val="21"/>
                    </w:rPr>
                  </w:pPr>
                  <w:r>
                    <w:rPr>
                      <w:color w:val="auto"/>
                      <w:kern w:val="0"/>
                      <w:sz w:val="21"/>
                      <w:szCs w:val="21"/>
                    </w:rPr>
                    <w:t>保护</w:t>
                  </w:r>
                </w:p>
                <w:p w14:paraId="67C8D3BE">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color w:val="auto"/>
                      <w:kern w:val="0"/>
                      <w:sz w:val="21"/>
                      <w:szCs w:val="21"/>
                    </w:rPr>
                  </w:pPr>
                  <w:r>
                    <w:rPr>
                      <w:color w:val="auto"/>
                      <w:kern w:val="0"/>
                      <w:sz w:val="21"/>
                      <w:szCs w:val="21"/>
                    </w:rPr>
                    <w:t>对象</w:t>
                  </w:r>
                </w:p>
              </w:tc>
              <w:tc>
                <w:tcPr>
                  <w:tcW w:w="290" w:type="pct"/>
                  <w:vMerge w:val="restart"/>
                  <w:noWrap w:val="0"/>
                  <w:vAlign w:val="center"/>
                </w:tcPr>
                <w:p w14:paraId="5CA1415F">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color w:val="auto"/>
                      <w:kern w:val="0"/>
                      <w:sz w:val="21"/>
                      <w:szCs w:val="21"/>
                    </w:rPr>
                  </w:pPr>
                  <w:r>
                    <w:rPr>
                      <w:rFonts w:hint="eastAsia"/>
                      <w:color w:val="auto"/>
                      <w:kern w:val="0"/>
                      <w:sz w:val="21"/>
                      <w:szCs w:val="21"/>
                    </w:rPr>
                    <w:t>人数（人）</w:t>
                  </w:r>
                </w:p>
              </w:tc>
              <w:tc>
                <w:tcPr>
                  <w:tcW w:w="921" w:type="pct"/>
                  <w:vMerge w:val="restart"/>
                  <w:noWrap w:val="0"/>
                  <w:vAlign w:val="center"/>
                </w:tcPr>
                <w:p w14:paraId="4B1BD7E4">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eastAsia="宋体"/>
                      <w:color w:val="auto"/>
                      <w:kern w:val="0"/>
                      <w:sz w:val="21"/>
                      <w:szCs w:val="21"/>
                      <w:lang w:val="en-US" w:eastAsia="zh-CN"/>
                    </w:rPr>
                  </w:pPr>
                  <w:r>
                    <w:rPr>
                      <w:rFonts w:hint="eastAsia"/>
                      <w:color w:val="auto"/>
                      <w:kern w:val="0"/>
                      <w:sz w:val="21"/>
                      <w:szCs w:val="21"/>
                      <w:lang w:val="en-US" w:eastAsia="zh-CN"/>
                    </w:rPr>
                    <w:t>质量标准</w:t>
                  </w:r>
                </w:p>
              </w:tc>
              <w:tc>
                <w:tcPr>
                  <w:tcW w:w="300" w:type="pct"/>
                  <w:vMerge w:val="restart"/>
                  <w:noWrap w:val="0"/>
                  <w:vAlign w:val="center"/>
                </w:tcPr>
                <w:p w14:paraId="569FBCA5">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color w:val="auto"/>
                      <w:kern w:val="0"/>
                      <w:sz w:val="21"/>
                      <w:szCs w:val="21"/>
                    </w:rPr>
                  </w:pPr>
                  <w:r>
                    <w:rPr>
                      <w:color w:val="auto"/>
                      <w:kern w:val="0"/>
                      <w:sz w:val="21"/>
                      <w:szCs w:val="21"/>
                    </w:rPr>
                    <w:t>环境功能区</w:t>
                  </w:r>
                </w:p>
              </w:tc>
              <w:tc>
                <w:tcPr>
                  <w:tcW w:w="351" w:type="pct"/>
                  <w:vMerge w:val="restart"/>
                  <w:noWrap w:val="0"/>
                  <w:vAlign w:val="center"/>
                </w:tcPr>
                <w:p w14:paraId="6532C187">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color w:val="auto"/>
                      <w:kern w:val="0"/>
                      <w:sz w:val="21"/>
                      <w:szCs w:val="21"/>
                    </w:rPr>
                  </w:pPr>
                  <w:r>
                    <w:rPr>
                      <w:color w:val="auto"/>
                      <w:kern w:val="0"/>
                      <w:sz w:val="21"/>
                      <w:szCs w:val="21"/>
                    </w:rPr>
                    <w:t>相对厂址方位</w:t>
                  </w:r>
                </w:p>
              </w:tc>
              <w:tc>
                <w:tcPr>
                  <w:tcW w:w="490" w:type="pct"/>
                  <w:vMerge w:val="restart"/>
                  <w:noWrap w:val="0"/>
                  <w:vAlign w:val="center"/>
                </w:tcPr>
                <w:p w14:paraId="5D0ED9E4">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color w:val="auto"/>
                      <w:kern w:val="0"/>
                      <w:sz w:val="21"/>
                      <w:szCs w:val="21"/>
                    </w:rPr>
                  </w:pPr>
                  <w:r>
                    <w:rPr>
                      <w:color w:val="auto"/>
                      <w:kern w:val="0"/>
                      <w:sz w:val="21"/>
                      <w:szCs w:val="21"/>
                    </w:rPr>
                    <w:t>相对厂界距离/m</w:t>
                  </w:r>
                </w:p>
              </w:tc>
            </w:tr>
            <w:tr w14:paraId="5C190A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tblHeader/>
                <w:jc w:val="center"/>
              </w:trPr>
              <w:tc>
                <w:tcPr>
                  <w:tcW w:w="300" w:type="pct"/>
                  <w:vMerge w:val="continue"/>
                  <w:noWrap w:val="0"/>
                  <w:vAlign w:val="center"/>
                </w:tcPr>
                <w:p w14:paraId="4B7B4B34">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b/>
                      <w:color w:val="auto"/>
                      <w:sz w:val="21"/>
                      <w:szCs w:val="21"/>
                    </w:rPr>
                  </w:pPr>
                </w:p>
              </w:tc>
              <w:tc>
                <w:tcPr>
                  <w:tcW w:w="400" w:type="pct"/>
                  <w:vMerge w:val="continue"/>
                  <w:noWrap w:val="0"/>
                  <w:vAlign w:val="center"/>
                </w:tcPr>
                <w:p w14:paraId="2E183DC0">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b/>
                      <w:color w:val="auto"/>
                      <w:sz w:val="21"/>
                      <w:szCs w:val="21"/>
                    </w:rPr>
                  </w:pPr>
                </w:p>
              </w:tc>
              <w:tc>
                <w:tcPr>
                  <w:tcW w:w="822" w:type="pct"/>
                  <w:noWrap w:val="0"/>
                  <w:vAlign w:val="center"/>
                </w:tcPr>
                <w:p w14:paraId="0A023E1C">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color w:val="auto"/>
                      <w:kern w:val="0"/>
                      <w:sz w:val="21"/>
                      <w:szCs w:val="21"/>
                    </w:rPr>
                  </w:pPr>
                  <w:r>
                    <w:rPr>
                      <w:color w:val="auto"/>
                      <w:kern w:val="0"/>
                      <w:sz w:val="21"/>
                      <w:szCs w:val="21"/>
                    </w:rPr>
                    <w:t>E</w:t>
                  </w:r>
                </w:p>
              </w:tc>
              <w:tc>
                <w:tcPr>
                  <w:tcW w:w="811" w:type="pct"/>
                  <w:noWrap w:val="0"/>
                  <w:vAlign w:val="center"/>
                </w:tcPr>
                <w:p w14:paraId="12976D8B">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color w:val="auto"/>
                      <w:kern w:val="0"/>
                      <w:sz w:val="21"/>
                      <w:szCs w:val="21"/>
                    </w:rPr>
                  </w:pPr>
                  <w:r>
                    <w:rPr>
                      <w:color w:val="auto"/>
                      <w:kern w:val="0"/>
                      <w:sz w:val="21"/>
                      <w:szCs w:val="21"/>
                    </w:rPr>
                    <w:t>N</w:t>
                  </w:r>
                </w:p>
              </w:tc>
              <w:tc>
                <w:tcPr>
                  <w:tcW w:w="310" w:type="pct"/>
                  <w:vMerge w:val="continue"/>
                  <w:noWrap w:val="0"/>
                  <w:vAlign w:val="center"/>
                </w:tcPr>
                <w:p w14:paraId="4B02B232">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color w:val="auto"/>
                      <w:kern w:val="0"/>
                      <w:sz w:val="21"/>
                      <w:szCs w:val="21"/>
                    </w:rPr>
                  </w:pPr>
                </w:p>
              </w:tc>
              <w:tc>
                <w:tcPr>
                  <w:tcW w:w="290" w:type="pct"/>
                  <w:vMerge w:val="continue"/>
                  <w:noWrap w:val="0"/>
                  <w:vAlign w:val="center"/>
                </w:tcPr>
                <w:p w14:paraId="7180C065">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color w:val="auto"/>
                      <w:kern w:val="0"/>
                      <w:sz w:val="21"/>
                      <w:szCs w:val="21"/>
                    </w:rPr>
                  </w:pPr>
                </w:p>
              </w:tc>
              <w:tc>
                <w:tcPr>
                  <w:tcW w:w="921" w:type="pct"/>
                  <w:vMerge w:val="continue"/>
                  <w:noWrap w:val="0"/>
                  <w:vAlign w:val="center"/>
                </w:tcPr>
                <w:p w14:paraId="6960BFE1">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color w:val="auto"/>
                      <w:kern w:val="0"/>
                      <w:sz w:val="21"/>
                      <w:szCs w:val="21"/>
                    </w:rPr>
                  </w:pPr>
                </w:p>
              </w:tc>
              <w:tc>
                <w:tcPr>
                  <w:tcW w:w="300" w:type="pct"/>
                  <w:vMerge w:val="continue"/>
                  <w:noWrap w:val="0"/>
                  <w:vAlign w:val="center"/>
                </w:tcPr>
                <w:p w14:paraId="23F87F49">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color w:val="auto"/>
                      <w:kern w:val="0"/>
                      <w:sz w:val="21"/>
                      <w:szCs w:val="21"/>
                    </w:rPr>
                  </w:pPr>
                </w:p>
              </w:tc>
              <w:tc>
                <w:tcPr>
                  <w:tcW w:w="351" w:type="pct"/>
                  <w:vMerge w:val="continue"/>
                  <w:noWrap w:val="0"/>
                  <w:vAlign w:val="center"/>
                </w:tcPr>
                <w:p w14:paraId="5CC2BF84">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color w:val="auto"/>
                      <w:kern w:val="0"/>
                      <w:sz w:val="21"/>
                      <w:szCs w:val="21"/>
                    </w:rPr>
                  </w:pPr>
                </w:p>
              </w:tc>
              <w:tc>
                <w:tcPr>
                  <w:tcW w:w="490" w:type="pct"/>
                  <w:vMerge w:val="continue"/>
                  <w:noWrap w:val="0"/>
                  <w:vAlign w:val="center"/>
                </w:tcPr>
                <w:p w14:paraId="71F6C462">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color w:val="auto"/>
                      <w:kern w:val="0"/>
                      <w:sz w:val="21"/>
                      <w:szCs w:val="21"/>
                    </w:rPr>
                  </w:pPr>
                </w:p>
              </w:tc>
            </w:tr>
            <w:tr w14:paraId="5EF25A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300" w:type="pct"/>
                  <w:vMerge w:val="restart"/>
                  <w:noWrap w:val="0"/>
                  <w:vAlign w:val="center"/>
                </w:tcPr>
                <w:p w14:paraId="51844CAD">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color w:val="auto"/>
                      <w:kern w:val="0"/>
                      <w:sz w:val="21"/>
                      <w:szCs w:val="21"/>
                    </w:rPr>
                  </w:pPr>
                  <w:r>
                    <w:rPr>
                      <w:color w:val="auto"/>
                      <w:kern w:val="0"/>
                      <w:sz w:val="21"/>
                      <w:szCs w:val="21"/>
                    </w:rPr>
                    <w:t>环境</w:t>
                  </w:r>
                </w:p>
                <w:p w14:paraId="5EB6A216">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color w:val="auto"/>
                      <w:kern w:val="0"/>
                      <w:sz w:val="21"/>
                      <w:szCs w:val="21"/>
                    </w:rPr>
                  </w:pPr>
                  <w:r>
                    <w:rPr>
                      <w:color w:val="auto"/>
                      <w:kern w:val="0"/>
                      <w:sz w:val="21"/>
                      <w:szCs w:val="21"/>
                    </w:rPr>
                    <w:t>空气</w:t>
                  </w:r>
                </w:p>
              </w:tc>
              <w:tc>
                <w:tcPr>
                  <w:tcW w:w="400" w:type="pct"/>
                  <w:noWrap w:val="0"/>
                  <w:vAlign w:val="center"/>
                </w:tcPr>
                <w:p w14:paraId="21706E27">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eastAsia="宋体"/>
                      <w:color w:val="auto"/>
                      <w:kern w:val="0"/>
                      <w:sz w:val="21"/>
                      <w:szCs w:val="21"/>
                      <w:lang w:val="en-US" w:eastAsia="zh-CN"/>
                    </w:rPr>
                  </w:pPr>
                  <w:r>
                    <w:rPr>
                      <w:rFonts w:hint="eastAsia"/>
                      <w:color w:val="auto"/>
                      <w:kern w:val="0"/>
                      <w:sz w:val="21"/>
                      <w:szCs w:val="21"/>
                      <w:lang w:val="en-US" w:eastAsia="zh-CN"/>
                    </w:rPr>
                    <w:t>泾刘</w:t>
                  </w:r>
                </w:p>
              </w:tc>
              <w:tc>
                <w:tcPr>
                  <w:tcW w:w="822" w:type="pct"/>
                  <w:noWrap w:val="0"/>
                  <w:vAlign w:val="center"/>
                </w:tcPr>
                <w:p w14:paraId="326F0AB7">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108°58′28.621″</w:t>
                  </w:r>
                </w:p>
              </w:tc>
              <w:tc>
                <w:tcPr>
                  <w:tcW w:w="811" w:type="pct"/>
                  <w:noWrap w:val="0"/>
                  <w:vAlign w:val="center"/>
                </w:tcPr>
                <w:p w14:paraId="01907D1E">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34°28′31.141″</w:t>
                  </w:r>
                </w:p>
              </w:tc>
              <w:tc>
                <w:tcPr>
                  <w:tcW w:w="310" w:type="pct"/>
                  <w:noWrap w:val="0"/>
                  <w:vAlign w:val="center"/>
                </w:tcPr>
                <w:p w14:paraId="106AEFEE">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color w:val="auto"/>
                      <w:kern w:val="0"/>
                      <w:sz w:val="21"/>
                      <w:szCs w:val="21"/>
                    </w:rPr>
                  </w:pPr>
                  <w:r>
                    <w:rPr>
                      <w:color w:val="auto"/>
                      <w:kern w:val="0"/>
                      <w:sz w:val="21"/>
                      <w:szCs w:val="21"/>
                    </w:rPr>
                    <w:t>居民</w:t>
                  </w:r>
                </w:p>
              </w:tc>
              <w:tc>
                <w:tcPr>
                  <w:tcW w:w="290" w:type="pct"/>
                  <w:noWrap w:val="0"/>
                  <w:vAlign w:val="center"/>
                </w:tcPr>
                <w:p w14:paraId="7BA07C9E">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eastAsia="宋体"/>
                      <w:color w:val="auto"/>
                      <w:sz w:val="21"/>
                      <w:szCs w:val="21"/>
                      <w:lang w:val="en-US" w:eastAsia="zh-CN"/>
                    </w:rPr>
                  </w:pPr>
                  <w:r>
                    <w:rPr>
                      <w:rFonts w:hint="eastAsia"/>
                      <w:color w:val="auto"/>
                      <w:sz w:val="21"/>
                      <w:szCs w:val="21"/>
                      <w:lang w:val="en-US" w:eastAsia="zh-CN"/>
                    </w:rPr>
                    <w:t>1240</w:t>
                  </w:r>
                </w:p>
              </w:tc>
              <w:tc>
                <w:tcPr>
                  <w:tcW w:w="921" w:type="pct"/>
                  <w:vMerge w:val="restart"/>
                  <w:noWrap w:val="0"/>
                  <w:vAlign w:val="center"/>
                </w:tcPr>
                <w:p w14:paraId="7BF5C0A2">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color w:val="auto"/>
                      <w:sz w:val="21"/>
                      <w:szCs w:val="21"/>
                    </w:rPr>
                  </w:pPr>
                  <w:r>
                    <w:rPr>
                      <w:color w:val="auto"/>
                      <w:sz w:val="21"/>
                      <w:szCs w:val="21"/>
                    </w:rPr>
                    <w:t>《环境空气质量标准》（GB3095-2012）</w:t>
                  </w:r>
                </w:p>
              </w:tc>
              <w:tc>
                <w:tcPr>
                  <w:tcW w:w="300" w:type="pct"/>
                  <w:vMerge w:val="restart"/>
                  <w:noWrap w:val="0"/>
                  <w:vAlign w:val="center"/>
                </w:tcPr>
                <w:p w14:paraId="792DC120">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color w:val="auto"/>
                      <w:kern w:val="0"/>
                      <w:sz w:val="21"/>
                      <w:szCs w:val="21"/>
                    </w:rPr>
                  </w:pPr>
                  <w:r>
                    <w:rPr>
                      <w:color w:val="auto"/>
                      <w:kern w:val="0"/>
                      <w:sz w:val="21"/>
                      <w:szCs w:val="21"/>
                    </w:rPr>
                    <w:t>二类</w:t>
                  </w:r>
                </w:p>
              </w:tc>
              <w:tc>
                <w:tcPr>
                  <w:tcW w:w="351" w:type="pct"/>
                  <w:noWrap w:val="0"/>
                  <w:vAlign w:val="center"/>
                </w:tcPr>
                <w:p w14:paraId="443C88D3">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eastAsia="宋体"/>
                      <w:color w:val="auto"/>
                      <w:kern w:val="0"/>
                      <w:sz w:val="21"/>
                      <w:szCs w:val="21"/>
                      <w:lang w:val="en-US" w:eastAsia="zh-CN"/>
                    </w:rPr>
                  </w:pPr>
                  <w:r>
                    <w:rPr>
                      <w:rFonts w:hint="eastAsia"/>
                      <w:color w:val="auto"/>
                      <w:kern w:val="0"/>
                      <w:sz w:val="21"/>
                      <w:szCs w:val="21"/>
                      <w:lang w:val="en-US" w:eastAsia="zh-CN"/>
                    </w:rPr>
                    <w:t>东</w:t>
                  </w:r>
                </w:p>
              </w:tc>
              <w:tc>
                <w:tcPr>
                  <w:tcW w:w="490" w:type="pct"/>
                  <w:noWrap w:val="0"/>
                  <w:vAlign w:val="center"/>
                </w:tcPr>
                <w:p w14:paraId="0FF9979C">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eastAsia="宋体"/>
                      <w:color w:val="auto"/>
                      <w:kern w:val="0"/>
                      <w:sz w:val="21"/>
                      <w:szCs w:val="21"/>
                      <w:lang w:val="en-US" w:eastAsia="zh-CN"/>
                    </w:rPr>
                  </w:pPr>
                  <w:r>
                    <w:rPr>
                      <w:rFonts w:hint="eastAsia"/>
                      <w:color w:val="auto"/>
                      <w:kern w:val="0"/>
                      <w:sz w:val="21"/>
                      <w:szCs w:val="21"/>
                      <w:lang w:val="en-US" w:eastAsia="zh-CN"/>
                    </w:rPr>
                    <w:t>200</w:t>
                  </w:r>
                </w:p>
              </w:tc>
            </w:tr>
            <w:tr w14:paraId="550BB6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300" w:type="pct"/>
                  <w:vMerge w:val="continue"/>
                  <w:noWrap w:val="0"/>
                  <w:vAlign w:val="center"/>
                </w:tcPr>
                <w:p w14:paraId="79CB2050">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color w:val="auto"/>
                      <w:sz w:val="21"/>
                      <w:szCs w:val="21"/>
                    </w:rPr>
                  </w:pPr>
                </w:p>
              </w:tc>
              <w:tc>
                <w:tcPr>
                  <w:tcW w:w="400" w:type="pct"/>
                  <w:noWrap w:val="0"/>
                  <w:vAlign w:val="center"/>
                </w:tcPr>
                <w:p w14:paraId="4BD63E31">
                  <w:pPr>
                    <w:keepNext w:val="0"/>
                    <w:keepLines w:val="0"/>
                    <w:pageBreakBefore w:val="0"/>
                    <w:widowControl w:val="0"/>
                    <w:kinsoku/>
                    <w:wordWrap/>
                    <w:overflowPunct/>
                    <w:topLinePunct w:val="0"/>
                    <w:autoSpaceDE/>
                    <w:autoSpaceDN/>
                    <w:bidi w:val="0"/>
                    <w:adjustRightInd w:val="0"/>
                    <w:snapToGrid w:val="0"/>
                    <w:ind w:left="0" w:leftChars="0" w:firstLine="0" w:firstLineChars="0"/>
                    <w:jc w:val="center"/>
                    <w:textAlignment w:val="auto"/>
                    <w:rPr>
                      <w:rFonts w:hint="default"/>
                      <w:color w:val="auto"/>
                      <w:sz w:val="21"/>
                      <w:szCs w:val="21"/>
                      <w:lang w:val="en-US" w:eastAsia="zh-CN"/>
                    </w:rPr>
                  </w:pPr>
                  <w:r>
                    <w:rPr>
                      <w:rFonts w:hint="eastAsia"/>
                      <w:color w:val="auto"/>
                      <w:sz w:val="21"/>
                      <w:szCs w:val="21"/>
                      <w:lang w:val="en-US" w:eastAsia="zh-CN"/>
                    </w:rPr>
                    <w:t>姜李村</w:t>
                  </w:r>
                </w:p>
              </w:tc>
              <w:tc>
                <w:tcPr>
                  <w:tcW w:w="822" w:type="pct"/>
                  <w:noWrap w:val="0"/>
                  <w:vAlign w:val="center"/>
                </w:tcPr>
                <w:p w14:paraId="37DBC7FA">
                  <w:pPr>
                    <w:keepNext w:val="0"/>
                    <w:keepLines w:val="0"/>
                    <w:pageBreakBefore w:val="0"/>
                    <w:widowControl w:val="0"/>
                    <w:kinsoku/>
                    <w:wordWrap/>
                    <w:overflowPunct/>
                    <w:topLinePunct w:val="0"/>
                    <w:autoSpaceDE/>
                    <w:autoSpaceDN/>
                    <w:bidi w:val="0"/>
                    <w:adjustRightInd w:val="0"/>
                    <w:snapToGrid w:val="0"/>
                    <w:ind w:left="0" w:leftChars="0" w:firstLine="0" w:firstLineChars="0"/>
                    <w:jc w:val="center"/>
                    <w:textAlignment w:val="auto"/>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108°58′20.562″</w:t>
                  </w:r>
                </w:p>
              </w:tc>
              <w:tc>
                <w:tcPr>
                  <w:tcW w:w="811" w:type="pct"/>
                  <w:noWrap w:val="0"/>
                  <w:vAlign w:val="center"/>
                </w:tcPr>
                <w:p w14:paraId="3D1DF4C0">
                  <w:pPr>
                    <w:keepNext w:val="0"/>
                    <w:keepLines w:val="0"/>
                    <w:pageBreakBefore w:val="0"/>
                    <w:widowControl w:val="0"/>
                    <w:kinsoku/>
                    <w:wordWrap/>
                    <w:overflowPunct/>
                    <w:topLinePunct w:val="0"/>
                    <w:autoSpaceDE/>
                    <w:autoSpaceDN/>
                    <w:bidi w:val="0"/>
                    <w:adjustRightInd w:val="0"/>
                    <w:snapToGrid w:val="0"/>
                    <w:ind w:left="0" w:leftChars="0" w:firstLine="0" w:firstLineChars="0"/>
                    <w:jc w:val="center"/>
                    <w:textAlignment w:val="auto"/>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34°28′47.532″</w:t>
                  </w:r>
                </w:p>
              </w:tc>
              <w:tc>
                <w:tcPr>
                  <w:tcW w:w="310" w:type="pct"/>
                  <w:noWrap w:val="0"/>
                  <w:vAlign w:val="center"/>
                </w:tcPr>
                <w:p w14:paraId="6E6F0CA4">
                  <w:pPr>
                    <w:pStyle w:val="16"/>
                    <w:keepNext w:val="0"/>
                    <w:keepLines w:val="0"/>
                    <w:pageBreakBefore w:val="0"/>
                    <w:widowControl w:val="0"/>
                    <w:kinsoku/>
                    <w:wordWrap/>
                    <w:overflowPunct/>
                    <w:topLinePunct w:val="0"/>
                    <w:autoSpaceDE/>
                    <w:autoSpaceDN/>
                    <w:bidi w:val="0"/>
                    <w:adjustRightInd w:val="0"/>
                    <w:snapToGrid w:val="0"/>
                    <w:spacing w:after="0"/>
                    <w:ind w:left="0" w:leftChars="0" w:firstLine="0" w:firstLineChars="0"/>
                    <w:jc w:val="center"/>
                    <w:textAlignment w:val="auto"/>
                    <w:rPr>
                      <w:rFonts w:hint="eastAsia"/>
                      <w:color w:val="auto"/>
                      <w:sz w:val="21"/>
                      <w:szCs w:val="21"/>
                      <w:lang w:eastAsia="zh-CN"/>
                    </w:rPr>
                  </w:pPr>
                  <w:r>
                    <w:rPr>
                      <w:rFonts w:hint="default" w:ascii="Times New Roman" w:hAnsi="Times New Roman" w:eastAsia="宋体" w:cs="Times New Roman"/>
                      <w:color w:val="auto"/>
                      <w:sz w:val="21"/>
                      <w:szCs w:val="21"/>
                      <w:vertAlign w:val="baseline"/>
                      <w:lang w:val="en-US" w:eastAsia="zh-CN"/>
                    </w:rPr>
                    <w:t>居民</w:t>
                  </w:r>
                </w:p>
              </w:tc>
              <w:tc>
                <w:tcPr>
                  <w:tcW w:w="290" w:type="pct"/>
                  <w:noWrap w:val="0"/>
                  <w:vAlign w:val="center"/>
                </w:tcPr>
                <w:p w14:paraId="184636BA">
                  <w:pPr>
                    <w:pStyle w:val="16"/>
                    <w:keepNext w:val="0"/>
                    <w:keepLines w:val="0"/>
                    <w:pageBreakBefore w:val="0"/>
                    <w:widowControl w:val="0"/>
                    <w:kinsoku/>
                    <w:wordWrap/>
                    <w:overflowPunct/>
                    <w:topLinePunct w:val="0"/>
                    <w:autoSpaceDE/>
                    <w:autoSpaceDN/>
                    <w:bidi w:val="0"/>
                    <w:adjustRightInd w:val="0"/>
                    <w:snapToGrid w:val="0"/>
                    <w:spacing w:after="0"/>
                    <w:ind w:left="0" w:leftChars="0" w:firstLine="0" w:firstLineChars="0"/>
                    <w:jc w:val="center"/>
                    <w:textAlignment w:val="auto"/>
                    <w:rPr>
                      <w:rFonts w:hint="default"/>
                      <w:color w:val="auto"/>
                      <w:sz w:val="21"/>
                      <w:szCs w:val="21"/>
                      <w:lang w:val="en-US" w:eastAsia="zh-CN"/>
                    </w:rPr>
                  </w:pPr>
                  <w:r>
                    <w:rPr>
                      <w:rFonts w:hint="eastAsia"/>
                      <w:color w:val="auto"/>
                      <w:sz w:val="21"/>
                      <w:szCs w:val="21"/>
                      <w:lang w:val="en-US" w:eastAsia="zh-CN"/>
                    </w:rPr>
                    <w:t>320</w:t>
                  </w:r>
                </w:p>
              </w:tc>
              <w:tc>
                <w:tcPr>
                  <w:tcW w:w="921" w:type="pct"/>
                  <w:vMerge w:val="continue"/>
                  <w:noWrap w:val="0"/>
                  <w:vAlign w:val="center"/>
                </w:tcPr>
                <w:p w14:paraId="5C1200FD">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color w:val="auto"/>
                      <w:sz w:val="21"/>
                      <w:szCs w:val="21"/>
                      <w:lang w:eastAsia="zh-CN"/>
                    </w:rPr>
                  </w:pPr>
                </w:p>
              </w:tc>
              <w:tc>
                <w:tcPr>
                  <w:tcW w:w="300" w:type="pct"/>
                  <w:vMerge w:val="continue"/>
                  <w:noWrap w:val="0"/>
                  <w:vAlign w:val="center"/>
                </w:tcPr>
                <w:p w14:paraId="03B521A7">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color w:val="auto"/>
                      <w:sz w:val="21"/>
                      <w:szCs w:val="21"/>
                      <w:lang w:eastAsia="zh-CN"/>
                    </w:rPr>
                  </w:pPr>
                </w:p>
              </w:tc>
              <w:tc>
                <w:tcPr>
                  <w:tcW w:w="351" w:type="pct"/>
                  <w:noWrap w:val="0"/>
                  <w:vAlign w:val="center"/>
                </w:tcPr>
                <w:p w14:paraId="344415DB">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color w:val="auto"/>
                      <w:sz w:val="21"/>
                      <w:szCs w:val="21"/>
                      <w:lang w:val="en-US" w:eastAsia="zh-CN"/>
                    </w:rPr>
                  </w:pPr>
                  <w:r>
                    <w:rPr>
                      <w:rFonts w:hint="eastAsia"/>
                      <w:color w:val="auto"/>
                      <w:sz w:val="21"/>
                      <w:szCs w:val="21"/>
                      <w:lang w:val="en-US" w:eastAsia="zh-CN"/>
                    </w:rPr>
                    <w:t>北</w:t>
                  </w:r>
                </w:p>
              </w:tc>
              <w:tc>
                <w:tcPr>
                  <w:tcW w:w="490" w:type="pct"/>
                  <w:noWrap w:val="0"/>
                  <w:vAlign w:val="center"/>
                </w:tcPr>
                <w:p w14:paraId="0E027B34">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color w:val="auto"/>
                      <w:sz w:val="21"/>
                      <w:szCs w:val="21"/>
                      <w:lang w:val="en-US" w:eastAsia="zh-CN"/>
                    </w:rPr>
                  </w:pPr>
                  <w:r>
                    <w:rPr>
                      <w:rFonts w:hint="eastAsia"/>
                      <w:color w:val="auto"/>
                      <w:sz w:val="21"/>
                      <w:szCs w:val="21"/>
                      <w:lang w:val="en-US" w:eastAsia="zh-CN"/>
                    </w:rPr>
                    <w:t>340</w:t>
                  </w:r>
                </w:p>
              </w:tc>
            </w:tr>
          </w:tbl>
          <w:p w14:paraId="111CF2D0">
            <w:pPr>
              <w:adjustRightInd w:val="0"/>
              <w:snapToGrid w:val="0"/>
              <w:rPr>
                <w:color w:val="auto"/>
                <w:kern w:val="0"/>
                <w:szCs w:val="21"/>
              </w:rPr>
            </w:pPr>
          </w:p>
        </w:tc>
      </w:tr>
      <w:tr w14:paraId="2134C90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513" w:type="dxa"/>
            <w:tcMar>
              <w:left w:w="28" w:type="dxa"/>
              <w:right w:w="28" w:type="dxa"/>
            </w:tcMar>
            <w:vAlign w:val="center"/>
          </w:tcPr>
          <w:p w14:paraId="52C661BE">
            <w:pPr>
              <w:adjustRightInd w:val="0"/>
              <w:snapToGrid w:val="0"/>
              <w:spacing w:line="360" w:lineRule="auto"/>
              <w:jc w:val="center"/>
              <w:rPr>
                <w:color w:val="auto"/>
                <w:kern w:val="0"/>
                <w:sz w:val="24"/>
              </w:rPr>
            </w:pPr>
            <w:r>
              <w:rPr>
                <w:color w:val="auto"/>
                <w:kern w:val="0"/>
                <w:sz w:val="24"/>
              </w:rPr>
              <w:t>污染</w:t>
            </w:r>
          </w:p>
          <w:p w14:paraId="10975992">
            <w:pPr>
              <w:adjustRightInd w:val="0"/>
              <w:snapToGrid w:val="0"/>
              <w:spacing w:line="360" w:lineRule="auto"/>
              <w:jc w:val="center"/>
              <w:rPr>
                <w:color w:val="auto"/>
                <w:kern w:val="0"/>
                <w:sz w:val="24"/>
              </w:rPr>
            </w:pPr>
            <w:r>
              <w:rPr>
                <w:color w:val="auto"/>
                <w:kern w:val="0"/>
                <w:sz w:val="24"/>
              </w:rPr>
              <w:t>物排</w:t>
            </w:r>
          </w:p>
          <w:p w14:paraId="577042C2">
            <w:pPr>
              <w:adjustRightInd w:val="0"/>
              <w:snapToGrid w:val="0"/>
              <w:spacing w:line="360" w:lineRule="auto"/>
              <w:jc w:val="center"/>
              <w:rPr>
                <w:color w:val="auto"/>
                <w:kern w:val="0"/>
                <w:sz w:val="24"/>
              </w:rPr>
            </w:pPr>
            <w:r>
              <w:rPr>
                <w:color w:val="auto"/>
                <w:kern w:val="0"/>
                <w:sz w:val="24"/>
              </w:rPr>
              <w:t>放控</w:t>
            </w:r>
          </w:p>
          <w:p w14:paraId="2A933CE6">
            <w:pPr>
              <w:adjustRightInd w:val="0"/>
              <w:snapToGrid w:val="0"/>
              <w:spacing w:line="360" w:lineRule="auto"/>
              <w:jc w:val="center"/>
              <w:rPr>
                <w:color w:val="auto"/>
                <w:kern w:val="0"/>
                <w:sz w:val="24"/>
              </w:rPr>
            </w:pPr>
            <w:r>
              <w:rPr>
                <w:color w:val="auto"/>
                <w:kern w:val="0"/>
                <w:sz w:val="24"/>
              </w:rPr>
              <w:t>制标</w:t>
            </w:r>
          </w:p>
          <w:p w14:paraId="27BFC8EB">
            <w:pPr>
              <w:adjustRightInd w:val="0"/>
              <w:snapToGrid w:val="0"/>
              <w:spacing w:line="360" w:lineRule="auto"/>
              <w:jc w:val="center"/>
              <w:rPr>
                <w:color w:val="auto"/>
                <w:kern w:val="0"/>
                <w:szCs w:val="21"/>
              </w:rPr>
            </w:pPr>
            <w:r>
              <w:rPr>
                <w:color w:val="auto"/>
                <w:kern w:val="0"/>
                <w:sz w:val="24"/>
              </w:rPr>
              <w:t>准</w:t>
            </w:r>
          </w:p>
        </w:tc>
        <w:tc>
          <w:tcPr>
            <w:tcW w:w="8477" w:type="dxa"/>
            <w:vAlign w:val="center"/>
          </w:tcPr>
          <w:p w14:paraId="03FA89C8">
            <w:pPr>
              <w:numPr>
                <w:ilvl w:val="0"/>
                <w:numId w:val="3"/>
              </w:numPr>
              <w:adjustRightInd w:val="0"/>
              <w:spacing w:line="360" w:lineRule="auto"/>
              <w:ind w:firstLine="482" w:firstLineChars="200"/>
              <w:rPr>
                <w:b/>
                <w:bCs/>
                <w:color w:val="auto"/>
                <w:sz w:val="24"/>
              </w:rPr>
            </w:pPr>
            <w:r>
              <w:rPr>
                <w:rFonts w:hint="eastAsia"/>
                <w:b/>
                <w:bCs/>
                <w:color w:val="auto"/>
                <w:sz w:val="24"/>
              </w:rPr>
              <w:t>废气</w:t>
            </w:r>
            <w:r>
              <w:rPr>
                <w:b/>
                <w:bCs/>
                <w:color w:val="auto"/>
                <w:sz w:val="24"/>
              </w:rPr>
              <w:t>排放标准</w:t>
            </w:r>
          </w:p>
          <w:p w14:paraId="1159610B">
            <w:pPr>
              <w:adjustRightInd w:val="0"/>
              <w:spacing w:line="360" w:lineRule="auto"/>
              <w:ind w:firstLine="480" w:firstLineChars="200"/>
              <w:rPr>
                <w:color w:val="auto"/>
                <w:sz w:val="24"/>
              </w:rPr>
            </w:pPr>
            <w:r>
              <w:rPr>
                <w:color w:val="auto"/>
                <w:sz w:val="24"/>
              </w:rPr>
              <w:t>施工扬尘执行《施工厂界扬尘排放限值》（DB61/1078-2017）的相关规定.。</w:t>
            </w:r>
          </w:p>
          <w:p w14:paraId="4C44EAF2">
            <w:pPr>
              <w:adjustRightInd w:val="0"/>
              <w:snapToGrid w:val="0"/>
              <w:jc w:val="center"/>
              <w:rPr>
                <w:b/>
                <w:snapToGrid w:val="0"/>
                <w:color w:val="auto"/>
                <w:kern w:val="0"/>
                <w:szCs w:val="21"/>
              </w:rPr>
            </w:pPr>
            <w:r>
              <w:rPr>
                <w:b/>
                <w:snapToGrid w:val="0"/>
                <w:color w:val="auto"/>
                <w:kern w:val="0"/>
                <w:szCs w:val="21"/>
              </w:rPr>
              <w:t>表3-</w:t>
            </w:r>
            <w:r>
              <w:rPr>
                <w:rFonts w:hint="eastAsia"/>
                <w:b/>
                <w:snapToGrid w:val="0"/>
                <w:color w:val="auto"/>
                <w:kern w:val="0"/>
                <w:szCs w:val="21"/>
                <w:lang w:val="en-US" w:eastAsia="zh-CN"/>
              </w:rPr>
              <w:t>3</w:t>
            </w:r>
            <w:r>
              <w:rPr>
                <w:b/>
                <w:snapToGrid w:val="0"/>
                <w:color w:val="auto"/>
                <w:kern w:val="0"/>
                <w:szCs w:val="21"/>
              </w:rPr>
              <w:t xml:space="preserve">   施工期废气排放标准</w:t>
            </w:r>
          </w:p>
          <w:tbl>
            <w:tblPr>
              <w:tblStyle w:val="18"/>
              <w:tblW w:w="8308"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2844"/>
              <w:gridCol w:w="1140"/>
              <w:gridCol w:w="1037"/>
              <w:gridCol w:w="3287"/>
            </w:tblGrid>
            <w:tr w14:paraId="6768E70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2844" w:type="dxa"/>
                  <w:vMerge w:val="restart"/>
                  <w:tcBorders>
                    <w:top w:val="single" w:color="auto" w:sz="4" w:space="0"/>
                    <w:left w:val="single" w:color="auto" w:sz="0" w:space="0"/>
                    <w:tl2br w:val="nil"/>
                    <w:tr2bl w:val="nil"/>
                  </w:tcBorders>
                  <w:vAlign w:val="center"/>
                </w:tcPr>
                <w:p w14:paraId="39E921D6">
                  <w:pPr>
                    <w:pStyle w:val="29"/>
                    <w:spacing w:line="240" w:lineRule="auto"/>
                    <w:rPr>
                      <w:bCs/>
                      <w:color w:val="auto"/>
                      <w:sz w:val="21"/>
                      <w:szCs w:val="21"/>
                    </w:rPr>
                  </w:pPr>
                  <w:r>
                    <w:rPr>
                      <w:bCs/>
                      <w:color w:val="auto"/>
                      <w:sz w:val="21"/>
                      <w:szCs w:val="21"/>
                    </w:rPr>
                    <w:t>标准名称</w:t>
                  </w:r>
                </w:p>
              </w:tc>
              <w:tc>
                <w:tcPr>
                  <w:tcW w:w="1140" w:type="dxa"/>
                  <w:vMerge w:val="restart"/>
                  <w:tcBorders>
                    <w:top w:val="single" w:color="auto" w:sz="4" w:space="0"/>
                    <w:tl2br w:val="nil"/>
                    <w:tr2bl w:val="nil"/>
                  </w:tcBorders>
                  <w:vAlign w:val="center"/>
                </w:tcPr>
                <w:p w14:paraId="1270622A">
                  <w:pPr>
                    <w:pStyle w:val="29"/>
                    <w:spacing w:line="240" w:lineRule="auto"/>
                    <w:rPr>
                      <w:bCs/>
                      <w:color w:val="auto"/>
                      <w:sz w:val="21"/>
                      <w:szCs w:val="21"/>
                    </w:rPr>
                  </w:pPr>
                  <w:r>
                    <w:rPr>
                      <w:bCs/>
                      <w:color w:val="auto"/>
                      <w:sz w:val="21"/>
                      <w:szCs w:val="21"/>
                    </w:rPr>
                    <w:t>使用类别</w:t>
                  </w:r>
                </w:p>
              </w:tc>
              <w:tc>
                <w:tcPr>
                  <w:tcW w:w="4324" w:type="dxa"/>
                  <w:gridSpan w:val="2"/>
                  <w:tcBorders>
                    <w:top w:val="single" w:color="auto" w:sz="4" w:space="0"/>
                    <w:right w:val="single" w:color="auto" w:sz="4" w:space="0"/>
                    <w:tl2br w:val="nil"/>
                    <w:tr2bl w:val="nil"/>
                  </w:tcBorders>
                  <w:vAlign w:val="center"/>
                </w:tcPr>
                <w:p w14:paraId="770850D2">
                  <w:pPr>
                    <w:pStyle w:val="29"/>
                    <w:spacing w:line="240" w:lineRule="auto"/>
                    <w:rPr>
                      <w:bCs/>
                      <w:color w:val="auto"/>
                      <w:sz w:val="21"/>
                      <w:szCs w:val="21"/>
                    </w:rPr>
                  </w:pPr>
                  <w:r>
                    <w:rPr>
                      <w:bCs/>
                      <w:color w:val="auto"/>
                      <w:sz w:val="21"/>
                      <w:szCs w:val="21"/>
                    </w:rPr>
                    <w:t>标准值</w:t>
                  </w:r>
                </w:p>
              </w:tc>
            </w:tr>
            <w:tr w14:paraId="5EFA6B8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2844" w:type="dxa"/>
                  <w:vMerge w:val="continue"/>
                  <w:tcBorders>
                    <w:left w:val="single" w:color="auto" w:sz="4" w:space="0"/>
                    <w:tl2br w:val="nil"/>
                    <w:tr2bl w:val="nil"/>
                  </w:tcBorders>
                  <w:vAlign w:val="center"/>
                </w:tcPr>
                <w:p w14:paraId="0375B7FD">
                  <w:pPr>
                    <w:pStyle w:val="29"/>
                    <w:spacing w:line="240" w:lineRule="auto"/>
                    <w:rPr>
                      <w:bCs/>
                      <w:color w:val="auto"/>
                      <w:sz w:val="21"/>
                      <w:szCs w:val="21"/>
                    </w:rPr>
                  </w:pPr>
                </w:p>
              </w:tc>
              <w:tc>
                <w:tcPr>
                  <w:tcW w:w="1140" w:type="dxa"/>
                  <w:vMerge w:val="continue"/>
                  <w:tcBorders>
                    <w:tl2br w:val="nil"/>
                    <w:tr2bl w:val="nil"/>
                  </w:tcBorders>
                  <w:vAlign w:val="center"/>
                </w:tcPr>
                <w:p w14:paraId="2D6DDF2B">
                  <w:pPr>
                    <w:pStyle w:val="29"/>
                    <w:spacing w:line="240" w:lineRule="auto"/>
                    <w:rPr>
                      <w:bCs/>
                      <w:color w:val="auto"/>
                      <w:sz w:val="21"/>
                      <w:szCs w:val="21"/>
                    </w:rPr>
                  </w:pPr>
                </w:p>
              </w:tc>
              <w:tc>
                <w:tcPr>
                  <w:tcW w:w="1037" w:type="dxa"/>
                  <w:tcBorders>
                    <w:tl2br w:val="nil"/>
                    <w:tr2bl w:val="nil"/>
                  </w:tcBorders>
                  <w:vAlign w:val="center"/>
                </w:tcPr>
                <w:p w14:paraId="2F2AF9E9">
                  <w:pPr>
                    <w:pStyle w:val="29"/>
                    <w:spacing w:line="240" w:lineRule="auto"/>
                    <w:rPr>
                      <w:bCs/>
                      <w:color w:val="auto"/>
                      <w:sz w:val="21"/>
                      <w:szCs w:val="21"/>
                    </w:rPr>
                  </w:pPr>
                  <w:r>
                    <w:rPr>
                      <w:bCs/>
                      <w:color w:val="auto"/>
                      <w:sz w:val="21"/>
                      <w:szCs w:val="21"/>
                    </w:rPr>
                    <w:t>污染物</w:t>
                  </w:r>
                </w:p>
              </w:tc>
              <w:tc>
                <w:tcPr>
                  <w:tcW w:w="3287" w:type="dxa"/>
                  <w:tcBorders>
                    <w:right w:val="single" w:color="auto" w:sz="4" w:space="0"/>
                    <w:tl2br w:val="nil"/>
                    <w:tr2bl w:val="nil"/>
                  </w:tcBorders>
                  <w:vAlign w:val="center"/>
                </w:tcPr>
                <w:p w14:paraId="0D343C3D">
                  <w:pPr>
                    <w:pStyle w:val="29"/>
                    <w:spacing w:line="240" w:lineRule="auto"/>
                    <w:rPr>
                      <w:bCs/>
                      <w:color w:val="auto"/>
                      <w:sz w:val="21"/>
                      <w:szCs w:val="21"/>
                    </w:rPr>
                  </w:pPr>
                  <w:r>
                    <w:rPr>
                      <w:bCs/>
                      <w:color w:val="auto"/>
                      <w:sz w:val="21"/>
                      <w:szCs w:val="21"/>
                    </w:rPr>
                    <w:t>浓度限值mg/m</w:t>
                  </w:r>
                  <w:r>
                    <w:rPr>
                      <w:bCs/>
                      <w:color w:val="auto"/>
                      <w:sz w:val="21"/>
                      <w:szCs w:val="21"/>
                      <w:vertAlign w:val="superscript"/>
                    </w:rPr>
                    <w:t>3</w:t>
                  </w:r>
                </w:p>
              </w:tc>
            </w:tr>
            <w:tr w14:paraId="5A35FFF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2844" w:type="dxa"/>
                  <w:vMerge w:val="restart"/>
                  <w:tcBorders>
                    <w:left w:val="single" w:color="auto" w:sz="4" w:space="0"/>
                    <w:tl2br w:val="nil"/>
                    <w:tr2bl w:val="nil"/>
                  </w:tcBorders>
                  <w:vAlign w:val="center"/>
                </w:tcPr>
                <w:p w14:paraId="21A0CF88">
                  <w:pPr>
                    <w:pStyle w:val="29"/>
                    <w:spacing w:line="240" w:lineRule="auto"/>
                    <w:rPr>
                      <w:bCs/>
                      <w:color w:val="auto"/>
                      <w:sz w:val="21"/>
                      <w:szCs w:val="21"/>
                    </w:rPr>
                  </w:pPr>
                  <w:r>
                    <w:rPr>
                      <w:bCs/>
                      <w:color w:val="auto"/>
                      <w:sz w:val="21"/>
                      <w:szCs w:val="21"/>
                    </w:rPr>
                    <w:t>《施工场界扬尘排放限值》（DB61/1078-2017）</w:t>
                  </w:r>
                </w:p>
              </w:tc>
              <w:tc>
                <w:tcPr>
                  <w:tcW w:w="1140" w:type="dxa"/>
                  <w:vMerge w:val="restart"/>
                  <w:tcBorders>
                    <w:tl2br w:val="nil"/>
                    <w:tr2bl w:val="nil"/>
                  </w:tcBorders>
                  <w:vAlign w:val="center"/>
                </w:tcPr>
                <w:p w14:paraId="04611409">
                  <w:pPr>
                    <w:pStyle w:val="29"/>
                    <w:spacing w:line="240" w:lineRule="auto"/>
                    <w:rPr>
                      <w:bCs/>
                      <w:color w:val="auto"/>
                      <w:sz w:val="21"/>
                      <w:szCs w:val="21"/>
                    </w:rPr>
                  </w:pPr>
                  <w:r>
                    <w:rPr>
                      <w:bCs/>
                      <w:color w:val="auto"/>
                      <w:sz w:val="21"/>
                      <w:szCs w:val="21"/>
                    </w:rPr>
                    <w:t>施工扬尘</w:t>
                  </w:r>
                </w:p>
              </w:tc>
              <w:tc>
                <w:tcPr>
                  <w:tcW w:w="1037" w:type="dxa"/>
                  <w:vMerge w:val="restart"/>
                  <w:tcBorders>
                    <w:tl2br w:val="nil"/>
                    <w:tr2bl w:val="nil"/>
                  </w:tcBorders>
                  <w:vAlign w:val="center"/>
                </w:tcPr>
                <w:p w14:paraId="3A7EC528">
                  <w:pPr>
                    <w:pStyle w:val="29"/>
                    <w:spacing w:line="240" w:lineRule="auto"/>
                    <w:rPr>
                      <w:bCs/>
                      <w:color w:val="auto"/>
                      <w:sz w:val="21"/>
                      <w:szCs w:val="21"/>
                    </w:rPr>
                  </w:pPr>
                  <w:r>
                    <w:rPr>
                      <w:bCs/>
                      <w:color w:val="auto"/>
                      <w:sz w:val="21"/>
                      <w:szCs w:val="21"/>
                    </w:rPr>
                    <w:t>TSP</w:t>
                  </w:r>
                </w:p>
              </w:tc>
              <w:tc>
                <w:tcPr>
                  <w:tcW w:w="3287" w:type="dxa"/>
                  <w:tcBorders>
                    <w:right w:val="single" w:color="auto" w:sz="4" w:space="0"/>
                    <w:tl2br w:val="nil"/>
                    <w:tr2bl w:val="nil"/>
                  </w:tcBorders>
                  <w:vAlign w:val="center"/>
                </w:tcPr>
                <w:p w14:paraId="21A1B1C6">
                  <w:pPr>
                    <w:pStyle w:val="29"/>
                    <w:spacing w:line="240" w:lineRule="auto"/>
                    <w:rPr>
                      <w:bCs/>
                      <w:color w:val="auto"/>
                      <w:sz w:val="21"/>
                      <w:szCs w:val="21"/>
                    </w:rPr>
                  </w:pPr>
                  <w:r>
                    <w:rPr>
                      <w:bCs/>
                      <w:color w:val="auto"/>
                      <w:sz w:val="21"/>
                      <w:szCs w:val="21"/>
                    </w:rPr>
                    <w:t>拆除、土方及地基处理工程≦0.8</w:t>
                  </w:r>
                </w:p>
              </w:tc>
            </w:tr>
            <w:tr w14:paraId="63847F3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2844" w:type="dxa"/>
                  <w:vMerge w:val="continue"/>
                  <w:tcBorders>
                    <w:left w:val="single" w:color="auto" w:sz="4" w:space="0"/>
                    <w:bottom w:val="single" w:color="auto" w:sz="4" w:space="0"/>
                    <w:tl2br w:val="nil"/>
                    <w:tr2bl w:val="nil"/>
                  </w:tcBorders>
                  <w:vAlign w:val="center"/>
                </w:tcPr>
                <w:p w14:paraId="6664898B">
                  <w:pPr>
                    <w:pStyle w:val="29"/>
                    <w:spacing w:line="240" w:lineRule="auto"/>
                    <w:rPr>
                      <w:bCs/>
                      <w:color w:val="auto"/>
                      <w:sz w:val="21"/>
                      <w:szCs w:val="21"/>
                    </w:rPr>
                  </w:pPr>
                </w:p>
              </w:tc>
              <w:tc>
                <w:tcPr>
                  <w:tcW w:w="1140" w:type="dxa"/>
                  <w:vMerge w:val="continue"/>
                  <w:tcBorders>
                    <w:bottom w:val="single" w:color="auto" w:sz="4" w:space="0"/>
                    <w:tl2br w:val="nil"/>
                    <w:tr2bl w:val="nil"/>
                  </w:tcBorders>
                  <w:vAlign w:val="center"/>
                </w:tcPr>
                <w:p w14:paraId="47A73E30">
                  <w:pPr>
                    <w:pStyle w:val="29"/>
                    <w:spacing w:line="240" w:lineRule="auto"/>
                    <w:rPr>
                      <w:bCs/>
                      <w:color w:val="auto"/>
                      <w:sz w:val="21"/>
                      <w:szCs w:val="21"/>
                    </w:rPr>
                  </w:pPr>
                </w:p>
              </w:tc>
              <w:tc>
                <w:tcPr>
                  <w:tcW w:w="1037" w:type="dxa"/>
                  <w:vMerge w:val="continue"/>
                  <w:tcBorders>
                    <w:bottom w:val="single" w:color="auto" w:sz="4" w:space="0"/>
                    <w:tl2br w:val="nil"/>
                    <w:tr2bl w:val="nil"/>
                  </w:tcBorders>
                  <w:vAlign w:val="center"/>
                </w:tcPr>
                <w:p w14:paraId="6D6344CA">
                  <w:pPr>
                    <w:pStyle w:val="29"/>
                    <w:spacing w:line="240" w:lineRule="auto"/>
                    <w:rPr>
                      <w:bCs/>
                      <w:color w:val="auto"/>
                      <w:sz w:val="21"/>
                      <w:szCs w:val="21"/>
                    </w:rPr>
                  </w:pPr>
                </w:p>
              </w:tc>
              <w:tc>
                <w:tcPr>
                  <w:tcW w:w="3287" w:type="dxa"/>
                  <w:tcBorders>
                    <w:bottom w:val="single" w:color="auto" w:sz="4" w:space="0"/>
                    <w:right w:val="single" w:color="auto" w:sz="4" w:space="0"/>
                    <w:tl2br w:val="nil"/>
                    <w:tr2bl w:val="nil"/>
                  </w:tcBorders>
                  <w:vAlign w:val="center"/>
                </w:tcPr>
                <w:p w14:paraId="203ADB3B">
                  <w:pPr>
                    <w:pStyle w:val="29"/>
                    <w:spacing w:line="240" w:lineRule="auto"/>
                    <w:rPr>
                      <w:bCs/>
                      <w:color w:val="auto"/>
                      <w:sz w:val="21"/>
                      <w:szCs w:val="21"/>
                    </w:rPr>
                  </w:pPr>
                  <w:r>
                    <w:rPr>
                      <w:bCs/>
                      <w:color w:val="auto"/>
                      <w:sz w:val="21"/>
                      <w:szCs w:val="21"/>
                    </w:rPr>
                    <w:t>基础、主体结构及装饰工程≦0.7</w:t>
                  </w:r>
                </w:p>
              </w:tc>
            </w:tr>
          </w:tbl>
          <w:p w14:paraId="0C0D5480">
            <w:pPr>
              <w:pStyle w:val="30"/>
              <w:adjustRightInd w:val="0"/>
              <w:snapToGrid w:val="0"/>
              <w:spacing w:before="120" w:beforeLines="50" w:line="360" w:lineRule="auto"/>
              <w:ind w:firstLine="480" w:firstLineChars="200"/>
              <w:rPr>
                <w:rFonts w:ascii="Times New Roman"/>
                <w:bCs/>
                <w:color w:val="auto"/>
              </w:rPr>
            </w:pPr>
            <w:r>
              <w:rPr>
                <w:rFonts w:ascii="Times New Roman"/>
                <w:bCs/>
                <w:color w:val="auto"/>
              </w:rPr>
              <w:t>运营期</w:t>
            </w:r>
            <w:r>
              <w:rPr>
                <w:rFonts w:hint="eastAsia" w:ascii="Times New Roman"/>
                <w:bCs/>
                <w:color w:val="auto"/>
                <w:lang w:val="en-US" w:eastAsia="zh-CN"/>
              </w:rPr>
              <w:t>颗粒物执行《大气污染物综合排放标准》（GB16297-1996）表2中排放监控浓度限值，</w:t>
            </w:r>
            <w:r>
              <w:rPr>
                <w:rFonts w:ascii="Times New Roman"/>
                <w:bCs/>
                <w:color w:val="auto"/>
              </w:rPr>
              <w:t>具体标准值见表3-</w:t>
            </w:r>
            <w:r>
              <w:rPr>
                <w:rFonts w:hint="eastAsia" w:ascii="Times New Roman"/>
                <w:bCs/>
                <w:color w:val="auto"/>
                <w:lang w:val="en-US" w:eastAsia="zh-CN"/>
              </w:rPr>
              <w:t>4</w:t>
            </w:r>
            <w:r>
              <w:rPr>
                <w:rFonts w:ascii="Times New Roman"/>
                <w:bCs/>
                <w:color w:val="auto"/>
              </w:rPr>
              <w:t>。</w:t>
            </w:r>
          </w:p>
          <w:p w14:paraId="00E6E101">
            <w:pPr>
              <w:adjustRightInd w:val="0"/>
              <w:snapToGrid w:val="0"/>
              <w:jc w:val="center"/>
              <w:rPr>
                <w:b/>
                <w:color w:val="auto"/>
                <w:szCs w:val="21"/>
              </w:rPr>
            </w:pPr>
            <w:r>
              <w:rPr>
                <w:b/>
                <w:snapToGrid w:val="0"/>
                <w:color w:val="auto"/>
                <w:kern w:val="0"/>
                <w:szCs w:val="21"/>
              </w:rPr>
              <w:t>表3-</w:t>
            </w:r>
            <w:r>
              <w:rPr>
                <w:rFonts w:hint="eastAsia"/>
                <w:b/>
                <w:snapToGrid w:val="0"/>
                <w:color w:val="auto"/>
                <w:kern w:val="0"/>
                <w:szCs w:val="21"/>
                <w:lang w:val="en-US" w:eastAsia="zh-CN"/>
              </w:rPr>
              <w:t>4</w:t>
            </w:r>
            <w:r>
              <w:rPr>
                <w:b/>
                <w:snapToGrid w:val="0"/>
                <w:color w:val="auto"/>
                <w:kern w:val="0"/>
                <w:szCs w:val="21"/>
              </w:rPr>
              <w:t xml:space="preserve">   </w:t>
            </w:r>
            <w:r>
              <w:rPr>
                <w:rFonts w:hint="eastAsia"/>
                <w:b/>
                <w:snapToGrid w:val="0"/>
                <w:color w:val="auto"/>
                <w:kern w:val="0"/>
                <w:szCs w:val="21"/>
              </w:rPr>
              <w:t>运营期</w:t>
            </w:r>
            <w:r>
              <w:rPr>
                <w:b/>
                <w:snapToGrid w:val="0"/>
                <w:color w:val="auto"/>
                <w:kern w:val="0"/>
                <w:szCs w:val="21"/>
              </w:rPr>
              <w:t>废气排放标准</w:t>
            </w:r>
          </w:p>
          <w:tbl>
            <w:tblPr>
              <w:tblStyle w:val="17"/>
              <w:tblW w:w="8279"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57" w:type="dxa"/>
                <w:bottom w:w="0" w:type="dxa"/>
                <w:right w:w="57" w:type="dxa"/>
              </w:tblCellMar>
            </w:tblPr>
            <w:tblGrid>
              <w:gridCol w:w="2449"/>
              <w:gridCol w:w="1007"/>
              <w:gridCol w:w="2805"/>
              <w:gridCol w:w="2018"/>
            </w:tblGrid>
            <w:tr w14:paraId="020A5B9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trHeight w:val="23" w:hRule="atLeast"/>
                <w:jc w:val="center"/>
              </w:trPr>
              <w:tc>
                <w:tcPr>
                  <w:tcW w:w="2449" w:type="dxa"/>
                  <w:tcBorders>
                    <w:right w:val="single" w:color="auto" w:sz="4" w:space="0"/>
                  </w:tcBorders>
                  <w:vAlign w:val="center"/>
                </w:tcPr>
                <w:p w14:paraId="16CDD46C">
                  <w:pPr>
                    <w:snapToGrid w:val="0"/>
                    <w:spacing w:line="240" w:lineRule="auto"/>
                    <w:ind w:firstLine="0" w:firstLineChars="0"/>
                    <w:jc w:val="center"/>
                    <w:rPr>
                      <w:bCs/>
                      <w:color w:val="auto"/>
                      <w:szCs w:val="21"/>
                    </w:rPr>
                  </w:pPr>
                  <w:r>
                    <w:rPr>
                      <w:bCs/>
                      <w:color w:val="auto"/>
                      <w:szCs w:val="21"/>
                    </w:rPr>
                    <w:t>标准</w:t>
                  </w:r>
                </w:p>
              </w:tc>
              <w:tc>
                <w:tcPr>
                  <w:tcW w:w="1007" w:type="dxa"/>
                  <w:tcBorders>
                    <w:left w:val="single" w:color="auto" w:sz="4" w:space="0"/>
                  </w:tcBorders>
                  <w:vAlign w:val="center"/>
                </w:tcPr>
                <w:p w14:paraId="3925ED3C">
                  <w:pPr>
                    <w:snapToGrid w:val="0"/>
                    <w:spacing w:line="240" w:lineRule="auto"/>
                    <w:ind w:firstLine="0" w:firstLineChars="0"/>
                    <w:jc w:val="center"/>
                    <w:rPr>
                      <w:bCs/>
                      <w:color w:val="auto"/>
                      <w:szCs w:val="21"/>
                    </w:rPr>
                  </w:pPr>
                  <w:r>
                    <w:rPr>
                      <w:bCs/>
                      <w:color w:val="auto"/>
                      <w:szCs w:val="21"/>
                    </w:rPr>
                    <w:t>项目</w:t>
                  </w:r>
                </w:p>
              </w:tc>
              <w:tc>
                <w:tcPr>
                  <w:tcW w:w="4823" w:type="dxa"/>
                  <w:gridSpan w:val="2"/>
                  <w:tcBorders>
                    <w:bottom w:val="single" w:color="auto" w:sz="4" w:space="0"/>
                  </w:tcBorders>
                  <w:vAlign w:val="center"/>
                </w:tcPr>
                <w:p w14:paraId="2B508EFE">
                  <w:pPr>
                    <w:snapToGrid w:val="0"/>
                    <w:spacing w:line="240" w:lineRule="auto"/>
                    <w:ind w:firstLine="0" w:firstLineChars="0"/>
                    <w:jc w:val="center"/>
                    <w:rPr>
                      <w:bCs/>
                      <w:color w:val="auto"/>
                      <w:szCs w:val="21"/>
                    </w:rPr>
                  </w:pPr>
                  <w:r>
                    <w:rPr>
                      <w:bCs/>
                      <w:color w:val="auto"/>
                      <w:szCs w:val="21"/>
                    </w:rPr>
                    <w:t>标准限值（</w:t>
                  </w:r>
                  <w:r>
                    <w:rPr>
                      <w:bCs/>
                      <w:color w:val="auto"/>
                      <w:kern w:val="0"/>
                      <w:szCs w:val="21"/>
                    </w:rPr>
                    <w:t>mg/m</w:t>
                  </w:r>
                  <w:r>
                    <w:rPr>
                      <w:bCs/>
                      <w:color w:val="auto"/>
                      <w:kern w:val="0"/>
                      <w:szCs w:val="21"/>
                      <w:vertAlign w:val="superscript"/>
                    </w:rPr>
                    <w:t>3</w:t>
                  </w:r>
                  <w:r>
                    <w:rPr>
                      <w:bCs/>
                      <w:color w:val="auto"/>
                      <w:szCs w:val="21"/>
                    </w:rPr>
                    <w:t>）</w:t>
                  </w:r>
                </w:p>
              </w:tc>
            </w:tr>
            <w:tr w14:paraId="07CC3EF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trHeight w:val="23" w:hRule="atLeast"/>
                <w:jc w:val="center"/>
              </w:trPr>
              <w:tc>
                <w:tcPr>
                  <w:tcW w:w="2449" w:type="dxa"/>
                  <w:vMerge w:val="restart"/>
                  <w:tcBorders>
                    <w:right w:val="single" w:color="auto" w:sz="4" w:space="0"/>
                  </w:tcBorders>
                  <w:vAlign w:val="center"/>
                </w:tcPr>
                <w:p w14:paraId="38103C8E">
                  <w:pPr>
                    <w:snapToGrid w:val="0"/>
                    <w:spacing w:line="240" w:lineRule="auto"/>
                    <w:ind w:firstLine="0" w:firstLineChars="0"/>
                    <w:jc w:val="center"/>
                    <w:rPr>
                      <w:color w:val="auto"/>
                      <w:kern w:val="0"/>
                      <w:szCs w:val="21"/>
                    </w:rPr>
                  </w:pPr>
                  <w:r>
                    <w:rPr>
                      <w:color w:val="auto"/>
                      <w:szCs w:val="21"/>
                    </w:rPr>
                    <w:t>《大气污染物综合排放标准》（GB16297-1996）</w:t>
                  </w:r>
                </w:p>
              </w:tc>
              <w:tc>
                <w:tcPr>
                  <w:tcW w:w="1007" w:type="dxa"/>
                  <w:vMerge w:val="restart"/>
                  <w:tcBorders>
                    <w:left w:val="single" w:color="auto" w:sz="4" w:space="0"/>
                  </w:tcBorders>
                  <w:vAlign w:val="center"/>
                </w:tcPr>
                <w:p w14:paraId="1D3CE5F4">
                  <w:pPr>
                    <w:snapToGrid w:val="0"/>
                    <w:spacing w:line="240" w:lineRule="auto"/>
                    <w:ind w:firstLine="0" w:firstLineChars="0"/>
                    <w:jc w:val="center"/>
                    <w:rPr>
                      <w:color w:val="auto"/>
                      <w:kern w:val="0"/>
                      <w:szCs w:val="21"/>
                    </w:rPr>
                  </w:pPr>
                  <w:r>
                    <w:rPr>
                      <w:color w:val="auto"/>
                      <w:kern w:val="0"/>
                      <w:szCs w:val="21"/>
                    </w:rPr>
                    <w:t>颗粒物</w:t>
                  </w:r>
                </w:p>
              </w:tc>
              <w:tc>
                <w:tcPr>
                  <w:tcW w:w="2805" w:type="dxa"/>
                  <w:tcBorders>
                    <w:top w:val="single" w:color="auto" w:sz="4" w:space="0"/>
                    <w:bottom w:val="single" w:color="auto" w:sz="4" w:space="0"/>
                    <w:right w:val="single" w:color="auto" w:sz="4" w:space="0"/>
                  </w:tcBorders>
                  <w:vAlign w:val="center"/>
                </w:tcPr>
                <w:p w14:paraId="0C101AC8">
                  <w:pPr>
                    <w:snapToGrid w:val="0"/>
                    <w:spacing w:line="240" w:lineRule="auto"/>
                    <w:ind w:firstLine="0" w:firstLineChars="0"/>
                    <w:jc w:val="center"/>
                    <w:rPr>
                      <w:color w:val="auto"/>
                      <w:szCs w:val="21"/>
                    </w:rPr>
                  </w:pPr>
                  <w:bookmarkStart w:id="8" w:name="OLE_LINK10"/>
                  <w:r>
                    <w:rPr>
                      <w:color w:val="auto"/>
                      <w:szCs w:val="21"/>
                    </w:rPr>
                    <w:t>最高允许排放浓度</w:t>
                  </w:r>
                  <w:bookmarkEnd w:id="8"/>
                </w:p>
              </w:tc>
              <w:tc>
                <w:tcPr>
                  <w:tcW w:w="2018" w:type="dxa"/>
                  <w:tcBorders>
                    <w:left w:val="single" w:color="auto" w:sz="4" w:space="0"/>
                    <w:bottom w:val="single" w:color="auto" w:sz="4" w:space="0"/>
                  </w:tcBorders>
                  <w:vAlign w:val="center"/>
                </w:tcPr>
                <w:p w14:paraId="0DB01C4A">
                  <w:pPr>
                    <w:snapToGrid w:val="0"/>
                    <w:spacing w:line="240" w:lineRule="auto"/>
                    <w:ind w:firstLine="0" w:firstLineChars="0"/>
                    <w:jc w:val="center"/>
                    <w:rPr>
                      <w:color w:val="auto"/>
                      <w:szCs w:val="21"/>
                      <w:highlight w:val="red"/>
                    </w:rPr>
                  </w:pPr>
                  <w:r>
                    <w:rPr>
                      <w:rFonts w:hint="eastAsia"/>
                      <w:color w:val="auto"/>
                      <w:szCs w:val="21"/>
                    </w:rPr>
                    <w:t>120</w:t>
                  </w:r>
                </w:p>
              </w:tc>
            </w:tr>
            <w:tr w14:paraId="6EC589A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trHeight w:val="23" w:hRule="atLeast"/>
                <w:jc w:val="center"/>
              </w:trPr>
              <w:tc>
                <w:tcPr>
                  <w:tcW w:w="2449" w:type="dxa"/>
                  <w:vMerge w:val="continue"/>
                  <w:tcBorders>
                    <w:right w:val="single" w:color="auto" w:sz="4" w:space="0"/>
                  </w:tcBorders>
                  <w:vAlign w:val="center"/>
                </w:tcPr>
                <w:p w14:paraId="56689242">
                  <w:pPr>
                    <w:snapToGrid w:val="0"/>
                    <w:spacing w:line="240" w:lineRule="auto"/>
                    <w:ind w:firstLine="0" w:firstLineChars="0"/>
                    <w:jc w:val="center"/>
                    <w:rPr>
                      <w:color w:val="auto"/>
                      <w:szCs w:val="21"/>
                    </w:rPr>
                  </w:pPr>
                </w:p>
              </w:tc>
              <w:tc>
                <w:tcPr>
                  <w:tcW w:w="1007" w:type="dxa"/>
                  <w:vMerge w:val="continue"/>
                  <w:tcBorders>
                    <w:left w:val="single" w:color="auto" w:sz="4" w:space="0"/>
                  </w:tcBorders>
                  <w:vAlign w:val="center"/>
                </w:tcPr>
                <w:p w14:paraId="6B1DEC44">
                  <w:pPr>
                    <w:snapToGrid w:val="0"/>
                    <w:spacing w:line="240" w:lineRule="auto"/>
                    <w:ind w:firstLine="0" w:firstLineChars="0"/>
                    <w:jc w:val="center"/>
                    <w:rPr>
                      <w:color w:val="auto"/>
                      <w:kern w:val="0"/>
                      <w:szCs w:val="21"/>
                    </w:rPr>
                  </w:pPr>
                </w:p>
              </w:tc>
              <w:tc>
                <w:tcPr>
                  <w:tcW w:w="2805" w:type="dxa"/>
                  <w:tcBorders>
                    <w:top w:val="single" w:color="auto" w:sz="4" w:space="0"/>
                    <w:bottom w:val="single" w:color="auto" w:sz="4" w:space="0"/>
                    <w:right w:val="single" w:color="auto" w:sz="4" w:space="0"/>
                  </w:tcBorders>
                  <w:vAlign w:val="center"/>
                </w:tcPr>
                <w:p w14:paraId="1D2222E2">
                  <w:pPr>
                    <w:snapToGrid w:val="0"/>
                    <w:spacing w:line="240" w:lineRule="auto"/>
                    <w:ind w:firstLine="0" w:firstLineChars="0"/>
                    <w:jc w:val="center"/>
                    <w:rPr>
                      <w:color w:val="auto"/>
                      <w:szCs w:val="21"/>
                    </w:rPr>
                  </w:pPr>
                  <w:r>
                    <w:rPr>
                      <w:color w:val="auto"/>
                      <w:szCs w:val="21"/>
                    </w:rPr>
                    <w:t>最高允许排放速率</w:t>
                  </w:r>
                </w:p>
              </w:tc>
              <w:tc>
                <w:tcPr>
                  <w:tcW w:w="2018" w:type="dxa"/>
                  <w:tcBorders>
                    <w:left w:val="single" w:color="auto" w:sz="4" w:space="0"/>
                    <w:bottom w:val="single" w:color="auto" w:sz="4" w:space="0"/>
                  </w:tcBorders>
                  <w:vAlign w:val="center"/>
                </w:tcPr>
                <w:p w14:paraId="27EC672C">
                  <w:pPr>
                    <w:snapToGrid w:val="0"/>
                    <w:spacing w:line="240" w:lineRule="auto"/>
                    <w:ind w:firstLine="0" w:firstLineChars="0"/>
                    <w:jc w:val="center"/>
                    <w:rPr>
                      <w:color w:val="auto"/>
                      <w:szCs w:val="21"/>
                    </w:rPr>
                  </w:pPr>
                  <w:r>
                    <w:rPr>
                      <w:rFonts w:hint="eastAsia"/>
                      <w:color w:val="auto"/>
                      <w:szCs w:val="21"/>
                      <w:lang w:val="en-US" w:eastAsia="zh-CN"/>
                    </w:rPr>
                    <w:t>5.9</w:t>
                  </w:r>
                  <w:r>
                    <w:rPr>
                      <w:color w:val="auto"/>
                      <w:szCs w:val="21"/>
                    </w:rPr>
                    <w:t>kg/h</w:t>
                  </w:r>
                </w:p>
              </w:tc>
            </w:tr>
            <w:tr w14:paraId="2779105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trHeight w:val="23" w:hRule="atLeast"/>
                <w:jc w:val="center"/>
              </w:trPr>
              <w:tc>
                <w:tcPr>
                  <w:tcW w:w="2449" w:type="dxa"/>
                  <w:vMerge w:val="continue"/>
                  <w:tcBorders>
                    <w:right w:val="single" w:color="auto" w:sz="4" w:space="0"/>
                  </w:tcBorders>
                  <w:vAlign w:val="center"/>
                </w:tcPr>
                <w:p w14:paraId="243FF8F2">
                  <w:pPr>
                    <w:snapToGrid w:val="0"/>
                    <w:spacing w:line="240" w:lineRule="auto"/>
                    <w:ind w:firstLine="0" w:firstLineChars="0"/>
                    <w:jc w:val="center"/>
                    <w:rPr>
                      <w:color w:val="auto"/>
                      <w:szCs w:val="21"/>
                    </w:rPr>
                  </w:pPr>
                </w:p>
              </w:tc>
              <w:tc>
                <w:tcPr>
                  <w:tcW w:w="1007" w:type="dxa"/>
                  <w:vMerge w:val="continue"/>
                  <w:tcBorders>
                    <w:left w:val="single" w:color="auto" w:sz="4" w:space="0"/>
                  </w:tcBorders>
                  <w:vAlign w:val="center"/>
                </w:tcPr>
                <w:p w14:paraId="44FC8EB4">
                  <w:pPr>
                    <w:snapToGrid w:val="0"/>
                    <w:spacing w:line="240" w:lineRule="auto"/>
                    <w:ind w:firstLine="0" w:firstLineChars="0"/>
                    <w:jc w:val="center"/>
                    <w:rPr>
                      <w:color w:val="auto"/>
                      <w:kern w:val="0"/>
                      <w:szCs w:val="21"/>
                    </w:rPr>
                  </w:pPr>
                </w:p>
              </w:tc>
              <w:tc>
                <w:tcPr>
                  <w:tcW w:w="2805" w:type="dxa"/>
                  <w:tcBorders>
                    <w:top w:val="single" w:color="auto" w:sz="4" w:space="0"/>
                    <w:bottom w:val="single" w:color="auto" w:sz="4" w:space="0"/>
                    <w:right w:val="single" w:color="auto" w:sz="4" w:space="0"/>
                  </w:tcBorders>
                  <w:vAlign w:val="center"/>
                </w:tcPr>
                <w:p w14:paraId="0AFB5CFC">
                  <w:pPr>
                    <w:snapToGrid w:val="0"/>
                    <w:spacing w:line="240" w:lineRule="auto"/>
                    <w:ind w:firstLine="0" w:firstLineChars="0"/>
                    <w:jc w:val="center"/>
                    <w:rPr>
                      <w:color w:val="auto"/>
                      <w:szCs w:val="21"/>
                    </w:rPr>
                  </w:pPr>
                  <w:r>
                    <w:rPr>
                      <w:color w:val="auto"/>
                      <w:szCs w:val="21"/>
                    </w:rPr>
                    <w:t>无组织排放监控浓度限值</w:t>
                  </w:r>
                </w:p>
              </w:tc>
              <w:tc>
                <w:tcPr>
                  <w:tcW w:w="2018" w:type="dxa"/>
                  <w:tcBorders>
                    <w:top w:val="single" w:color="auto" w:sz="4" w:space="0"/>
                    <w:left w:val="single" w:color="auto" w:sz="4" w:space="0"/>
                  </w:tcBorders>
                  <w:vAlign w:val="center"/>
                </w:tcPr>
                <w:p w14:paraId="4B38957A">
                  <w:pPr>
                    <w:snapToGrid w:val="0"/>
                    <w:spacing w:line="240" w:lineRule="auto"/>
                    <w:ind w:firstLine="0" w:firstLineChars="0"/>
                    <w:jc w:val="center"/>
                    <w:rPr>
                      <w:color w:val="auto"/>
                      <w:szCs w:val="21"/>
                    </w:rPr>
                  </w:pPr>
                  <w:r>
                    <w:rPr>
                      <w:rFonts w:hint="eastAsia"/>
                      <w:color w:val="auto"/>
                      <w:szCs w:val="21"/>
                    </w:rPr>
                    <w:t>1.0</w:t>
                  </w:r>
                </w:p>
              </w:tc>
            </w:tr>
          </w:tbl>
          <w:p w14:paraId="38865EB5">
            <w:pPr>
              <w:keepNext w:val="0"/>
              <w:keepLines w:val="0"/>
              <w:pageBreakBefore w:val="0"/>
              <w:widowControl/>
              <w:kinsoku/>
              <w:wordWrap/>
              <w:overflowPunct/>
              <w:topLinePunct w:val="0"/>
              <w:autoSpaceDE/>
              <w:autoSpaceDN/>
              <w:bidi w:val="0"/>
              <w:adjustRightInd/>
              <w:snapToGrid/>
              <w:spacing w:line="336" w:lineRule="auto"/>
              <w:ind w:firstLine="482" w:firstLineChars="200"/>
              <w:jc w:val="left"/>
              <w:textAlignment w:val="auto"/>
              <w:rPr>
                <w:b/>
                <w:bCs/>
                <w:color w:val="auto"/>
                <w:sz w:val="24"/>
              </w:rPr>
            </w:pPr>
            <w:r>
              <w:rPr>
                <w:b/>
                <w:bCs/>
                <w:color w:val="auto"/>
                <w:sz w:val="24"/>
              </w:rPr>
              <w:t>2、</w:t>
            </w:r>
            <w:r>
              <w:rPr>
                <w:rFonts w:hint="eastAsia"/>
                <w:b/>
                <w:bCs/>
                <w:color w:val="auto"/>
                <w:sz w:val="24"/>
              </w:rPr>
              <w:t>废水排放标准</w:t>
            </w:r>
          </w:p>
          <w:p w14:paraId="352D2BBB">
            <w:pPr>
              <w:adjustRightInd w:val="0"/>
              <w:snapToGrid w:val="0"/>
              <w:spacing w:line="360" w:lineRule="auto"/>
              <w:ind w:firstLine="420"/>
              <w:jc w:val="left"/>
              <w:rPr>
                <w:rFonts w:cs="宋体"/>
                <w:color w:val="auto"/>
                <w:kern w:val="0"/>
                <w:szCs w:val="21"/>
              </w:rPr>
            </w:pPr>
            <w:r>
              <w:rPr>
                <w:rFonts w:hint="eastAsia" w:cs="宋体"/>
                <w:color w:val="auto"/>
                <w:kern w:val="0"/>
                <w:sz w:val="24"/>
                <w:szCs w:val="24"/>
                <w:lang w:val="en-US" w:eastAsia="zh-CN"/>
              </w:rPr>
              <w:t>生活污水</w:t>
            </w:r>
            <w:r>
              <w:rPr>
                <w:rFonts w:cs="宋体"/>
                <w:color w:val="auto"/>
                <w:kern w:val="0"/>
                <w:sz w:val="24"/>
                <w:szCs w:val="24"/>
              </w:rPr>
              <w:t>排放执行《污水综合排放标准》（GB8978-1996）中的三级标准及《污水排入城镇下水道水质标准》（GB/T31962-2015）中B级标准。</w:t>
            </w:r>
          </w:p>
          <w:p w14:paraId="1B4B4526">
            <w:pPr>
              <w:pStyle w:val="33"/>
              <w:rPr>
                <w:color w:val="auto"/>
              </w:rPr>
            </w:pPr>
            <w:r>
              <w:rPr>
                <w:color w:val="auto"/>
              </w:rPr>
              <w:t>表</w:t>
            </w:r>
            <w:r>
              <w:rPr>
                <w:rFonts w:hint="eastAsia"/>
                <w:color w:val="auto"/>
              </w:rPr>
              <w:t>3</w:t>
            </w:r>
            <w:r>
              <w:rPr>
                <w:color w:val="auto"/>
              </w:rPr>
              <w:t>-</w:t>
            </w:r>
            <w:r>
              <w:rPr>
                <w:rFonts w:hint="eastAsia"/>
                <w:color w:val="auto"/>
                <w:lang w:val="en-US" w:eastAsia="zh-CN"/>
              </w:rPr>
              <w:t>5</w:t>
            </w:r>
            <w:r>
              <w:rPr>
                <w:color w:val="auto"/>
              </w:rPr>
              <w:t xml:space="preserve"> </w:t>
            </w:r>
            <w:r>
              <w:rPr>
                <w:rFonts w:hint="eastAsia"/>
                <w:color w:val="auto"/>
                <w:lang w:val="en-US" w:eastAsia="zh-CN"/>
              </w:rPr>
              <w:t xml:space="preserve"> </w:t>
            </w:r>
            <w:r>
              <w:rPr>
                <w:color w:val="auto"/>
              </w:rPr>
              <w:t xml:space="preserve"> 废水排放标准</w:t>
            </w:r>
          </w:p>
          <w:tbl>
            <w:tblPr>
              <w:tblStyle w:val="17"/>
              <w:tblW w:w="4996"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729"/>
              <w:gridCol w:w="795"/>
              <w:gridCol w:w="758"/>
              <w:gridCol w:w="833"/>
              <w:gridCol w:w="606"/>
              <w:gridCol w:w="624"/>
              <w:gridCol w:w="511"/>
              <w:gridCol w:w="435"/>
            </w:tblGrid>
            <w:tr w14:paraId="2AA8CC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248" w:type="pct"/>
                  <w:noWrap w:val="0"/>
                  <w:tcMar>
                    <w:left w:w="28" w:type="dxa"/>
                    <w:right w:w="28" w:type="dxa"/>
                  </w:tcMar>
                  <w:vAlign w:val="center"/>
                </w:tcPr>
                <w:p w14:paraId="232A3242">
                  <w:pPr>
                    <w:pStyle w:val="34"/>
                    <w:rPr>
                      <w:color w:val="auto"/>
                    </w:rPr>
                  </w:pPr>
                  <w:r>
                    <w:rPr>
                      <w:rFonts w:hint="eastAsia"/>
                      <w:color w:val="auto"/>
                    </w:rPr>
                    <w:t>执行标准名称</w:t>
                  </w:r>
                </w:p>
              </w:tc>
              <w:tc>
                <w:tcPr>
                  <w:tcW w:w="479" w:type="pct"/>
                  <w:noWrap w:val="0"/>
                  <w:tcMar>
                    <w:left w:w="28" w:type="dxa"/>
                    <w:right w:w="28" w:type="dxa"/>
                  </w:tcMar>
                  <w:vAlign w:val="center"/>
                </w:tcPr>
                <w:p w14:paraId="68BAD3E6">
                  <w:pPr>
                    <w:pStyle w:val="34"/>
                    <w:rPr>
                      <w:color w:val="auto"/>
                    </w:rPr>
                  </w:pPr>
                  <w:r>
                    <w:rPr>
                      <w:color w:val="auto"/>
                    </w:rPr>
                    <w:t>pH值</w:t>
                  </w:r>
                </w:p>
              </w:tc>
              <w:tc>
                <w:tcPr>
                  <w:tcW w:w="457" w:type="pct"/>
                  <w:noWrap w:val="0"/>
                  <w:tcMar>
                    <w:left w:w="28" w:type="dxa"/>
                    <w:right w:w="28" w:type="dxa"/>
                  </w:tcMar>
                  <w:vAlign w:val="center"/>
                </w:tcPr>
                <w:p w14:paraId="4B53009B">
                  <w:pPr>
                    <w:pStyle w:val="34"/>
                    <w:rPr>
                      <w:color w:val="auto"/>
                    </w:rPr>
                  </w:pPr>
                  <w:r>
                    <w:rPr>
                      <w:color w:val="auto"/>
                    </w:rPr>
                    <w:t>CO</w:t>
                  </w:r>
                  <w:r>
                    <w:rPr>
                      <w:rFonts w:hint="eastAsia"/>
                      <w:color w:val="auto"/>
                    </w:rPr>
                    <w:t>D</w:t>
                  </w:r>
                </w:p>
              </w:tc>
              <w:tc>
                <w:tcPr>
                  <w:tcW w:w="502" w:type="pct"/>
                  <w:noWrap w:val="0"/>
                  <w:tcMar>
                    <w:left w:w="28" w:type="dxa"/>
                    <w:right w:w="28" w:type="dxa"/>
                  </w:tcMar>
                  <w:vAlign w:val="center"/>
                </w:tcPr>
                <w:p w14:paraId="23E1ECA6">
                  <w:pPr>
                    <w:pStyle w:val="34"/>
                    <w:rPr>
                      <w:color w:val="auto"/>
                    </w:rPr>
                  </w:pPr>
                  <w:r>
                    <w:rPr>
                      <w:color w:val="auto"/>
                    </w:rPr>
                    <w:t>BOD</w:t>
                  </w:r>
                  <w:r>
                    <w:rPr>
                      <w:color w:val="auto"/>
                      <w:vertAlign w:val="subscript"/>
                    </w:rPr>
                    <w:t>5</w:t>
                  </w:r>
                </w:p>
              </w:tc>
              <w:tc>
                <w:tcPr>
                  <w:tcW w:w="365" w:type="pct"/>
                  <w:noWrap w:val="0"/>
                  <w:tcMar>
                    <w:left w:w="28" w:type="dxa"/>
                    <w:right w:w="28" w:type="dxa"/>
                  </w:tcMar>
                  <w:vAlign w:val="center"/>
                </w:tcPr>
                <w:p w14:paraId="48A303F3">
                  <w:pPr>
                    <w:pStyle w:val="34"/>
                    <w:rPr>
                      <w:color w:val="auto"/>
                    </w:rPr>
                  </w:pPr>
                  <w:r>
                    <w:rPr>
                      <w:color w:val="auto"/>
                    </w:rPr>
                    <w:t>SS</w:t>
                  </w:r>
                </w:p>
              </w:tc>
              <w:tc>
                <w:tcPr>
                  <w:tcW w:w="376" w:type="pct"/>
                  <w:noWrap w:val="0"/>
                  <w:tcMar>
                    <w:left w:w="28" w:type="dxa"/>
                    <w:right w:w="28" w:type="dxa"/>
                  </w:tcMar>
                  <w:vAlign w:val="center"/>
                </w:tcPr>
                <w:p w14:paraId="104AD9F6">
                  <w:pPr>
                    <w:pStyle w:val="34"/>
                    <w:rPr>
                      <w:color w:val="auto"/>
                    </w:rPr>
                  </w:pPr>
                  <w:r>
                    <w:rPr>
                      <w:rFonts w:hint="eastAsia"/>
                      <w:color w:val="auto"/>
                    </w:rPr>
                    <w:t>氨氮</w:t>
                  </w:r>
                </w:p>
              </w:tc>
              <w:tc>
                <w:tcPr>
                  <w:tcW w:w="308" w:type="pct"/>
                  <w:noWrap w:val="0"/>
                  <w:tcMar>
                    <w:left w:w="28" w:type="dxa"/>
                    <w:right w:w="28" w:type="dxa"/>
                  </w:tcMar>
                  <w:vAlign w:val="center"/>
                </w:tcPr>
                <w:p w14:paraId="3E4C72D6">
                  <w:pPr>
                    <w:pStyle w:val="34"/>
                    <w:rPr>
                      <w:rFonts w:hint="default" w:eastAsia="宋体"/>
                      <w:color w:val="auto"/>
                      <w:lang w:val="en-US" w:eastAsia="zh-CN"/>
                    </w:rPr>
                  </w:pPr>
                  <w:r>
                    <w:rPr>
                      <w:rFonts w:hint="eastAsia"/>
                      <w:color w:val="auto"/>
                      <w:lang w:val="en-US" w:eastAsia="zh-CN"/>
                    </w:rPr>
                    <w:t>TP</w:t>
                  </w:r>
                </w:p>
              </w:tc>
              <w:tc>
                <w:tcPr>
                  <w:tcW w:w="262" w:type="pct"/>
                  <w:noWrap w:val="0"/>
                  <w:tcMar>
                    <w:left w:w="28" w:type="dxa"/>
                    <w:right w:w="28" w:type="dxa"/>
                  </w:tcMar>
                  <w:vAlign w:val="center"/>
                </w:tcPr>
                <w:p w14:paraId="5232741C">
                  <w:pPr>
                    <w:pStyle w:val="34"/>
                    <w:rPr>
                      <w:rFonts w:hint="default" w:eastAsia="宋体"/>
                      <w:color w:val="auto"/>
                      <w:lang w:val="en-US" w:eastAsia="zh-CN"/>
                    </w:rPr>
                  </w:pPr>
                  <w:r>
                    <w:rPr>
                      <w:rFonts w:hint="eastAsia"/>
                      <w:color w:val="auto"/>
                      <w:lang w:val="en-US" w:eastAsia="zh-CN"/>
                    </w:rPr>
                    <w:t>TN</w:t>
                  </w:r>
                </w:p>
              </w:tc>
            </w:tr>
            <w:tr w14:paraId="714A12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7" w:hRule="atLeast"/>
                <w:jc w:val="center"/>
              </w:trPr>
              <w:tc>
                <w:tcPr>
                  <w:tcW w:w="2248" w:type="pct"/>
                  <w:noWrap w:val="0"/>
                  <w:tcMar>
                    <w:left w:w="28" w:type="dxa"/>
                    <w:right w:w="28" w:type="dxa"/>
                  </w:tcMar>
                  <w:vAlign w:val="center"/>
                </w:tcPr>
                <w:p w14:paraId="0B3AFC12">
                  <w:pPr>
                    <w:pStyle w:val="34"/>
                    <w:rPr>
                      <w:color w:val="auto"/>
                    </w:rPr>
                  </w:pPr>
                  <w:r>
                    <w:rPr>
                      <w:color w:val="auto"/>
                    </w:rPr>
                    <w:t>《污水综合排放标准》（GB8978-1996）表2中三</w:t>
                  </w:r>
                  <w:r>
                    <w:rPr>
                      <w:rFonts w:hint="eastAsia"/>
                      <w:color w:val="auto"/>
                    </w:rPr>
                    <w:t>级</w:t>
                  </w:r>
                  <w:r>
                    <w:rPr>
                      <w:color w:val="auto"/>
                    </w:rPr>
                    <w:t>标准</w:t>
                  </w:r>
                </w:p>
              </w:tc>
              <w:tc>
                <w:tcPr>
                  <w:tcW w:w="479" w:type="pct"/>
                  <w:noWrap w:val="0"/>
                  <w:tcMar>
                    <w:left w:w="28" w:type="dxa"/>
                    <w:right w:w="28" w:type="dxa"/>
                  </w:tcMar>
                  <w:vAlign w:val="center"/>
                </w:tcPr>
                <w:p w14:paraId="6720A790">
                  <w:pPr>
                    <w:pStyle w:val="34"/>
                    <w:rPr>
                      <w:color w:val="auto"/>
                    </w:rPr>
                  </w:pPr>
                  <w:r>
                    <w:rPr>
                      <w:color w:val="auto"/>
                    </w:rPr>
                    <w:t>6~9</w:t>
                  </w:r>
                </w:p>
              </w:tc>
              <w:tc>
                <w:tcPr>
                  <w:tcW w:w="457" w:type="pct"/>
                  <w:noWrap w:val="0"/>
                  <w:tcMar>
                    <w:left w:w="28" w:type="dxa"/>
                    <w:right w:w="28" w:type="dxa"/>
                  </w:tcMar>
                  <w:vAlign w:val="center"/>
                </w:tcPr>
                <w:p w14:paraId="35DAF327">
                  <w:pPr>
                    <w:pStyle w:val="34"/>
                    <w:rPr>
                      <w:color w:val="auto"/>
                    </w:rPr>
                  </w:pPr>
                  <w:r>
                    <w:rPr>
                      <w:color w:val="auto"/>
                    </w:rPr>
                    <w:t>500</w:t>
                  </w:r>
                </w:p>
              </w:tc>
              <w:tc>
                <w:tcPr>
                  <w:tcW w:w="502" w:type="pct"/>
                  <w:noWrap w:val="0"/>
                  <w:tcMar>
                    <w:left w:w="28" w:type="dxa"/>
                    <w:right w:w="28" w:type="dxa"/>
                  </w:tcMar>
                  <w:vAlign w:val="center"/>
                </w:tcPr>
                <w:p w14:paraId="58396AE8">
                  <w:pPr>
                    <w:pStyle w:val="34"/>
                    <w:rPr>
                      <w:color w:val="auto"/>
                    </w:rPr>
                  </w:pPr>
                  <w:r>
                    <w:rPr>
                      <w:rFonts w:hint="eastAsia"/>
                      <w:color w:val="auto"/>
                    </w:rPr>
                    <w:t>30</w:t>
                  </w:r>
                  <w:r>
                    <w:rPr>
                      <w:color w:val="auto"/>
                    </w:rPr>
                    <w:t>0</w:t>
                  </w:r>
                </w:p>
              </w:tc>
              <w:tc>
                <w:tcPr>
                  <w:tcW w:w="365" w:type="pct"/>
                  <w:noWrap w:val="0"/>
                  <w:tcMar>
                    <w:left w:w="28" w:type="dxa"/>
                    <w:right w:w="28" w:type="dxa"/>
                  </w:tcMar>
                  <w:vAlign w:val="center"/>
                </w:tcPr>
                <w:p w14:paraId="4E60F7EC">
                  <w:pPr>
                    <w:pStyle w:val="34"/>
                    <w:rPr>
                      <w:color w:val="auto"/>
                    </w:rPr>
                  </w:pPr>
                  <w:r>
                    <w:rPr>
                      <w:color w:val="auto"/>
                    </w:rPr>
                    <w:t>4</w:t>
                  </w:r>
                  <w:r>
                    <w:rPr>
                      <w:rFonts w:hint="eastAsia"/>
                      <w:color w:val="auto"/>
                    </w:rPr>
                    <w:t>0</w:t>
                  </w:r>
                  <w:r>
                    <w:rPr>
                      <w:color w:val="auto"/>
                    </w:rPr>
                    <w:t>0</w:t>
                  </w:r>
                </w:p>
              </w:tc>
              <w:tc>
                <w:tcPr>
                  <w:tcW w:w="376" w:type="pct"/>
                  <w:noWrap w:val="0"/>
                  <w:tcMar>
                    <w:left w:w="28" w:type="dxa"/>
                    <w:right w:w="28" w:type="dxa"/>
                  </w:tcMar>
                  <w:vAlign w:val="center"/>
                </w:tcPr>
                <w:p w14:paraId="1CA2C5F0">
                  <w:pPr>
                    <w:pStyle w:val="34"/>
                    <w:rPr>
                      <w:color w:val="auto"/>
                    </w:rPr>
                  </w:pPr>
                  <w:r>
                    <w:rPr>
                      <w:color w:val="auto"/>
                    </w:rPr>
                    <w:t>/</w:t>
                  </w:r>
                </w:p>
              </w:tc>
              <w:tc>
                <w:tcPr>
                  <w:tcW w:w="308" w:type="pct"/>
                  <w:noWrap w:val="0"/>
                  <w:tcMar>
                    <w:left w:w="28" w:type="dxa"/>
                    <w:right w:w="28" w:type="dxa"/>
                  </w:tcMar>
                  <w:vAlign w:val="center"/>
                </w:tcPr>
                <w:p w14:paraId="6F50E277">
                  <w:pPr>
                    <w:pStyle w:val="34"/>
                    <w:rPr>
                      <w:rFonts w:hint="eastAsia" w:eastAsia="宋体"/>
                      <w:color w:val="auto"/>
                      <w:lang w:val="en-US" w:eastAsia="zh-CN"/>
                    </w:rPr>
                  </w:pPr>
                  <w:r>
                    <w:rPr>
                      <w:rFonts w:hint="eastAsia"/>
                      <w:color w:val="auto"/>
                      <w:lang w:val="en-US" w:eastAsia="zh-CN"/>
                    </w:rPr>
                    <w:t>/</w:t>
                  </w:r>
                </w:p>
              </w:tc>
              <w:tc>
                <w:tcPr>
                  <w:tcW w:w="262" w:type="pct"/>
                  <w:noWrap w:val="0"/>
                  <w:tcMar>
                    <w:left w:w="28" w:type="dxa"/>
                    <w:right w:w="28" w:type="dxa"/>
                  </w:tcMar>
                  <w:vAlign w:val="center"/>
                </w:tcPr>
                <w:p w14:paraId="37BED90E">
                  <w:pPr>
                    <w:pStyle w:val="34"/>
                    <w:rPr>
                      <w:rFonts w:hint="eastAsia" w:eastAsia="宋体"/>
                      <w:color w:val="auto"/>
                      <w:lang w:val="en-US" w:eastAsia="zh-CN"/>
                    </w:rPr>
                  </w:pPr>
                  <w:r>
                    <w:rPr>
                      <w:rFonts w:hint="eastAsia"/>
                      <w:color w:val="auto"/>
                      <w:lang w:val="en-US" w:eastAsia="zh-CN"/>
                    </w:rPr>
                    <w:t>/</w:t>
                  </w:r>
                </w:p>
              </w:tc>
            </w:tr>
            <w:tr w14:paraId="4E3043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7" w:hRule="atLeast"/>
                <w:jc w:val="center"/>
              </w:trPr>
              <w:tc>
                <w:tcPr>
                  <w:tcW w:w="2248" w:type="pct"/>
                  <w:noWrap w:val="0"/>
                  <w:tcMar>
                    <w:left w:w="28" w:type="dxa"/>
                    <w:right w:w="28" w:type="dxa"/>
                  </w:tcMar>
                  <w:vAlign w:val="center"/>
                </w:tcPr>
                <w:p w14:paraId="1A543A7B">
                  <w:pPr>
                    <w:pStyle w:val="34"/>
                    <w:rPr>
                      <w:color w:val="auto"/>
                    </w:rPr>
                  </w:pPr>
                  <w:r>
                    <w:rPr>
                      <w:color w:val="auto"/>
                    </w:rPr>
                    <w:t>《污水排入城镇下水道水质标准》（GB/T31962-2015）</w:t>
                  </w:r>
                  <w:r>
                    <w:rPr>
                      <w:rFonts w:hint="eastAsia"/>
                      <w:color w:val="auto"/>
                    </w:rPr>
                    <w:t>B</w:t>
                  </w:r>
                  <w:r>
                    <w:rPr>
                      <w:color w:val="auto"/>
                    </w:rPr>
                    <w:t>级</w:t>
                  </w:r>
                </w:p>
              </w:tc>
              <w:tc>
                <w:tcPr>
                  <w:tcW w:w="479" w:type="pct"/>
                  <w:noWrap w:val="0"/>
                  <w:tcMar>
                    <w:left w:w="28" w:type="dxa"/>
                    <w:right w:w="28" w:type="dxa"/>
                  </w:tcMar>
                  <w:vAlign w:val="center"/>
                </w:tcPr>
                <w:p w14:paraId="4236329B">
                  <w:pPr>
                    <w:pStyle w:val="34"/>
                    <w:rPr>
                      <w:color w:val="auto"/>
                    </w:rPr>
                  </w:pPr>
                  <w:r>
                    <w:rPr>
                      <w:color w:val="auto"/>
                    </w:rPr>
                    <w:t>/</w:t>
                  </w:r>
                </w:p>
              </w:tc>
              <w:tc>
                <w:tcPr>
                  <w:tcW w:w="457" w:type="pct"/>
                  <w:noWrap w:val="0"/>
                  <w:tcMar>
                    <w:left w:w="28" w:type="dxa"/>
                    <w:right w:w="28" w:type="dxa"/>
                  </w:tcMar>
                  <w:vAlign w:val="center"/>
                </w:tcPr>
                <w:p w14:paraId="63B24339">
                  <w:pPr>
                    <w:pStyle w:val="34"/>
                    <w:rPr>
                      <w:color w:val="auto"/>
                    </w:rPr>
                  </w:pPr>
                  <w:r>
                    <w:rPr>
                      <w:color w:val="auto"/>
                    </w:rPr>
                    <w:t>/</w:t>
                  </w:r>
                </w:p>
              </w:tc>
              <w:tc>
                <w:tcPr>
                  <w:tcW w:w="502" w:type="pct"/>
                  <w:noWrap w:val="0"/>
                  <w:tcMar>
                    <w:left w:w="28" w:type="dxa"/>
                    <w:right w:w="28" w:type="dxa"/>
                  </w:tcMar>
                  <w:vAlign w:val="center"/>
                </w:tcPr>
                <w:p w14:paraId="15667516">
                  <w:pPr>
                    <w:pStyle w:val="34"/>
                    <w:rPr>
                      <w:color w:val="auto"/>
                    </w:rPr>
                  </w:pPr>
                  <w:r>
                    <w:rPr>
                      <w:color w:val="auto"/>
                    </w:rPr>
                    <w:t>/</w:t>
                  </w:r>
                </w:p>
              </w:tc>
              <w:tc>
                <w:tcPr>
                  <w:tcW w:w="365" w:type="pct"/>
                  <w:noWrap w:val="0"/>
                  <w:tcMar>
                    <w:left w:w="28" w:type="dxa"/>
                    <w:right w:w="28" w:type="dxa"/>
                  </w:tcMar>
                  <w:vAlign w:val="center"/>
                </w:tcPr>
                <w:p w14:paraId="4FBF148A">
                  <w:pPr>
                    <w:pStyle w:val="34"/>
                    <w:rPr>
                      <w:color w:val="auto"/>
                    </w:rPr>
                  </w:pPr>
                  <w:r>
                    <w:rPr>
                      <w:color w:val="auto"/>
                    </w:rPr>
                    <w:t>/</w:t>
                  </w:r>
                </w:p>
              </w:tc>
              <w:tc>
                <w:tcPr>
                  <w:tcW w:w="376" w:type="pct"/>
                  <w:noWrap w:val="0"/>
                  <w:tcMar>
                    <w:left w:w="28" w:type="dxa"/>
                    <w:right w:w="28" w:type="dxa"/>
                  </w:tcMar>
                  <w:vAlign w:val="center"/>
                </w:tcPr>
                <w:p w14:paraId="3C4EBBEC">
                  <w:pPr>
                    <w:pStyle w:val="34"/>
                    <w:rPr>
                      <w:color w:val="auto"/>
                    </w:rPr>
                  </w:pPr>
                  <w:r>
                    <w:rPr>
                      <w:color w:val="auto"/>
                    </w:rPr>
                    <w:t>45</w:t>
                  </w:r>
                </w:p>
              </w:tc>
              <w:tc>
                <w:tcPr>
                  <w:tcW w:w="308" w:type="pct"/>
                  <w:noWrap w:val="0"/>
                  <w:tcMar>
                    <w:left w:w="28" w:type="dxa"/>
                    <w:right w:w="28" w:type="dxa"/>
                  </w:tcMar>
                  <w:vAlign w:val="center"/>
                </w:tcPr>
                <w:p w14:paraId="581940A8">
                  <w:pPr>
                    <w:pStyle w:val="34"/>
                    <w:rPr>
                      <w:rFonts w:hint="eastAsia" w:eastAsia="宋体"/>
                      <w:color w:val="auto"/>
                      <w:lang w:val="en-US" w:eastAsia="zh-CN"/>
                    </w:rPr>
                  </w:pPr>
                  <w:r>
                    <w:rPr>
                      <w:rFonts w:hint="eastAsia"/>
                      <w:color w:val="auto"/>
                      <w:lang w:val="en-US" w:eastAsia="zh-CN"/>
                    </w:rPr>
                    <w:t>8</w:t>
                  </w:r>
                </w:p>
              </w:tc>
              <w:tc>
                <w:tcPr>
                  <w:tcW w:w="262" w:type="pct"/>
                  <w:noWrap w:val="0"/>
                  <w:tcMar>
                    <w:left w:w="28" w:type="dxa"/>
                    <w:right w:w="28" w:type="dxa"/>
                  </w:tcMar>
                  <w:vAlign w:val="center"/>
                </w:tcPr>
                <w:p w14:paraId="71D2CF1A">
                  <w:pPr>
                    <w:pStyle w:val="34"/>
                    <w:rPr>
                      <w:rFonts w:hint="default" w:eastAsia="宋体"/>
                      <w:color w:val="auto"/>
                      <w:lang w:val="en-US" w:eastAsia="zh-CN"/>
                    </w:rPr>
                  </w:pPr>
                  <w:r>
                    <w:rPr>
                      <w:rFonts w:hint="eastAsia"/>
                      <w:color w:val="auto"/>
                      <w:lang w:val="en-US" w:eastAsia="zh-CN"/>
                    </w:rPr>
                    <w:t>70</w:t>
                  </w:r>
                </w:p>
              </w:tc>
            </w:tr>
          </w:tbl>
          <w:p w14:paraId="73972168">
            <w:pPr>
              <w:pStyle w:val="30"/>
              <w:keepNext w:val="0"/>
              <w:keepLines w:val="0"/>
              <w:pageBreakBefore w:val="0"/>
              <w:kinsoku/>
              <w:wordWrap/>
              <w:overflowPunct/>
              <w:topLinePunct w:val="0"/>
              <w:autoSpaceDE/>
              <w:autoSpaceDN/>
              <w:bidi w:val="0"/>
              <w:adjustRightInd w:val="0"/>
              <w:snapToGrid/>
              <w:spacing w:line="336" w:lineRule="auto"/>
              <w:ind w:firstLine="482" w:firstLineChars="200"/>
              <w:textAlignment w:val="auto"/>
              <w:rPr>
                <w:rFonts w:ascii="Times New Roman"/>
                <w:b/>
                <w:bCs/>
                <w:color w:val="auto"/>
              </w:rPr>
            </w:pPr>
            <w:r>
              <w:rPr>
                <w:rFonts w:ascii="Times New Roman"/>
                <w:b/>
                <w:bCs/>
                <w:color w:val="auto"/>
              </w:rPr>
              <w:t>3、</w:t>
            </w:r>
            <w:r>
              <w:rPr>
                <w:rFonts w:hint="eastAsia" w:ascii="Times New Roman"/>
                <w:b/>
                <w:bCs/>
                <w:color w:val="auto"/>
              </w:rPr>
              <w:t>噪声排放标准</w:t>
            </w:r>
          </w:p>
          <w:p w14:paraId="7FBE05E2">
            <w:pPr>
              <w:pStyle w:val="30"/>
              <w:keepNext w:val="0"/>
              <w:keepLines w:val="0"/>
              <w:pageBreakBefore w:val="0"/>
              <w:kinsoku/>
              <w:wordWrap/>
              <w:overflowPunct/>
              <w:topLinePunct w:val="0"/>
              <w:autoSpaceDE/>
              <w:autoSpaceDN/>
              <w:bidi w:val="0"/>
              <w:adjustRightInd w:val="0"/>
              <w:snapToGrid/>
              <w:spacing w:line="336" w:lineRule="auto"/>
              <w:ind w:firstLine="480" w:firstLineChars="200"/>
              <w:textAlignment w:val="auto"/>
              <w:rPr>
                <w:rFonts w:ascii="Times New Roman"/>
                <w:color w:val="auto"/>
              </w:rPr>
            </w:pPr>
            <w:r>
              <w:rPr>
                <w:rFonts w:ascii="Times New Roman"/>
                <w:color w:val="auto"/>
              </w:rPr>
              <w:t>施工期噪声执行《建筑施工场界环境噪声排放标准》（GB12523-2011）中有关规定；</w:t>
            </w:r>
            <w:r>
              <w:rPr>
                <w:rFonts w:hint="eastAsia" w:ascii="Times New Roman"/>
                <w:color w:val="auto"/>
                <w:lang w:val="en-US" w:eastAsia="zh-CN"/>
              </w:rPr>
              <w:t>厂界</w:t>
            </w:r>
            <w:r>
              <w:rPr>
                <w:rFonts w:ascii="Times New Roman"/>
                <w:color w:val="auto"/>
              </w:rPr>
              <w:t>环境噪声执行《工业企业厂界环境噪声排放标准》（GB12348-2008）中</w:t>
            </w:r>
            <w:r>
              <w:rPr>
                <w:rFonts w:hint="eastAsia" w:ascii="Times New Roman"/>
                <w:color w:val="auto"/>
                <w:lang w:val="en-US" w:eastAsia="zh-CN"/>
              </w:rPr>
              <w:t>3</w:t>
            </w:r>
            <w:r>
              <w:rPr>
                <w:rFonts w:ascii="Times New Roman"/>
                <w:color w:val="auto"/>
              </w:rPr>
              <w:t>类标准。</w:t>
            </w:r>
          </w:p>
          <w:p w14:paraId="7EE7CB72">
            <w:pPr>
              <w:adjustRightInd w:val="0"/>
              <w:snapToGrid w:val="0"/>
              <w:ind w:firstLine="422" w:firstLineChars="200"/>
              <w:jc w:val="center"/>
              <w:rPr>
                <w:b/>
                <w:bCs/>
                <w:snapToGrid w:val="0"/>
                <w:color w:val="auto"/>
                <w:kern w:val="0"/>
                <w:szCs w:val="21"/>
                <w:lang w:val="en-GB"/>
              </w:rPr>
            </w:pPr>
            <w:r>
              <w:rPr>
                <w:b/>
                <w:bCs/>
                <w:snapToGrid w:val="0"/>
                <w:color w:val="auto"/>
                <w:kern w:val="0"/>
                <w:szCs w:val="21"/>
                <w:lang w:val="en-GB"/>
              </w:rPr>
              <w:t>表</w:t>
            </w:r>
            <w:r>
              <w:rPr>
                <w:b/>
                <w:bCs/>
                <w:snapToGrid w:val="0"/>
                <w:color w:val="auto"/>
                <w:kern w:val="0"/>
                <w:szCs w:val="21"/>
              </w:rPr>
              <w:t>3-</w:t>
            </w:r>
            <w:r>
              <w:rPr>
                <w:rFonts w:hint="eastAsia"/>
                <w:b/>
                <w:bCs/>
                <w:snapToGrid w:val="0"/>
                <w:color w:val="auto"/>
                <w:kern w:val="0"/>
                <w:szCs w:val="21"/>
                <w:lang w:val="en-US" w:eastAsia="zh-CN"/>
              </w:rPr>
              <w:t>6</w:t>
            </w:r>
            <w:r>
              <w:rPr>
                <w:b/>
                <w:bCs/>
                <w:snapToGrid w:val="0"/>
                <w:color w:val="auto"/>
                <w:kern w:val="0"/>
                <w:szCs w:val="21"/>
                <w:lang w:val="en-GB"/>
              </w:rPr>
              <w:t xml:space="preserve">   工业企业厂界环境噪声排放标准   </w:t>
            </w:r>
            <w:r>
              <w:rPr>
                <w:b/>
                <w:bCs/>
                <w:snapToGrid w:val="0"/>
                <w:color w:val="auto"/>
                <w:kern w:val="0"/>
                <w:szCs w:val="21"/>
              </w:rPr>
              <w:t xml:space="preserve"> </w:t>
            </w:r>
            <w:r>
              <w:rPr>
                <w:b/>
                <w:bCs/>
                <w:snapToGrid w:val="0"/>
                <w:color w:val="auto"/>
                <w:kern w:val="0"/>
                <w:szCs w:val="21"/>
                <w:lang w:val="en-GB"/>
              </w:rPr>
              <w:t xml:space="preserve"> 单位：dB（A）</w:t>
            </w:r>
          </w:p>
          <w:tbl>
            <w:tblPr>
              <w:tblStyle w:val="17"/>
              <w:tblW w:w="824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074"/>
              <w:gridCol w:w="840"/>
              <w:gridCol w:w="566"/>
              <w:gridCol w:w="855"/>
              <w:gridCol w:w="910"/>
            </w:tblGrid>
            <w:tr w14:paraId="754BBE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5" w:hRule="atLeast"/>
                <w:jc w:val="center"/>
              </w:trPr>
              <w:tc>
                <w:tcPr>
                  <w:tcW w:w="5074" w:type="dxa"/>
                  <w:vMerge w:val="restart"/>
                  <w:tcBorders>
                    <w:tl2br w:val="nil"/>
                    <w:tr2bl w:val="nil"/>
                  </w:tcBorders>
                  <w:vAlign w:val="center"/>
                </w:tcPr>
                <w:p w14:paraId="69651149">
                  <w:pPr>
                    <w:adjustRightInd w:val="0"/>
                    <w:snapToGrid w:val="0"/>
                    <w:jc w:val="center"/>
                    <w:rPr>
                      <w:snapToGrid w:val="0"/>
                      <w:color w:val="auto"/>
                      <w:kern w:val="0"/>
                      <w:szCs w:val="21"/>
                      <w:lang w:val="en-GB"/>
                    </w:rPr>
                  </w:pPr>
                  <w:r>
                    <w:rPr>
                      <w:snapToGrid w:val="0"/>
                      <w:color w:val="auto"/>
                      <w:kern w:val="0"/>
                      <w:szCs w:val="21"/>
                      <w:lang w:val="en-GB"/>
                    </w:rPr>
                    <w:t>执行标准</w:t>
                  </w:r>
                </w:p>
              </w:tc>
              <w:tc>
                <w:tcPr>
                  <w:tcW w:w="1406" w:type="dxa"/>
                  <w:gridSpan w:val="2"/>
                  <w:vMerge w:val="restart"/>
                  <w:tcBorders>
                    <w:tl2br w:val="nil"/>
                    <w:tr2bl w:val="nil"/>
                  </w:tcBorders>
                  <w:vAlign w:val="center"/>
                </w:tcPr>
                <w:p w14:paraId="12427BA8">
                  <w:pPr>
                    <w:adjustRightInd w:val="0"/>
                    <w:snapToGrid w:val="0"/>
                    <w:jc w:val="center"/>
                    <w:rPr>
                      <w:snapToGrid w:val="0"/>
                      <w:color w:val="auto"/>
                      <w:kern w:val="0"/>
                      <w:szCs w:val="21"/>
                      <w:lang w:val="en-GB"/>
                    </w:rPr>
                  </w:pPr>
                  <w:r>
                    <w:rPr>
                      <w:snapToGrid w:val="0"/>
                      <w:color w:val="auto"/>
                      <w:kern w:val="0"/>
                      <w:szCs w:val="21"/>
                      <w:lang w:val="en-GB"/>
                    </w:rPr>
                    <w:t>级别</w:t>
                  </w:r>
                </w:p>
              </w:tc>
              <w:tc>
                <w:tcPr>
                  <w:tcW w:w="1765" w:type="dxa"/>
                  <w:gridSpan w:val="2"/>
                  <w:tcBorders>
                    <w:tl2br w:val="nil"/>
                    <w:tr2bl w:val="nil"/>
                  </w:tcBorders>
                  <w:vAlign w:val="center"/>
                </w:tcPr>
                <w:p w14:paraId="04716446">
                  <w:pPr>
                    <w:adjustRightInd w:val="0"/>
                    <w:snapToGrid w:val="0"/>
                    <w:jc w:val="center"/>
                    <w:rPr>
                      <w:snapToGrid w:val="0"/>
                      <w:color w:val="auto"/>
                      <w:kern w:val="0"/>
                      <w:szCs w:val="21"/>
                      <w:lang w:val="en-GB"/>
                    </w:rPr>
                  </w:pPr>
                  <w:r>
                    <w:rPr>
                      <w:snapToGrid w:val="0"/>
                      <w:color w:val="auto"/>
                      <w:kern w:val="0"/>
                      <w:szCs w:val="21"/>
                      <w:lang w:val="en-GB"/>
                    </w:rPr>
                    <w:t>时段</w:t>
                  </w:r>
                </w:p>
              </w:tc>
            </w:tr>
            <w:tr w14:paraId="5C15EE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5" w:hRule="atLeast"/>
                <w:jc w:val="center"/>
              </w:trPr>
              <w:tc>
                <w:tcPr>
                  <w:tcW w:w="5074" w:type="dxa"/>
                  <w:vMerge w:val="continue"/>
                  <w:tcBorders>
                    <w:tl2br w:val="nil"/>
                    <w:tr2bl w:val="nil"/>
                  </w:tcBorders>
                  <w:vAlign w:val="center"/>
                </w:tcPr>
                <w:p w14:paraId="4460A2C0">
                  <w:pPr>
                    <w:adjustRightInd w:val="0"/>
                    <w:snapToGrid w:val="0"/>
                    <w:jc w:val="center"/>
                    <w:rPr>
                      <w:snapToGrid w:val="0"/>
                      <w:color w:val="auto"/>
                      <w:kern w:val="0"/>
                      <w:szCs w:val="21"/>
                      <w:lang w:val="en-GB"/>
                    </w:rPr>
                  </w:pPr>
                </w:p>
              </w:tc>
              <w:tc>
                <w:tcPr>
                  <w:tcW w:w="1406" w:type="dxa"/>
                  <w:gridSpan w:val="2"/>
                  <w:vMerge w:val="continue"/>
                  <w:tcBorders>
                    <w:tl2br w:val="nil"/>
                    <w:tr2bl w:val="nil"/>
                  </w:tcBorders>
                  <w:vAlign w:val="center"/>
                </w:tcPr>
                <w:p w14:paraId="17FD92FA">
                  <w:pPr>
                    <w:adjustRightInd w:val="0"/>
                    <w:snapToGrid w:val="0"/>
                    <w:jc w:val="center"/>
                    <w:rPr>
                      <w:snapToGrid w:val="0"/>
                      <w:color w:val="auto"/>
                      <w:kern w:val="0"/>
                      <w:szCs w:val="21"/>
                      <w:lang w:val="en-GB"/>
                    </w:rPr>
                  </w:pPr>
                </w:p>
              </w:tc>
              <w:tc>
                <w:tcPr>
                  <w:tcW w:w="855" w:type="dxa"/>
                  <w:tcBorders>
                    <w:tl2br w:val="nil"/>
                    <w:tr2bl w:val="nil"/>
                  </w:tcBorders>
                  <w:vAlign w:val="center"/>
                </w:tcPr>
                <w:p w14:paraId="58E6EE76">
                  <w:pPr>
                    <w:adjustRightInd w:val="0"/>
                    <w:snapToGrid w:val="0"/>
                    <w:jc w:val="center"/>
                    <w:rPr>
                      <w:snapToGrid w:val="0"/>
                      <w:color w:val="auto"/>
                      <w:kern w:val="0"/>
                      <w:szCs w:val="21"/>
                      <w:lang w:val="en-GB"/>
                    </w:rPr>
                  </w:pPr>
                  <w:r>
                    <w:rPr>
                      <w:snapToGrid w:val="0"/>
                      <w:color w:val="auto"/>
                      <w:kern w:val="0"/>
                      <w:szCs w:val="21"/>
                      <w:lang w:val="en-GB"/>
                    </w:rPr>
                    <w:t>昼间</w:t>
                  </w:r>
                </w:p>
              </w:tc>
              <w:tc>
                <w:tcPr>
                  <w:tcW w:w="910" w:type="dxa"/>
                  <w:tcBorders>
                    <w:tl2br w:val="nil"/>
                    <w:tr2bl w:val="nil"/>
                  </w:tcBorders>
                  <w:vAlign w:val="center"/>
                </w:tcPr>
                <w:p w14:paraId="39096A17">
                  <w:pPr>
                    <w:adjustRightInd w:val="0"/>
                    <w:snapToGrid w:val="0"/>
                    <w:jc w:val="center"/>
                    <w:rPr>
                      <w:snapToGrid w:val="0"/>
                      <w:color w:val="auto"/>
                      <w:kern w:val="0"/>
                      <w:szCs w:val="21"/>
                      <w:lang w:val="en-GB"/>
                    </w:rPr>
                  </w:pPr>
                  <w:r>
                    <w:rPr>
                      <w:snapToGrid w:val="0"/>
                      <w:color w:val="auto"/>
                      <w:kern w:val="0"/>
                      <w:szCs w:val="21"/>
                      <w:lang w:val="en-GB"/>
                    </w:rPr>
                    <w:t>夜间</w:t>
                  </w:r>
                </w:p>
              </w:tc>
            </w:tr>
            <w:tr w14:paraId="2BCBE3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3" w:hRule="atLeast"/>
                <w:jc w:val="center"/>
              </w:trPr>
              <w:tc>
                <w:tcPr>
                  <w:tcW w:w="5074" w:type="dxa"/>
                  <w:tcBorders>
                    <w:tl2br w:val="nil"/>
                    <w:tr2bl w:val="nil"/>
                  </w:tcBorders>
                  <w:vAlign w:val="center"/>
                </w:tcPr>
                <w:p w14:paraId="2CC1B52B">
                  <w:pPr>
                    <w:adjustRightInd w:val="0"/>
                    <w:snapToGrid w:val="0"/>
                    <w:jc w:val="center"/>
                    <w:rPr>
                      <w:snapToGrid w:val="0"/>
                      <w:color w:val="auto"/>
                      <w:kern w:val="0"/>
                      <w:szCs w:val="21"/>
                    </w:rPr>
                  </w:pPr>
                  <w:r>
                    <w:rPr>
                      <w:snapToGrid w:val="0"/>
                      <w:color w:val="auto"/>
                      <w:kern w:val="0"/>
                      <w:szCs w:val="21"/>
                      <w:lang w:val="en-GB"/>
                    </w:rPr>
                    <w:t>《建筑施工场界环境噪声排放标准》（</w:t>
                  </w:r>
                  <w:r>
                    <w:rPr>
                      <w:snapToGrid w:val="0"/>
                      <w:color w:val="auto"/>
                      <w:kern w:val="0"/>
                      <w:szCs w:val="21"/>
                    </w:rPr>
                    <w:t>GB12523-2011</w:t>
                  </w:r>
                  <w:r>
                    <w:rPr>
                      <w:snapToGrid w:val="0"/>
                      <w:color w:val="auto"/>
                      <w:kern w:val="0"/>
                      <w:szCs w:val="21"/>
                      <w:lang w:val="en-GB"/>
                    </w:rPr>
                    <w:t>）</w:t>
                  </w:r>
                </w:p>
              </w:tc>
              <w:tc>
                <w:tcPr>
                  <w:tcW w:w="1406" w:type="dxa"/>
                  <w:gridSpan w:val="2"/>
                  <w:tcBorders>
                    <w:tl2br w:val="nil"/>
                    <w:tr2bl w:val="nil"/>
                  </w:tcBorders>
                  <w:vAlign w:val="center"/>
                </w:tcPr>
                <w:p w14:paraId="0E71369B">
                  <w:pPr>
                    <w:adjustRightInd w:val="0"/>
                    <w:snapToGrid w:val="0"/>
                    <w:jc w:val="center"/>
                    <w:rPr>
                      <w:snapToGrid w:val="0"/>
                      <w:color w:val="auto"/>
                      <w:kern w:val="0"/>
                      <w:szCs w:val="21"/>
                    </w:rPr>
                  </w:pPr>
                  <w:r>
                    <w:rPr>
                      <w:snapToGrid w:val="0"/>
                      <w:color w:val="auto"/>
                      <w:kern w:val="0"/>
                      <w:szCs w:val="21"/>
                    </w:rPr>
                    <w:t>/</w:t>
                  </w:r>
                </w:p>
              </w:tc>
              <w:tc>
                <w:tcPr>
                  <w:tcW w:w="855" w:type="dxa"/>
                  <w:tcBorders>
                    <w:tl2br w:val="nil"/>
                    <w:tr2bl w:val="nil"/>
                  </w:tcBorders>
                  <w:vAlign w:val="center"/>
                </w:tcPr>
                <w:p w14:paraId="1F9CDEC3">
                  <w:pPr>
                    <w:adjustRightInd w:val="0"/>
                    <w:snapToGrid w:val="0"/>
                    <w:jc w:val="center"/>
                    <w:rPr>
                      <w:snapToGrid w:val="0"/>
                      <w:color w:val="auto"/>
                      <w:kern w:val="0"/>
                      <w:szCs w:val="21"/>
                    </w:rPr>
                  </w:pPr>
                  <w:r>
                    <w:rPr>
                      <w:snapToGrid w:val="0"/>
                      <w:color w:val="auto"/>
                      <w:kern w:val="0"/>
                      <w:szCs w:val="21"/>
                    </w:rPr>
                    <w:t>70</w:t>
                  </w:r>
                </w:p>
              </w:tc>
              <w:tc>
                <w:tcPr>
                  <w:tcW w:w="910" w:type="dxa"/>
                  <w:tcBorders>
                    <w:tl2br w:val="nil"/>
                    <w:tr2bl w:val="nil"/>
                  </w:tcBorders>
                  <w:vAlign w:val="center"/>
                </w:tcPr>
                <w:p w14:paraId="02516712">
                  <w:pPr>
                    <w:adjustRightInd w:val="0"/>
                    <w:snapToGrid w:val="0"/>
                    <w:jc w:val="center"/>
                    <w:rPr>
                      <w:snapToGrid w:val="0"/>
                      <w:color w:val="auto"/>
                      <w:kern w:val="0"/>
                      <w:szCs w:val="21"/>
                    </w:rPr>
                  </w:pPr>
                  <w:r>
                    <w:rPr>
                      <w:snapToGrid w:val="0"/>
                      <w:color w:val="auto"/>
                      <w:kern w:val="0"/>
                      <w:szCs w:val="21"/>
                    </w:rPr>
                    <w:t>55</w:t>
                  </w:r>
                </w:p>
              </w:tc>
            </w:tr>
            <w:tr w14:paraId="3B45CA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1" w:hRule="atLeast"/>
                <w:jc w:val="center"/>
              </w:trPr>
              <w:tc>
                <w:tcPr>
                  <w:tcW w:w="5074" w:type="dxa"/>
                  <w:tcBorders>
                    <w:tl2br w:val="nil"/>
                    <w:tr2bl w:val="nil"/>
                  </w:tcBorders>
                  <w:vAlign w:val="center"/>
                </w:tcPr>
                <w:p w14:paraId="0221388D">
                  <w:pPr>
                    <w:adjustRightInd w:val="0"/>
                    <w:snapToGrid w:val="0"/>
                    <w:jc w:val="center"/>
                    <w:rPr>
                      <w:snapToGrid w:val="0"/>
                      <w:color w:val="auto"/>
                      <w:kern w:val="0"/>
                      <w:szCs w:val="21"/>
                    </w:rPr>
                  </w:pPr>
                  <w:r>
                    <w:rPr>
                      <w:snapToGrid w:val="0"/>
                      <w:color w:val="auto"/>
                      <w:kern w:val="0"/>
                      <w:szCs w:val="21"/>
                    </w:rPr>
                    <w:t>《工业企业厂界环境噪声排放标准》（GB12348-2008）</w:t>
                  </w:r>
                </w:p>
              </w:tc>
              <w:tc>
                <w:tcPr>
                  <w:tcW w:w="840" w:type="dxa"/>
                  <w:tcBorders>
                    <w:tl2br w:val="nil"/>
                    <w:tr2bl w:val="nil"/>
                  </w:tcBorders>
                  <w:vAlign w:val="center"/>
                </w:tcPr>
                <w:p w14:paraId="7DAF7486">
                  <w:pPr>
                    <w:adjustRightInd w:val="0"/>
                    <w:snapToGrid w:val="0"/>
                    <w:jc w:val="center"/>
                    <w:rPr>
                      <w:rFonts w:hint="default" w:eastAsia="宋体"/>
                      <w:snapToGrid w:val="0"/>
                      <w:color w:val="auto"/>
                      <w:kern w:val="0"/>
                      <w:szCs w:val="21"/>
                      <w:lang w:val="en-US" w:eastAsia="zh-CN"/>
                    </w:rPr>
                  </w:pPr>
                  <w:r>
                    <w:rPr>
                      <w:rFonts w:hint="eastAsia"/>
                      <w:snapToGrid w:val="0"/>
                      <w:color w:val="auto"/>
                      <w:kern w:val="0"/>
                      <w:szCs w:val="21"/>
                      <w:lang w:val="en-GB"/>
                    </w:rPr>
                    <w:t>厂界</w:t>
                  </w:r>
                </w:p>
              </w:tc>
              <w:tc>
                <w:tcPr>
                  <w:tcW w:w="566" w:type="dxa"/>
                  <w:tcBorders>
                    <w:tl2br w:val="nil"/>
                    <w:tr2bl w:val="nil"/>
                  </w:tcBorders>
                  <w:vAlign w:val="center"/>
                </w:tcPr>
                <w:p w14:paraId="4A6BAD6E">
                  <w:pPr>
                    <w:adjustRightInd w:val="0"/>
                    <w:snapToGrid w:val="0"/>
                    <w:jc w:val="center"/>
                    <w:rPr>
                      <w:snapToGrid w:val="0"/>
                      <w:color w:val="auto"/>
                      <w:kern w:val="0"/>
                      <w:szCs w:val="21"/>
                    </w:rPr>
                  </w:pPr>
                  <w:r>
                    <w:rPr>
                      <w:rFonts w:hint="eastAsia"/>
                      <w:snapToGrid w:val="0"/>
                      <w:color w:val="auto"/>
                      <w:kern w:val="0"/>
                      <w:szCs w:val="21"/>
                      <w:lang w:val="en-US" w:eastAsia="zh-CN"/>
                    </w:rPr>
                    <w:t>3</w:t>
                  </w:r>
                  <w:r>
                    <w:rPr>
                      <w:snapToGrid w:val="0"/>
                      <w:color w:val="auto"/>
                      <w:kern w:val="0"/>
                      <w:szCs w:val="21"/>
                      <w:lang w:val="en-GB"/>
                    </w:rPr>
                    <w:t>类</w:t>
                  </w:r>
                </w:p>
              </w:tc>
              <w:tc>
                <w:tcPr>
                  <w:tcW w:w="855" w:type="dxa"/>
                  <w:tcBorders>
                    <w:tl2br w:val="nil"/>
                    <w:tr2bl w:val="nil"/>
                  </w:tcBorders>
                  <w:vAlign w:val="center"/>
                </w:tcPr>
                <w:p w14:paraId="41FD95E4">
                  <w:pPr>
                    <w:adjustRightInd w:val="0"/>
                    <w:snapToGrid w:val="0"/>
                    <w:jc w:val="center"/>
                    <w:rPr>
                      <w:rFonts w:hint="eastAsia" w:eastAsia="宋体"/>
                      <w:snapToGrid w:val="0"/>
                      <w:color w:val="auto"/>
                      <w:kern w:val="0"/>
                      <w:szCs w:val="21"/>
                      <w:lang w:eastAsia="zh-CN"/>
                    </w:rPr>
                  </w:pPr>
                  <w:r>
                    <w:rPr>
                      <w:snapToGrid w:val="0"/>
                      <w:color w:val="auto"/>
                      <w:kern w:val="0"/>
                      <w:szCs w:val="21"/>
                    </w:rPr>
                    <w:t>6</w:t>
                  </w:r>
                  <w:r>
                    <w:rPr>
                      <w:rFonts w:hint="eastAsia"/>
                      <w:snapToGrid w:val="0"/>
                      <w:color w:val="auto"/>
                      <w:kern w:val="0"/>
                      <w:szCs w:val="21"/>
                      <w:lang w:val="en-US" w:eastAsia="zh-CN"/>
                    </w:rPr>
                    <w:t>5</w:t>
                  </w:r>
                </w:p>
              </w:tc>
              <w:tc>
                <w:tcPr>
                  <w:tcW w:w="910" w:type="dxa"/>
                  <w:tcBorders>
                    <w:tl2br w:val="nil"/>
                    <w:tr2bl w:val="nil"/>
                  </w:tcBorders>
                  <w:vAlign w:val="center"/>
                </w:tcPr>
                <w:p w14:paraId="521DAE02">
                  <w:pPr>
                    <w:adjustRightInd w:val="0"/>
                    <w:snapToGrid w:val="0"/>
                    <w:jc w:val="center"/>
                    <w:rPr>
                      <w:rFonts w:hint="eastAsia" w:eastAsia="宋体"/>
                      <w:snapToGrid w:val="0"/>
                      <w:color w:val="auto"/>
                      <w:kern w:val="0"/>
                      <w:szCs w:val="21"/>
                      <w:lang w:eastAsia="zh-CN"/>
                    </w:rPr>
                  </w:pPr>
                  <w:r>
                    <w:rPr>
                      <w:snapToGrid w:val="0"/>
                      <w:color w:val="auto"/>
                      <w:kern w:val="0"/>
                      <w:szCs w:val="21"/>
                    </w:rPr>
                    <w:t>5</w:t>
                  </w:r>
                  <w:r>
                    <w:rPr>
                      <w:rFonts w:hint="eastAsia"/>
                      <w:snapToGrid w:val="0"/>
                      <w:color w:val="auto"/>
                      <w:kern w:val="0"/>
                      <w:szCs w:val="21"/>
                      <w:lang w:val="en-US" w:eastAsia="zh-CN"/>
                    </w:rPr>
                    <w:t>5</w:t>
                  </w:r>
                </w:p>
              </w:tc>
            </w:tr>
          </w:tbl>
          <w:p w14:paraId="3BD0B86D">
            <w:pPr>
              <w:adjustRightInd w:val="0"/>
              <w:snapToGrid w:val="0"/>
              <w:spacing w:before="120" w:beforeLines="50" w:line="360" w:lineRule="auto"/>
              <w:ind w:firstLine="482" w:firstLineChars="200"/>
              <w:rPr>
                <w:b/>
                <w:bCs/>
                <w:color w:val="auto"/>
                <w:sz w:val="24"/>
              </w:rPr>
            </w:pPr>
            <w:r>
              <w:rPr>
                <w:rFonts w:hint="eastAsia"/>
                <w:b/>
                <w:bCs/>
                <w:color w:val="auto"/>
                <w:sz w:val="24"/>
              </w:rPr>
              <w:t>4、固废排放标准</w:t>
            </w:r>
          </w:p>
          <w:p w14:paraId="148E3F95">
            <w:pPr>
              <w:keepNext w:val="0"/>
              <w:keepLines w:val="0"/>
              <w:pageBreakBefore w:val="0"/>
              <w:widowControl w:val="0"/>
              <w:kinsoku/>
              <w:wordWrap/>
              <w:overflowPunct/>
              <w:topLinePunct w:val="0"/>
              <w:autoSpaceDE/>
              <w:autoSpaceDN/>
              <w:bidi w:val="0"/>
              <w:adjustRightInd w:val="0"/>
              <w:snapToGrid/>
              <w:spacing w:line="336" w:lineRule="auto"/>
              <w:ind w:firstLine="480" w:firstLineChars="200"/>
              <w:textAlignment w:val="auto"/>
              <w:rPr>
                <w:color w:val="auto"/>
                <w:kern w:val="0"/>
                <w:szCs w:val="21"/>
              </w:rPr>
            </w:pPr>
            <w:r>
              <w:rPr>
                <w:color w:val="auto"/>
                <w:kern w:val="0"/>
                <w:sz w:val="24"/>
              </w:rPr>
              <w:t>一般工业固体废物</w:t>
            </w:r>
            <w:r>
              <w:rPr>
                <w:rFonts w:hint="eastAsia"/>
                <w:color w:val="auto"/>
                <w:sz w:val="24"/>
              </w:rPr>
              <w:t>参照</w:t>
            </w:r>
            <w:r>
              <w:rPr>
                <w:color w:val="auto"/>
                <w:kern w:val="0"/>
                <w:sz w:val="24"/>
              </w:rPr>
              <w:t>《一般工业固体废物贮存和填埋污染控制标准》（GB18599-2020）</w:t>
            </w:r>
            <w:r>
              <w:rPr>
                <w:rFonts w:hint="eastAsia"/>
                <w:color w:val="auto"/>
                <w:kern w:val="0"/>
                <w:sz w:val="24"/>
              </w:rPr>
              <w:t>，</w:t>
            </w:r>
            <w:r>
              <w:rPr>
                <w:color w:val="auto"/>
                <w:kern w:val="0"/>
                <w:sz w:val="24"/>
              </w:rPr>
              <w:t>贮存</w:t>
            </w:r>
            <w:r>
              <w:rPr>
                <w:rFonts w:hint="eastAsia"/>
                <w:color w:val="auto"/>
                <w:kern w:val="0"/>
                <w:sz w:val="24"/>
              </w:rPr>
              <w:t>应满足相应防渗漏等环境保护要求</w:t>
            </w:r>
            <w:r>
              <w:rPr>
                <w:rFonts w:hint="eastAsia"/>
                <w:color w:val="auto"/>
                <w:sz w:val="24"/>
              </w:rPr>
              <w:t>。</w:t>
            </w:r>
          </w:p>
        </w:tc>
      </w:tr>
      <w:tr w14:paraId="5136284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543" w:hRule="atLeast"/>
          <w:jc w:val="center"/>
        </w:trPr>
        <w:tc>
          <w:tcPr>
            <w:tcW w:w="513" w:type="dxa"/>
            <w:vAlign w:val="center"/>
          </w:tcPr>
          <w:p w14:paraId="1B0F52E8">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color w:val="auto"/>
                <w:kern w:val="0"/>
                <w:sz w:val="24"/>
                <w:szCs w:val="24"/>
              </w:rPr>
            </w:pPr>
            <w:r>
              <w:rPr>
                <w:color w:val="auto"/>
                <w:kern w:val="0"/>
                <w:sz w:val="24"/>
                <w:szCs w:val="24"/>
              </w:rPr>
              <w:t>总量</w:t>
            </w:r>
          </w:p>
          <w:p w14:paraId="0FB4BA6A">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color w:val="auto"/>
                <w:kern w:val="0"/>
                <w:sz w:val="24"/>
                <w:szCs w:val="24"/>
              </w:rPr>
            </w:pPr>
            <w:r>
              <w:rPr>
                <w:color w:val="auto"/>
                <w:kern w:val="0"/>
                <w:sz w:val="24"/>
                <w:szCs w:val="24"/>
              </w:rPr>
              <w:t>控制</w:t>
            </w:r>
          </w:p>
          <w:p w14:paraId="02EBD37A">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color w:val="auto"/>
                <w:kern w:val="0"/>
                <w:sz w:val="24"/>
                <w:szCs w:val="24"/>
              </w:rPr>
            </w:pPr>
            <w:r>
              <w:rPr>
                <w:color w:val="auto"/>
                <w:kern w:val="0"/>
                <w:sz w:val="24"/>
                <w:szCs w:val="24"/>
              </w:rPr>
              <w:t>指标</w:t>
            </w:r>
          </w:p>
        </w:tc>
        <w:tc>
          <w:tcPr>
            <w:tcW w:w="8477" w:type="dxa"/>
            <w:vAlign w:val="center"/>
          </w:tcPr>
          <w:p w14:paraId="0A4C29E6">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color w:val="auto"/>
                <w:sz w:val="24"/>
                <w:szCs w:val="24"/>
              </w:rPr>
            </w:pPr>
            <w:r>
              <w:rPr>
                <w:color w:val="auto"/>
                <w:sz w:val="24"/>
                <w:szCs w:val="24"/>
              </w:rPr>
              <w:t>根据《</w:t>
            </w:r>
            <w:r>
              <w:rPr>
                <w:rFonts w:hint="eastAsia"/>
                <w:color w:val="auto"/>
                <w:sz w:val="24"/>
                <w:szCs w:val="24"/>
              </w:rPr>
              <w:t>”</w:t>
            </w:r>
            <w:r>
              <w:rPr>
                <w:color w:val="auto"/>
                <w:sz w:val="24"/>
                <w:szCs w:val="24"/>
              </w:rPr>
              <w:t>十四五</w:t>
            </w:r>
            <w:r>
              <w:rPr>
                <w:rFonts w:hint="eastAsia"/>
                <w:color w:val="auto"/>
                <w:sz w:val="24"/>
                <w:szCs w:val="24"/>
              </w:rPr>
              <w:t>”</w:t>
            </w:r>
            <w:r>
              <w:rPr>
                <w:color w:val="auto"/>
                <w:sz w:val="24"/>
                <w:szCs w:val="24"/>
              </w:rPr>
              <w:t>节能减排综合工作方案》，我国</w:t>
            </w:r>
            <w:r>
              <w:rPr>
                <w:rFonts w:hint="eastAsia"/>
                <w:color w:val="auto"/>
                <w:sz w:val="24"/>
                <w:szCs w:val="24"/>
              </w:rPr>
              <w:t>”</w:t>
            </w:r>
            <w:r>
              <w:rPr>
                <w:color w:val="auto"/>
                <w:sz w:val="24"/>
                <w:szCs w:val="24"/>
              </w:rPr>
              <w:t>十四</w:t>
            </w:r>
            <w:r>
              <w:rPr>
                <w:rFonts w:hint="eastAsia"/>
                <w:color w:val="auto"/>
                <w:sz w:val="24"/>
                <w:szCs w:val="24"/>
              </w:rPr>
              <w:t>”</w:t>
            </w:r>
            <w:r>
              <w:rPr>
                <w:color w:val="auto"/>
                <w:sz w:val="24"/>
                <w:szCs w:val="24"/>
              </w:rPr>
              <w:t>期间对COD、氨氮、VOC</w:t>
            </w:r>
            <w:r>
              <w:rPr>
                <w:color w:val="auto"/>
                <w:sz w:val="24"/>
                <w:szCs w:val="24"/>
                <w:vertAlign w:val="subscript"/>
              </w:rPr>
              <w:t>S</w:t>
            </w:r>
            <w:r>
              <w:rPr>
                <w:color w:val="auto"/>
                <w:sz w:val="24"/>
                <w:szCs w:val="24"/>
              </w:rPr>
              <w:t>、NO</w:t>
            </w:r>
            <w:r>
              <w:rPr>
                <w:color w:val="auto"/>
                <w:sz w:val="24"/>
                <w:szCs w:val="24"/>
                <w:vertAlign w:val="subscript"/>
              </w:rPr>
              <w:t>X</w:t>
            </w:r>
            <w:r>
              <w:rPr>
                <w:color w:val="auto"/>
                <w:sz w:val="24"/>
                <w:szCs w:val="24"/>
              </w:rPr>
              <w:t>这4种污染物实行排放总量控制。</w:t>
            </w:r>
          </w:p>
          <w:p w14:paraId="3D6339C7">
            <w:pPr>
              <w:spacing w:line="360" w:lineRule="auto"/>
              <w:ind w:firstLine="480" w:firstLineChars="200"/>
              <w:jc w:val="left"/>
              <w:rPr>
                <w:rFonts w:ascii="宋体" w:hAnsi="宋体" w:eastAsia="宋体" w:cs="Times New Roman"/>
                <w:color w:val="auto"/>
                <w:sz w:val="24"/>
                <w:szCs w:val="24"/>
              </w:rPr>
            </w:pPr>
            <w:r>
              <w:rPr>
                <w:rFonts w:hint="eastAsia" w:ascii="宋体" w:hAnsi="宋体" w:eastAsia="宋体" w:cs="Times New Roman"/>
                <w:color w:val="auto"/>
                <w:sz w:val="24"/>
                <w:szCs w:val="24"/>
              </w:rPr>
              <w:t>结合本项目特点，本项目</w:t>
            </w:r>
            <w:r>
              <w:rPr>
                <w:rFonts w:hint="eastAsia" w:ascii="宋体" w:hAnsi="宋体" w:cs="Times New Roman"/>
                <w:color w:val="auto"/>
                <w:sz w:val="24"/>
                <w:szCs w:val="24"/>
                <w:lang w:val="en-US" w:eastAsia="zh-CN"/>
              </w:rPr>
              <w:t>纳管</w:t>
            </w:r>
            <w:r>
              <w:rPr>
                <w:rFonts w:hint="eastAsia" w:ascii="宋体" w:hAnsi="宋体" w:eastAsia="宋体" w:cs="Times New Roman"/>
                <w:color w:val="auto"/>
                <w:sz w:val="24"/>
                <w:szCs w:val="24"/>
              </w:rPr>
              <w:t>总量控制指标为：</w:t>
            </w:r>
          </w:p>
          <w:tbl>
            <w:tblPr>
              <w:tblStyle w:val="17"/>
              <w:tblW w:w="822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755"/>
              <w:gridCol w:w="2504"/>
              <w:gridCol w:w="2966"/>
            </w:tblGrid>
            <w:tr w14:paraId="173917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3" w:hRule="atLeast"/>
                <w:jc w:val="center"/>
              </w:trPr>
              <w:tc>
                <w:tcPr>
                  <w:tcW w:w="2755" w:type="dxa"/>
                  <w:tcBorders>
                    <w:top w:val="single" w:color="auto" w:sz="4" w:space="0"/>
                    <w:left w:val="single" w:color="auto" w:sz="4" w:space="0"/>
                    <w:bottom w:val="single" w:color="auto" w:sz="4" w:space="0"/>
                    <w:right w:val="single" w:color="auto" w:sz="4" w:space="0"/>
                  </w:tcBorders>
                  <w:vAlign w:val="center"/>
                </w:tcPr>
                <w:p w14:paraId="786F70D8">
                  <w:pPr>
                    <w:keepNext w:val="0"/>
                    <w:keepLines w:val="0"/>
                    <w:pageBreakBefore w:val="0"/>
                    <w:widowControl w:val="0"/>
                    <w:kinsoku/>
                    <w:wordWrap/>
                    <w:overflowPunct/>
                    <w:topLinePunct w:val="0"/>
                    <w:autoSpaceDE/>
                    <w:autoSpaceDN/>
                    <w:bidi w:val="0"/>
                    <w:adjustRightInd w:val="0"/>
                    <w:snapToGrid w:val="0"/>
                    <w:jc w:val="center"/>
                    <w:textAlignment w:val="auto"/>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类别</w:t>
                  </w:r>
                </w:p>
              </w:tc>
              <w:tc>
                <w:tcPr>
                  <w:tcW w:w="2504" w:type="dxa"/>
                  <w:tcBorders>
                    <w:top w:val="single" w:color="auto" w:sz="4" w:space="0"/>
                    <w:left w:val="single" w:color="auto" w:sz="4" w:space="0"/>
                    <w:bottom w:val="single" w:color="auto" w:sz="4" w:space="0"/>
                    <w:right w:val="single" w:color="auto" w:sz="4" w:space="0"/>
                  </w:tcBorders>
                  <w:vAlign w:val="center"/>
                </w:tcPr>
                <w:p w14:paraId="4CCB21F9">
                  <w:pPr>
                    <w:keepNext w:val="0"/>
                    <w:keepLines w:val="0"/>
                    <w:pageBreakBefore w:val="0"/>
                    <w:widowControl w:val="0"/>
                    <w:kinsoku/>
                    <w:wordWrap/>
                    <w:overflowPunct/>
                    <w:topLinePunct w:val="0"/>
                    <w:autoSpaceDE/>
                    <w:autoSpaceDN/>
                    <w:bidi w:val="0"/>
                    <w:adjustRightInd w:val="0"/>
                    <w:snapToGrid w:val="0"/>
                    <w:jc w:val="center"/>
                    <w:textAlignment w:val="auto"/>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污染物</w:t>
                  </w:r>
                </w:p>
              </w:tc>
              <w:tc>
                <w:tcPr>
                  <w:tcW w:w="2966" w:type="dxa"/>
                  <w:tcBorders>
                    <w:top w:val="single" w:color="auto" w:sz="4" w:space="0"/>
                    <w:left w:val="single" w:color="auto" w:sz="4" w:space="0"/>
                    <w:bottom w:val="single" w:color="auto" w:sz="4" w:space="0"/>
                    <w:right w:val="single" w:color="auto" w:sz="4" w:space="0"/>
                  </w:tcBorders>
                  <w:vAlign w:val="center"/>
                </w:tcPr>
                <w:p w14:paraId="6ADEA065">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Times New Roman" w:hAnsi="Times New Roman" w:eastAsia="宋体" w:cs="Times New Roman"/>
                      <w:color w:val="auto"/>
                      <w:sz w:val="21"/>
                      <w:szCs w:val="21"/>
                      <w:lang w:eastAsia="zh-CN"/>
                    </w:rPr>
                  </w:pPr>
                  <w:r>
                    <w:rPr>
                      <w:rFonts w:ascii="Times New Roman" w:hAnsi="Times New Roman" w:eastAsia="宋体" w:cs="Times New Roman"/>
                      <w:color w:val="auto"/>
                      <w:sz w:val="21"/>
                      <w:szCs w:val="21"/>
                    </w:rPr>
                    <w:t>建议值</w:t>
                  </w:r>
                  <w:r>
                    <w:rPr>
                      <w:rFonts w:hint="eastAsia" w:cs="Times New Roman"/>
                      <w:color w:val="auto"/>
                      <w:sz w:val="21"/>
                      <w:szCs w:val="21"/>
                      <w:lang w:eastAsia="zh-CN"/>
                    </w:rPr>
                    <w:t>（</w:t>
                  </w:r>
                  <w:r>
                    <w:rPr>
                      <w:rFonts w:hint="eastAsia" w:ascii="Times New Roman" w:hAnsi="Times New Roman" w:eastAsia="宋体" w:cs="Times New Roman"/>
                      <w:color w:val="auto"/>
                      <w:sz w:val="21"/>
                      <w:szCs w:val="21"/>
                    </w:rPr>
                    <w:t>t</w:t>
                  </w:r>
                  <w:r>
                    <w:rPr>
                      <w:rFonts w:ascii="Times New Roman" w:hAnsi="Times New Roman" w:eastAsia="宋体" w:cs="Times New Roman"/>
                      <w:color w:val="auto"/>
                      <w:sz w:val="21"/>
                      <w:szCs w:val="21"/>
                    </w:rPr>
                    <w:t>/a</w:t>
                  </w:r>
                  <w:r>
                    <w:rPr>
                      <w:rFonts w:hint="eastAsia" w:cs="Times New Roman"/>
                      <w:color w:val="auto"/>
                      <w:sz w:val="21"/>
                      <w:szCs w:val="21"/>
                      <w:lang w:eastAsia="zh-CN"/>
                    </w:rPr>
                    <w:t>）</w:t>
                  </w:r>
                </w:p>
              </w:tc>
            </w:tr>
            <w:tr w14:paraId="76086E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4" w:hRule="atLeast"/>
                <w:jc w:val="center"/>
              </w:trPr>
              <w:tc>
                <w:tcPr>
                  <w:tcW w:w="2755" w:type="dxa"/>
                  <w:vMerge w:val="restart"/>
                  <w:tcBorders>
                    <w:left w:val="single" w:color="auto" w:sz="4" w:space="0"/>
                    <w:right w:val="single" w:color="auto" w:sz="4" w:space="0"/>
                  </w:tcBorders>
                  <w:vAlign w:val="center"/>
                </w:tcPr>
                <w:p w14:paraId="4CBED325">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Times New Roman" w:hAnsi="Times New Roman" w:eastAsia="宋体" w:cs="Times New Roman"/>
                      <w:color w:val="auto"/>
                      <w:sz w:val="21"/>
                      <w:szCs w:val="21"/>
                      <w:lang w:eastAsia="zh-CN"/>
                    </w:rPr>
                  </w:pPr>
                  <w:r>
                    <w:rPr>
                      <w:rFonts w:hint="eastAsia" w:ascii="Times New Roman" w:hAnsi="Times New Roman" w:eastAsia="宋体" w:cs="Times New Roman"/>
                      <w:color w:val="auto"/>
                      <w:sz w:val="21"/>
                      <w:szCs w:val="21"/>
                    </w:rPr>
                    <w:t>废</w:t>
                  </w:r>
                  <w:r>
                    <w:rPr>
                      <w:rFonts w:hint="eastAsia" w:ascii="Times New Roman" w:hAnsi="Times New Roman" w:eastAsia="宋体" w:cs="Times New Roman"/>
                      <w:color w:val="auto"/>
                      <w:sz w:val="21"/>
                      <w:szCs w:val="21"/>
                      <w:lang w:eastAsia="zh-CN"/>
                    </w:rPr>
                    <w:t>水</w:t>
                  </w:r>
                </w:p>
              </w:tc>
              <w:tc>
                <w:tcPr>
                  <w:tcW w:w="2504" w:type="dxa"/>
                  <w:tcBorders>
                    <w:top w:val="single" w:color="auto" w:sz="4" w:space="0"/>
                    <w:left w:val="single" w:color="auto" w:sz="4" w:space="0"/>
                    <w:bottom w:val="single" w:color="auto" w:sz="4" w:space="0"/>
                    <w:right w:val="single" w:color="auto" w:sz="4" w:space="0"/>
                  </w:tcBorders>
                  <w:vAlign w:val="center"/>
                </w:tcPr>
                <w:p w14:paraId="592BF755">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COD</w:t>
                  </w:r>
                </w:p>
              </w:tc>
              <w:tc>
                <w:tcPr>
                  <w:tcW w:w="2966" w:type="dxa"/>
                  <w:tcBorders>
                    <w:top w:val="single" w:color="auto" w:sz="4" w:space="0"/>
                    <w:left w:val="single" w:color="auto" w:sz="4" w:space="0"/>
                    <w:bottom w:val="single" w:color="auto" w:sz="4" w:space="0"/>
                    <w:right w:val="single" w:color="auto" w:sz="4" w:space="0"/>
                  </w:tcBorders>
                  <w:vAlign w:val="center"/>
                </w:tcPr>
                <w:p w14:paraId="1E458082">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0.0526</w:t>
                  </w:r>
                </w:p>
              </w:tc>
            </w:tr>
            <w:tr w14:paraId="4E50C1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6" w:hRule="atLeast"/>
                <w:jc w:val="center"/>
              </w:trPr>
              <w:tc>
                <w:tcPr>
                  <w:tcW w:w="2755" w:type="dxa"/>
                  <w:vMerge w:val="continue"/>
                  <w:tcBorders>
                    <w:left w:val="single" w:color="auto" w:sz="4" w:space="0"/>
                    <w:bottom w:val="single" w:color="auto" w:sz="4" w:space="0"/>
                    <w:right w:val="single" w:color="auto" w:sz="4" w:space="0"/>
                  </w:tcBorders>
                  <w:vAlign w:val="center"/>
                </w:tcPr>
                <w:p w14:paraId="19A0CC5B">
                  <w:pPr>
                    <w:keepNext w:val="0"/>
                    <w:keepLines w:val="0"/>
                    <w:pageBreakBefore w:val="0"/>
                    <w:widowControl w:val="0"/>
                    <w:kinsoku/>
                    <w:wordWrap/>
                    <w:overflowPunct/>
                    <w:topLinePunct w:val="0"/>
                    <w:autoSpaceDE/>
                    <w:autoSpaceDN/>
                    <w:bidi w:val="0"/>
                    <w:adjustRightInd w:val="0"/>
                    <w:snapToGrid w:val="0"/>
                    <w:jc w:val="center"/>
                    <w:textAlignment w:val="auto"/>
                    <w:rPr>
                      <w:color w:val="auto"/>
                    </w:rPr>
                  </w:pPr>
                </w:p>
              </w:tc>
              <w:tc>
                <w:tcPr>
                  <w:tcW w:w="2504" w:type="dxa"/>
                  <w:tcBorders>
                    <w:top w:val="single" w:color="auto" w:sz="4" w:space="0"/>
                    <w:left w:val="single" w:color="auto" w:sz="4" w:space="0"/>
                    <w:bottom w:val="single" w:color="auto" w:sz="4" w:space="0"/>
                    <w:right w:val="single" w:color="auto" w:sz="4" w:space="0"/>
                  </w:tcBorders>
                  <w:vAlign w:val="center"/>
                </w:tcPr>
                <w:p w14:paraId="436D0125">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氨氮</w:t>
                  </w:r>
                </w:p>
              </w:tc>
              <w:tc>
                <w:tcPr>
                  <w:tcW w:w="2966" w:type="dxa"/>
                  <w:tcBorders>
                    <w:top w:val="single" w:color="auto" w:sz="4" w:space="0"/>
                    <w:left w:val="single" w:color="auto" w:sz="4" w:space="0"/>
                    <w:bottom w:val="single" w:color="auto" w:sz="4" w:space="0"/>
                    <w:right w:val="single" w:color="auto" w:sz="4" w:space="0"/>
                  </w:tcBorders>
                  <w:vAlign w:val="center"/>
                </w:tcPr>
                <w:p w14:paraId="5DCC799D">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0.0053</w:t>
                  </w:r>
                </w:p>
              </w:tc>
            </w:tr>
          </w:tbl>
          <w:p w14:paraId="4459898E">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color w:val="auto"/>
                <w:kern w:val="0"/>
                <w:sz w:val="24"/>
                <w:szCs w:val="24"/>
                <w:lang w:eastAsia="zh-CN"/>
              </w:rPr>
            </w:pPr>
          </w:p>
          <w:p w14:paraId="5D7930C3">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color w:val="auto"/>
                <w:kern w:val="0"/>
                <w:sz w:val="24"/>
                <w:szCs w:val="24"/>
                <w:lang w:eastAsia="zh-CN"/>
              </w:rPr>
            </w:pPr>
          </w:p>
        </w:tc>
      </w:tr>
    </w:tbl>
    <w:p w14:paraId="7DC6A921">
      <w:pPr>
        <w:widowControl/>
        <w:spacing w:before="100" w:beforeAutospacing="1" w:after="100" w:afterAutospacing="1"/>
        <w:jc w:val="center"/>
        <w:outlineLvl w:val="0"/>
        <w:rPr>
          <w:rFonts w:eastAsia="黑体"/>
          <w:snapToGrid w:val="0"/>
          <w:color w:val="auto"/>
          <w:kern w:val="0"/>
          <w:sz w:val="30"/>
          <w:szCs w:val="30"/>
        </w:rPr>
      </w:pPr>
      <w:r>
        <w:rPr>
          <w:rFonts w:eastAsia="黑体"/>
          <w:snapToGrid w:val="0"/>
          <w:color w:val="auto"/>
          <w:kern w:val="0"/>
          <w:sz w:val="36"/>
          <w:szCs w:val="36"/>
        </w:rPr>
        <w:br w:type="page"/>
      </w:r>
      <w:r>
        <w:rPr>
          <w:rFonts w:eastAsia="黑体"/>
          <w:snapToGrid w:val="0"/>
          <w:color w:val="auto"/>
          <w:kern w:val="0"/>
          <w:sz w:val="30"/>
          <w:szCs w:val="30"/>
        </w:rPr>
        <w:t>四、主要环境影响和保护措施</w:t>
      </w:r>
    </w:p>
    <w:tbl>
      <w:tblPr>
        <w:tblStyle w:val="18"/>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14"/>
        <w:gridCol w:w="8502"/>
      </w:tblGrid>
      <w:tr w14:paraId="5BC500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0" w:hRule="atLeast"/>
        </w:trPr>
        <w:tc>
          <w:tcPr>
            <w:tcW w:w="285" w:type="pct"/>
            <w:vAlign w:val="center"/>
          </w:tcPr>
          <w:p w14:paraId="78598D9E">
            <w:pPr>
              <w:widowControl/>
              <w:adjustRightInd w:val="0"/>
              <w:snapToGrid w:val="0"/>
              <w:spacing w:line="240" w:lineRule="auto"/>
              <w:jc w:val="center"/>
              <w:rPr>
                <w:color w:val="auto"/>
                <w:sz w:val="24"/>
              </w:rPr>
            </w:pPr>
            <w:r>
              <w:rPr>
                <w:color w:val="auto"/>
                <w:sz w:val="24"/>
              </w:rPr>
              <w:t>施工</w:t>
            </w:r>
          </w:p>
          <w:p w14:paraId="607AB4B2">
            <w:pPr>
              <w:widowControl/>
              <w:adjustRightInd w:val="0"/>
              <w:snapToGrid w:val="0"/>
              <w:spacing w:line="240" w:lineRule="auto"/>
              <w:jc w:val="center"/>
              <w:rPr>
                <w:color w:val="auto"/>
                <w:sz w:val="24"/>
              </w:rPr>
            </w:pPr>
            <w:r>
              <w:rPr>
                <w:color w:val="auto"/>
                <w:sz w:val="24"/>
              </w:rPr>
              <w:t>期环</w:t>
            </w:r>
          </w:p>
          <w:p w14:paraId="2E405C26">
            <w:pPr>
              <w:widowControl/>
              <w:adjustRightInd w:val="0"/>
              <w:snapToGrid w:val="0"/>
              <w:spacing w:line="240" w:lineRule="auto"/>
              <w:jc w:val="center"/>
              <w:rPr>
                <w:color w:val="auto"/>
                <w:sz w:val="24"/>
              </w:rPr>
            </w:pPr>
            <w:r>
              <w:rPr>
                <w:color w:val="auto"/>
                <w:sz w:val="24"/>
              </w:rPr>
              <w:t>境保</w:t>
            </w:r>
          </w:p>
          <w:p w14:paraId="28F2393B">
            <w:pPr>
              <w:widowControl/>
              <w:adjustRightInd w:val="0"/>
              <w:snapToGrid w:val="0"/>
              <w:spacing w:line="240" w:lineRule="auto"/>
              <w:jc w:val="center"/>
              <w:rPr>
                <w:color w:val="auto"/>
                <w:sz w:val="24"/>
              </w:rPr>
            </w:pPr>
            <w:r>
              <w:rPr>
                <w:color w:val="auto"/>
                <w:sz w:val="24"/>
              </w:rPr>
              <w:t>护措</w:t>
            </w:r>
          </w:p>
          <w:p w14:paraId="4D9D1424">
            <w:pPr>
              <w:spacing w:line="240" w:lineRule="auto"/>
              <w:jc w:val="center"/>
              <w:rPr>
                <w:bCs/>
                <w:color w:val="auto"/>
                <w:sz w:val="24"/>
              </w:rPr>
            </w:pPr>
            <w:r>
              <w:rPr>
                <w:color w:val="auto"/>
                <w:sz w:val="24"/>
              </w:rPr>
              <w:t>施</w:t>
            </w:r>
          </w:p>
        </w:tc>
        <w:tc>
          <w:tcPr>
            <w:tcW w:w="4714" w:type="pct"/>
            <w:vAlign w:val="center"/>
          </w:tcPr>
          <w:p w14:paraId="499318C0">
            <w:pPr>
              <w:spacing w:line="360" w:lineRule="auto"/>
              <w:ind w:firstLine="480" w:firstLineChars="200"/>
              <w:rPr>
                <w:rFonts w:hint="default" w:ascii="Times New Roman" w:hAnsi="Times New Roman" w:eastAsia="宋体" w:cs="Times New Roman"/>
                <w:color w:val="auto"/>
                <w:kern w:val="0"/>
                <w:sz w:val="24"/>
                <w:szCs w:val="24"/>
              </w:rPr>
            </w:pPr>
            <w:r>
              <w:rPr>
                <w:rFonts w:hint="default" w:ascii="Times New Roman" w:hAnsi="Times New Roman" w:eastAsia="宋体" w:cs="Times New Roman"/>
                <w:color w:val="auto"/>
                <w:kern w:val="0"/>
                <w:sz w:val="24"/>
                <w:szCs w:val="24"/>
              </w:rPr>
              <w:t>项目施工期主要为</w:t>
            </w:r>
            <w:r>
              <w:rPr>
                <w:rFonts w:hint="eastAsia" w:cs="Times New Roman"/>
                <w:color w:val="auto"/>
                <w:kern w:val="0"/>
                <w:sz w:val="24"/>
                <w:szCs w:val="24"/>
                <w:lang w:val="en-US" w:eastAsia="zh-CN"/>
              </w:rPr>
              <w:t>厂房装修及</w:t>
            </w:r>
            <w:r>
              <w:rPr>
                <w:rFonts w:hint="default" w:ascii="Times New Roman" w:hAnsi="Times New Roman" w:eastAsia="宋体" w:cs="Times New Roman"/>
                <w:color w:val="auto"/>
                <w:kern w:val="0"/>
                <w:sz w:val="24"/>
                <w:szCs w:val="24"/>
              </w:rPr>
              <w:t>车间设备安装，施工过程中主要产生少量的</w:t>
            </w:r>
            <w:r>
              <w:rPr>
                <w:rFonts w:hint="eastAsia" w:cs="Times New Roman"/>
                <w:color w:val="auto"/>
                <w:kern w:val="0"/>
                <w:sz w:val="24"/>
                <w:szCs w:val="24"/>
                <w:lang w:val="en-US" w:eastAsia="zh-CN"/>
              </w:rPr>
              <w:t>粉尘</w:t>
            </w:r>
            <w:r>
              <w:rPr>
                <w:rFonts w:hint="default" w:ascii="Times New Roman" w:hAnsi="Times New Roman" w:eastAsia="宋体" w:cs="Times New Roman"/>
                <w:color w:val="auto"/>
                <w:kern w:val="0"/>
                <w:sz w:val="24"/>
                <w:szCs w:val="24"/>
              </w:rPr>
              <w:t>、噪声</w:t>
            </w:r>
            <w:r>
              <w:rPr>
                <w:rFonts w:hint="eastAsia" w:cs="Times New Roman"/>
                <w:color w:val="auto"/>
                <w:kern w:val="0"/>
                <w:sz w:val="24"/>
                <w:szCs w:val="24"/>
                <w:lang w:eastAsia="zh-CN"/>
              </w:rPr>
              <w:t>、</w:t>
            </w:r>
            <w:r>
              <w:rPr>
                <w:rFonts w:hint="default" w:ascii="Times New Roman" w:hAnsi="Times New Roman" w:eastAsia="宋体" w:cs="Times New Roman"/>
                <w:color w:val="auto"/>
                <w:kern w:val="0"/>
                <w:sz w:val="24"/>
                <w:szCs w:val="24"/>
              </w:rPr>
              <w:t>固废及施工人员生活污水。</w:t>
            </w:r>
          </w:p>
          <w:p w14:paraId="6B73529E">
            <w:pPr>
              <w:spacing w:line="360" w:lineRule="auto"/>
              <w:ind w:firstLine="480" w:firstLineChars="200"/>
              <w:rPr>
                <w:rFonts w:hint="default" w:ascii="Times New Roman" w:hAnsi="Times New Roman" w:eastAsia="宋体" w:cs="Times New Roman"/>
                <w:b/>
                <w:bCs/>
                <w:color w:val="auto"/>
                <w:kern w:val="0"/>
                <w:sz w:val="24"/>
                <w:szCs w:val="24"/>
              </w:rPr>
            </w:pPr>
            <w:r>
              <w:rPr>
                <w:rFonts w:hint="default" w:ascii="Times New Roman" w:hAnsi="Times New Roman" w:eastAsia="宋体" w:cs="Times New Roman"/>
                <w:color w:val="auto"/>
                <w:kern w:val="0"/>
                <w:sz w:val="24"/>
                <w:szCs w:val="24"/>
              </w:rPr>
              <w:t>项目施工期较短，施工量较小，施工结束后污染也随之消失，对环境影响较小。</w:t>
            </w:r>
          </w:p>
          <w:p w14:paraId="0BD5A37D">
            <w:pPr>
              <w:spacing w:line="360" w:lineRule="auto"/>
              <w:ind w:firstLine="482" w:firstLineChars="200"/>
              <w:rPr>
                <w:rFonts w:hint="default" w:ascii="Times New Roman" w:hAnsi="Times New Roman" w:eastAsia="宋体" w:cs="Times New Roman"/>
                <w:b/>
                <w:bCs w:val="0"/>
                <w:color w:val="auto"/>
                <w:kern w:val="0"/>
                <w:sz w:val="24"/>
                <w:szCs w:val="24"/>
              </w:rPr>
            </w:pPr>
            <w:r>
              <w:rPr>
                <w:rFonts w:hint="default" w:ascii="Times New Roman" w:hAnsi="Times New Roman" w:eastAsia="宋体" w:cs="Times New Roman"/>
                <w:b/>
                <w:bCs w:val="0"/>
                <w:color w:val="auto"/>
                <w:kern w:val="0"/>
                <w:sz w:val="24"/>
                <w:szCs w:val="24"/>
              </w:rPr>
              <w:t>1、施工期废气防治措施</w:t>
            </w:r>
          </w:p>
          <w:p w14:paraId="05BF7E8E">
            <w:pPr>
              <w:spacing w:line="360" w:lineRule="auto"/>
              <w:ind w:firstLine="480" w:firstLineChars="200"/>
              <w:rPr>
                <w:rFonts w:hint="default" w:ascii="Times New Roman" w:hAnsi="Times New Roman" w:eastAsia="宋体" w:cs="Times New Roman"/>
                <w:color w:val="auto"/>
                <w:kern w:val="0"/>
                <w:sz w:val="24"/>
                <w:szCs w:val="24"/>
              </w:rPr>
            </w:pPr>
            <w:r>
              <w:rPr>
                <w:rFonts w:hint="default" w:ascii="Times New Roman" w:hAnsi="Times New Roman" w:eastAsia="宋体" w:cs="Times New Roman"/>
                <w:color w:val="auto"/>
                <w:kern w:val="0"/>
                <w:sz w:val="24"/>
                <w:szCs w:val="24"/>
              </w:rPr>
              <w:t>项目施工期产生的废气主要为</w:t>
            </w:r>
            <w:r>
              <w:rPr>
                <w:rFonts w:hint="eastAsia" w:cs="Times New Roman"/>
                <w:color w:val="auto"/>
                <w:kern w:val="0"/>
                <w:sz w:val="24"/>
                <w:szCs w:val="24"/>
                <w:lang w:val="en-US" w:eastAsia="zh-CN"/>
              </w:rPr>
              <w:t>厂房装修及</w:t>
            </w:r>
            <w:r>
              <w:rPr>
                <w:rFonts w:hint="eastAsia" w:ascii="Times New Roman" w:hAnsi="Times New Roman" w:eastAsia="宋体" w:cs="Times New Roman"/>
                <w:color w:val="auto"/>
                <w:kern w:val="0"/>
                <w:sz w:val="24"/>
                <w:szCs w:val="24"/>
                <w:lang w:val="en-US" w:eastAsia="zh-CN"/>
              </w:rPr>
              <w:t>车间设备安装产生的少量粉尘</w:t>
            </w:r>
            <w:r>
              <w:rPr>
                <w:rFonts w:hint="default" w:ascii="Times New Roman" w:hAnsi="Times New Roman" w:eastAsia="宋体" w:cs="Times New Roman"/>
                <w:color w:val="auto"/>
                <w:kern w:val="0"/>
                <w:sz w:val="24"/>
                <w:szCs w:val="24"/>
              </w:rPr>
              <w:t>，产生时间主要集中在</w:t>
            </w:r>
            <w:r>
              <w:rPr>
                <w:rFonts w:hint="eastAsia" w:cs="Times New Roman"/>
                <w:color w:val="auto"/>
                <w:kern w:val="0"/>
                <w:sz w:val="24"/>
                <w:szCs w:val="24"/>
                <w:lang w:val="en-US" w:eastAsia="zh-CN"/>
              </w:rPr>
              <w:t>厂房装修及</w:t>
            </w:r>
            <w:r>
              <w:rPr>
                <w:rFonts w:hint="eastAsia" w:ascii="Times New Roman" w:hAnsi="Times New Roman" w:eastAsia="宋体" w:cs="Times New Roman"/>
                <w:color w:val="auto"/>
                <w:kern w:val="0"/>
                <w:sz w:val="24"/>
                <w:szCs w:val="24"/>
                <w:lang w:val="en-US" w:eastAsia="zh-CN"/>
              </w:rPr>
              <w:t>设备安装阶段</w:t>
            </w:r>
            <w:r>
              <w:rPr>
                <w:rFonts w:hint="default" w:ascii="Times New Roman" w:hAnsi="Times New Roman" w:eastAsia="宋体" w:cs="Times New Roman"/>
                <w:color w:val="auto"/>
                <w:kern w:val="0"/>
                <w:sz w:val="24"/>
                <w:szCs w:val="24"/>
              </w:rPr>
              <w:t>。同时提出以下措施：</w:t>
            </w:r>
          </w:p>
          <w:p w14:paraId="07DA1409">
            <w:pPr>
              <w:spacing w:line="360" w:lineRule="auto"/>
              <w:ind w:firstLine="480" w:firstLineChars="200"/>
              <w:rPr>
                <w:rFonts w:hint="default" w:ascii="Times New Roman" w:hAnsi="Times New Roman" w:eastAsia="宋体" w:cs="Times New Roman"/>
                <w:color w:val="auto"/>
                <w:kern w:val="0"/>
                <w:sz w:val="24"/>
                <w:szCs w:val="24"/>
              </w:rPr>
            </w:pPr>
            <w:r>
              <w:rPr>
                <w:rFonts w:hint="default" w:ascii="Times New Roman" w:hAnsi="Times New Roman" w:eastAsia="宋体" w:cs="Times New Roman"/>
                <w:color w:val="auto"/>
                <w:kern w:val="0"/>
                <w:sz w:val="24"/>
                <w:szCs w:val="24"/>
              </w:rPr>
              <w:t>根据《陕西省大气污染防治条例》、《西安市大气污染防治条例》、中共陕西省委 陕西省人民政府关于印发《陕西省大气污染治理专项行动方案（2023-2027年）》的通知</w:t>
            </w:r>
            <w:r>
              <w:rPr>
                <w:rFonts w:hint="eastAsia" w:cs="Times New Roman"/>
                <w:color w:val="auto"/>
                <w:kern w:val="0"/>
                <w:sz w:val="24"/>
                <w:szCs w:val="24"/>
                <w:lang w:eastAsia="zh-CN"/>
              </w:rPr>
              <w:t>、</w:t>
            </w:r>
            <w:r>
              <w:rPr>
                <w:rFonts w:hint="default" w:ascii="Times New Roman" w:hAnsi="Times New Roman" w:eastAsia="宋体" w:cs="Times New Roman"/>
                <w:color w:val="auto"/>
                <w:kern w:val="0"/>
                <w:sz w:val="24"/>
                <w:szCs w:val="24"/>
              </w:rPr>
              <w:t>中共西安市委 西安市人民政府关于印发《西安市大气污染治理专项行动方案（2023-2027年）》的通知采取有效措施，严格控制施工过程中扬尘污染。</w:t>
            </w:r>
          </w:p>
          <w:p w14:paraId="0BD40520">
            <w:pPr>
              <w:tabs>
                <w:tab w:val="left" w:pos="2535"/>
              </w:tabs>
              <w:spacing w:line="360" w:lineRule="auto"/>
              <w:ind w:firstLine="480" w:firstLineChars="200"/>
              <w:rPr>
                <w:rFonts w:hint="default" w:ascii="Times New Roman" w:hAnsi="Times New Roman" w:eastAsia="宋体" w:cs="Times New Roman"/>
                <w:color w:val="auto"/>
                <w:kern w:val="0"/>
                <w:sz w:val="24"/>
                <w:szCs w:val="24"/>
              </w:rPr>
            </w:pPr>
            <w:r>
              <w:rPr>
                <w:rFonts w:hint="default" w:ascii="Times New Roman" w:hAnsi="Times New Roman" w:eastAsia="宋体" w:cs="Times New Roman"/>
                <w:color w:val="auto"/>
                <w:kern w:val="0"/>
                <w:sz w:val="24"/>
                <w:szCs w:val="24"/>
              </w:rPr>
              <w:t>同时提出以下措施：</w:t>
            </w:r>
          </w:p>
          <w:p w14:paraId="21567A67">
            <w:pPr>
              <w:tabs>
                <w:tab w:val="left" w:pos="2535"/>
              </w:tabs>
              <w:spacing w:line="360" w:lineRule="auto"/>
              <w:ind w:firstLine="480" w:firstLineChars="200"/>
              <w:rPr>
                <w:rFonts w:hint="eastAsia" w:ascii="Times New Roman" w:hAnsi="Times New Roman" w:eastAsia="宋体" w:cs="Times New Roman"/>
                <w:color w:val="auto"/>
                <w:kern w:val="0"/>
                <w:sz w:val="24"/>
                <w:szCs w:val="24"/>
                <w:lang w:eastAsia="zh-CN"/>
              </w:rPr>
            </w:pPr>
            <w:r>
              <w:rPr>
                <w:rFonts w:hint="default" w:ascii="Times New Roman" w:hAnsi="Times New Roman" w:eastAsia="宋体" w:cs="Times New Roman"/>
                <w:color w:val="auto"/>
                <w:kern w:val="0"/>
                <w:sz w:val="24"/>
                <w:szCs w:val="24"/>
              </w:rPr>
              <w:t>（1）装修阶段在</w:t>
            </w:r>
            <w:r>
              <w:rPr>
                <w:rFonts w:hint="eastAsia" w:cs="Times New Roman"/>
                <w:color w:val="auto"/>
                <w:kern w:val="0"/>
                <w:sz w:val="24"/>
                <w:szCs w:val="24"/>
                <w:lang w:val="en-US" w:eastAsia="zh-CN"/>
              </w:rPr>
              <w:t>实施环保设施</w:t>
            </w:r>
            <w:r>
              <w:rPr>
                <w:rFonts w:hint="default" w:ascii="Times New Roman" w:hAnsi="Times New Roman" w:eastAsia="宋体" w:cs="Times New Roman"/>
                <w:color w:val="auto"/>
                <w:kern w:val="0"/>
                <w:sz w:val="24"/>
                <w:szCs w:val="24"/>
              </w:rPr>
              <w:t>安装等作业</w:t>
            </w:r>
            <w:r>
              <w:rPr>
                <w:rFonts w:hint="eastAsia" w:cs="Times New Roman"/>
                <w:color w:val="auto"/>
                <w:kern w:val="0"/>
                <w:sz w:val="24"/>
                <w:szCs w:val="24"/>
                <w:lang w:val="en-US" w:eastAsia="zh-CN"/>
              </w:rPr>
              <w:t>时</w:t>
            </w:r>
            <w:r>
              <w:rPr>
                <w:rFonts w:hint="default" w:ascii="Times New Roman" w:hAnsi="Times New Roman" w:eastAsia="宋体" w:cs="Times New Roman"/>
                <w:color w:val="auto"/>
                <w:kern w:val="0"/>
                <w:sz w:val="24"/>
                <w:szCs w:val="24"/>
              </w:rPr>
              <w:t>，会</w:t>
            </w:r>
            <w:r>
              <w:rPr>
                <w:rFonts w:hint="eastAsia" w:cs="Times New Roman"/>
                <w:color w:val="auto"/>
                <w:kern w:val="0"/>
                <w:sz w:val="24"/>
                <w:szCs w:val="24"/>
                <w:lang w:val="en-US" w:eastAsia="zh-CN"/>
              </w:rPr>
              <w:t>产生少量粉尘</w:t>
            </w:r>
            <w:r>
              <w:rPr>
                <w:rFonts w:hint="default" w:ascii="Times New Roman" w:hAnsi="Times New Roman" w:eastAsia="宋体" w:cs="Times New Roman"/>
                <w:color w:val="auto"/>
                <w:kern w:val="0"/>
                <w:sz w:val="24"/>
                <w:szCs w:val="24"/>
              </w:rPr>
              <w:t>，</w:t>
            </w:r>
            <w:r>
              <w:rPr>
                <w:rFonts w:hint="eastAsia" w:cs="Times New Roman"/>
                <w:color w:val="auto"/>
                <w:kern w:val="0"/>
                <w:sz w:val="24"/>
                <w:szCs w:val="24"/>
                <w:lang w:val="en-US" w:eastAsia="zh-CN"/>
              </w:rPr>
              <w:t>保持车间密闭以减少对周围大气环境的影响</w:t>
            </w:r>
            <w:r>
              <w:rPr>
                <w:rFonts w:hint="eastAsia" w:cs="Times New Roman"/>
                <w:color w:val="auto"/>
                <w:kern w:val="0"/>
                <w:sz w:val="24"/>
                <w:szCs w:val="24"/>
                <w:lang w:eastAsia="zh-CN"/>
              </w:rPr>
              <w:t>；</w:t>
            </w:r>
          </w:p>
          <w:p w14:paraId="22C3C8F1">
            <w:pPr>
              <w:tabs>
                <w:tab w:val="left" w:pos="2535"/>
              </w:tabs>
              <w:spacing w:line="360" w:lineRule="auto"/>
              <w:ind w:firstLine="480" w:firstLineChars="200"/>
              <w:rPr>
                <w:rFonts w:hint="default" w:ascii="Times New Roman" w:hAnsi="Times New Roman" w:eastAsia="宋体" w:cs="Times New Roman"/>
                <w:color w:val="auto"/>
                <w:kern w:val="0"/>
                <w:sz w:val="24"/>
                <w:szCs w:val="24"/>
              </w:rPr>
            </w:pPr>
            <w:r>
              <w:rPr>
                <w:rFonts w:hint="default" w:ascii="Times New Roman" w:hAnsi="Times New Roman" w:eastAsia="宋体" w:cs="Times New Roman"/>
                <w:color w:val="auto"/>
                <w:kern w:val="0"/>
                <w:sz w:val="24"/>
                <w:szCs w:val="24"/>
              </w:rPr>
              <w:t>（2）项目施工期废气</w:t>
            </w:r>
            <w:r>
              <w:rPr>
                <w:rFonts w:hint="default" w:ascii="Times New Roman" w:hAnsi="Times New Roman" w:eastAsia="宋体" w:cs="Times New Roman"/>
                <w:color w:val="auto"/>
                <w:kern w:val="0"/>
                <w:sz w:val="24"/>
                <w:szCs w:val="24"/>
                <w:lang w:val="en-US" w:eastAsia="zh-CN"/>
              </w:rPr>
              <w:t>满足</w:t>
            </w:r>
            <w:r>
              <w:rPr>
                <w:rFonts w:hint="default" w:ascii="Times New Roman" w:hAnsi="Times New Roman" w:eastAsia="宋体" w:cs="Times New Roman"/>
                <w:color w:val="auto"/>
                <w:kern w:val="0"/>
                <w:sz w:val="24"/>
                <w:szCs w:val="24"/>
              </w:rPr>
              <w:t>《施工场界扬尘排放限值》（DB61/1078-2017）中相关标准；</w:t>
            </w:r>
          </w:p>
          <w:p w14:paraId="368EF98F">
            <w:pPr>
              <w:tabs>
                <w:tab w:val="left" w:pos="2535"/>
              </w:tabs>
              <w:spacing w:line="360" w:lineRule="auto"/>
              <w:ind w:firstLine="480" w:firstLineChars="200"/>
              <w:rPr>
                <w:rFonts w:hint="default" w:ascii="Times New Roman" w:hAnsi="Times New Roman" w:eastAsia="宋体" w:cs="Times New Roman"/>
                <w:color w:val="auto"/>
                <w:kern w:val="0"/>
                <w:sz w:val="24"/>
                <w:szCs w:val="24"/>
              </w:rPr>
            </w:pPr>
            <w:r>
              <w:rPr>
                <w:rFonts w:hint="default" w:ascii="Times New Roman" w:hAnsi="Times New Roman" w:eastAsia="宋体" w:cs="Times New Roman"/>
                <w:color w:val="auto"/>
                <w:kern w:val="0"/>
                <w:sz w:val="24"/>
                <w:szCs w:val="24"/>
              </w:rPr>
              <w:t>（3）施工现场垃圾应分类集中堆放</w:t>
            </w:r>
            <w:r>
              <w:rPr>
                <w:rFonts w:hint="eastAsia" w:cs="Times New Roman"/>
                <w:color w:val="auto"/>
                <w:kern w:val="0"/>
                <w:sz w:val="24"/>
                <w:szCs w:val="24"/>
                <w:lang w:val="en-US" w:eastAsia="zh-CN"/>
              </w:rPr>
              <w:t>于厂区固废暂存区</w:t>
            </w:r>
            <w:r>
              <w:rPr>
                <w:rFonts w:hint="default" w:ascii="Times New Roman" w:hAnsi="Times New Roman" w:eastAsia="宋体" w:cs="Times New Roman"/>
                <w:color w:val="auto"/>
                <w:kern w:val="0"/>
                <w:sz w:val="24"/>
                <w:szCs w:val="24"/>
              </w:rPr>
              <w:t>，</w:t>
            </w:r>
            <w:r>
              <w:rPr>
                <w:rFonts w:hint="eastAsia" w:cs="Times New Roman"/>
                <w:color w:val="auto"/>
                <w:kern w:val="0"/>
                <w:sz w:val="24"/>
                <w:szCs w:val="24"/>
                <w:lang w:val="en-US" w:eastAsia="zh-CN"/>
              </w:rPr>
              <w:t>然后</w:t>
            </w:r>
            <w:r>
              <w:rPr>
                <w:rFonts w:hint="default" w:ascii="Times New Roman" w:hAnsi="Times New Roman" w:eastAsia="宋体" w:cs="Times New Roman"/>
                <w:color w:val="auto"/>
                <w:kern w:val="0"/>
                <w:sz w:val="24"/>
                <w:szCs w:val="24"/>
              </w:rPr>
              <w:t>及时清运，严禁焚烧、下埋和随意丢弃。</w:t>
            </w:r>
          </w:p>
          <w:p w14:paraId="36C4E611">
            <w:pPr>
              <w:spacing w:line="360" w:lineRule="auto"/>
              <w:ind w:firstLine="482" w:firstLineChars="200"/>
              <w:rPr>
                <w:rFonts w:hint="default" w:ascii="Times New Roman" w:hAnsi="Times New Roman" w:eastAsia="宋体" w:cs="Times New Roman"/>
                <w:b/>
                <w:bCs w:val="0"/>
                <w:color w:val="auto"/>
                <w:kern w:val="0"/>
                <w:sz w:val="24"/>
                <w:szCs w:val="24"/>
              </w:rPr>
            </w:pPr>
            <w:r>
              <w:rPr>
                <w:rFonts w:hint="default" w:ascii="Times New Roman" w:hAnsi="Times New Roman" w:eastAsia="宋体" w:cs="Times New Roman"/>
                <w:b/>
                <w:bCs w:val="0"/>
                <w:color w:val="auto"/>
                <w:kern w:val="0"/>
                <w:sz w:val="24"/>
                <w:szCs w:val="24"/>
              </w:rPr>
              <w:t>2、施工期废水防治措施</w:t>
            </w:r>
          </w:p>
          <w:p w14:paraId="74D10EE0">
            <w:pPr>
              <w:spacing w:line="360" w:lineRule="auto"/>
              <w:ind w:firstLine="480" w:firstLineChars="200"/>
              <w:rPr>
                <w:rFonts w:hint="default" w:ascii="Times New Roman" w:hAnsi="Times New Roman" w:eastAsia="宋体" w:cs="Times New Roman"/>
                <w:color w:val="auto"/>
                <w:kern w:val="0"/>
                <w:sz w:val="24"/>
                <w:szCs w:val="24"/>
              </w:rPr>
            </w:pPr>
            <w:r>
              <w:rPr>
                <w:rFonts w:hint="default" w:ascii="Times New Roman" w:hAnsi="Times New Roman" w:eastAsia="宋体" w:cs="Times New Roman"/>
                <w:color w:val="auto"/>
                <w:kern w:val="0"/>
                <w:sz w:val="24"/>
                <w:szCs w:val="24"/>
              </w:rPr>
              <w:t>施工期污水主要是施工人员产生的生活污水，污水中主要污染因子为COD、BOD</w:t>
            </w:r>
            <w:r>
              <w:rPr>
                <w:rFonts w:hint="default" w:ascii="Times New Roman" w:hAnsi="Times New Roman" w:eastAsia="宋体" w:cs="Times New Roman"/>
                <w:color w:val="auto"/>
                <w:kern w:val="0"/>
                <w:sz w:val="24"/>
                <w:szCs w:val="24"/>
                <w:vertAlign w:val="subscript"/>
              </w:rPr>
              <w:t>5</w:t>
            </w:r>
            <w:r>
              <w:rPr>
                <w:rFonts w:hint="default" w:ascii="Times New Roman" w:hAnsi="Times New Roman" w:eastAsia="宋体" w:cs="Times New Roman"/>
                <w:color w:val="auto"/>
                <w:kern w:val="0"/>
                <w:sz w:val="24"/>
                <w:szCs w:val="24"/>
              </w:rPr>
              <w:t>、SS、氨氮等，</w:t>
            </w:r>
            <w:r>
              <w:rPr>
                <w:color w:val="auto"/>
                <w:kern w:val="0"/>
                <w:sz w:val="24"/>
              </w:rPr>
              <w:t>生活污水</w:t>
            </w:r>
            <w:r>
              <w:rPr>
                <w:rFonts w:hint="eastAsia"/>
                <w:color w:val="auto"/>
                <w:kern w:val="0"/>
                <w:sz w:val="24"/>
                <w:lang w:val="en-US" w:eastAsia="zh-CN"/>
              </w:rPr>
              <w:t>依托陕西重型机械制造有限公司化粪池处理后经市政管网排入西安工业资产经营公司泾河产业基地污水处理站处理</w:t>
            </w:r>
            <w:r>
              <w:rPr>
                <w:rFonts w:hint="default" w:ascii="Times New Roman" w:hAnsi="Times New Roman" w:eastAsia="宋体" w:cs="Times New Roman"/>
                <w:color w:val="auto"/>
                <w:kern w:val="0"/>
                <w:sz w:val="24"/>
                <w:szCs w:val="24"/>
              </w:rPr>
              <w:t>。</w:t>
            </w:r>
          </w:p>
          <w:p w14:paraId="2EE7797F">
            <w:pPr>
              <w:spacing w:line="360" w:lineRule="auto"/>
              <w:ind w:firstLine="482" w:firstLineChars="200"/>
              <w:rPr>
                <w:rFonts w:hint="default" w:ascii="Times New Roman" w:hAnsi="Times New Roman" w:eastAsia="宋体" w:cs="Times New Roman"/>
                <w:b/>
                <w:bCs w:val="0"/>
                <w:color w:val="auto"/>
                <w:kern w:val="0"/>
                <w:sz w:val="24"/>
                <w:szCs w:val="24"/>
              </w:rPr>
            </w:pPr>
            <w:r>
              <w:rPr>
                <w:rFonts w:hint="default" w:ascii="Times New Roman" w:hAnsi="Times New Roman" w:eastAsia="宋体" w:cs="Times New Roman"/>
                <w:b/>
                <w:bCs w:val="0"/>
                <w:color w:val="auto"/>
                <w:kern w:val="0"/>
                <w:sz w:val="24"/>
                <w:szCs w:val="24"/>
              </w:rPr>
              <w:t>3、施工期噪声防治措施</w:t>
            </w:r>
          </w:p>
          <w:p w14:paraId="28D68C00">
            <w:pPr>
              <w:spacing w:line="360" w:lineRule="auto"/>
              <w:ind w:firstLine="480" w:firstLineChars="200"/>
              <w:rPr>
                <w:rFonts w:hint="default" w:ascii="Times New Roman" w:hAnsi="Times New Roman" w:eastAsia="宋体" w:cs="Times New Roman"/>
                <w:bCs/>
                <w:color w:val="auto"/>
                <w:kern w:val="0"/>
                <w:sz w:val="24"/>
                <w:szCs w:val="24"/>
              </w:rPr>
            </w:pPr>
            <w:r>
              <w:rPr>
                <w:rFonts w:hint="default" w:ascii="Times New Roman" w:hAnsi="Times New Roman" w:eastAsia="宋体" w:cs="Times New Roman"/>
                <w:bCs/>
                <w:color w:val="auto"/>
                <w:kern w:val="0"/>
                <w:sz w:val="24"/>
                <w:szCs w:val="24"/>
              </w:rPr>
              <w:t>项目施工期噪声主要为电钻、电锯、电锤等产生的设备噪声。</w:t>
            </w:r>
          </w:p>
          <w:p w14:paraId="7217AB53">
            <w:pPr>
              <w:topLinePunct/>
              <w:spacing w:line="360" w:lineRule="auto"/>
              <w:ind w:firstLine="480" w:firstLineChars="200"/>
              <w:rPr>
                <w:rFonts w:hint="default" w:ascii="Times New Roman" w:hAnsi="Times New Roman" w:eastAsia="宋体" w:cs="Times New Roman"/>
                <w:bCs/>
                <w:color w:val="auto"/>
                <w:kern w:val="0"/>
                <w:sz w:val="24"/>
                <w:szCs w:val="24"/>
              </w:rPr>
            </w:pPr>
            <w:r>
              <w:rPr>
                <w:rFonts w:hint="default" w:ascii="Times New Roman" w:hAnsi="Times New Roman" w:eastAsia="宋体" w:cs="Times New Roman"/>
                <w:bCs/>
                <w:color w:val="auto"/>
                <w:kern w:val="0"/>
                <w:sz w:val="24"/>
                <w:szCs w:val="24"/>
              </w:rPr>
              <w:t>为减少施工噪声对环境的影响，要求建设单位在工程施工期采取以下噪声控制措施：</w:t>
            </w:r>
          </w:p>
          <w:p w14:paraId="50B6AA21">
            <w:pPr>
              <w:spacing w:line="360" w:lineRule="auto"/>
              <w:ind w:firstLine="480" w:firstLineChars="200"/>
              <w:rPr>
                <w:rFonts w:hint="default" w:ascii="Times New Roman" w:hAnsi="Times New Roman" w:eastAsia="宋体" w:cs="Times New Roman"/>
                <w:bCs/>
                <w:color w:val="auto"/>
                <w:kern w:val="0"/>
                <w:sz w:val="24"/>
                <w:szCs w:val="24"/>
              </w:rPr>
            </w:pPr>
            <w:r>
              <w:rPr>
                <w:rFonts w:hint="default" w:ascii="Times New Roman" w:hAnsi="Times New Roman" w:eastAsia="宋体" w:cs="Times New Roman"/>
                <w:bCs/>
                <w:color w:val="auto"/>
                <w:kern w:val="0"/>
                <w:sz w:val="24"/>
                <w:szCs w:val="24"/>
              </w:rPr>
              <w:t>（1）合理安排施工方式，控制噪声环境污染；</w:t>
            </w:r>
          </w:p>
          <w:p w14:paraId="20154E6D">
            <w:pPr>
              <w:spacing w:line="360" w:lineRule="auto"/>
              <w:ind w:firstLine="480" w:firstLineChars="200"/>
              <w:rPr>
                <w:rFonts w:hint="default" w:ascii="Times New Roman" w:hAnsi="Times New Roman" w:eastAsia="宋体" w:cs="Times New Roman"/>
                <w:bCs/>
                <w:color w:val="auto"/>
                <w:kern w:val="0"/>
                <w:sz w:val="24"/>
                <w:szCs w:val="24"/>
              </w:rPr>
            </w:pPr>
            <w:r>
              <w:rPr>
                <w:rFonts w:hint="default" w:ascii="Times New Roman" w:hAnsi="Times New Roman" w:eastAsia="宋体" w:cs="Times New Roman"/>
                <w:bCs/>
                <w:color w:val="auto"/>
                <w:kern w:val="0"/>
                <w:sz w:val="24"/>
                <w:szCs w:val="24"/>
              </w:rPr>
              <w:t>（2）严格操作规程，加强施工机械管理，降低人为噪声影响；</w:t>
            </w:r>
          </w:p>
          <w:p w14:paraId="4EE0A9F8">
            <w:pPr>
              <w:spacing w:line="360" w:lineRule="auto"/>
              <w:ind w:firstLine="480" w:firstLineChars="200"/>
              <w:rPr>
                <w:rFonts w:hint="default" w:ascii="Times New Roman" w:hAnsi="Times New Roman" w:eastAsia="宋体" w:cs="Times New Roman"/>
                <w:bCs/>
                <w:color w:val="auto"/>
                <w:kern w:val="0"/>
                <w:sz w:val="24"/>
                <w:szCs w:val="24"/>
              </w:rPr>
            </w:pPr>
            <w:r>
              <w:rPr>
                <w:rFonts w:hint="default" w:ascii="Times New Roman" w:hAnsi="Times New Roman" w:eastAsia="宋体" w:cs="Times New Roman"/>
                <w:bCs/>
                <w:color w:val="auto"/>
                <w:kern w:val="0"/>
                <w:sz w:val="24"/>
                <w:szCs w:val="24"/>
              </w:rPr>
              <w:t>（3）施工尽量采用噪声较低的生产设备，并加强维修保养。采取有效的隔声、减振、消声措施，降低噪声级；</w:t>
            </w:r>
          </w:p>
          <w:p w14:paraId="4B029BD6">
            <w:pPr>
              <w:spacing w:line="360" w:lineRule="auto"/>
              <w:ind w:firstLine="480" w:firstLineChars="200"/>
              <w:rPr>
                <w:rFonts w:hint="eastAsia" w:cs="Times New Roman"/>
                <w:bCs/>
                <w:color w:val="auto"/>
                <w:kern w:val="0"/>
                <w:sz w:val="24"/>
                <w:szCs w:val="24"/>
                <w:lang w:eastAsia="zh-CN"/>
              </w:rPr>
            </w:pPr>
            <w:r>
              <w:rPr>
                <w:rFonts w:hint="default" w:ascii="Times New Roman" w:hAnsi="Times New Roman" w:eastAsia="宋体" w:cs="Times New Roman"/>
                <w:bCs/>
                <w:color w:val="auto"/>
                <w:kern w:val="0"/>
                <w:sz w:val="24"/>
                <w:szCs w:val="24"/>
              </w:rPr>
              <w:t>（4）建设单位合理安排施工时间，夜间（22:00~06:00）禁止施工</w:t>
            </w:r>
            <w:r>
              <w:rPr>
                <w:rFonts w:hint="eastAsia" w:cs="Times New Roman"/>
                <w:bCs/>
                <w:color w:val="auto"/>
                <w:kern w:val="0"/>
                <w:sz w:val="24"/>
                <w:szCs w:val="24"/>
                <w:lang w:eastAsia="zh-CN"/>
              </w:rPr>
              <w:t>；</w:t>
            </w:r>
          </w:p>
          <w:p w14:paraId="52059675">
            <w:pPr>
              <w:spacing w:line="360" w:lineRule="auto"/>
              <w:ind w:firstLine="480" w:firstLineChars="200"/>
              <w:rPr>
                <w:rFonts w:hint="default" w:ascii="Times New Roman" w:hAnsi="Times New Roman" w:eastAsia="宋体" w:cs="Times New Roman"/>
                <w:bCs/>
                <w:color w:val="auto"/>
                <w:kern w:val="0"/>
                <w:sz w:val="24"/>
                <w:szCs w:val="24"/>
                <w:lang w:val="en-US" w:eastAsia="zh-CN"/>
              </w:rPr>
            </w:pPr>
            <w:r>
              <w:rPr>
                <w:rFonts w:hint="eastAsia" w:cs="Times New Roman"/>
                <w:bCs/>
                <w:color w:val="auto"/>
                <w:kern w:val="0"/>
                <w:sz w:val="24"/>
                <w:szCs w:val="24"/>
                <w:lang w:eastAsia="zh-CN"/>
              </w:rPr>
              <w:t>（</w:t>
            </w:r>
            <w:r>
              <w:rPr>
                <w:rFonts w:hint="eastAsia" w:cs="Times New Roman"/>
                <w:bCs/>
                <w:color w:val="auto"/>
                <w:kern w:val="0"/>
                <w:sz w:val="24"/>
                <w:szCs w:val="24"/>
                <w:lang w:val="en-US" w:eastAsia="zh-CN"/>
              </w:rPr>
              <w:t>5</w:t>
            </w:r>
            <w:r>
              <w:rPr>
                <w:rFonts w:hint="eastAsia" w:cs="Times New Roman"/>
                <w:bCs/>
                <w:color w:val="auto"/>
                <w:kern w:val="0"/>
                <w:sz w:val="24"/>
                <w:szCs w:val="24"/>
                <w:lang w:eastAsia="zh-CN"/>
              </w:rPr>
              <w:t>）</w:t>
            </w:r>
            <w:r>
              <w:rPr>
                <w:rFonts w:hint="eastAsia" w:cs="Times New Roman"/>
                <w:bCs/>
                <w:color w:val="auto"/>
                <w:kern w:val="0"/>
                <w:sz w:val="24"/>
                <w:szCs w:val="24"/>
                <w:lang w:val="en-US" w:eastAsia="zh-CN"/>
              </w:rPr>
              <w:t>在采取上述降噪措施后，能有效控制对声环境敏感目标影响，施工期噪声应确保满足《建筑施工场界环境噪声排放标准》（GB12523-2011）中有关规定。</w:t>
            </w:r>
          </w:p>
          <w:p w14:paraId="5FF3EE15">
            <w:pPr>
              <w:spacing w:line="360" w:lineRule="auto"/>
              <w:ind w:firstLine="482" w:firstLineChars="200"/>
              <w:rPr>
                <w:rFonts w:hint="default" w:ascii="Times New Roman" w:hAnsi="Times New Roman" w:eastAsia="宋体" w:cs="Times New Roman"/>
                <w:b/>
                <w:bCs w:val="0"/>
                <w:color w:val="auto"/>
                <w:kern w:val="0"/>
                <w:sz w:val="24"/>
                <w:szCs w:val="24"/>
              </w:rPr>
            </w:pPr>
            <w:r>
              <w:rPr>
                <w:rFonts w:hint="default" w:ascii="Times New Roman" w:hAnsi="Times New Roman" w:eastAsia="宋体" w:cs="Times New Roman"/>
                <w:b/>
                <w:bCs w:val="0"/>
                <w:color w:val="auto"/>
                <w:kern w:val="0"/>
                <w:sz w:val="24"/>
                <w:szCs w:val="24"/>
              </w:rPr>
              <w:t>4、施工期固体废物防治措施</w:t>
            </w:r>
          </w:p>
          <w:p w14:paraId="11FE491B">
            <w:pPr>
              <w:spacing w:line="360" w:lineRule="auto"/>
              <w:ind w:firstLine="480" w:firstLineChars="200"/>
              <w:rPr>
                <w:rFonts w:hint="default" w:ascii="Times New Roman" w:hAnsi="Times New Roman" w:eastAsia="宋体" w:cs="Times New Roman"/>
                <w:bCs/>
                <w:color w:val="0000FF"/>
                <w:kern w:val="0"/>
                <w:sz w:val="24"/>
                <w:szCs w:val="24"/>
              </w:rPr>
            </w:pPr>
            <w:r>
              <w:rPr>
                <w:rFonts w:hint="default" w:ascii="Times New Roman" w:hAnsi="Times New Roman" w:eastAsia="宋体" w:cs="Times New Roman"/>
                <w:bCs/>
                <w:color w:val="0000FF"/>
                <w:kern w:val="0"/>
                <w:sz w:val="24"/>
                <w:szCs w:val="24"/>
              </w:rPr>
              <w:t>本项目施工期固体废物主要为</w:t>
            </w:r>
            <w:r>
              <w:rPr>
                <w:rFonts w:hint="eastAsia" w:cs="Times New Roman"/>
                <w:bCs/>
                <w:color w:val="0000FF"/>
                <w:kern w:val="0"/>
                <w:sz w:val="24"/>
                <w:szCs w:val="24"/>
                <w:lang w:val="en-US" w:eastAsia="zh-CN"/>
              </w:rPr>
              <w:t>厂房装修产生的废装修材料</w:t>
            </w:r>
            <w:r>
              <w:rPr>
                <w:rFonts w:hint="default" w:ascii="Times New Roman" w:hAnsi="Times New Roman" w:eastAsia="宋体" w:cs="Times New Roman"/>
                <w:bCs/>
                <w:color w:val="0000FF"/>
                <w:kern w:val="0"/>
                <w:sz w:val="24"/>
                <w:szCs w:val="24"/>
              </w:rPr>
              <w:t>、</w:t>
            </w:r>
            <w:r>
              <w:rPr>
                <w:rFonts w:hint="eastAsia" w:cs="Times New Roman"/>
                <w:bCs/>
                <w:color w:val="0000FF"/>
                <w:kern w:val="0"/>
                <w:sz w:val="24"/>
                <w:szCs w:val="24"/>
                <w:lang w:val="en-US" w:eastAsia="zh-CN"/>
              </w:rPr>
              <w:t>设备安装产生的废包装材料、</w:t>
            </w:r>
            <w:r>
              <w:rPr>
                <w:rFonts w:hint="default" w:ascii="Times New Roman" w:hAnsi="Times New Roman" w:eastAsia="宋体" w:cs="Times New Roman"/>
                <w:bCs/>
                <w:color w:val="0000FF"/>
                <w:kern w:val="0"/>
                <w:sz w:val="24"/>
                <w:szCs w:val="24"/>
              </w:rPr>
              <w:t>施工人员的生活垃圾。</w:t>
            </w:r>
          </w:p>
          <w:p w14:paraId="6EC345B1">
            <w:pPr>
              <w:spacing w:line="360" w:lineRule="auto"/>
              <w:ind w:firstLine="480" w:firstLineChars="200"/>
              <w:jc w:val="both"/>
              <w:rPr>
                <w:color w:val="auto"/>
              </w:rPr>
            </w:pPr>
            <w:r>
              <w:rPr>
                <w:rFonts w:hint="eastAsia" w:cs="Times New Roman"/>
                <w:bCs/>
                <w:color w:val="0000FF"/>
                <w:kern w:val="0"/>
                <w:sz w:val="24"/>
                <w:szCs w:val="24"/>
                <w:lang w:val="en-US" w:eastAsia="zh-CN"/>
              </w:rPr>
              <w:t>厂房装修产生的废装修材料</w:t>
            </w:r>
            <w:r>
              <w:rPr>
                <w:rFonts w:hint="eastAsia" w:ascii="Times New Roman" w:hAnsi="Times New Roman" w:eastAsia="宋体" w:cs="Times New Roman"/>
                <w:bCs/>
                <w:color w:val="0000FF"/>
                <w:kern w:val="0"/>
                <w:sz w:val="24"/>
                <w:szCs w:val="24"/>
                <w:lang w:val="en-US" w:eastAsia="zh-CN"/>
              </w:rPr>
              <w:t>及</w:t>
            </w:r>
            <w:r>
              <w:rPr>
                <w:rFonts w:hint="eastAsia" w:cs="Times New Roman"/>
                <w:bCs/>
                <w:color w:val="0000FF"/>
                <w:kern w:val="0"/>
                <w:sz w:val="24"/>
                <w:szCs w:val="24"/>
                <w:lang w:val="en-US" w:eastAsia="zh-CN"/>
              </w:rPr>
              <w:t>设备安装产生的废包装材料</w:t>
            </w:r>
            <w:r>
              <w:rPr>
                <w:rFonts w:hint="default" w:ascii="Times New Roman" w:hAnsi="Times New Roman" w:eastAsia="宋体" w:cs="Times New Roman"/>
                <w:bCs/>
                <w:color w:val="0000FF"/>
                <w:kern w:val="0"/>
                <w:sz w:val="24"/>
                <w:szCs w:val="24"/>
              </w:rPr>
              <w:t>，收集后</w:t>
            </w:r>
            <w:r>
              <w:rPr>
                <w:rFonts w:hint="eastAsia" w:cs="Times New Roman"/>
                <w:bCs/>
                <w:color w:val="0000FF"/>
                <w:kern w:val="0"/>
                <w:sz w:val="24"/>
                <w:szCs w:val="24"/>
                <w:lang w:val="en-US" w:eastAsia="zh-CN"/>
              </w:rPr>
              <w:t>统一外售</w:t>
            </w:r>
            <w:r>
              <w:rPr>
                <w:rFonts w:hint="default" w:ascii="Times New Roman" w:hAnsi="Times New Roman" w:eastAsia="宋体" w:cs="Times New Roman"/>
                <w:bCs/>
                <w:color w:val="0000FF"/>
                <w:kern w:val="0"/>
                <w:sz w:val="24"/>
                <w:szCs w:val="24"/>
              </w:rPr>
              <w:t>；施工人员生活垃圾分类收集后，交由环卫部门统一清运处理。</w:t>
            </w:r>
          </w:p>
        </w:tc>
      </w:tr>
      <w:tr w14:paraId="7848F5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285" w:type="pct"/>
            <w:vAlign w:val="center"/>
          </w:tcPr>
          <w:p w14:paraId="427B01E5">
            <w:pPr>
              <w:adjustRightInd w:val="0"/>
              <w:snapToGrid w:val="0"/>
              <w:spacing w:line="360" w:lineRule="auto"/>
              <w:jc w:val="center"/>
              <w:rPr>
                <w:bCs/>
                <w:color w:val="auto"/>
                <w:sz w:val="24"/>
              </w:rPr>
            </w:pPr>
            <w:r>
              <w:rPr>
                <w:bCs/>
                <w:color w:val="auto"/>
                <w:sz w:val="24"/>
              </w:rPr>
              <w:t>运营</w:t>
            </w:r>
          </w:p>
          <w:p w14:paraId="123A5BA4">
            <w:pPr>
              <w:adjustRightInd w:val="0"/>
              <w:snapToGrid w:val="0"/>
              <w:spacing w:line="360" w:lineRule="auto"/>
              <w:jc w:val="center"/>
              <w:rPr>
                <w:bCs/>
                <w:color w:val="auto"/>
                <w:sz w:val="24"/>
              </w:rPr>
            </w:pPr>
            <w:r>
              <w:rPr>
                <w:bCs/>
                <w:color w:val="auto"/>
                <w:sz w:val="24"/>
              </w:rPr>
              <w:t>期环</w:t>
            </w:r>
          </w:p>
          <w:p w14:paraId="0D2A005D">
            <w:pPr>
              <w:adjustRightInd w:val="0"/>
              <w:snapToGrid w:val="0"/>
              <w:spacing w:line="360" w:lineRule="auto"/>
              <w:jc w:val="center"/>
              <w:rPr>
                <w:bCs/>
                <w:color w:val="auto"/>
                <w:sz w:val="24"/>
              </w:rPr>
            </w:pPr>
            <w:r>
              <w:rPr>
                <w:bCs/>
                <w:color w:val="auto"/>
                <w:sz w:val="24"/>
              </w:rPr>
              <w:t>境影</w:t>
            </w:r>
          </w:p>
          <w:p w14:paraId="23D372A5">
            <w:pPr>
              <w:adjustRightInd w:val="0"/>
              <w:snapToGrid w:val="0"/>
              <w:spacing w:line="360" w:lineRule="auto"/>
              <w:jc w:val="center"/>
              <w:rPr>
                <w:bCs/>
                <w:color w:val="auto"/>
                <w:sz w:val="24"/>
              </w:rPr>
            </w:pPr>
            <w:r>
              <w:rPr>
                <w:bCs/>
                <w:color w:val="auto"/>
                <w:sz w:val="24"/>
              </w:rPr>
              <w:t>响和</w:t>
            </w:r>
          </w:p>
          <w:p w14:paraId="79783B20">
            <w:pPr>
              <w:adjustRightInd w:val="0"/>
              <w:snapToGrid w:val="0"/>
              <w:spacing w:line="360" w:lineRule="auto"/>
              <w:jc w:val="center"/>
              <w:rPr>
                <w:bCs/>
                <w:color w:val="auto"/>
                <w:sz w:val="24"/>
              </w:rPr>
            </w:pPr>
            <w:r>
              <w:rPr>
                <w:bCs/>
                <w:color w:val="auto"/>
                <w:sz w:val="24"/>
              </w:rPr>
              <w:t>保护</w:t>
            </w:r>
          </w:p>
          <w:p w14:paraId="2B1E27ED">
            <w:pPr>
              <w:spacing w:line="360" w:lineRule="auto"/>
              <w:jc w:val="center"/>
              <w:rPr>
                <w:color w:val="auto"/>
              </w:rPr>
            </w:pPr>
            <w:r>
              <w:rPr>
                <w:bCs/>
                <w:color w:val="auto"/>
                <w:sz w:val="24"/>
              </w:rPr>
              <w:t>措施</w:t>
            </w:r>
          </w:p>
        </w:tc>
        <w:tc>
          <w:tcPr>
            <w:tcW w:w="4714" w:type="pct"/>
          </w:tcPr>
          <w:p w14:paraId="743058BB">
            <w:pPr>
              <w:spacing w:line="360" w:lineRule="auto"/>
              <w:ind w:firstLine="482" w:firstLineChars="200"/>
              <w:rPr>
                <w:b/>
                <w:bCs/>
                <w:color w:val="auto"/>
                <w:kern w:val="0"/>
                <w:sz w:val="24"/>
                <w:szCs w:val="20"/>
              </w:rPr>
            </w:pPr>
            <w:r>
              <w:rPr>
                <w:b/>
                <w:bCs/>
                <w:color w:val="auto"/>
                <w:kern w:val="0"/>
                <w:sz w:val="24"/>
                <w:szCs w:val="20"/>
              </w:rPr>
              <w:t>1、废气</w:t>
            </w:r>
          </w:p>
          <w:p w14:paraId="5ACEB0B2">
            <w:pPr>
              <w:spacing w:line="360" w:lineRule="auto"/>
              <w:ind w:firstLine="480" w:firstLineChars="200"/>
              <w:rPr>
                <w:color w:val="auto"/>
                <w:sz w:val="24"/>
                <w:szCs w:val="22"/>
              </w:rPr>
            </w:pPr>
            <w:r>
              <w:rPr>
                <w:rFonts w:hint="eastAsia"/>
                <w:color w:val="auto"/>
                <w:sz w:val="24"/>
                <w:szCs w:val="22"/>
                <w:lang w:val="en-US" w:eastAsia="zh-CN"/>
              </w:rPr>
              <w:t>本项目</w:t>
            </w:r>
            <w:r>
              <w:rPr>
                <w:color w:val="auto"/>
                <w:sz w:val="24"/>
                <w:szCs w:val="22"/>
              </w:rPr>
              <w:t>运营期</w:t>
            </w:r>
            <w:r>
              <w:rPr>
                <w:rFonts w:hint="eastAsia"/>
                <w:color w:val="auto"/>
                <w:sz w:val="24"/>
                <w:szCs w:val="22"/>
                <w:lang w:val="en-US" w:eastAsia="zh-CN"/>
              </w:rPr>
              <w:t>生产工艺主要为打磨粉尘、喷砂粉尘</w:t>
            </w:r>
            <w:r>
              <w:rPr>
                <w:color w:val="auto"/>
                <w:sz w:val="24"/>
                <w:szCs w:val="22"/>
              </w:rPr>
              <w:t>。</w:t>
            </w:r>
          </w:p>
          <w:p w14:paraId="7DBFB667">
            <w:pPr>
              <w:spacing w:line="360" w:lineRule="auto"/>
              <w:ind w:firstLine="480" w:firstLineChars="200"/>
              <w:rPr>
                <w:rFonts w:hint="default" w:ascii="Times New Roman" w:hAnsi="Times New Roman" w:eastAsia="宋体" w:cs="Times New Roman"/>
                <w:color w:val="auto"/>
                <w:sz w:val="24"/>
                <w:szCs w:val="22"/>
              </w:rPr>
            </w:pPr>
            <w:r>
              <w:rPr>
                <w:rFonts w:hint="default" w:ascii="Times New Roman" w:hAnsi="Times New Roman" w:eastAsia="宋体" w:cs="Times New Roman"/>
                <w:color w:val="auto"/>
                <w:sz w:val="24"/>
                <w:szCs w:val="22"/>
              </w:rPr>
              <w:t>（1）废气污染物产排情况</w:t>
            </w:r>
          </w:p>
          <w:p w14:paraId="53376942">
            <w:pPr>
              <w:spacing w:line="360" w:lineRule="auto"/>
              <w:ind w:firstLine="480" w:firstLineChars="200"/>
              <w:rPr>
                <w:rFonts w:hint="eastAsia" w:eastAsia="宋体"/>
                <w:b/>
                <w:bCs/>
                <w:color w:val="auto"/>
                <w:kern w:val="0"/>
                <w:sz w:val="24"/>
                <w:szCs w:val="20"/>
                <w:lang w:eastAsia="zh-CN"/>
              </w:rPr>
            </w:pPr>
            <w:r>
              <w:rPr>
                <w:rFonts w:hint="default" w:ascii="Times New Roman" w:hAnsi="Times New Roman" w:eastAsia="宋体" w:cs="Times New Roman"/>
                <w:color w:val="auto"/>
                <w:kern w:val="0"/>
                <w:sz w:val="24"/>
                <w:lang w:bidi="en-US"/>
              </w:rPr>
              <w:t>根据源强核算，项目废气产排情况见表</w:t>
            </w:r>
            <w:r>
              <w:rPr>
                <w:rFonts w:hint="eastAsia" w:cs="Times New Roman"/>
                <w:color w:val="auto"/>
                <w:kern w:val="0"/>
                <w:sz w:val="24"/>
                <w:lang w:val="en-US" w:eastAsia="zh-CN" w:bidi="en-US"/>
              </w:rPr>
              <w:t>4-1</w:t>
            </w:r>
            <w:r>
              <w:rPr>
                <w:rFonts w:hint="default" w:ascii="Times New Roman" w:hAnsi="Times New Roman" w:eastAsia="宋体" w:cs="Times New Roman"/>
                <w:color w:val="auto"/>
                <w:kern w:val="0"/>
                <w:sz w:val="24"/>
                <w:lang w:bidi="en-US"/>
              </w:rPr>
              <w:t>。</w:t>
            </w:r>
          </w:p>
          <w:p w14:paraId="33998E5B">
            <w:pPr>
              <w:autoSpaceDE w:val="0"/>
              <w:autoSpaceDN w:val="0"/>
              <w:spacing w:line="240" w:lineRule="auto"/>
              <w:jc w:val="center"/>
              <w:rPr>
                <w:rFonts w:hint="default" w:ascii="Times New Roman" w:hAnsi="Times New Roman" w:eastAsia="宋体" w:cs="Times New Roman"/>
                <w:b/>
                <w:color w:val="auto"/>
                <w:szCs w:val="21"/>
              </w:rPr>
            </w:pPr>
            <w:r>
              <w:rPr>
                <w:rFonts w:hint="default" w:ascii="Times New Roman" w:hAnsi="Times New Roman" w:eastAsia="宋体" w:cs="Times New Roman"/>
                <w:b/>
                <w:color w:val="auto"/>
                <w:szCs w:val="21"/>
              </w:rPr>
              <w:t>表</w:t>
            </w:r>
            <w:r>
              <w:rPr>
                <w:rFonts w:hint="eastAsia" w:cs="Times New Roman"/>
                <w:b/>
                <w:color w:val="auto"/>
                <w:szCs w:val="21"/>
                <w:lang w:val="en-US" w:eastAsia="zh-CN"/>
              </w:rPr>
              <w:t xml:space="preserve">4-1   </w:t>
            </w:r>
            <w:r>
              <w:rPr>
                <w:rFonts w:hint="default" w:ascii="Times New Roman" w:hAnsi="Times New Roman" w:eastAsia="宋体" w:cs="Times New Roman"/>
                <w:b/>
                <w:color w:val="auto"/>
                <w:szCs w:val="21"/>
              </w:rPr>
              <w:t>项目废气产排情况一览表</w:t>
            </w:r>
          </w:p>
          <w:tbl>
            <w:tblPr>
              <w:tblStyle w:val="17"/>
              <w:tblW w:w="8340" w:type="dxa"/>
              <w:jc w:val="center"/>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0" w:type="dxa"/>
                <w:bottom w:w="0" w:type="dxa"/>
                <w:right w:w="0" w:type="dxa"/>
              </w:tblCellMar>
            </w:tblPr>
            <w:tblGrid>
              <w:gridCol w:w="307"/>
              <w:gridCol w:w="465"/>
              <w:gridCol w:w="517"/>
              <w:gridCol w:w="550"/>
              <w:gridCol w:w="733"/>
              <w:gridCol w:w="817"/>
              <w:gridCol w:w="466"/>
              <w:gridCol w:w="984"/>
              <w:gridCol w:w="516"/>
              <w:gridCol w:w="967"/>
              <w:gridCol w:w="667"/>
              <w:gridCol w:w="680"/>
              <w:gridCol w:w="671"/>
            </w:tblGrid>
            <w:tr w14:paraId="00AC41E2">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0" w:type="dxa"/>
                  <w:bottom w:w="0" w:type="dxa"/>
                  <w:right w:w="0" w:type="dxa"/>
                </w:tblCellMar>
              </w:tblPrEx>
              <w:trPr>
                <w:trHeight w:val="278" w:hRule="atLeast"/>
                <w:jc w:val="center"/>
              </w:trPr>
              <w:tc>
                <w:tcPr>
                  <w:tcW w:w="307" w:type="dxa"/>
                  <w:vMerge w:val="restart"/>
                  <w:noWrap w:val="0"/>
                  <w:vAlign w:val="center"/>
                </w:tcPr>
                <w:p w14:paraId="511A60E8">
                  <w:pPr>
                    <w:keepNext w:val="0"/>
                    <w:keepLines w:val="0"/>
                    <w:pageBreakBefore w:val="0"/>
                    <w:widowControl/>
                    <w:kinsoku/>
                    <w:wordWrap w:val="0"/>
                    <w:overflowPunct/>
                    <w:topLinePunct w:val="0"/>
                    <w:autoSpaceDE/>
                    <w:autoSpaceDN/>
                    <w:bidi w:val="0"/>
                    <w:adjustRightInd w:val="0"/>
                    <w:snapToGrid w:val="0"/>
                    <w:ind w:left="0" w:leftChars="0" w:right="0" w:rightChars="0"/>
                    <w:jc w:val="center"/>
                    <w:rPr>
                      <w:rFonts w:hint="default" w:ascii="Times New Roman" w:hAnsi="Times New Roman" w:eastAsia="宋体" w:cs="Times New Roman"/>
                      <w:color w:val="auto"/>
                      <w:kern w:val="0"/>
                      <w:sz w:val="21"/>
                      <w:szCs w:val="21"/>
                      <w:lang w:bidi="en-US"/>
                    </w:rPr>
                  </w:pPr>
                  <w:r>
                    <w:rPr>
                      <w:rFonts w:hint="default" w:ascii="Times New Roman" w:hAnsi="Times New Roman" w:eastAsia="宋体" w:cs="Times New Roman"/>
                      <w:color w:val="auto"/>
                      <w:kern w:val="0"/>
                      <w:sz w:val="21"/>
                      <w:szCs w:val="21"/>
                      <w:lang w:bidi="en-US"/>
                    </w:rPr>
                    <w:t>序号</w:t>
                  </w:r>
                </w:p>
              </w:tc>
              <w:tc>
                <w:tcPr>
                  <w:tcW w:w="465" w:type="dxa"/>
                  <w:vMerge w:val="restart"/>
                  <w:noWrap w:val="0"/>
                  <w:vAlign w:val="center"/>
                </w:tcPr>
                <w:p w14:paraId="4B49E1F2">
                  <w:pPr>
                    <w:keepNext w:val="0"/>
                    <w:keepLines w:val="0"/>
                    <w:pageBreakBefore w:val="0"/>
                    <w:widowControl/>
                    <w:kinsoku/>
                    <w:wordWrap w:val="0"/>
                    <w:overflowPunct/>
                    <w:topLinePunct w:val="0"/>
                    <w:autoSpaceDE/>
                    <w:autoSpaceDN/>
                    <w:bidi w:val="0"/>
                    <w:adjustRightInd w:val="0"/>
                    <w:snapToGrid w:val="0"/>
                    <w:ind w:left="0" w:leftChars="0" w:right="0" w:rightChars="0"/>
                    <w:jc w:val="center"/>
                    <w:rPr>
                      <w:rFonts w:hint="default" w:ascii="Times New Roman" w:hAnsi="Times New Roman" w:eastAsia="宋体" w:cs="Times New Roman"/>
                      <w:color w:val="auto"/>
                      <w:kern w:val="0"/>
                      <w:sz w:val="21"/>
                      <w:szCs w:val="21"/>
                      <w:lang w:bidi="en-US"/>
                    </w:rPr>
                  </w:pPr>
                  <w:r>
                    <w:rPr>
                      <w:rFonts w:hint="default" w:ascii="Times New Roman" w:hAnsi="Times New Roman" w:eastAsia="宋体" w:cs="Times New Roman"/>
                      <w:color w:val="auto"/>
                      <w:kern w:val="0"/>
                      <w:sz w:val="21"/>
                      <w:szCs w:val="21"/>
                      <w:lang w:bidi="en-US"/>
                    </w:rPr>
                    <w:t>产污环节</w:t>
                  </w:r>
                </w:p>
              </w:tc>
              <w:tc>
                <w:tcPr>
                  <w:tcW w:w="517" w:type="dxa"/>
                  <w:vMerge w:val="restart"/>
                  <w:noWrap w:val="0"/>
                  <w:vAlign w:val="center"/>
                </w:tcPr>
                <w:p w14:paraId="6447472C">
                  <w:pPr>
                    <w:keepNext w:val="0"/>
                    <w:keepLines w:val="0"/>
                    <w:pageBreakBefore w:val="0"/>
                    <w:widowControl/>
                    <w:kinsoku/>
                    <w:wordWrap w:val="0"/>
                    <w:overflowPunct/>
                    <w:topLinePunct w:val="0"/>
                    <w:autoSpaceDE/>
                    <w:autoSpaceDN/>
                    <w:bidi w:val="0"/>
                    <w:adjustRightInd w:val="0"/>
                    <w:snapToGrid w:val="0"/>
                    <w:ind w:left="0" w:leftChars="0" w:right="0" w:rightChars="0"/>
                    <w:jc w:val="center"/>
                    <w:rPr>
                      <w:rFonts w:hint="default" w:ascii="Times New Roman" w:hAnsi="Times New Roman" w:eastAsia="宋体" w:cs="Times New Roman"/>
                      <w:color w:val="auto"/>
                      <w:kern w:val="0"/>
                      <w:sz w:val="21"/>
                      <w:szCs w:val="21"/>
                      <w:lang w:bidi="en-US"/>
                    </w:rPr>
                  </w:pPr>
                  <w:r>
                    <w:rPr>
                      <w:rFonts w:hint="default" w:ascii="Times New Roman" w:hAnsi="Times New Roman" w:eastAsia="宋体" w:cs="Times New Roman"/>
                      <w:color w:val="auto"/>
                      <w:kern w:val="0"/>
                      <w:sz w:val="21"/>
                      <w:szCs w:val="21"/>
                      <w:lang w:bidi="en-US"/>
                    </w:rPr>
                    <w:t>污染物</w:t>
                  </w:r>
                </w:p>
              </w:tc>
              <w:tc>
                <w:tcPr>
                  <w:tcW w:w="550" w:type="dxa"/>
                  <w:vMerge w:val="restart"/>
                  <w:noWrap w:val="0"/>
                  <w:vAlign w:val="center"/>
                </w:tcPr>
                <w:p w14:paraId="47065148">
                  <w:pPr>
                    <w:keepNext w:val="0"/>
                    <w:keepLines w:val="0"/>
                    <w:pageBreakBefore w:val="0"/>
                    <w:widowControl/>
                    <w:kinsoku/>
                    <w:wordWrap w:val="0"/>
                    <w:overflowPunct/>
                    <w:topLinePunct w:val="0"/>
                    <w:autoSpaceDE/>
                    <w:autoSpaceDN/>
                    <w:bidi w:val="0"/>
                    <w:adjustRightInd w:val="0"/>
                    <w:snapToGrid w:val="0"/>
                    <w:ind w:left="0" w:leftChars="0" w:right="0" w:rightChars="0"/>
                    <w:jc w:val="center"/>
                    <w:rPr>
                      <w:rFonts w:hint="eastAsia" w:ascii="Times New Roman" w:hAnsi="Times New Roman" w:eastAsia="宋体" w:cs="Times New Roman"/>
                      <w:color w:val="auto"/>
                      <w:kern w:val="0"/>
                      <w:sz w:val="21"/>
                      <w:szCs w:val="21"/>
                      <w:lang w:eastAsia="zh-CN" w:bidi="en-US"/>
                    </w:rPr>
                  </w:pPr>
                  <w:r>
                    <w:rPr>
                      <w:rFonts w:hint="default" w:ascii="Times New Roman" w:hAnsi="Times New Roman" w:eastAsia="宋体" w:cs="Times New Roman"/>
                      <w:color w:val="auto"/>
                      <w:kern w:val="0"/>
                      <w:sz w:val="21"/>
                      <w:szCs w:val="21"/>
                      <w:lang w:bidi="en-US"/>
                    </w:rPr>
                    <w:t>产生量</w:t>
                  </w:r>
                  <w:r>
                    <w:rPr>
                      <w:rFonts w:hint="eastAsia" w:cs="Times New Roman"/>
                      <w:color w:val="auto"/>
                      <w:kern w:val="0"/>
                      <w:sz w:val="21"/>
                      <w:szCs w:val="21"/>
                      <w:lang w:eastAsia="zh-CN" w:bidi="en-US"/>
                    </w:rPr>
                    <w:t>（</w:t>
                  </w:r>
                  <w:r>
                    <w:rPr>
                      <w:rFonts w:hint="default" w:ascii="Times New Roman" w:hAnsi="Times New Roman" w:eastAsia="宋体" w:cs="Times New Roman"/>
                      <w:color w:val="auto"/>
                      <w:kern w:val="0"/>
                      <w:sz w:val="21"/>
                      <w:szCs w:val="21"/>
                      <w:lang w:bidi="en-US"/>
                    </w:rPr>
                    <w:t>t/a</w:t>
                  </w:r>
                  <w:r>
                    <w:rPr>
                      <w:rFonts w:hint="eastAsia" w:cs="Times New Roman"/>
                      <w:color w:val="auto"/>
                      <w:kern w:val="0"/>
                      <w:sz w:val="21"/>
                      <w:szCs w:val="21"/>
                      <w:lang w:eastAsia="zh-CN" w:bidi="en-US"/>
                    </w:rPr>
                    <w:t>）</w:t>
                  </w:r>
                </w:p>
              </w:tc>
              <w:tc>
                <w:tcPr>
                  <w:tcW w:w="733" w:type="dxa"/>
                  <w:vMerge w:val="restart"/>
                  <w:noWrap w:val="0"/>
                  <w:vAlign w:val="center"/>
                </w:tcPr>
                <w:p w14:paraId="0FE4F5DA">
                  <w:pPr>
                    <w:keepNext w:val="0"/>
                    <w:keepLines w:val="0"/>
                    <w:pageBreakBefore w:val="0"/>
                    <w:widowControl/>
                    <w:kinsoku/>
                    <w:wordWrap w:val="0"/>
                    <w:overflowPunct/>
                    <w:topLinePunct w:val="0"/>
                    <w:autoSpaceDE/>
                    <w:autoSpaceDN/>
                    <w:bidi w:val="0"/>
                    <w:adjustRightInd w:val="0"/>
                    <w:snapToGrid w:val="0"/>
                    <w:ind w:left="0" w:leftChars="0" w:right="0" w:rightChars="0"/>
                    <w:jc w:val="center"/>
                    <w:rPr>
                      <w:rFonts w:hint="default" w:ascii="Times New Roman" w:hAnsi="Times New Roman" w:eastAsia="宋体" w:cs="Times New Roman"/>
                      <w:color w:val="auto"/>
                      <w:kern w:val="0"/>
                      <w:sz w:val="21"/>
                      <w:szCs w:val="21"/>
                      <w:lang w:val="en-US" w:eastAsia="zh-CN" w:bidi="en-US"/>
                    </w:rPr>
                  </w:pPr>
                  <w:r>
                    <w:rPr>
                      <w:rFonts w:hint="eastAsia" w:cs="Times New Roman"/>
                      <w:color w:val="auto"/>
                      <w:kern w:val="0"/>
                      <w:sz w:val="21"/>
                      <w:szCs w:val="21"/>
                      <w:lang w:val="en-US" w:eastAsia="zh-CN" w:bidi="en-US"/>
                    </w:rPr>
                    <w:t>产生速率（kg/h）</w:t>
                  </w:r>
                </w:p>
              </w:tc>
              <w:tc>
                <w:tcPr>
                  <w:tcW w:w="817" w:type="dxa"/>
                  <w:vMerge w:val="restart"/>
                  <w:noWrap w:val="0"/>
                  <w:vAlign w:val="center"/>
                </w:tcPr>
                <w:p w14:paraId="63BE9646">
                  <w:pPr>
                    <w:keepNext w:val="0"/>
                    <w:keepLines w:val="0"/>
                    <w:pageBreakBefore w:val="0"/>
                    <w:widowControl/>
                    <w:kinsoku/>
                    <w:wordWrap w:val="0"/>
                    <w:overflowPunct/>
                    <w:topLinePunct w:val="0"/>
                    <w:autoSpaceDE/>
                    <w:autoSpaceDN/>
                    <w:bidi w:val="0"/>
                    <w:adjustRightInd w:val="0"/>
                    <w:snapToGrid w:val="0"/>
                    <w:ind w:left="0" w:leftChars="0" w:right="0" w:rightChars="0"/>
                    <w:jc w:val="center"/>
                    <w:rPr>
                      <w:rFonts w:hint="default" w:ascii="Times New Roman" w:hAnsi="Times New Roman" w:eastAsia="宋体" w:cs="Times New Roman"/>
                      <w:color w:val="auto"/>
                      <w:kern w:val="0"/>
                      <w:sz w:val="21"/>
                      <w:szCs w:val="21"/>
                      <w:lang w:bidi="en-US"/>
                    </w:rPr>
                  </w:pPr>
                  <w:r>
                    <w:rPr>
                      <w:rFonts w:hint="default" w:ascii="Times New Roman" w:hAnsi="Times New Roman" w:eastAsia="宋体" w:cs="Times New Roman"/>
                      <w:color w:val="auto"/>
                      <w:kern w:val="0"/>
                      <w:sz w:val="21"/>
                      <w:szCs w:val="21"/>
                      <w:lang w:bidi="en-US"/>
                    </w:rPr>
                    <w:t>产生浓度（mg/m</w:t>
                  </w:r>
                  <w:r>
                    <w:rPr>
                      <w:rFonts w:hint="default" w:ascii="Times New Roman" w:hAnsi="Times New Roman" w:eastAsia="宋体" w:cs="Times New Roman"/>
                      <w:color w:val="auto"/>
                      <w:kern w:val="0"/>
                      <w:sz w:val="21"/>
                      <w:szCs w:val="21"/>
                      <w:vertAlign w:val="superscript"/>
                      <w:lang w:bidi="en-US"/>
                    </w:rPr>
                    <w:t>3</w:t>
                  </w:r>
                  <w:r>
                    <w:rPr>
                      <w:rFonts w:hint="default" w:ascii="Times New Roman" w:hAnsi="Times New Roman" w:eastAsia="宋体" w:cs="Times New Roman"/>
                      <w:color w:val="auto"/>
                      <w:kern w:val="0"/>
                      <w:sz w:val="21"/>
                      <w:szCs w:val="21"/>
                      <w:lang w:bidi="en-US"/>
                    </w:rPr>
                    <w:t>）</w:t>
                  </w:r>
                </w:p>
              </w:tc>
              <w:tc>
                <w:tcPr>
                  <w:tcW w:w="466" w:type="dxa"/>
                  <w:vMerge w:val="restart"/>
                  <w:noWrap w:val="0"/>
                  <w:vAlign w:val="center"/>
                </w:tcPr>
                <w:p w14:paraId="70000333">
                  <w:pPr>
                    <w:keepNext w:val="0"/>
                    <w:keepLines w:val="0"/>
                    <w:pageBreakBefore w:val="0"/>
                    <w:widowControl/>
                    <w:kinsoku/>
                    <w:wordWrap w:val="0"/>
                    <w:overflowPunct/>
                    <w:topLinePunct w:val="0"/>
                    <w:autoSpaceDE/>
                    <w:autoSpaceDN/>
                    <w:bidi w:val="0"/>
                    <w:adjustRightInd w:val="0"/>
                    <w:snapToGrid w:val="0"/>
                    <w:ind w:left="0" w:leftChars="0" w:right="0" w:rightChars="0"/>
                    <w:jc w:val="center"/>
                    <w:rPr>
                      <w:rFonts w:hint="default" w:ascii="Times New Roman" w:hAnsi="Times New Roman" w:eastAsia="宋体" w:cs="Times New Roman"/>
                      <w:color w:val="auto"/>
                      <w:kern w:val="0"/>
                      <w:sz w:val="21"/>
                      <w:szCs w:val="21"/>
                      <w:lang w:bidi="en-US"/>
                    </w:rPr>
                  </w:pPr>
                  <w:r>
                    <w:rPr>
                      <w:rFonts w:hint="default" w:ascii="Times New Roman" w:hAnsi="Times New Roman" w:eastAsia="宋体" w:cs="Times New Roman"/>
                      <w:color w:val="auto"/>
                      <w:kern w:val="0"/>
                      <w:sz w:val="21"/>
                      <w:szCs w:val="21"/>
                      <w:lang w:bidi="en-US"/>
                    </w:rPr>
                    <w:t>排放形式</w:t>
                  </w:r>
                </w:p>
              </w:tc>
              <w:tc>
                <w:tcPr>
                  <w:tcW w:w="2467" w:type="dxa"/>
                  <w:gridSpan w:val="3"/>
                  <w:noWrap w:val="0"/>
                  <w:vAlign w:val="center"/>
                </w:tcPr>
                <w:p w14:paraId="6AAA18A7">
                  <w:pPr>
                    <w:keepNext w:val="0"/>
                    <w:keepLines w:val="0"/>
                    <w:pageBreakBefore w:val="0"/>
                    <w:widowControl/>
                    <w:kinsoku/>
                    <w:wordWrap w:val="0"/>
                    <w:overflowPunct/>
                    <w:topLinePunct w:val="0"/>
                    <w:autoSpaceDE/>
                    <w:autoSpaceDN/>
                    <w:bidi w:val="0"/>
                    <w:adjustRightInd w:val="0"/>
                    <w:snapToGrid w:val="0"/>
                    <w:ind w:left="0" w:leftChars="0" w:right="0" w:rightChars="0"/>
                    <w:jc w:val="center"/>
                    <w:rPr>
                      <w:rFonts w:hint="default" w:ascii="Times New Roman" w:hAnsi="Times New Roman" w:eastAsia="宋体" w:cs="Times New Roman"/>
                      <w:color w:val="auto"/>
                      <w:kern w:val="0"/>
                      <w:sz w:val="21"/>
                      <w:szCs w:val="21"/>
                      <w:lang w:bidi="en-US"/>
                    </w:rPr>
                  </w:pPr>
                  <w:r>
                    <w:rPr>
                      <w:rFonts w:hint="default" w:ascii="Times New Roman" w:hAnsi="Times New Roman" w:eastAsia="宋体" w:cs="Times New Roman"/>
                      <w:color w:val="auto"/>
                      <w:kern w:val="0"/>
                      <w:sz w:val="21"/>
                      <w:szCs w:val="21"/>
                      <w:lang w:bidi="en-US"/>
                    </w:rPr>
                    <w:t>收集治理设施</w:t>
                  </w:r>
                </w:p>
              </w:tc>
              <w:tc>
                <w:tcPr>
                  <w:tcW w:w="667" w:type="dxa"/>
                  <w:vMerge w:val="restart"/>
                  <w:noWrap w:val="0"/>
                  <w:vAlign w:val="center"/>
                </w:tcPr>
                <w:p w14:paraId="5B59C06B">
                  <w:pPr>
                    <w:keepNext w:val="0"/>
                    <w:keepLines w:val="0"/>
                    <w:pageBreakBefore w:val="0"/>
                    <w:widowControl/>
                    <w:kinsoku/>
                    <w:wordWrap w:val="0"/>
                    <w:overflowPunct/>
                    <w:topLinePunct w:val="0"/>
                    <w:autoSpaceDE/>
                    <w:autoSpaceDN/>
                    <w:bidi w:val="0"/>
                    <w:adjustRightInd w:val="0"/>
                    <w:snapToGrid w:val="0"/>
                    <w:ind w:left="0" w:leftChars="0" w:right="0" w:rightChars="0"/>
                    <w:jc w:val="center"/>
                    <w:rPr>
                      <w:rFonts w:hint="default" w:ascii="Times New Roman" w:hAnsi="Times New Roman" w:eastAsia="宋体" w:cs="Times New Roman"/>
                      <w:color w:val="auto"/>
                      <w:kern w:val="0"/>
                      <w:sz w:val="21"/>
                      <w:szCs w:val="21"/>
                      <w:lang w:bidi="en-US"/>
                    </w:rPr>
                  </w:pPr>
                  <w:r>
                    <w:rPr>
                      <w:rFonts w:hint="default" w:ascii="Times New Roman" w:hAnsi="Times New Roman" w:eastAsia="宋体" w:cs="Times New Roman"/>
                      <w:color w:val="auto"/>
                      <w:kern w:val="0"/>
                      <w:sz w:val="21"/>
                      <w:szCs w:val="21"/>
                      <w:lang w:bidi="en-US"/>
                    </w:rPr>
                    <w:t>排放量</w:t>
                  </w:r>
                  <w:r>
                    <w:rPr>
                      <w:rFonts w:hint="eastAsia" w:cs="Times New Roman"/>
                      <w:color w:val="auto"/>
                      <w:kern w:val="0"/>
                      <w:sz w:val="21"/>
                      <w:szCs w:val="21"/>
                      <w:lang w:eastAsia="zh-CN" w:bidi="en-US"/>
                    </w:rPr>
                    <w:t>（</w:t>
                  </w:r>
                  <w:r>
                    <w:rPr>
                      <w:rFonts w:hint="default" w:ascii="Times New Roman" w:hAnsi="Times New Roman" w:eastAsia="宋体" w:cs="Times New Roman"/>
                      <w:color w:val="auto"/>
                      <w:kern w:val="0"/>
                      <w:sz w:val="21"/>
                      <w:szCs w:val="21"/>
                      <w:lang w:bidi="en-US"/>
                    </w:rPr>
                    <w:t>t/a</w:t>
                  </w:r>
                  <w:r>
                    <w:rPr>
                      <w:rFonts w:hint="eastAsia" w:cs="Times New Roman"/>
                      <w:color w:val="auto"/>
                      <w:kern w:val="0"/>
                      <w:sz w:val="21"/>
                      <w:szCs w:val="21"/>
                      <w:lang w:eastAsia="zh-CN" w:bidi="en-US"/>
                    </w:rPr>
                    <w:t>）</w:t>
                  </w:r>
                </w:p>
              </w:tc>
              <w:tc>
                <w:tcPr>
                  <w:tcW w:w="680" w:type="dxa"/>
                  <w:vMerge w:val="restart"/>
                  <w:noWrap w:val="0"/>
                  <w:vAlign w:val="center"/>
                </w:tcPr>
                <w:p w14:paraId="7C35F6B5">
                  <w:pPr>
                    <w:keepNext w:val="0"/>
                    <w:keepLines w:val="0"/>
                    <w:pageBreakBefore w:val="0"/>
                    <w:widowControl/>
                    <w:kinsoku/>
                    <w:wordWrap w:val="0"/>
                    <w:overflowPunct/>
                    <w:topLinePunct w:val="0"/>
                    <w:autoSpaceDE/>
                    <w:autoSpaceDN/>
                    <w:bidi w:val="0"/>
                    <w:adjustRightInd w:val="0"/>
                    <w:snapToGrid w:val="0"/>
                    <w:ind w:left="0" w:leftChars="0" w:right="0" w:rightChars="0"/>
                    <w:jc w:val="center"/>
                    <w:rPr>
                      <w:rFonts w:hint="default" w:ascii="Times New Roman" w:hAnsi="Times New Roman" w:eastAsia="宋体" w:cs="Times New Roman"/>
                      <w:color w:val="auto"/>
                      <w:kern w:val="0"/>
                      <w:sz w:val="21"/>
                      <w:szCs w:val="21"/>
                      <w:lang w:bidi="en-US"/>
                    </w:rPr>
                  </w:pPr>
                  <w:r>
                    <w:rPr>
                      <w:rFonts w:hint="default" w:ascii="Times New Roman" w:hAnsi="Times New Roman" w:eastAsia="宋体" w:cs="Times New Roman"/>
                      <w:color w:val="auto"/>
                      <w:kern w:val="0"/>
                      <w:sz w:val="21"/>
                      <w:szCs w:val="21"/>
                      <w:lang w:bidi="en-US"/>
                    </w:rPr>
                    <w:t>排放速率（kg/h）</w:t>
                  </w:r>
                </w:p>
              </w:tc>
              <w:tc>
                <w:tcPr>
                  <w:tcW w:w="671" w:type="dxa"/>
                  <w:vMerge w:val="restart"/>
                  <w:noWrap w:val="0"/>
                  <w:vAlign w:val="center"/>
                </w:tcPr>
                <w:p w14:paraId="0576679D">
                  <w:pPr>
                    <w:keepNext w:val="0"/>
                    <w:keepLines w:val="0"/>
                    <w:pageBreakBefore w:val="0"/>
                    <w:widowControl/>
                    <w:kinsoku/>
                    <w:wordWrap w:val="0"/>
                    <w:overflowPunct/>
                    <w:topLinePunct w:val="0"/>
                    <w:autoSpaceDE/>
                    <w:autoSpaceDN/>
                    <w:bidi w:val="0"/>
                    <w:adjustRightInd w:val="0"/>
                    <w:snapToGrid w:val="0"/>
                    <w:ind w:left="0" w:leftChars="0" w:right="0" w:rightChars="0"/>
                    <w:jc w:val="center"/>
                    <w:rPr>
                      <w:rFonts w:hint="default" w:ascii="Times New Roman" w:hAnsi="Times New Roman" w:eastAsia="宋体" w:cs="Times New Roman"/>
                      <w:color w:val="auto"/>
                      <w:kern w:val="0"/>
                      <w:sz w:val="21"/>
                      <w:szCs w:val="21"/>
                      <w:lang w:bidi="en-US"/>
                    </w:rPr>
                  </w:pPr>
                  <w:r>
                    <w:rPr>
                      <w:rFonts w:hint="default" w:ascii="Times New Roman" w:hAnsi="Times New Roman" w:eastAsia="宋体" w:cs="Times New Roman"/>
                      <w:color w:val="auto"/>
                      <w:kern w:val="0"/>
                      <w:sz w:val="21"/>
                      <w:szCs w:val="21"/>
                      <w:lang w:bidi="en-US"/>
                    </w:rPr>
                    <w:t>排放浓度（mg/m</w:t>
                  </w:r>
                  <w:r>
                    <w:rPr>
                      <w:rFonts w:hint="default" w:ascii="Times New Roman" w:hAnsi="Times New Roman" w:eastAsia="宋体" w:cs="Times New Roman"/>
                      <w:color w:val="auto"/>
                      <w:kern w:val="0"/>
                      <w:sz w:val="21"/>
                      <w:szCs w:val="21"/>
                      <w:vertAlign w:val="superscript"/>
                      <w:lang w:bidi="en-US"/>
                    </w:rPr>
                    <w:t>3</w:t>
                  </w:r>
                  <w:r>
                    <w:rPr>
                      <w:rFonts w:hint="default" w:ascii="Times New Roman" w:hAnsi="Times New Roman" w:eastAsia="宋体" w:cs="Times New Roman"/>
                      <w:color w:val="auto"/>
                      <w:kern w:val="0"/>
                      <w:sz w:val="21"/>
                      <w:szCs w:val="21"/>
                      <w:lang w:bidi="en-US"/>
                    </w:rPr>
                    <w:t>）</w:t>
                  </w:r>
                </w:p>
              </w:tc>
            </w:tr>
            <w:tr w14:paraId="5723427C">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0" w:type="dxa"/>
                  <w:bottom w:w="0" w:type="dxa"/>
                  <w:right w:w="0" w:type="dxa"/>
                </w:tblCellMar>
              </w:tblPrEx>
              <w:trPr>
                <w:trHeight w:val="551" w:hRule="atLeast"/>
                <w:jc w:val="center"/>
              </w:trPr>
              <w:tc>
                <w:tcPr>
                  <w:tcW w:w="307" w:type="dxa"/>
                  <w:vMerge w:val="continue"/>
                  <w:noWrap w:val="0"/>
                  <w:vAlign w:val="center"/>
                </w:tcPr>
                <w:p w14:paraId="70BB668D">
                  <w:pPr>
                    <w:keepNext w:val="0"/>
                    <w:keepLines w:val="0"/>
                    <w:pageBreakBefore w:val="0"/>
                    <w:widowControl/>
                    <w:kinsoku/>
                    <w:wordWrap w:val="0"/>
                    <w:overflowPunct/>
                    <w:topLinePunct w:val="0"/>
                    <w:autoSpaceDE/>
                    <w:autoSpaceDN/>
                    <w:bidi w:val="0"/>
                    <w:adjustRightInd w:val="0"/>
                    <w:snapToGrid w:val="0"/>
                    <w:ind w:left="0" w:leftChars="0" w:right="0" w:rightChars="0"/>
                    <w:jc w:val="center"/>
                    <w:rPr>
                      <w:rFonts w:hint="default" w:ascii="Times New Roman" w:hAnsi="Times New Roman" w:eastAsia="宋体" w:cs="Times New Roman"/>
                      <w:color w:val="auto"/>
                      <w:kern w:val="0"/>
                      <w:sz w:val="21"/>
                      <w:szCs w:val="21"/>
                      <w:lang w:bidi="en-US"/>
                    </w:rPr>
                  </w:pPr>
                </w:p>
              </w:tc>
              <w:tc>
                <w:tcPr>
                  <w:tcW w:w="465" w:type="dxa"/>
                  <w:vMerge w:val="continue"/>
                  <w:noWrap w:val="0"/>
                  <w:vAlign w:val="center"/>
                </w:tcPr>
                <w:p w14:paraId="167B3713">
                  <w:pPr>
                    <w:keepNext w:val="0"/>
                    <w:keepLines w:val="0"/>
                    <w:pageBreakBefore w:val="0"/>
                    <w:widowControl/>
                    <w:kinsoku/>
                    <w:wordWrap w:val="0"/>
                    <w:overflowPunct/>
                    <w:topLinePunct w:val="0"/>
                    <w:autoSpaceDE/>
                    <w:autoSpaceDN/>
                    <w:bidi w:val="0"/>
                    <w:adjustRightInd w:val="0"/>
                    <w:snapToGrid w:val="0"/>
                    <w:ind w:left="0" w:leftChars="0" w:right="0" w:rightChars="0"/>
                    <w:jc w:val="center"/>
                    <w:rPr>
                      <w:rFonts w:hint="default" w:ascii="Times New Roman" w:hAnsi="Times New Roman" w:eastAsia="宋体" w:cs="Times New Roman"/>
                      <w:color w:val="auto"/>
                      <w:kern w:val="0"/>
                      <w:sz w:val="21"/>
                      <w:szCs w:val="21"/>
                      <w:lang w:bidi="en-US"/>
                    </w:rPr>
                  </w:pPr>
                </w:p>
              </w:tc>
              <w:tc>
                <w:tcPr>
                  <w:tcW w:w="517" w:type="dxa"/>
                  <w:vMerge w:val="continue"/>
                  <w:noWrap w:val="0"/>
                  <w:vAlign w:val="center"/>
                </w:tcPr>
                <w:p w14:paraId="09E68F31">
                  <w:pPr>
                    <w:keepNext w:val="0"/>
                    <w:keepLines w:val="0"/>
                    <w:pageBreakBefore w:val="0"/>
                    <w:widowControl/>
                    <w:kinsoku/>
                    <w:wordWrap w:val="0"/>
                    <w:overflowPunct/>
                    <w:topLinePunct w:val="0"/>
                    <w:autoSpaceDE/>
                    <w:autoSpaceDN/>
                    <w:bidi w:val="0"/>
                    <w:adjustRightInd w:val="0"/>
                    <w:snapToGrid w:val="0"/>
                    <w:ind w:left="0" w:leftChars="0" w:right="0" w:rightChars="0"/>
                    <w:jc w:val="center"/>
                    <w:rPr>
                      <w:rFonts w:hint="default" w:ascii="Times New Roman" w:hAnsi="Times New Roman" w:eastAsia="宋体" w:cs="Times New Roman"/>
                      <w:color w:val="auto"/>
                      <w:kern w:val="0"/>
                      <w:sz w:val="21"/>
                      <w:szCs w:val="21"/>
                      <w:lang w:bidi="en-US"/>
                    </w:rPr>
                  </w:pPr>
                </w:p>
              </w:tc>
              <w:tc>
                <w:tcPr>
                  <w:tcW w:w="550" w:type="dxa"/>
                  <w:vMerge w:val="continue"/>
                  <w:noWrap w:val="0"/>
                  <w:vAlign w:val="center"/>
                </w:tcPr>
                <w:p w14:paraId="6D9D58AD">
                  <w:pPr>
                    <w:keepNext w:val="0"/>
                    <w:keepLines w:val="0"/>
                    <w:pageBreakBefore w:val="0"/>
                    <w:widowControl/>
                    <w:kinsoku/>
                    <w:wordWrap w:val="0"/>
                    <w:overflowPunct/>
                    <w:topLinePunct w:val="0"/>
                    <w:autoSpaceDE/>
                    <w:autoSpaceDN/>
                    <w:bidi w:val="0"/>
                    <w:adjustRightInd w:val="0"/>
                    <w:snapToGrid w:val="0"/>
                    <w:ind w:left="0" w:leftChars="0" w:right="0" w:rightChars="0"/>
                    <w:jc w:val="center"/>
                    <w:rPr>
                      <w:rFonts w:hint="default" w:ascii="Times New Roman" w:hAnsi="Times New Roman" w:eastAsia="宋体" w:cs="Times New Roman"/>
                      <w:color w:val="auto"/>
                      <w:kern w:val="0"/>
                      <w:sz w:val="21"/>
                      <w:szCs w:val="21"/>
                      <w:lang w:bidi="en-US"/>
                    </w:rPr>
                  </w:pPr>
                </w:p>
              </w:tc>
              <w:tc>
                <w:tcPr>
                  <w:tcW w:w="733" w:type="dxa"/>
                  <w:vMerge w:val="continue"/>
                  <w:noWrap w:val="0"/>
                  <w:vAlign w:val="center"/>
                </w:tcPr>
                <w:p w14:paraId="75DAB2B0">
                  <w:pPr>
                    <w:keepNext w:val="0"/>
                    <w:keepLines w:val="0"/>
                    <w:pageBreakBefore w:val="0"/>
                    <w:widowControl/>
                    <w:kinsoku/>
                    <w:wordWrap w:val="0"/>
                    <w:overflowPunct/>
                    <w:topLinePunct w:val="0"/>
                    <w:autoSpaceDE/>
                    <w:autoSpaceDN/>
                    <w:bidi w:val="0"/>
                    <w:adjustRightInd w:val="0"/>
                    <w:snapToGrid w:val="0"/>
                    <w:ind w:left="0" w:leftChars="0" w:right="0" w:rightChars="0"/>
                    <w:jc w:val="center"/>
                    <w:rPr>
                      <w:rFonts w:hint="default" w:ascii="Times New Roman" w:hAnsi="Times New Roman" w:eastAsia="宋体" w:cs="Times New Roman"/>
                      <w:color w:val="auto"/>
                      <w:kern w:val="0"/>
                      <w:sz w:val="21"/>
                      <w:szCs w:val="21"/>
                      <w:lang w:bidi="en-US"/>
                    </w:rPr>
                  </w:pPr>
                </w:p>
              </w:tc>
              <w:tc>
                <w:tcPr>
                  <w:tcW w:w="817" w:type="dxa"/>
                  <w:vMerge w:val="continue"/>
                  <w:noWrap w:val="0"/>
                  <w:vAlign w:val="center"/>
                </w:tcPr>
                <w:p w14:paraId="50A23AA0">
                  <w:pPr>
                    <w:keepNext w:val="0"/>
                    <w:keepLines w:val="0"/>
                    <w:pageBreakBefore w:val="0"/>
                    <w:widowControl/>
                    <w:kinsoku/>
                    <w:wordWrap w:val="0"/>
                    <w:overflowPunct/>
                    <w:topLinePunct w:val="0"/>
                    <w:autoSpaceDE/>
                    <w:autoSpaceDN/>
                    <w:bidi w:val="0"/>
                    <w:adjustRightInd w:val="0"/>
                    <w:snapToGrid w:val="0"/>
                    <w:ind w:left="0" w:leftChars="0" w:right="0" w:rightChars="0"/>
                    <w:jc w:val="center"/>
                    <w:rPr>
                      <w:rFonts w:hint="default" w:ascii="Times New Roman" w:hAnsi="Times New Roman" w:eastAsia="宋体" w:cs="Times New Roman"/>
                      <w:color w:val="auto"/>
                      <w:kern w:val="0"/>
                      <w:sz w:val="21"/>
                      <w:szCs w:val="21"/>
                      <w:lang w:bidi="en-US"/>
                    </w:rPr>
                  </w:pPr>
                </w:p>
              </w:tc>
              <w:tc>
                <w:tcPr>
                  <w:tcW w:w="466" w:type="dxa"/>
                  <w:vMerge w:val="continue"/>
                  <w:noWrap w:val="0"/>
                  <w:vAlign w:val="center"/>
                </w:tcPr>
                <w:p w14:paraId="00109026">
                  <w:pPr>
                    <w:keepNext w:val="0"/>
                    <w:keepLines w:val="0"/>
                    <w:pageBreakBefore w:val="0"/>
                    <w:widowControl/>
                    <w:kinsoku/>
                    <w:wordWrap w:val="0"/>
                    <w:overflowPunct/>
                    <w:topLinePunct w:val="0"/>
                    <w:autoSpaceDE/>
                    <w:autoSpaceDN/>
                    <w:bidi w:val="0"/>
                    <w:adjustRightInd w:val="0"/>
                    <w:snapToGrid w:val="0"/>
                    <w:ind w:left="0" w:leftChars="0" w:right="0" w:rightChars="0"/>
                    <w:jc w:val="center"/>
                    <w:rPr>
                      <w:rFonts w:hint="default" w:ascii="Times New Roman" w:hAnsi="Times New Roman" w:eastAsia="宋体" w:cs="Times New Roman"/>
                      <w:color w:val="auto"/>
                      <w:kern w:val="0"/>
                      <w:sz w:val="21"/>
                      <w:szCs w:val="21"/>
                      <w:lang w:bidi="en-US"/>
                    </w:rPr>
                  </w:pPr>
                </w:p>
              </w:tc>
              <w:tc>
                <w:tcPr>
                  <w:tcW w:w="984" w:type="dxa"/>
                  <w:noWrap w:val="0"/>
                  <w:vAlign w:val="center"/>
                </w:tcPr>
                <w:p w14:paraId="497D7F82">
                  <w:pPr>
                    <w:keepNext w:val="0"/>
                    <w:keepLines w:val="0"/>
                    <w:pageBreakBefore w:val="0"/>
                    <w:widowControl/>
                    <w:kinsoku/>
                    <w:wordWrap w:val="0"/>
                    <w:overflowPunct/>
                    <w:topLinePunct w:val="0"/>
                    <w:autoSpaceDE/>
                    <w:autoSpaceDN/>
                    <w:bidi w:val="0"/>
                    <w:adjustRightInd w:val="0"/>
                    <w:snapToGrid w:val="0"/>
                    <w:ind w:left="0" w:leftChars="0" w:right="0" w:rightChars="0"/>
                    <w:jc w:val="center"/>
                    <w:rPr>
                      <w:rFonts w:hint="default" w:ascii="Times New Roman" w:hAnsi="Times New Roman" w:eastAsia="宋体" w:cs="Times New Roman"/>
                      <w:color w:val="auto"/>
                      <w:kern w:val="0"/>
                      <w:sz w:val="21"/>
                      <w:szCs w:val="21"/>
                      <w:lang w:bidi="en-US"/>
                    </w:rPr>
                  </w:pPr>
                  <w:r>
                    <w:rPr>
                      <w:rFonts w:hint="default" w:ascii="Times New Roman" w:hAnsi="Times New Roman" w:eastAsia="宋体" w:cs="Times New Roman"/>
                      <w:color w:val="auto"/>
                      <w:kern w:val="0"/>
                      <w:sz w:val="21"/>
                      <w:szCs w:val="21"/>
                      <w:lang w:bidi="en-US"/>
                    </w:rPr>
                    <w:t>设施名称</w:t>
                  </w:r>
                </w:p>
              </w:tc>
              <w:tc>
                <w:tcPr>
                  <w:tcW w:w="516" w:type="dxa"/>
                  <w:noWrap w:val="0"/>
                  <w:vAlign w:val="center"/>
                </w:tcPr>
                <w:p w14:paraId="7143F6BB">
                  <w:pPr>
                    <w:keepNext w:val="0"/>
                    <w:keepLines w:val="0"/>
                    <w:pageBreakBefore w:val="0"/>
                    <w:widowControl/>
                    <w:kinsoku/>
                    <w:wordWrap w:val="0"/>
                    <w:overflowPunct/>
                    <w:topLinePunct w:val="0"/>
                    <w:autoSpaceDE/>
                    <w:autoSpaceDN/>
                    <w:bidi w:val="0"/>
                    <w:adjustRightInd w:val="0"/>
                    <w:snapToGrid w:val="0"/>
                    <w:ind w:left="0" w:leftChars="0" w:right="0" w:rightChars="0"/>
                    <w:jc w:val="center"/>
                    <w:rPr>
                      <w:rFonts w:hint="default" w:ascii="Times New Roman" w:hAnsi="Times New Roman" w:eastAsia="宋体" w:cs="Times New Roman"/>
                      <w:color w:val="auto"/>
                      <w:kern w:val="0"/>
                      <w:sz w:val="21"/>
                      <w:szCs w:val="21"/>
                      <w:lang w:bidi="en-US"/>
                    </w:rPr>
                  </w:pPr>
                  <w:r>
                    <w:rPr>
                      <w:rFonts w:hint="default" w:ascii="Times New Roman" w:hAnsi="Times New Roman" w:eastAsia="宋体" w:cs="Times New Roman"/>
                      <w:color w:val="auto"/>
                      <w:kern w:val="0"/>
                      <w:sz w:val="21"/>
                      <w:szCs w:val="21"/>
                      <w:lang w:bidi="en-US"/>
                    </w:rPr>
                    <w:t>处理效率</w:t>
                  </w:r>
                </w:p>
              </w:tc>
              <w:tc>
                <w:tcPr>
                  <w:tcW w:w="967" w:type="dxa"/>
                  <w:noWrap w:val="0"/>
                  <w:vAlign w:val="center"/>
                </w:tcPr>
                <w:p w14:paraId="21ED4305">
                  <w:pPr>
                    <w:keepNext w:val="0"/>
                    <w:keepLines w:val="0"/>
                    <w:pageBreakBefore w:val="0"/>
                    <w:widowControl/>
                    <w:kinsoku/>
                    <w:wordWrap w:val="0"/>
                    <w:overflowPunct/>
                    <w:topLinePunct w:val="0"/>
                    <w:autoSpaceDE/>
                    <w:autoSpaceDN/>
                    <w:bidi w:val="0"/>
                    <w:adjustRightInd w:val="0"/>
                    <w:snapToGrid w:val="0"/>
                    <w:ind w:left="0" w:leftChars="0" w:right="0" w:rightChars="0"/>
                    <w:jc w:val="center"/>
                    <w:rPr>
                      <w:rFonts w:hint="default" w:ascii="Times New Roman" w:hAnsi="Times New Roman" w:eastAsia="宋体" w:cs="Times New Roman"/>
                      <w:color w:val="auto"/>
                      <w:kern w:val="0"/>
                      <w:sz w:val="21"/>
                      <w:szCs w:val="21"/>
                      <w:lang w:bidi="en-US"/>
                    </w:rPr>
                  </w:pPr>
                  <w:r>
                    <w:rPr>
                      <w:rFonts w:hint="default" w:ascii="Times New Roman" w:hAnsi="Times New Roman" w:eastAsia="宋体" w:cs="Times New Roman"/>
                      <w:color w:val="auto"/>
                      <w:kern w:val="0"/>
                      <w:sz w:val="21"/>
                      <w:szCs w:val="21"/>
                      <w:lang w:bidi="en-US"/>
                    </w:rPr>
                    <w:t>是否为可行技术</w:t>
                  </w:r>
                </w:p>
              </w:tc>
              <w:tc>
                <w:tcPr>
                  <w:tcW w:w="667" w:type="dxa"/>
                  <w:vMerge w:val="continue"/>
                  <w:noWrap w:val="0"/>
                  <w:vAlign w:val="center"/>
                </w:tcPr>
                <w:p w14:paraId="4E1F9CD7">
                  <w:pPr>
                    <w:keepNext w:val="0"/>
                    <w:keepLines w:val="0"/>
                    <w:pageBreakBefore w:val="0"/>
                    <w:widowControl/>
                    <w:kinsoku/>
                    <w:wordWrap w:val="0"/>
                    <w:overflowPunct/>
                    <w:topLinePunct w:val="0"/>
                    <w:autoSpaceDE/>
                    <w:autoSpaceDN/>
                    <w:bidi w:val="0"/>
                    <w:adjustRightInd w:val="0"/>
                    <w:snapToGrid w:val="0"/>
                    <w:ind w:left="0" w:leftChars="0" w:right="0" w:rightChars="0"/>
                    <w:jc w:val="center"/>
                    <w:rPr>
                      <w:rFonts w:hint="default" w:ascii="Times New Roman" w:hAnsi="Times New Roman" w:eastAsia="宋体" w:cs="Times New Roman"/>
                      <w:color w:val="auto"/>
                      <w:kern w:val="0"/>
                      <w:sz w:val="21"/>
                      <w:szCs w:val="21"/>
                      <w:lang w:bidi="en-US"/>
                    </w:rPr>
                  </w:pPr>
                </w:p>
              </w:tc>
              <w:tc>
                <w:tcPr>
                  <w:tcW w:w="680" w:type="dxa"/>
                  <w:vMerge w:val="continue"/>
                  <w:noWrap w:val="0"/>
                  <w:vAlign w:val="center"/>
                </w:tcPr>
                <w:p w14:paraId="52B1AF25">
                  <w:pPr>
                    <w:keepNext w:val="0"/>
                    <w:keepLines w:val="0"/>
                    <w:pageBreakBefore w:val="0"/>
                    <w:widowControl/>
                    <w:kinsoku/>
                    <w:wordWrap w:val="0"/>
                    <w:overflowPunct/>
                    <w:topLinePunct w:val="0"/>
                    <w:autoSpaceDE/>
                    <w:autoSpaceDN/>
                    <w:bidi w:val="0"/>
                    <w:adjustRightInd w:val="0"/>
                    <w:snapToGrid w:val="0"/>
                    <w:ind w:left="0" w:leftChars="0" w:right="0" w:rightChars="0"/>
                    <w:jc w:val="center"/>
                    <w:rPr>
                      <w:rFonts w:hint="default" w:ascii="Times New Roman" w:hAnsi="Times New Roman" w:eastAsia="宋体" w:cs="Times New Roman"/>
                      <w:color w:val="auto"/>
                      <w:kern w:val="0"/>
                      <w:sz w:val="21"/>
                      <w:szCs w:val="21"/>
                      <w:lang w:bidi="en-US"/>
                    </w:rPr>
                  </w:pPr>
                </w:p>
              </w:tc>
              <w:tc>
                <w:tcPr>
                  <w:tcW w:w="671" w:type="dxa"/>
                  <w:vMerge w:val="continue"/>
                  <w:noWrap w:val="0"/>
                  <w:vAlign w:val="center"/>
                </w:tcPr>
                <w:p w14:paraId="1CDEA663">
                  <w:pPr>
                    <w:keepNext w:val="0"/>
                    <w:keepLines w:val="0"/>
                    <w:pageBreakBefore w:val="0"/>
                    <w:widowControl/>
                    <w:kinsoku/>
                    <w:wordWrap w:val="0"/>
                    <w:overflowPunct/>
                    <w:topLinePunct w:val="0"/>
                    <w:autoSpaceDE/>
                    <w:autoSpaceDN/>
                    <w:bidi w:val="0"/>
                    <w:adjustRightInd w:val="0"/>
                    <w:snapToGrid w:val="0"/>
                    <w:ind w:left="0" w:leftChars="0" w:right="0" w:rightChars="0"/>
                    <w:jc w:val="center"/>
                    <w:rPr>
                      <w:rFonts w:hint="default" w:ascii="Times New Roman" w:hAnsi="Times New Roman" w:eastAsia="宋体" w:cs="Times New Roman"/>
                      <w:color w:val="auto"/>
                      <w:kern w:val="0"/>
                      <w:sz w:val="21"/>
                      <w:szCs w:val="21"/>
                      <w:lang w:bidi="en-US"/>
                    </w:rPr>
                  </w:pPr>
                </w:p>
              </w:tc>
            </w:tr>
            <w:tr w14:paraId="26DA76F0">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0" w:type="dxa"/>
                  <w:bottom w:w="0" w:type="dxa"/>
                  <w:right w:w="0" w:type="dxa"/>
                </w:tblCellMar>
              </w:tblPrEx>
              <w:trPr>
                <w:trHeight w:val="401" w:hRule="atLeast"/>
                <w:jc w:val="center"/>
              </w:trPr>
              <w:tc>
                <w:tcPr>
                  <w:tcW w:w="307" w:type="dxa"/>
                  <w:vMerge w:val="restart"/>
                  <w:noWrap w:val="0"/>
                  <w:vAlign w:val="center"/>
                </w:tcPr>
                <w:p w14:paraId="350F3C8B">
                  <w:pPr>
                    <w:keepNext w:val="0"/>
                    <w:keepLines w:val="0"/>
                    <w:pageBreakBefore w:val="0"/>
                    <w:widowControl/>
                    <w:suppressLineNumbers w:val="0"/>
                    <w:kinsoku/>
                    <w:overflowPunct/>
                    <w:topLinePunct w:val="0"/>
                    <w:autoSpaceDE/>
                    <w:autoSpaceDN/>
                    <w:bidi w:val="0"/>
                    <w:adjustRightInd w:val="0"/>
                    <w:snapToGrid w:val="0"/>
                    <w:ind w:left="0" w:leftChars="0" w:right="0" w:rightChars="0"/>
                    <w:jc w:val="center"/>
                    <w:textAlignment w:val="center"/>
                    <w:rPr>
                      <w:rFonts w:hint="eastAsia" w:eastAsia="宋体"/>
                      <w:color w:val="auto"/>
                      <w:lang w:val="en-US" w:eastAsia="zh-CN"/>
                    </w:rPr>
                  </w:pPr>
                  <w:r>
                    <w:rPr>
                      <w:rFonts w:hint="eastAsia"/>
                      <w:color w:val="auto"/>
                      <w:lang w:val="en-US" w:eastAsia="zh-CN"/>
                    </w:rPr>
                    <w:t>1</w:t>
                  </w:r>
                </w:p>
              </w:tc>
              <w:tc>
                <w:tcPr>
                  <w:tcW w:w="465" w:type="dxa"/>
                  <w:vMerge w:val="restart"/>
                  <w:noWrap w:val="0"/>
                  <w:vAlign w:val="center"/>
                </w:tcPr>
                <w:p w14:paraId="2A417AA9">
                  <w:pPr>
                    <w:keepNext w:val="0"/>
                    <w:keepLines w:val="0"/>
                    <w:pageBreakBefore w:val="0"/>
                    <w:widowControl/>
                    <w:suppressLineNumbers w:val="0"/>
                    <w:kinsoku/>
                    <w:overflowPunct/>
                    <w:topLinePunct w:val="0"/>
                    <w:autoSpaceDE/>
                    <w:autoSpaceDN/>
                    <w:bidi w:val="0"/>
                    <w:adjustRightInd w:val="0"/>
                    <w:snapToGrid w:val="0"/>
                    <w:ind w:left="0" w:leftChars="0" w:right="0" w:rightChars="0"/>
                    <w:jc w:val="center"/>
                    <w:textAlignment w:val="center"/>
                    <w:rPr>
                      <w:rFonts w:hint="eastAsia" w:eastAsia="宋体"/>
                      <w:color w:val="auto"/>
                      <w:lang w:val="en-US" w:eastAsia="zh-CN"/>
                    </w:rPr>
                  </w:pPr>
                  <w:r>
                    <w:rPr>
                      <w:rFonts w:hint="eastAsia"/>
                      <w:color w:val="auto"/>
                      <w:lang w:val="en-US" w:eastAsia="zh-CN"/>
                    </w:rPr>
                    <w:t>打磨</w:t>
                  </w:r>
                </w:p>
              </w:tc>
              <w:tc>
                <w:tcPr>
                  <w:tcW w:w="517" w:type="dxa"/>
                  <w:vMerge w:val="restart"/>
                  <w:noWrap w:val="0"/>
                  <w:vAlign w:val="center"/>
                </w:tcPr>
                <w:p w14:paraId="2475088C">
                  <w:pPr>
                    <w:keepNext w:val="0"/>
                    <w:keepLines w:val="0"/>
                    <w:pageBreakBefore w:val="0"/>
                    <w:widowControl/>
                    <w:suppressLineNumbers w:val="0"/>
                    <w:kinsoku/>
                    <w:overflowPunct/>
                    <w:topLinePunct w:val="0"/>
                    <w:autoSpaceDE/>
                    <w:autoSpaceDN/>
                    <w:bidi w:val="0"/>
                    <w:adjustRightInd w:val="0"/>
                    <w:snapToGrid w:val="0"/>
                    <w:ind w:left="0" w:leftChars="0" w:right="0" w:rightChars="0"/>
                    <w:jc w:val="center"/>
                    <w:textAlignment w:val="center"/>
                    <w:rPr>
                      <w:rFonts w:hint="eastAsia" w:eastAsia="宋体"/>
                      <w:color w:val="auto"/>
                      <w:lang w:val="en-US" w:eastAsia="zh-CN"/>
                    </w:rPr>
                  </w:pPr>
                  <w:r>
                    <w:rPr>
                      <w:rFonts w:hint="eastAsia"/>
                      <w:color w:val="auto"/>
                      <w:lang w:val="en-US" w:eastAsia="zh-CN"/>
                    </w:rPr>
                    <w:t>颗粒物</w:t>
                  </w:r>
                </w:p>
              </w:tc>
              <w:tc>
                <w:tcPr>
                  <w:tcW w:w="550" w:type="dxa"/>
                  <w:shd w:val="clear" w:color="auto" w:fill="auto"/>
                  <w:noWrap w:val="0"/>
                  <w:vAlign w:val="center"/>
                </w:tcPr>
                <w:p w14:paraId="7E10FB57">
                  <w:pPr>
                    <w:keepNext w:val="0"/>
                    <w:keepLines w:val="0"/>
                    <w:pageBreakBefore w:val="0"/>
                    <w:widowControl/>
                    <w:kinsoku/>
                    <w:overflowPunct/>
                    <w:topLinePunct w:val="0"/>
                    <w:autoSpaceDE/>
                    <w:autoSpaceDN/>
                    <w:bidi w:val="0"/>
                    <w:adjustRightInd w:val="0"/>
                    <w:snapToGrid w:val="0"/>
                    <w:jc w:val="center"/>
                    <w:rPr>
                      <w:rFonts w:hint="default" w:ascii="Times New Roman" w:hAnsi="Times New Roman" w:eastAsia="宋体" w:cs="Times New Roman"/>
                      <w:color w:val="auto"/>
                      <w:kern w:val="0"/>
                      <w:sz w:val="21"/>
                      <w:szCs w:val="21"/>
                      <w:lang w:val="en-US" w:eastAsia="zh-CN" w:bidi="en-US"/>
                    </w:rPr>
                  </w:pPr>
                  <w:r>
                    <w:rPr>
                      <w:rFonts w:hint="eastAsia" w:cs="Times New Roman"/>
                      <w:color w:val="auto"/>
                      <w:kern w:val="0"/>
                      <w:sz w:val="21"/>
                      <w:szCs w:val="21"/>
                      <w:lang w:val="en-US" w:eastAsia="zh-CN" w:bidi="en-US"/>
                    </w:rPr>
                    <w:t>0.578</w:t>
                  </w:r>
                </w:p>
              </w:tc>
              <w:tc>
                <w:tcPr>
                  <w:tcW w:w="733" w:type="dxa"/>
                  <w:shd w:val="clear" w:color="auto" w:fill="auto"/>
                  <w:noWrap w:val="0"/>
                  <w:vAlign w:val="center"/>
                </w:tcPr>
                <w:p w14:paraId="6B0D04F3">
                  <w:pPr>
                    <w:keepNext w:val="0"/>
                    <w:keepLines w:val="0"/>
                    <w:pageBreakBefore w:val="0"/>
                    <w:widowControl/>
                    <w:kinsoku/>
                    <w:overflowPunct/>
                    <w:topLinePunct w:val="0"/>
                    <w:autoSpaceDE/>
                    <w:autoSpaceDN/>
                    <w:bidi w:val="0"/>
                    <w:adjustRightInd w:val="0"/>
                    <w:snapToGrid w:val="0"/>
                    <w:jc w:val="center"/>
                    <w:rPr>
                      <w:rFonts w:hint="default" w:ascii="Times New Roman" w:hAnsi="Times New Roman" w:eastAsia="宋体" w:cs="Times New Roman"/>
                      <w:color w:val="auto"/>
                      <w:kern w:val="0"/>
                      <w:sz w:val="21"/>
                      <w:szCs w:val="21"/>
                      <w:lang w:val="en-US" w:eastAsia="zh-CN" w:bidi="en-US"/>
                    </w:rPr>
                  </w:pPr>
                  <w:r>
                    <w:rPr>
                      <w:rFonts w:hint="eastAsia" w:cs="Times New Roman"/>
                      <w:color w:val="auto"/>
                      <w:kern w:val="0"/>
                      <w:sz w:val="21"/>
                      <w:szCs w:val="21"/>
                      <w:lang w:val="en-US" w:eastAsia="zh-CN" w:bidi="en-US"/>
                    </w:rPr>
                    <w:t>0.385</w:t>
                  </w:r>
                </w:p>
              </w:tc>
              <w:tc>
                <w:tcPr>
                  <w:tcW w:w="817" w:type="dxa"/>
                  <w:shd w:val="clear" w:color="auto" w:fill="auto"/>
                  <w:noWrap w:val="0"/>
                  <w:vAlign w:val="center"/>
                </w:tcPr>
                <w:p w14:paraId="1A6E2CF4">
                  <w:pPr>
                    <w:keepNext w:val="0"/>
                    <w:keepLines w:val="0"/>
                    <w:pageBreakBefore w:val="0"/>
                    <w:widowControl/>
                    <w:kinsoku/>
                    <w:overflowPunct/>
                    <w:topLinePunct w:val="0"/>
                    <w:autoSpaceDE/>
                    <w:autoSpaceDN/>
                    <w:bidi w:val="0"/>
                    <w:adjustRightInd w:val="0"/>
                    <w:snapToGrid w:val="0"/>
                    <w:jc w:val="center"/>
                    <w:rPr>
                      <w:rFonts w:hint="default" w:ascii="Times New Roman" w:hAnsi="Times New Roman" w:eastAsia="宋体" w:cs="Times New Roman"/>
                      <w:color w:val="auto"/>
                      <w:kern w:val="0"/>
                      <w:sz w:val="21"/>
                      <w:szCs w:val="21"/>
                      <w:lang w:val="en-US" w:eastAsia="zh-CN" w:bidi="en-US"/>
                    </w:rPr>
                  </w:pPr>
                  <w:r>
                    <w:rPr>
                      <w:rFonts w:hint="eastAsia" w:cs="Times New Roman"/>
                      <w:color w:val="auto"/>
                      <w:kern w:val="0"/>
                      <w:sz w:val="21"/>
                      <w:szCs w:val="21"/>
                      <w:lang w:val="en-US" w:eastAsia="zh-CN" w:bidi="en-US"/>
                    </w:rPr>
                    <w:t>27.525</w:t>
                  </w:r>
                </w:p>
              </w:tc>
              <w:tc>
                <w:tcPr>
                  <w:tcW w:w="466" w:type="dxa"/>
                  <w:noWrap w:val="0"/>
                  <w:vAlign w:val="center"/>
                </w:tcPr>
                <w:p w14:paraId="0031F399">
                  <w:pPr>
                    <w:keepNext w:val="0"/>
                    <w:keepLines w:val="0"/>
                    <w:pageBreakBefore w:val="0"/>
                    <w:widowControl/>
                    <w:kinsoku/>
                    <w:wordWrap w:val="0"/>
                    <w:overflowPunct/>
                    <w:topLinePunct w:val="0"/>
                    <w:autoSpaceDE/>
                    <w:autoSpaceDN/>
                    <w:bidi w:val="0"/>
                    <w:adjustRightInd w:val="0"/>
                    <w:snapToGrid w:val="0"/>
                    <w:ind w:left="0" w:leftChars="0" w:right="0" w:rightChars="0"/>
                    <w:jc w:val="center"/>
                    <w:rPr>
                      <w:rFonts w:hint="default" w:ascii="Times New Roman" w:hAnsi="Times New Roman" w:eastAsia="宋体" w:cs="Times New Roman"/>
                      <w:color w:val="auto"/>
                      <w:kern w:val="0"/>
                      <w:sz w:val="21"/>
                      <w:szCs w:val="21"/>
                      <w:lang w:bidi="en-US"/>
                    </w:rPr>
                  </w:pPr>
                  <w:r>
                    <w:rPr>
                      <w:rFonts w:hint="default" w:ascii="Times New Roman" w:hAnsi="Times New Roman" w:eastAsia="宋体" w:cs="Times New Roman"/>
                      <w:color w:val="auto"/>
                      <w:kern w:val="0"/>
                      <w:sz w:val="21"/>
                      <w:szCs w:val="21"/>
                      <w:lang w:val="en-US" w:eastAsia="zh-CN" w:bidi="en-US"/>
                    </w:rPr>
                    <w:t>有组织</w:t>
                  </w:r>
                </w:p>
              </w:tc>
              <w:tc>
                <w:tcPr>
                  <w:tcW w:w="984" w:type="dxa"/>
                  <w:noWrap w:val="0"/>
                  <w:vAlign w:val="center"/>
                </w:tcPr>
                <w:p w14:paraId="691E0D6B">
                  <w:pPr>
                    <w:keepNext w:val="0"/>
                    <w:keepLines w:val="0"/>
                    <w:pageBreakBefore w:val="0"/>
                    <w:widowControl/>
                    <w:kinsoku/>
                    <w:wordWrap w:val="0"/>
                    <w:overflowPunct/>
                    <w:topLinePunct w:val="0"/>
                    <w:autoSpaceDE/>
                    <w:autoSpaceDN/>
                    <w:bidi w:val="0"/>
                    <w:adjustRightInd w:val="0"/>
                    <w:snapToGrid w:val="0"/>
                    <w:ind w:left="0" w:leftChars="0" w:right="0" w:rightChars="0"/>
                    <w:jc w:val="center"/>
                    <w:rPr>
                      <w:rFonts w:hint="default" w:ascii="Times New Roman" w:hAnsi="Times New Roman" w:eastAsia="宋体" w:cs="Times New Roman"/>
                      <w:color w:val="auto"/>
                      <w:kern w:val="0"/>
                      <w:sz w:val="21"/>
                      <w:szCs w:val="21"/>
                      <w:lang w:val="en-US" w:eastAsia="zh-CN" w:bidi="en-US"/>
                    </w:rPr>
                  </w:pPr>
                  <w:r>
                    <w:rPr>
                      <w:rFonts w:hint="eastAsia" w:cs="Times New Roman"/>
                      <w:color w:val="auto"/>
                      <w:kern w:val="0"/>
                      <w:sz w:val="21"/>
                      <w:szCs w:val="21"/>
                      <w:lang w:val="en-US" w:eastAsia="zh-CN" w:bidi="en-US"/>
                    </w:rPr>
                    <w:t>水雾式除尘及袋式除尘器+20m高DA001排气筒</w:t>
                  </w:r>
                </w:p>
              </w:tc>
              <w:tc>
                <w:tcPr>
                  <w:tcW w:w="516" w:type="dxa"/>
                  <w:noWrap w:val="0"/>
                  <w:vAlign w:val="center"/>
                </w:tcPr>
                <w:p w14:paraId="4229EBEC">
                  <w:pPr>
                    <w:keepNext w:val="0"/>
                    <w:keepLines w:val="0"/>
                    <w:pageBreakBefore w:val="0"/>
                    <w:widowControl/>
                    <w:kinsoku/>
                    <w:wordWrap w:val="0"/>
                    <w:overflowPunct/>
                    <w:topLinePunct w:val="0"/>
                    <w:autoSpaceDE/>
                    <w:autoSpaceDN/>
                    <w:bidi w:val="0"/>
                    <w:adjustRightInd w:val="0"/>
                    <w:snapToGrid w:val="0"/>
                    <w:ind w:left="0" w:leftChars="0" w:right="0" w:rightChars="0"/>
                    <w:jc w:val="center"/>
                    <w:rPr>
                      <w:rFonts w:hint="default" w:ascii="Times New Roman" w:hAnsi="Times New Roman" w:eastAsia="宋体" w:cs="Times New Roman"/>
                      <w:color w:val="auto"/>
                      <w:kern w:val="0"/>
                      <w:sz w:val="21"/>
                      <w:szCs w:val="21"/>
                      <w:lang w:val="en-US" w:eastAsia="zh-CN" w:bidi="en-US"/>
                    </w:rPr>
                  </w:pPr>
                  <w:r>
                    <w:rPr>
                      <w:rFonts w:hint="eastAsia" w:cs="Times New Roman"/>
                      <w:color w:val="0000FF"/>
                      <w:kern w:val="0"/>
                      <w:sz w:val="21"/>
                      <w:szCs w:val="21"/>
                      <w:lang w:val="en-US" w:eastAsia="zh-CN" w:bidi="en-US"/>
                    </w:rPr>
                    <w:t>99%</w:t>
                  </w:r>
                </w:p>
              </w:tc>
              <w:tc>
                <w:tcPr>
                  <w:tcW w:w="967" w:type="dxa"/>
                  <w:noWrap w:val="0"/>
                  <w:vAlign w:val="center"/>
                </w:tcPr>
                <w:p w14:paraId="1A51EC24">
                  <w:pPr>
                    <w:keepNext w:val="0"/>
                    <w:keepLines w:val="0"/>
                    <w:pageBreakBefore w:val="0"/>
                    <w:widowControl/>
                    <w:kinsoku/>
                    <w:wordWrap w:val="0"/>
                    <w:overflowPunct/>
                    <w:topLinePunct w:val="0"/>
                    <w:autoSpaceDE/>
                    <w:autoSpaceDN/>
                    <w:bidi w:val="0"/>
                    <w:adjustRightInd w:val="0"/>
                    <w:snapToGrid w:val="0"/>
                    <w:ind w:left="0" w:leftChars="0" w:right="0" w:rightChars="0"/>
                    <w:jc w:val="center"/>
                    <w:rPr>
                      <w:rFonts w:hint="default" w:ascii="Times New Roman" w:hAnsi="Times New Roman" w:eastAsia="宋体" w:cs="Times New Roman"/>
                      <w:color w:val="auto"/>
                      <w:kern w:val="0"/>
                      <w:sz w:val="21"/>
                      <w:szCs w:val="21"/>
                      <w:lang w:val="en-US" w:eastAsia="zh-CN" w:bidi="en-US"/>
                    </w:rPr>
                  </w:pPr>
                  <w:r>
                    <w:rPr>
                      <w:rFonts w:hint="default" w:ascii="Times New Roman" w:hAnsi="Times New Roman" w:eastAsia="宋体" w:cs="Times New Roman"/>
                      <w:color w:val="auto"/>
                      <w:kern w:val="0"/>
                      <w:sz w:val="21"/>
                      <w:szCs w:val="21"/>
                      <w:lang w:bidi="en-US"/>
                    </w:rPr>
                    <w:t>是</w:t>
                  </w:r>
                </w:p>
              </w:tc>
              <w:tc>
                <w:tcPr>
                  <w:tcW w:w="667" w:type="dxa"/>
                  <w:shd w:val="clear" w:color="auto" w:fill="auto"/>
                  <w:noWrap w:val="0"/>
                  <w:vAlign w:val="center"/>
                </w:tcPr>
                <w:p w14:paraId="3F348A5A">
                  <w:pPr>
                    <w:keepNext w:val="0"/>
                    <w:keepLines w:val="0"/>
                    <w:pageBreakBefore w:val="0"/>
                    <w:widowControl/>
                    <w:kinsoku/>
                    <w:overflowPunct/>
                    <w:topLinePunct w:val="0"/>
                    <w:autoSpaceDE/>
                    <w:autoSpaceDN/>
                    <w:bidi w:val="0"/>
                    <w:adjustRightInd w:val="0"/>
                    <w:snapToGrid w:val="0"/>
                    <w:jc w:val="center"/>
                    <w:rPr>
                      <w:rFonts w:hint="default" w:ascii="Times New Roman" w:hAnsi="Times New Roman" w:eastAsia="宋体" w:cs="Times New Roman"/>
                      <w:color w:val="auto"/>
                      <w:kern w:val="0"/>
                      <w:sz w:val="21"/>
                      <w:szCs w:val="21"/>
                      <w:lang w:val="en-US" w:eastAsia="zh-CN" w:bidi="en-US"/>
                    </w:rPr>
                  </w:pPr>
                  <w:r>
                    <w:rPr>
                      <w:rFonts w:hint="eastAsia" w:cs="Times New Roman"/>
                      <w:color w:val="auto"/>
                      <w:kern w:val="0"/>
                      <w:sz w:val="21"/>
                      <w:szCs w:val="21"/>
                      <w:lang w:val="en-US" w:eastAsia="zh-CN" w:bidi="en-US"/>
                    </w:rPr>
                    <w:t>0.004</w:t>
                  </w:r>
                </w:p>
              </w:tc>
              <w:tc>
                <w:tcPr>
                  <w:tcW w:w="680" w:type="dxa"/>
                  <w:shd w:val="clear" w:color="auto" w:fill="auto"/>
                  <w:noWrap w:val="0"/>
                  <w:vAlign w:val="center"/>
                </w:tcPr>
                <w:p w14:paraId="5408C88B">
                  <w:pPr>
                    <w:keepNext w:val="0"/>
                    <w:keepLines w:val="0"/>
                    <w:pageBreakBefore w:val="0"/>
                    <w:widowControl/>
                    <w:kinsoku/>
                    <w:overflowPunct/>
                    <w:topLinePunct w:val="0"/>
                    <w:autoSpaceDE/>
                    <w:autoSpaceDN/>
                    <w:bidi w:val="0"/>
                    <w:adjustRightInd w:val="0"/>
                    <w:snapToGrid w:val="0"/>
                    <w:jc w:val="center"/>
                    <w:rPr>
                      <w:rFonts w:hint="default" w:ascii="Times New Roman" w:hAnsi="Times New Roman" w:eastAsia="宋体" w:cs="Times New Roman"/>
                      <w:color w:val="auto"/>
                      <w:kern w:val="0"/>
                      <w:sz w:val="21"/>
                      <w:szCs w:val="21"/>
                      <w:lang w:val="en-US" w:eastAsia="zh-CN" w:bidi="en-US"/>
                    </w:rPr>
                  </w:pPr>
                  <w:r>
                    <w:rPr>
                      <w:rFonts w:hint="eastAsia" w:cs="Times New Roman"/>
                      <w:color w:val="auto"/>
                      <w:kern w:val="0"/>
                      <w:sz w:val="21"/>
                      <w:szCs w:val="21"/>
                      <w:lang w:val="en-US" w:eastAsia="zh-CN" w:bidi="en-US"/>
                    </w:rPr>
                    <w:t>0.003</w:t>
                  </w:r>
                </w:p>
              </w:tc>
              <w:tc>
                <w:tcPr>
                  <w:tcW w:w="671" w:type="dxa"/>
                  <w:shd w:val="clear" w:color="auto" w:fill="auto"/>
                  <w:noWrap w:val="0"/>
                  <w:vAlign w:val="center"/>
                </w:tcPr>
                <w:p w14:paraId="1B700CC2">
                  <w:pPr>
                    <w:keepNext w:val="0"/>
                    <w:keepLines w:val="0"/>
                    <w:pageBreakBefore w:val="0"/>
                    <w:widowControl/>
                    <w:kinsoku/>
                    <w:overflowPunct/>
                    <w:topLinePunct w:val="0"/>
                    <w:autoSpaceDE/>
                    <w:autoSpaceDN/>
                    <w:bidi w:val="0"/>
                    <w:adjustRightInd w:val="0"/>
                    <w:snapToGrid w:val="0"/>
                    <w:jc w:val="center"/>
                    <w:rPr>
                      <w:rFonts w:hint="default" w:ascii="Times New Roman" w:hAnsi="Times New Roman" w:eastAsia="宋体" w:cs="Times New Roman"/>
                      <w:color w:val="auto"/>
                      <w:kern w:val="0"/>
                      <w:sz w:val="21"/>
                      <w:szCs w:val="21"/>
                      <w:lang w:val="en-US" w:eastAsia="zh-CN" w:bidi="en-US"/>
                    </w:rPr>
                  </w:pPr>
                  <w:r>
                    <w:rPr>
                      <w:rFonts w:hint="eastAsia" w:cs="Times New Roman"/>
                      <w:color w:val="auto"/>
                      <w:kern w:val="0"/>
                      <w:sz w:val="21"/>
                      <w:szCs w:val="21"/>
                      <w:lang w:val="en-US" w:eastAsia="zh-CN" w:bidi="en-US"/>
                    </w:rPr>
                    <w:t>0.206</w:t>
                  </w:r>
                </w:p>
              </w:tc>
            </w:tr>
            <w:tr w14:paraId="6A544D89">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0" w:type="dxa"/>
                  <w:bottom w:w="0" w:type="dxa"/>
                  <w:right w:w="0" w:type="dxa"/>
                </w:tblCellMar>
              </w:tblPrEx>
              <w:trPr>
                <w:trHeight w:val="401" w:hRule="atLeast"/>
                <w:jc w:val="center"/>
              </w:trPr>
              <w:tc>
                <w:tcPr>
                  <w:tcW w:w="307" w:type="dxa"/>
                  <w:vMerge w:val="continue"/>
                  <w:noWrap w:val="0"/>
                  <w:vAlign w:val="center"/>
                </w:tcPr>
                <w:p w14:paraId="626C9519">
                  <w:pPr>
                    <w:keepNext w:val="0"/>
                    <w:keepLines w:val="0"/>
                    <w:pageBreakBefore w:val="0"/>
                    <w:widowControl/>
                    <w:kinsoku/>
                    <w:overflowPunct/>
                    <w:topLinePunct w:val="0"/>
                    <w:autoSpaceDE/>
                    <w:autoSpaceDN/>
                    <w:bidi w:val="0"/>
                    <w:adjustRightInd w:val="0"/>
                    <w:snapToGrid w:val="0"/>
                    <w:jc w:val="center"/>
                  </w:pPr>
                </w:p>
              </w:tc>
              <w:tc>
                <w:tcPr>
                  <w:tcW w:w="465" w:type="dxa"/>
                  <w:vMerge w:val="continue"/>
                  <w:noWrap w:val="0"/>
                  <w:vAlign w:val="center"/>
                </w:tcPr>
                <w:p w14:paraId="7A58E0EB">
                  <w:pPr>
                    <w:keepNext w:val="0"/>
                    <w:keepLines w:val="0"/>
                    <w:pageBreakBefore w:val="0"/>
                    <w:widowControl/>
                    <w:kinsoku/>
                    <w:overflowPunct/>
                    <w:topLinePunct w:val="0"/>
                    <w:autoSpaceDE/>
                    <w:autoSpaceDN/>
                    <w:bidi w:val="0"/>
                    <w:adjustRightInd w:val="0"/>
                    <w:snapToGrid w:val="0"/>
                    <w:jc w:val="center"/>
                  </w:pPr>
                </w:p>
              </w:tc>
              <w:tc>
                <w:tcPr>
                  <w:tcW w:w="517" w:type="dxa"/>
                  <w:vMerge w:val="continue"/>
                  <w:noWrap w:val="0"/>
                  <w:vAlign w:val="center"/>
                </w:tcPr>
                <w:p w14:paraId="6344921C">
                  <w:pPr>
                    <w:keepNext w:val="0"/>
                    <w:keepLines w:val="0"/>
                    <w:pageBreakBefore w:val="0"/>
                    <w:widowControl/>
                    <w:kinsoku/>
                    <w:overflowPunct/>
                    <w:topLinePunct w:val="0"/>
                    <w:autoSpaceDE/>
                    <w:autoSpaceDN/>
                    <w:bidi w:val="0"/>
                    <w:adjustRightInd w:val="0"/>
                    <w:snapToGrid w:val="0"/>
                    <w:jc w:val="center"/>
                  </w:pPr>
                </w:p>
              </w:tc>
              <w:tc>
                <w:tcPr>
                  <w:tcW w:w="550" w:type="dxa"/>
                  <w:shd w:val="clear" w:color="auto" w:fill="auto"/>
                  <w:noWrap w:val="0"/>
                  <w:vAlign w:val="center"/>
                </w:tcPr>
                <w:p w14:paraId="369C11BF">
                  <w:pPr>
                    <w:keepNext w:val="0"/>
                    <w:keepLines w:val="0"/>
                    <w:pageBreakBefore w:val="0"/>
                    <w:widowControl/>
                    <w:kinsoku/>
                    <w:overflowPunct/>
                    <w:topLinePunct w:val="0"/>
                    <w:autoSpaceDE/>
                    <w:autoSpaceDN/>
                    <w:bidi w:val="0"/>
                    <w:adjustRightInd w:val="0"/>
                    <w:snapToGrid w:val="0"/>
                    <w:jc w:val="center"/>
                    <w:rPr>
                      <w:rFonts w:hint="default" w:cs="Times New Roman"/>
                      <w:color w:val="auto"/>
                      <w:kern w:val="0"/>
                      <w:sz w:val="21"/>
                      <w:szCs w:val="21"/>
                      <w:lang w:val="en-US" w:eastAsia="zh-CN" w:bidi="en-US"/>
                    </w:rPr>
                  </w:pPr>
                  <w:r>
                    <w:rPr>
                      <w:rFonts w:hint="eastAsia" w:cs="Times New Roman"/>
                      <w:color w:val="auto"/>
                      <w:kern w:val="0"/>
                      <w:sz w:val="21"/>
                      <w:szCs w:val="21"/>
                      <w:lang w:val="en-US" w:eastAsia="zh-CN" w:bidi="en-US"/>
                    </w:rPr>
                    <w:t>0.102</w:t>
                  </w:r>
                </w:p>
              </w:tc>
              <w:tc>
                <w:tcPr>
                  <w:tcW w:w="733" w:type="dxa"/>
                  <w:shd w:val="clear" w:color="auto" w:fill="auto"/>
                  <w:noWrap w:val="0"/>
                  <w:vAlign w:val="center"/>
                </w:tcPr>
                <w:p w14:paraId="3B753ECA">
                  <w:pPr>
                    <w:keepNext w:val="0"/>
                    <w:keepLines w:val="0"/>
                    <w:pageBreakBefore w:val="0"/>
                    <w:widowControl/>
                    <w:kinsoku/>
                    <w:overflowPunct/>
                    <w:topLinePunct w:val="0"/>
                    <w:autoSpaceDE/>
                    <w:autoSpaceDN/>
                    <w:bidi w:val="0"/>
                    <w:adjustRightInd w:val="0"/>
                    <w:snapToGrid w:val="0"/>
                    <w:jc w:val="center"/>
                    <w:rPr>
                      <w:rFonts w:hint="default" w:cs="Times New Roman"/>
                      <w:color w:val="auto"/>
                      <w:kern w:val="0"/>
                      <w:sz w:val="21"/>
                      <w:szCs w:val="21"/>
                      <w:lang w:val="en-US" w:eastAsia="zh-CN" w:bidi="en-US"/>
                    </w:rPr>
                  </w:pPr>
                  <w:r>
                    <w:rPr>
                      <w:rFonts w:hint="eastAsia" w:cs="Times New Roman"/>
                      <w:color w:val="auto"/>
                      <w:kern w:val="0"/>
                      <w:sz w:val="21"/>
                      <w:szCs w:val="21"/>
                      <w:lang w:val="en-US" w:eastAsia="zh-CN" w:bidi="en-US"/>
                    </w:rPr>
                    <w:t>0.068</w:t>
                  </w:r>
                </w:p>
              </w:tc>
              <w:tc>
                <w:tcPr>
                  <w:tcW w:w="817" w:type="dxa"/>
                  <w:shd w:val="clear" w:color="auto" w:fill="auto"/>
                  <w:noWrap w:val="0"/>
                  <w:vAlign w:val="center"/>
                </w:tcPr>
                <w:p w14:paraId="407349E7">
                  <w:pPr>
                    <w:keepNext w:val="0"/>
                    <w:keepLines w:val="0"/>
                    <w:pageBreakBefore w:val="0"/>
                    <w:widowControl/>
                    <w:kinsoku/>
                    <w:overflowPunct/>
                    <w:topLinePunct w:val="0"/>
                    <w:autoSpaceDE/>
                    <w:autoSpaceDN/>
                    <w:bidi w:val="0"/>
                    <w:adjustRightInd w:val="0"/>
                    <w:snapToGrid w:val="0"/>
                    <w:jc w:val="center"/>
                    <w:rPr>
                      <w:rFonts w:hint="default" w:cs="Times New Roman"/>
                      <w:color w:val="auto"/>
                      <w:kern w:val="0"/>
                      <w:sz w:val="21"/>
                      <w:szCs w:val="21"/>
                      <w:lang w:val="en-US" w:eastAsia="zh-CN" w:bidi="en-US"/>
                    </w:rPr>
                  </w:pPr>
                  <w:r>
                    <w:rPr>
                      <w:rFonts w:hint="eastAsia" w:cs="Times New Roman"/>
                      <w:color w:val="auto"/>
                      <w:kern w:val="0"/>
                      <w:sz w:val="21"/>
                      <w:szCs w:val="21"/>
                      <w:lang w:val="en-US" w:eastAsia="zh-CN" w:bidi="en-US"/>
                    </w:rPr>
                    <w:t>/</w:t>
                  </w:r>
                </w:p>
              </w:tc>
              <w:tc>
                <w:tcPr>
                  <w:tcW w:w="466" w:type="dxa"/>
                  <w:noWrap w:val="0"/>
                  <w:vAlign w:val="center"/>
                </w:tcPr>
                <w:p w14:paraId="7B1033BD">
                  <w:pPr>
                    <w:keepNext w:val="0"/>
                    <w:keepLines w:val="0"/>
                    <w:pageBreakBefore w:val="0"/>
                    <w:widowControl/>
                    <w:kinsoku/>
                    <w:overflowPunct/>
                    <w:topLinePunct w:val="0"/>
                    <w:autoSpaceDE/>
                    <w:autoSpaceDN/>
                    <w:bidi w:val="0"/>
                    <w:adjustRightInd w:val="0"/>
                    <w:snapToGrid w:val="0"/>
                    <w:jc w:val="center"/>
                    <w:rPr>
                      <w:rFonts w:hint="default" w:cs="Times New Roman"/>
                      <w:color w:val="auto"/>
                      <w:kern w:val="0"/>
                      <w:sz w:val="21"/>
                      <w:szCs w:val="21"/>
                      <w:lang w:val="en-US" w:eastAsia="zh-CN" w:bidi="en-US"/>
                    </w:rPr>
                  </w:pPr>
                  <w:r>
                    <w:rPr>
                      <w:rFonts w:hint="eastAsia" w:cs="Times New Roman"/>
                      <w:color w:val="auto"/>
                      <w:kern w:val="0"/>
                      <w:sz w:val="21"/>
                      <w:szCs w:val="21"/>
                      <w:lang w:val="en-US" w:eastAsia="zh-CN" w:bidi="en-US"/>
                    </w:rPr>
                    <w:t>无组织</w:t>
                  </w:r>
                </w:p>
              </w:tc>
              <w:tc>
                <w:tcPr>
                  <w:tcW w:w="984" w:type="dxa"/>
                  <w:noWrap w:val="0"/>
                  <w:vAlign w:val="center"/>
                </w:tcPr>
                <w:p w14:paraId="654FE2B9">
                  <w:pPr>
                    <w:keepNext w:val="0"/>
                    <w:keepLines w:val="0"/>
                    <w:pageBreakBefore w:val="0"/>
                    <w:widowControl/>
                    <w:kinsoku/>
                    <w:overflowPunct/>
                    <w:topLinePunct w:val="0"/>
                    <w:autoSpaceDE/>
                    <w:autoSpaceDN/>
                    <w:bidi w:val="0"/>
                    <w:adjustRightInd w:val="0"/>
                    <w:snapToGrid w:val="0"/>
                    <w:jc w:val="center"/>
                    <w:rPr>
                      <w:rFonts w:hint="default" w:cs="Times New Roman"/>
                      <w:color w:val="auto"/>
                      <w:kern w:val="0"/>
                      <w:sz w:val="21"/>
                      <w:szCs w:val="21"/>
                      <w:lang w:val="en-US" w:eastAsia="zh-CN" w:bidi="en-US"/>
                    </w:rPr>
                  </w:pPr>
                  <w:r>
                    <w:rPr>
                      <w:rFonts w:hint="eastAsia" w:cs="Times New Roman"/>
                      <w:color w:val="auto"/>
                      <w:kern w:val="0"/>
                      <w:sz w:val="21"/>
                      <w:szCs w:val="21"/>
                      <w:lang w:val="en-US" w:eastAsia="zh-CN" w:bidi="en-US"/>
                    </w:rPr>
                    <w:t>/</w:t>
                  </w:r>
                </w:p>
              </w:tc>
              <w:tc>
                <w:tcPr>
                  <w:tcW w:w="516" w:type="dxa"/>
                  <w:noWrap w:val="0"/>
                  <w:vAlign w:val="center"/>
                </w:tcPr>
                <w:p w14:paraId="0F279B6F">
                  <w:pPr>
                    <w:keepNext w:val="0"/>
                    <w:keepLines w:val="0"/>
                    <w:pageBreakBefore w:val="0"/>
                    <w:widowControl/>
                    <w:kinsoku/>
                    <w:overflowPunct/>
                    <w:topLinePunct w:val="0"/>
                    <w:autoSpaceDE/>
                    <w:autoSpaceDN/>
                    <w:bidi w:val="0"/>
                    <w:adjustRightInd w:val="0"/>
                    <w:snapToGrid w:val="0"/>
                    <w:jc w:val="center"/>
                    <w:rPr>
                      <w:rFonts w:hint="default" w:cs="Times New Roman"/>
                      <w:color w:val="auto"/>
                      <w:kern w:val="0"/>
                      <w:sz w:val="21"/>
                      <w:szCs w:val="21"/>
                      <w:lang w:val="en-US" w:eastAsia="zh-CN" w:bidi="en-US"/>
                    </w:rPr>
                  </w:pPr>
                  <w:r>
                    <w:rPr>
                      <w:rFonts w:hint="eastAsia" w:cs="Times New Roman"/>
                      <w:color w:val="auto"/>
                      <w:kern w:val="0"/>
                      <w:sz w:val="21"/>
                      <w:szCs w:val="21"/>
                      <w:lang w:val="en-US" w:eastAsia="zh-CN" w:bidi="en-US"/>
                    </w:rPr>
                    <w:t>/</w:t>
                  </w:r>
                </w:p>
              </w:tc>
              <w:tc>
                <w:tcPr>
                  <w:tcW w:w="967" w:type="dxa"/>
                  <w:noWrap w:val="0"/>
                  <w:vAlign w:val="center"/>
                </w:tcPr>
                <w:p w14:paraId="3B1246FD">
                  <w:pPr>
                    <w:keepNext w:val="0"/>
                    <w:keepLines w:val="0"/>
                    <w:pageBreakBefore w:val="0"/>
                    <w:widowControl/>
                    <w:kinsoku/>
                    <w:overflowPunct/>
                    <w:topLinePunct w:val="0"/>
                    <w:autoSpaceDE/>
                    <w:autoSpaceDN/>
                    <w:bidi w:val="0"/>
                    <w:adjustRightInd w:val="0"/>
                    <w:snapToGrid w:val="0"/>
                    <w:jc w:val="center"/>
                    <w:rPr>
                      <w:rFonts w:hint="default" w:cs="Times New Roman"/>
                      <w:color w:val="auto"/>
                      <w:kern w:val="0"/>
                      <w:sz w:val="21"/>
                      <w:szCs w:val="21"/>
                      <w:lang w:val="en-US" w:eastAsia="zh-CN" w:bidi="en-US"/>
                    </w:rPr>
                  </w:pPr>
                  <w:r>
                    <w:rPr>
                      <w:rFonts w:hint="eastAsia" w:cs="Times New Roman"/>
                      <w:color w:val="auto"/>
                      <w:kern w:val="0"/>
                      <w:sz w:val="21"/>
                      <w:szCs w:val="21"/>
                      <w:lang w:val="en-US" w:eastAsia="zh-CN" w:bidi="en-US"/>
                    </w:rPr>
                    <w:t>/</w:t>
                  </w:r>
                </w:p>
              </w:tc>
              <w:tc>
                <w:tcPr>
                  <w:tcW w:w="667" w:type="dxa"/>
                  <w:shd w:val="clear" w:color="auto" w:fill="auto"/>
                  <w:noWrap w:val="0"/>
                  <w:vAlign w:val="center"/>
                </w:tcPr>
                <w:p w14:paraId="644BAB01">
                  <w:pPr>
                    <w:keepNext w:val="0"/>
                    <w:keepLines w:val="0"/>
                    <w:pageBreakBefore w:val="0"/>
                    <w:widowControl/>
                    <w:kinsoku/>
                    <w:overflowPunct/>
                    <w:topLinePunct w:val="0"/>
                    <w:autoSpaceDE/>
                    <w:autoSpaceDN/>
                    <w:bidi w:val="0"/>
                    <w:adjustRightInd w:val="0"/>
                    <w:snapToGrid w:val="0"/>
                    <w:jc w:val="center"/>
                    <w:rPr>
                      <w:rFonts w:hint="eastAsia" w:cs="Times New Roman"/>
                      <w:color w:val="auto"/>
                      <w:kern w:val="0"/>
                      <w:sz w:val="21"/>
                      <w:szCs w:val="21"/>
                      <w:lang w:val="en-US" w:eastAsia="zh-CN" w:bidi="en-US"/>
                    </w:rPr>
                  </w:pPr>
                  <w:r>
                    <w:rPr>
                      <w:rFonts w:hint="eastAsia" w:cs="Times New Roman"/>
                      <w:color w:val="auto"/>
                      <w:kern w:val="0"/>
                      <w:sz w:val="21"/>
                      <w:szCs w:val="21"/>
                      <w:lang w:val="en-US" w:eastAsia="zh-CN" w:bidi="en-US"/>
                    </w:rPr>
                    <w:t>0.102</w:t>
                  </w:r>
                </w:p>
              </w:tc>
              <w:tc>
                <w:tcPr>
                  <w:tcW w:w="680" w:type="dxa"/>
                  <w:shd w:val="clear" w:color="auto" w:fill="auto"/>
                  <w:noWrap w:val="0"/>
                  <w:vAlign w:val="center"/>
                </w:tcPr>
                <w:p w14:paraId="18109C6B">
                  <w:pPr>
                    <w:keepNext w:val="0"/>
                    <w:keepLines w:val="0"/>
                    <w:pageBreakBefore w:val="0"/>
                    <w:widowControl/>
                    <w:kinsoku/>
                    <w:overflowPunct/>
                    <w:topLinePunct w:val="0"/>
                    <w:autoSpaceDE/>
                    <w:autoSpaceDN/>
                    <w:bidi w:val="0"/>
                    <w:adjustRightInd w:val="0"/>
                    <w:snapToGrid w:val="0"/>
                    <w:jc w:val="center"/>
                    <w:rPr>
                      <w:rFonts w:hint="eastAsia" w:cs="Times New Roman"/>
                      <w:color w:val="auto"/>
                      <w:kern w:val="0"/>
                      <w:sz w:val="21"/>
                      <w:szCs w:val="21"/>
                      <w:lang w:val="en-US" w:eastAsia="zh-CN" w:bidi="en-US"/>
                    </w:rPr>
                  </w:pPr>
                  <w:r>
                    <w:rPr>
                      <w:rFonts w:hint="eastAsia" w:cs="Times New Roman"/>
                      <w:color w:val="auto"/>
                      <w:kern w:val="0"/>
                      <w:sz w:val="21"/>
                      <w:szCs w:val="21"/>
                      <w:lang w:val="en-US" w:eastAsia="zh-CN" w:bidi="en-US"/>
                    </w:rPr>
                    <w:t>0.068</w:t>
                  </w:r>
                </w:p>
              </w:tc>
              <w:tc>
                <w:tcPr>
                  <w:tcW w:w="671" w:type="dxa"/>
                  <w:shd w:val="clear" w:color="auto" w:fill="auto"/>
                  <w:noWrap w:val="0"/>
                  <w:vAlign w:val="center"/>
                </w:tcPr>
                <w:p w14:paraId="2B2D1B90">
                  <w:pPr>
                    <w:keepNext w:val="0"/>
                    <w:keepLines w:val="0"/>
                    <w:pageBreakBefore w:val="0"/>
                    <w:widowControl/>
                    <w:kinsoku/>
                    <w:overflowPunct/>
                    <w:topLinePunct w:val="0"/>
                    <w:autoSpaceDE/>
                    <w:autoSpaceDN/>
                    <w:bidi w:val="0"/>
                    <w:adjustRightInd w:val="0"/>
                    <w:snapToGrid w:val="0"/>
                    <w:jc w:val="center"/>
                    <w:rPr>
                      <w:rFonts w:hint="eastAsia" w:cs="Times New Roman"/>
                      <w:color w:val="auto"/>
                      <w:kern w:val="0"/>
                      <w:sz w:val="21"/>
                      <w:szCs w:val="21"/>
                      <w:lang w:val="en-US" w:eastAsia="zh-CN" w:bidi="en-US"/>
                    </w:rPr>
                  </w:pPr>
                  <w:r>
                    <w:rPr>
                      <w:rFonts w:hint="eastAsia" w:cs="Times New Roman"/>
                      <w:color w:val="auto"/>
                      <w:kern w:val="0"/>
                      <w:sz w:val="21"/>
                      <w:szCs w:val="21"/>
                      <w:lang w:val="en-US" w:eastAsia="zh-CN" w:bidi="en-US"/>
                    </w:rPr>
                    <w:t>/</w:t>
                  </w:r>
                </w:p>
              </w:tc>
            </w:tr>
            <w:tr w14:paraId="7DA974DB">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0" w:type="dxa"/>
                  <w:bottom w:w="0" w:type="dxa"/>
                  <w:right w:w="0" w:type="dxa"/>
                </w:tblCellMar>
              </w:tblPrEx>
              <w:trPr>
                <w:trHeight w:val="821" w:hRule="atLeast"/>
                <w:jc w:val="center"/>
              </w:trPr>
              <w:tc>
                <w:tcPr>
                  <w:tcW w:w="307" w:type="dxa"/>
                  <w:noWrap w:val="0"/>
                  <w:vAlign w:val="center"/>
                </w:tcPr>
                <w:p w14:paraId="5EF320C3">
                  <w:pPr>
                    <w:keepNext w:val="0"/>
                    <w:keepLines w:val="0"/>
                    <w:pageBreakBefore w:val="0"/>
                    <w:widowControl/>
                    <w:suppressLineNumbers w:val="0"/>
                    <w:kinsoku/>
                    <w:overflowPunct/>
                    <w:topLinePunct w:val="0"/>
                    <w:autoSpaceDE/>
                    <w:autoSpaceDN/>
                    <w:bidi w:val="0"/>
                    <w:adjustRightInd w:val="0"/>
                    <w:snapToGrid w:val="0"/>
                    <w:ind w:left="0" w:leftChars="0" w:right="0" w:rightChars="0"/>
                    <w:jc w:val="center"/>
                    <w:textAlignment w:val="center"/>
                    <w:rPr>
                      <w:rFonts w:hint="eastAsia" w:eastAsia="宋体"/>
                      <w:color w:val="auto"/>
                      <w:lang w:val="en-US" w:eastAsia="zh-CN"/>
                    </w:rPr>
                  </w:pPr>
                  <w:r>
                    <w:rPr>
                      <w:rFonts w:hint="eastAsia"/>
                      <w:color w:val="auto"/>
                      <w:lang w:val="en-US" w:eastAsia="zh-CN"/>
                    </w:rPr>
                    <w:t>2</w:t>
                  </w:r>
                </w:p>
              </w:tc>
              <w:tc>
                <w:tcPr>
                  <w:tcW w:w="465" w:type="dxa"/>
                  <w:noWrap w:val="0"/>
                  <w:vAlign w:val="center"/>
                </w:tcPr>
                <w:p w14:paraId="33FE898A">
                  <w:pPr>
                    <w:keepNext w:val="0"/>
                    <w:keepLines w:val="0"/>
                    <w:pageBreakBefore w:val="0"/>
                    <w:widowControl/>
                    <w:suppressLineNumbers w:val="0"/>
                    <w:kinsoku/>
                    <w:overflowPunct/>
                    <w:topLinePunct w:val="0"/>
                    <w:autoSpaceDE/>
                    <w:autoSpaceDN/>
                    <w:bidi w:val="0"/>
                    <w:adjustRightInd w:val="0"/>
                    <w:snapToGrid w:val="0"/>
                    <w:ind w:left="0" w:leftChars="0" w:right="0" w:rightChars="0"/>
                    <w:jc w:val="center"/>
                    <w:textAlignment w:val="center"/>
                    <w:rPr>
                      <w:rFonts w:hint="default" w:eastAsia="宋体"/>
                      <w:color w:val="auto"/>
                      <w:lang w:val="en-US" w:eastAsia="zh-CN"/>
                    </w:rPr>
                  </w:pPr>
                  <w:r>
                    <w:rPr>
                      <w:rFonts w:hint="eastAsia"/>
                      <w:color w:val="auto"/>
                      <w:lang w:val="en-US" w:eastAsia="zh-CN"/>
                    </w:rPr>
                    <w:t>喷砂</w:t>
                  </w:r>
                </w:p>
              </w:tc>
              <w:tc>
                <w:tcPr>
                  <w:tcW w:w="517" w:type="dxa"/>
                  <w:noWrap w:val="0"/>
                  <w:vAlign w:val="center"/>
                </w:tcPr>
                <w:p w14:paraId="5BC685FB">
                  <w:pPr>
                    <w:keepNext w:val="0"/>
                    <w:keepLines w:val="0"/>
                    <w:pageBreakBefore w:val="0"/>
                    <w:widowControl/>
                    <w:suppressLineNumbers w:val="0"/>
                    <w:kinsoku/>
                    <w:overflowPunct/>
                    <w:topLinePunct w:val="0"/>
                    <w:autoSpaceDE/>
                    <w:autoSpaceDN/>
                    <w:bidi w:val="0"/>
                    <w:adjustRightInd w:val="0"/>
                    <w:snapToGrid w:val="0"/>
                    <w:ind w:left="0" w:leftChars="0" w:right="0" w:rightChars="0"/>
                    <w:jc w:val="center"/>
                    <w:textAlignment w:val="center"/>
                    <w:rPr>
                      <w:rFonts w:hint="default" w:eastAsia="宋体"/>
                      <w:color w:val="auto"/>
                      <w:lang w:val="en-US" w:eastAsia="zh-CN"/>
                    </w:rPr>
                  </w:pPr>
                  <w:r>
                    <w:rPr>
                      <w:rFonts w:hint="eastAsia"/>
                      <w:color w:val="auto"/>
                      <w:lang w:val="en-US" w:eastAsia="zh-CN"/>
                    </w:rPr>
                    <w:t>颗粒物</w:t>
                  </w:r>
                </w:p>
              </w:tc>
              <w:tc>
                <w:tcPr>
                  <w:tcW w:w="550" w:type="dxa"/>
                  <w:noWrap w:val="0"/>
                  <w:vAlign w:val="center"/>
                </w:tcPr>
                <w:p w14:paraId="4858F62A">
                  <w:pPr>
                    <w:keepNext w:val="0"/>
                    <w:keepLines w:val="0"/>
                    <w:pageBreakBefore w:val="0"/>
                    <w:widowControl/>
                    <w:suppressLineNumbers w:val="0"/>
                    <w:kinsoku/>
                    <w:overflowPunct/>
                    <w:topLinePunct w:val="0"/>
                    <w:autoSpaceDE/>
                    <w:autoSpaceDN/>
                    <w:bidi w:val="0"/>
                    <w:adjustRightInd w:val="0"/>
                    <w:snapToGrid w:val="0"/>
                    <w:jc w:val="center"/>
                    <w:textAlignment w:val="center"/>
                    <w:rPr>
                      <w:rFonts w:hint="default" w:cs="Times New Roman"/>
                      <w:color w:val="auto"/>
                      <w:kern w:val="0"/>
                      <w:sz w:val="21"/>
                      <w:szCs w:val="21"/>
                      <w:lang w:val="en-US" w:eastAsia="zh-CN" w:bidi="en-US"/>
                    </w:rPr>
                  </w:pPr>
                  <w:r>
                    <w:rPr>
                      <w:rFonts w:hint="eastAsia" w:cs="Times New Roman"/>
                      <w:color w:val="auto"/>
                      <w:kern w:val="0"/>
                      <w:sz w:val="21"/>
                      <w:szCs w:val="21"/>
                      <w:lang w:val="en-US" w:eastAsia="zh-CN" w:bidi="en-US"/>
                    </w:rPr>
                    <w:t>0.003</w:t>
                  </w:r>
                </w:p>
              </w:tc>
              <w:tc>
                <w:tcPr>
                  <w:tcW w:w="733" w:type="dxa"/>
                  <w:noWrap w:val="0"/>
                  <w:vAlign w:val="center"/>
                </w:tcPr>
                <w:p w14:paraId="2D085778">
                  <w:pPr>
                    <w:keepNext w:val="0"/>
                    <w:keepLines w:val="0"/>
                    <w:pageBreakBefore w:val="0"/>
                    <w:widowControl/>
                    <w:suppressLineNumbers w:val="0"/>
                    <w:kinsoku/>
                    <w:overflowPunct/>
                    <w:topLinePunct w:val="0"/>
                    <w:autoSpaceDE/>
                    <w:autoSpaceDN/>
                    <w:bidi w:val="0"/>
                    <w:adjustRightInd w:val="0"/>
                    <w:snapToGrid w:val="0"/>
                    <w:jc w:val="center"/>
                    <w:textAlignment w:val="center"/>
                    <w:rPr>
                      <w:rFonts w:hint="default" w:cs="Times New Roman"/>
                      <w:color w:val="auto"/>
                      <w:kern w:val="0"/>
                      <w:sz w:val="21"/>
                      <w:szCs w:val="21"/>
                      <w:lang w:val="en-US" w:eastAsia="zh-CN" w:bidi="en-US"/>
                    </w:rPr>
                  </w:pPr>
                  <w:r>
                    <w:rPr>
                      <w:rFonts w:hint="eastAsia" w:cs="Times New Roman"/>
                      <w:color w:val="auto"/>
                      <w:kern w:val="0"/>
                      <w:sz w:val="21"/>
                      <w:szCs w:val="21"/>
                      <w:lang w:val="en-US" w:eastAsia="zh-CN" w:bidi="en-US"/>
                    </w:rPr>
                    <w:t>0.004</w:t>
                  </w:r>
                </w:p>
              </w:tc>
              <w:tc>
                <w:tcPr>
                  <w:tcW w:w="817" w:type="dxa"/>
                  <w:noWrap w:val="0"/>
                  <w:vAlign w:val="center"/>
                </w:tcPr>
                <w:p w14:paraId="4F9F8B95">
                  <w:pPr>
                    <w:keepNext w:val="0"/>
                    <w:keepLines w:val="0"/>
                    <w:pageBreakBefore w:val="0"/>
                    <w:widowControl/>
                    <w:kinsoku/>
                    <w:overflowPunct/>
                    <w:topLinePunct w:val="0"/>
                    <w:autoSpaceDE/>
                    <w:autoSpaceDN/>
                    <w:bidi w:val="0"/>
                    <w:adjustRightInd w:val="0"/>
                    <w:snapToGrid w:val="0"/>
                    <w:jc w:val="center"/>
                    <w:rPr>
                      <w:rFonts w:hint="default" w:cs="Times New Roman"/>
                      <w:color w:val="auto"/>
                      <w:kern w:val="0"/>
                      <w:sz w:val="21"/>
                      <w:szCs w:val="21"/>
                      <w:lang w:val="en-US" w:eastAsia="zh-CN" w:bidi="en-US"/>
                    </w:rPr>
                  </w:pPr>
                  <w:r>
                    <w:rPr>
                      <w:rFonts w:hint="eastAsia" w:cs="Times New Roman"/>
                      <w:color w:val="auto"/>
                      <w:kern w:val="0"/>
                      <w:sz w:val="21"/>
                      <w:szCs w:val="21"/>
                      <w:lang w:val="en-US" w:eastAsia="zh-CN" w:bidi="en-US"/>
                    </w:rPr>
                    <w:t>1.217</w:t>
                  </w:r>
                </w:p>
              </w:tc>
              <w:tc>
                <w:tcPr>
                  <w:tcW w:w="466" w:type="dxa"/>
                  <w:noWrap w:val="0"/>
                  <w:vAlign w:val="center"/>
                </w:tcPr>
                <w:p w14:paraId="60D958CD">
                  <w:pPr>
                    <w:keepNext w:val="0"/>
                    <w:keepLines w:val="0"/>
                    <w:pageBreakBefore w:val="0"/>
                    <w:widowControl/>
                    <w:kinsoku/>
                    <w:wordWrap w:val="0"/>
                    <w:overflowPunct/>
                    <w:topLinePunct w:val="0"/>
                    <w:autoSpaceDE/>
                    <w:autoSpaceDN/>
                    <w:bidi w:val="0"/>
                    <w:adjustRightInd w:val="0"/>
                    <w:snapToGrid w:val="0"/>
                    <w:ind w:left="0" w:leftChars="0" w:right="0" w:rightChars="0"/>
                    <w:jc w:val="center"/>
                    <w:rPr>
                      <w:rFonts w:hint="eastAsia" w:ascii="Times New Roman" w:hAnsi="Times New Roman" w:eastAsia="宋体" w:cs="Times New Roman"/>
                      <w:color w:val="auto"/>
                      <w:kern w:val="0"/>
                      <w:sz w:val="21"/>
                      <w:szCs w:val="21"/>
                      <w:lang w:val="en-US" w:eastAsia="zh-CN" w:bidi="en-US"/>
                    </w:rPr>
                  </w:pPr>
                  <w:r>
                    <w:rPr>
                      <w:rFonts w:hint="eastAsia" w:cs="Times New Roman"/>
                      <w:color w:val="auto"/>
                      <w:kern w:val="0"/>
                      <w:sz w:val="21"/>
                      <w:szCs w:val="21"/>
                      <w:lang w:val="en-US" w:eastAsia="zh-CN" w:bidi="en-US"/>
                    </w:rPr>
                    <w:t>无组织</w:t>
                  </w:r>
                </w:p>
              </w:tc>
              <w:tc>
                <w:tcPr>
                  <w:tcW w:w="984" w:type="dxa"/>
                  <w:noWrap w:val="0"/>
                  <w:vAlign w:val="center"/>
                </w:tcPr>
                <w:p w14:paraId="08D0110E">
                  <w:pPr>
                    <w:keepNext w:val="0"/>
                    <w:keepLines w:val="0"/>
                    <w:pageBreakBefore w:val="0"/>
                    <w:widowControl/>
                    <w:suppressLineNumbers w:val="0"/>
                    <w:kinsoku/>
                    <w:overflowPunct/>
                    <w:topLinePunct w:val="0"/>
                    <w:autoSpaceDE/>
                    <w:autoSpaceDN/>
                    <w:bidi w:val="0"/>
                    <w:adjustRightInd w:val="0"/>
                    <w:snapToGrid w:val="0"/>
                    <w:ind w:left="0" w:leftChars="0" w:right="0" w:rightChars="0"/>
                    <w:jc w:val="center"/>
                    <w:textAlignment w:val="center"/>
                    <w:rPr>
                      <w:rFonts w:hint="default" w:ascii="Times New Roman" w:hAnsi="Times New Roman" w:eastAsia="宋体" w:cs="Times New Roman"/>
                      <w:color w:val="auto"/>
                      <w:kern w:val="0"/>
                      <w:sz w:val="21"/>
                      <w:szCs w:val="21"/>
                      <w:lang w:val="en-US" w:eastAsia="zh-CN" w:bidi="en-US"/>
                    </w:rPr>
                  </w:pPr>
                  <w:r>
                    <w:rPr>
                      <w:rFonts w:hint="eastAsia" w:cs="Times New Roman"/>
                      <w:color w:val="auto"/>
                      <w:kern w:val="0"/>
                      <w:sz w:val="21"/>
                      <w:szCs w:val="21"/>
                      <w:lang w:val="en-US" w:eastAsia="zh-CN" w:bidi="en-US"/>
                    </w:rPr>
                    <w:t>袋式除尘器</w:t>
                  </w:r>
                </w:p>
              </w:tc>
              <w:tc>
                <w:tcPr>
                  <w:tcW w:w="516" w:type="dxa"/>
                  <w:noWrap w:val="0"/>
                  <w:vAlign w:val="center"/>
                </w:tcPr>
                <w:p w14:paraId="1896A71C">
                  <w:pPr>
                    <w:keepNext w:val="0"/>
                    <w:keepLines w:val="0"/>
                    <w:pageBreakBefore w:val="0"/>
                    <w:widowControl/>
                    <w:suppressLineNumbers w:val="0"/>
                    <w:kinsoku/>
                    <w:overflowPunct/>
                    <w:topLinePunct w:val="0"/>
                    <w:autoSpaceDE/>
                    <w:autoSpaceDN/>
                    <w:bidi w:val="0"/>
                    <w:adjustRightInd w:val="0"/>
                    <w:snapToGrid w:val="0"/>
                    <w:ind w:left="0" w:leftChars="0" w:right="0" w:rightChars="0"/>
                    <w:jc w:val="center"/>
                    <w:textAlignment w:val="center"/>
                    <w:rPr>
                      <w:rFonts w:hint="default" w:ascii="Times New Roman" w:hAnsi="Times New Roman" w:eastAsia="宋体" w:cs="Times New Roman"/>
                      <w:color w:val="auto"/>
                      <w:kern w:val="0"/>
                      <w:sz w:val="21"/>
                      <w:szCs w:val="21"/>
                      <w:lang w:val="en-US" w:eastAsia="zh-CN" w:bidi="en-US"/>
                    </w:rPr>
                  </w:pPr>
                  <w:r>
                    <w:rPr>
                      <w:rFonts w:hint="eastAsia" w:cs="Times New Roman"/>
                      <w:color w:val="auto"/>
                      <w:kern w:val="0"/>
                      <w:sz w:val="21"/>
                      <w:szCs w:val="21"/>
                      <w:lang w:val="en-US" w:eastAsia="zh-CN" w:bidi="en-US"/>
                    </w:rPr>
                    <w:t>95%</w:t>
                  </w:r>
                </w:p>
              </w:tc>
              <w:tc>
                <w:tcPr>
                  <w:tcW w:w="967" w:type="dxa"/>
                  <w:noWrap w:val="0"/>
                  <w:vAlign w:val="center"/>
                </w:tcPr>
                <w:p w14:paraId="1DDBD6D3">
                  <w:pPr>
                    <w:keepNext w:val="0"/>
                    <w:keepLines w:val="0"/>
                    <w:pageBreakBefore w:val="0"/>
                    <w:widowControl/>
                    <w:suppressLineNumbers w:val="0"/>
                    <w:kinsoku/>
                    <w:overflowPunct/>
                    <w:topLinePunct w:val="0"/>
                    <w:autoSpaceDE/>
                    <w:autoSpaceDN/>
                    <w:bidi w:val="0"/>
                    <w:adjustRightInd w:val="0"/>
                    <w:snapToGrid w:val="0"/>
                    <w:ind w:left="0" w:leftChars="0" w:right="0" w:rightChars="0"/>
                    <w:jc w:val="center"/>
                    <w:textAlignment w:val="center"/>
                    <w:rPr>
                      <w:rFonts w:hint="default" w:ascii="Times New Roman" w:hAnsi="Times New Roman" w:eastAsia="宋体" w:cs="Times New Roman"/>
                      <w:color w:val="auto"/>
                      <w:kern w:val="0"/>
                      <w:sz w:val="21"/>
                      <w:szCs w:val="21"/>
                      <w:lang w:val="en-US" w:eastAsia="zh-CN" w:bidi="en-US"/>
                    </w:rPr>
                  </w:pPr>
                  <w:r>
                    <w:rPr>
                      <w:rFonts w:hint="eastAsia" w:cs="Times New Roman"/>
                      <w:color w:val="auto"/>
                      <w:kern w:val="0"/>
                      <w:sz w:val="21"/>
                      <w:szCs w:val="21"/>
                      <w:lang w:val="en-US" w:eastAsia="zh-CN" w:bidi="en-US"/>
                    </w:rPr>
                    <w:t>是</w:t>
                  </w:r>
                </w:p>
              </w:tc>
              <w:tc>
                <w:tcPr>
                  <w:tcW w:w="667" w:type="dxa"/>
                  <w:noWrap w:val="0"/>
                  <w:vAlign w:val="center"/>
                </w:tcPr>
                <w:p w14:paraId="6556CFEC">
                  <w:pPr>
                    <w:keepNext w:val="0"/>
                    <w:keepLines w:val="0"/>
                    <w:pageBreakBefore w:val="0"/>
                    <w:widowControl/>
                    <w:suppressLineNumbers w:val="0"/>
                    <w:kinsoku/>
                    <w:overflowPunct/>
                    <w:topLinePunct w:val="0"/>
                    <w:autoSpaceDE/>
                    <w:autoSpaceDN/>
                    <w:bidi w:val="0"/>
                    <w:adjustRightInd w:val="0"/>
                    <w:snapToGrid w:val="0"/>
                    <w:jc w:val="center"/>
                    <w:textAlignment w:val="center"/>
                    <w:rPr>
                      <w:rFonts w:hint="default" w:cs="Times New Roman"/>
                      <w:color w:val="auto"/>
                      <w:kern w:val="0"/>
                      <w:sz w:val="21"/>
                      <w:szCs w:val="21"/>
                      <w:lang w:val="en-US" w:eastAsia="zh-CN" w:bidi="en-US"/>
                    </w:rPr>
                  </w:pPr>
                  <w:r>
                    <w:rPr>
                      <w:rFonts w:hint="eastAsia" w:cs="Times New Roman"/>
                      <w:color w:val="auto"/>
                      <w:kern w:val="0"/>
                      <w:sz w:val="21"/>
                      <w:szCs w:val="21"/>
                      <w:lang w:val="en-US" w:eastAsia="zh-CN" w:bidi="en-US"/>
                    </w:rPr>
                    <w:t>0.0002</w:t>
                  </w:r>
                </w:p>
              </w:tc>
              <w:tc>
                <w:tcPr>
                  <w:tcW w:w="680" w:type="dxa"/>
                  <w:noWrap w:val="0"/>
                  <w:vAlign w:val="center"/>
                </w:tcPr>
                <w:p w14:paraId="1BEAA5FC">
                  <w:pPr>
                    <w:keepNext w:val="0"/>
                    <w:keepLines w:val="0"/>
                    <w:pageBreakBefore w:val="0"/>
                    <w:widowControl/>
                    <w:suppressLineNumbers w:val="0"/>
                    <w:kinsoku/>
                    <w:overflowPunct/>
                    <w:topLinePunct w:val="0"/>
                    <w:autoSpaceDE/>
                    <w:autoSpaceDN/>
                    <w:bidi w:val="0"/>
                    <w:adjustRightInd w:val="0"/>
                    <w:snapToGrid w:val="0"/>
                    <w:jc w:val="center"/>
                    <w:textAlignment w:val="center"/>
                    <w:rPr>
                      <w:rFonts w:hint="default" w:cs="Times New Roman"/>
                      <w:color w:val="auto"/>
                      <w:kern w:val="0"/>
                      <w:sz w:val="21"/>
                      <w:szCs w:val="21"/>
                      <w:lang w:val="en-US" w:eastAsia="zh-CN" w:bidi="en-US"/>
                    </w:rPr>
                  </w:pPr>
                  <w:r>
                    <w:rPr>
                      <w:rFonts w:hint="eastAsia" w:cs="Times New Roman"/>
                      <w:color w:val="auto"/>
                      <w:kern w:val="0"/>
                      <w:sz w:val="21"/>
                      <w:szCs w:val="21"/>
                      <w:lang w:val="en-US" w:eastAsia="zh-CN" w:bidi="en-US"/>
                    </w:rPr>
                    <w:t>0.0002</w:t>
                  </w:r>
                </w:p>
              </w:tc>
              <w:tc>
                <w:tcPr>
                  <w:tcW w:w="671" w:type="dxa"/>
                  <w:noWrap w:val="0"/>
                  <w:vAlign w:val="center"/>
                </w:tcPr>
                <w:p w14:paraId="758861AB">
                  <w:pPr>
                    <w:keepNext w:val="0"/>
                    <w:keepLines w:val="0"/>
                    <w:pageBreakBefore w:val="0"/>
                    <w:widowControl/>
                    <w:kinsoku/>
                    <w:overflowPunct/>
                    <w:topLinePunct w:val="0"/>
                    <w:autoSpaceDE/>
                    <w:autoSpaceDN/>
                    <w:bidi w:val="0"/>
                    <w:adjustRightInd w:val="0"/>
                    <w:snapToGrid w:val="0"/>
                    <w:jc w:val="center"/>
                    <w:rPr>
                      <w:rFonts w:hint="default" w:cs="Times New Roman"/>
                      <w:color w:val="auto"/>
                      <w:kern w:val="0"/>
                      <w:sz w:val="21"/>
                      <w:szCs w:val="21"/>
                      <w:lang w:val="en-US" w:eastAsia="zh-CN" w:bidi="en-US"/>
                    </w:rPr>
                  </w:pPr>
                  <w:r>
                    <w:rPr>
                      <w:rFonts w:hint="eastAsia" w:cs="Times New Roman"/>
                      <w:color w:val="auto"/>
                      <w:kern w:val="0"/>
                      <w:sz w:val="21"/>
                      <w:szCs w:val="21"/>
                      <w:lang w:val="en-US" w:eastAsia="zh-CN" w:bidi="en-US"/>
                    </w:rPr>
                    <w:t>0.061</w:t>
                  </w:r>
                </w:p>
              </w:tc>
            </w:tr>
          </w:tbl>
          <w:p w14:paraId="2A1FA736">
            <w:pPr>
              <w:spacing w:line="360" w:lineRule="auto"/>
              <w:ind w:firstLine="480" w:firstLineChars="200"/>
              <w:rPr>
                <w:rFonts w:hint="default" w:ascii="Times New Roman" w:hAnsi="Times New Roman" w:cs="Times New Roman"/>
                <w:bCs/>
                <w:color w:val="auto"/>
                <w:sz w:val="24"/>
                <w:szCs w:val="22"/>
              </w:rPr>
            </w:pPr>
            <w:r>
              <w:rPr>
                <w:rFonts w:hint="default" w:ascii="Times New Roman" w:hAnsi="Times New Roman" w:cs="Times New Roman"/>
                <w:bCs/>
                <w:color w:val="auto"/>
                <w:kern w:val="0"/>
                <w:sz w:val="24"/>
                <w:lang w:bidi="en-US"/>
              </w:rPr>
              <w:t>（2）污染物源强核算依据</w:t>
            </w:r>
          </w:p>
          <w:p w14:paraId="5211D7A1">
            <w:pPr>
              <w:spacing w:line="360" w:lineRule="auto"/>
              <w:ind w:firstLine="480" w:firstLineChars="200"/>
              <w:contextualSpacing/>
              <w:rPr>
                <w:rFonts w:hint="default" w:cs="Times New Roman"/>
                <w:color w:val="auto"/>
                <w:sz w:val="24"/>
                <w:lang w:val="en-US" w:eastAsia="zh-CN"/>
              </w:rPr>
            </w:pPr>
            <w:r>
              <w:rPr>
                <w:rFonts w:hint="eastAsia" w:cs="Times New Roman"/>
                <w:color w:val="auto"/>
                <w:sz w:val="24"/>
                <w:lang w:val="en-US" w:eastAsia="zh-CN"/>
              </w:rPr>
              <w:t>1）打磨粉尘</w:t>
            </w:r>
          </w:p>
          <w:p w14:paraId="037A9F18">
            <w:pPr>
              <w:spacing w:line="360" w:lineRule="auto"/>
              <w:ind w:firstLine="480" w:firstLineChars="200"/>
              <w:contextualSpacing/>
              <w:rPr>
                <w:rFonts w:hint="default" w:ascii="Times New Roman" w:hAnsi="Times New Roman" w:cs="Times New Roman"/>
                <w:color w:val="auto"/>
                <w:sz w:val="24"/>
                <w:lang w:val="en-US" w:eastAsia="zh-CN"/>
              </w:rPr>
            </w:pPr>
            <w:r>
              <w:rPr>
                <w:rFonts w:hint="eastAsia" w:cs="Times New Roman"/>
                <w:color w:val="auto"/>
                <w:sz w:val="24"/>
                <w:lang w:val="en-US" w:eastAsia="zh-CN"/>
              </w:rPr>
              <w:t>项目钛材需进行打磨处理，打磨粉尘经配套的水雾式除尘及袋式除尘器处理后经20m高DA001排气筒排放。</w:t>
            </w:r>
            <w:r>
              <w:rPr>
                <w:rFonts w:hint="eastAsia"/>
                <w:b w:val="0"/>
                <w:bCs w:val="0"/>
                <w:color w:val="auto"/>
                <w:sz w:val="24"/>
                <w:lang w:val="en-US" w:eastAsia="zh-CN"/>
              </w:rPr>
              <w:t>参考</w:t>
            </w:r>
            <w:r>
              <w:rPr>
                <w:rFonts w:hint="eastAsia" w:ascii="Times New Roman" w:hAnsi="Times New Roman" w:cs="Times New Roman"/>
                <w:color w:val="auto"/>
                <w:sz w:val="24"/>
                <w:lang w:val="en-US" w:eastAsia="zh-CN"/>
              </w:rPr>
              <w:t>《工业源产排污核算方法和系数手册》（</w:t>
            </w:r>
            <w:r>
              <w:rPr>
                <w:rFonts w:hint="default" w:ascii="Times New Roman" w:hAnsi="Times New Roman" w:eastAsia="宋体" w:cs="Times New Roman"/>
                <w:color w:val="auto"/>
                <w:sz w:val="24"/>
                <w:szCs w:val="24"/>
              </w:rPr>
              <w:t>2021</w:t>
            </w:r>
            <w:r>
              <w:rPr>
                <w:rFonts w:hint="default" w:ascii="Times New Roman" w:hAnsi="宋体" w:eastAsia="宋体" w:cs="Times New Roman"/>
                <w:color w:val="auto"/>
                <w:sz w:val="24"/>
                <w:szCs w:val="24"/>
              </w:rPr>
              <w:t>年</w:t>
            </w:r>
            <w:r>
              <w:rPr>
                <w:rFonts w:hint="default" w:ascii="Times New Roman" w:hAnsi="Times New Roman" w:eastAsia="宋体" w:cs="Times New Roman"/>
                <w:color w:val="auto"/>
                <w:sz w:val="24"/>
                <w:szCs w:val="24"/>
              </w:rPr>
              <w:t>6</w:t>
            </w:r>
            <w:r>
              <w:rPr>
                <w:rFonts w:hint="default" w:ascii="Times New Roman" w:hAnsi="宋体" w:eastAsia="宋体" w:cs="Times New Roman"/>
                <w:color w:val="auto"/>
                <w:sz w:val="24"/>
                <w:szCs w:val="24"/>
              </w:rPr>
              <w:t>月</w:t>
            </w:r>
            <w:r>
              <w:rPr>
                <w:rFonts w:hint="default" w:ascii="Times New Roman" w:hAnsi="Times New Roman" w:eastAsia="宋体" w:cs="Times New Roman"/>
                <w:color w:val="auto"/>
                <w:sz w:val="24"/>
                <w:szCs w:val="24"/>
              </w:rPr>
              <w:t>9</w:t>
            </w:r>
            <w:r>
              <w:rPr>
                <w:rFonts w:hint="default" w:ascii="Times New Roman" w:hAnsi="宋体" w:eastAsia="宋体" w:cs="Times New Roman"/>
                <w:color w:val="auto"/>
                <w:sz w:val="24"/>
                <w:szCs w:val="24"/>
              </w:rPr>
              <w:t>日实施</w:t>
            </w:r>
            <w:r>
              <w:rPr>
                <w:rFonts w:hint="eastAsia" w:ascii="Times New Roman" w:hAnsi="Times New Roman" w:cs="Times New Roman"/>
                <w:color w:val="auto"/>
                <w:sz w:val="24"/>
                <w:lang w:val="en-US" w:eastAsia="zh-CN"/>
              </w:rPr>
              <w:t>）-</w:t>
            </w:r>
            <w:r>
              <w:rPr>
                <w:rFonts w:hint="eastAsia" w:cs="Times New Roman"/>
                <w:color w:val="auto"/>
                <w:sz w:val="24"/>
                <w:lang w:val="en-US" w:eastAsia="zh-CN"/>
              </w:rPr>
              <w:t>机械行业系数手册，打磨工序</w:t>
            </w:r>
            <w:r>
              <w:rPr>
                <w:rFonts w:hint="eastAsia" w:ascii="Times New Roman" w:hAnsi="Times New Roman" w:cs="Times New Roman"/>
                <w:color w:val="auto"/>
                <w:sz w:val="24"/>
                <w:lang w:val="en-US" w:eastAsia="zh-CN"/>
              </w:rPr>
              <w:t>颗粒物产生系数</w:t>
            </w:r>
            <w:r>
              <w:rPr>
                <w:rFonts w:hint="eastAsia" w:cs="Times New Roman"/>
                <w:color w:val="auto"/>
                <w:sz w:val="24"/>
                <w:lang w:val="en-US" w:eastAsia="zh-CN"/>
              </w:rPr>
              <w:t>2.19</w:t>
            </w:r>
            <w:r>
              <w:rPr>
                <w:rFonts w:hint="eastAsia" w:ascii="Times New Roman" w:hAnsi="Times New Roman" w:cs="Times New Roman"/>
                <w:color w:val="auto"/>
                <w:sz w:val="24"/>
                <w:lang w:val="en-US" w:eastAsia="zh-CN"/>
              </w:rPr>
              <w:t>kg/t-原料</w:t>
            </w:r>
            <w:r>
              <w:rPr>
                <w:rFonts w:hint="eastAsia"/>
                <w:b w:val="0"/>
                <w:bCs w:val="0"/>
                <w:color w:val="auto"/>
                <w:sz w:val="24"/>
                <w:lang w:val="en-US" w:eastAsia="zh-CN"/>
              </w:rPr>
              <w:t>，本项目年打磨钛材310.52t（</w:t>
            </w:r>
            <w:r>
              <w:rPr>
                <w:rFonts w:hint="eastAsia"/>
                <w:b w:val="0"/>
                <w:bCs w:val="0"/>
                <w:color w:val="0000FF"/>
                <w:sz w:val="24"/>
                <w:lang w:val="en-US" w:eastAsia="zh-CN"/>
              </w:rPr>
              <w:t>钛及钛合金板坯9.02t、钛棒300t、去壳钛铸件1.5t）</w:t>
            </w:r>
            <w:r>
              <w:rPr>
                <w:rFonts w:hint="eastAsia"/>
                <w:b w:val="0"/>
                <w:bCs w:val="0"/>
                <w:color w:val="auto"/>
                <w:sz w:val="24"/>
                <w:lang w:val="en-US" w:eastAsia="zh-CN"/>
              </w:rPr>
              <w:t>，则打磨粉尘产生量为0.681t/a。</w:t>
            </w:r>
          </w:p>
          <w:p w14:paraId="49D0D8E5">
            <w:pPr>
              <w:spacing w:line="360" w:lineRule="auto"/>
              <w:ind w:firstLine="480" w:firstLineChars="200"/>
              <w:contextualSpacing/>
              <w:rPr>
                <w:rFonts w:hint="default" w:cs="Times New Roman"/>
                <w:color w:val="auto"/>
                <w:sz w:val="24"/>
                <w:lang w:val="en-US" w:eastAsia="zh-CN"/>
              </w:rPr>
            </w:pPr>
            <w:r>
              <w:rPr>
                <w:rFonts w:hint="eastAsia" w:cs="Times New Roman"/>
                <w:color w:val="auto"/>
                <w:sz w:val="24"/>
                <w:lang w:val="en-US" w:eastAsia="zh-CN"/>
              </w:rPr>
              <w:t>根据</w:t>
            </w:r>
            <w:r>
              <w:rPr>
                <w:rFonts w:hint="eastAsia" w:cs="Times New Roman"/>
                <w:color w:val="auto"/>
                <w:kern w:val="0"/>
                <w:sz w:val="24"/>
                <w:szCs w:val="20"/>
                <w:lang w:val="en-US" w:eastAsia="zh-CN"/>
              </w:rPr>
              <w:t>建设单位提供的设计资料，除尘设备配套的风机总风量为14000m</w:t>
            </w:r>
            <w:r>
              <w:rPr>
                <w:rFonts w:hint="eastAsia" w:cs="Times New Roman"/>
                <w:color w:val="auto"/>
                <w:kern w:val="0"/>
                <w:sz w:val="24"/>
                <w:szCs w:val="20"/>
                <w:vertAlign w:val="superscript"/>
                <w:lang w:val="en-US" w:eastAsia="zh-CN"/>
              </w:rPr>
              <w:t>3</w:t>
            </w:r>
            <w:r>
              <w:rPr>
                <w:rFonts w:hint="eastAsia" w:cs="Times New Roman"/>
                <w:color w:val="auto"/>
                <w:kern w:val="0"/>
                <w:sz w:val="24"/>
                <w:szCs w:val="20"/>
                <w:lang w:val="en-US" w:eastAsia="zh-CN"/>
              </w:rPr>
              <w:t>/h，收集效率为85%，</w:t>
            </w:r>
            <w:r>
              <w:rPr>
                <w:rFonts w:hint="eastAsia" w:cs="Times New Roman"/>
                <w:color w:val="auto"/>
                <w:spacing w:val="0"/>
                <w:kern w:val="2"/>
                <w:position w:val="0"/>
                <w:sz w:val="24"/>
                <w:szCs w:val="24"/>
                <w:highlight w:val="none"/>
                <w:lang w:val="en-US" w:eastAsia="zh-CN"/>
              </w:rPr>
              <w:t>根据</w:t>
            </w:r>
            <w:r>
              <w:rPr>
                <w:rFonts w:hint="eastAsia" w:ascii="Times New Roman" w:hAnsi="Times New Roman" w:cs="Times New Roman"/>
                <w:color w:val="auto"/>
                <w:sz w:val="24"/>
                <w:lang w:val="en-US" w:eastAsia="zh-CN"/>
              </w:rPr>
              <w:t>《工业源产排污核算方法和系数手册》，</w:t>
            </w:r>
            <w:r>
              <w:rPr>
                <w:rFonts w:hint="eastAsia" w:cs="Times New Roman"/>
                <w:color w:val="auto"/>
                <w:sz w:val="24"/>
                <w:lang w:val="en-US" w:eastAsia="zh-CN"/>
              </w:rPr>
              <w:t>水雾除尘</w:t>
            </w:r>
            <w:r>
              <w:rPr>
                <w:rFonts w:hint="eastAsia" w:cs="Times New Roman"/>
                <w:color w:val="auto"/>
                <w:sz w:val="24"/>
                <w:highlight w:val="none"/>
                <w:lang w:val="en-US" w:eastAsia="zh-CN"/>
              </w:rPr>
              <w:t>效率按85%计</w:t>
            </w:r>
            <w:r>
              <w:rPr>
                <w:rFonts w:hint="eastAsia" w:cs="Times New Roman"/>
                <w:color w:val="auto"/>
                <w:sz w:val="24"/>
                <w:lang w:val="en-US" w:eastAsia="zh-CN"/>
              </w:rPr>
              <w:t>，袋式除尘效率按95%计，打磨工序工作时间为1500h/a，</w:t>
            </w:r>
            <w:r>
              <w:rPr>
                <w:rFonts w:hint="eastAsia" w:ascii="Times New Roman" w:hAnsi="Times New Roman" w:eastAsia="宋体" w:cs="Times New Roman"/>
                <w:color w:val="auto"/>
                <w:sz w:val="24"/>
                <w:lang w:val="en-US" w:eastAsia="zh-CN"/>
              </w:rPr>
              <w:t>颗粒物</w:t>
            </w:r>
            <w:r>
              <w:rPr>
                <w:rFonts w:hint="eastAsia" w:cs="Times New Roman"/>
                <w:color w:val="auto"/>
                <w:sz w:val="24"/>
                <w:lang w:val="en-US" w:eastAsia="zh-CN"/>
              </w:rPr>
              <w:t>有组织产生量</w:t>
            </w:r>
            <w:r>
              <w:rPr>
                <w:rFonts w:ascii="Times New Roman" w:hAnsi="Times New Roman" w:eastAsia="宋体" w:cs="Times New Roman"/>
                <w:color w:val="auto"/>
                <w:sz w:val="24"/>
              </w:rPr>
              <w:t>为</w:t>
            </w:r>
            <w:r>
              <w:rPr>
                <w:rFonts w:hint="eastAsia" w:cs="Times New Roman"/>
                <w:color w:val="auto"/>
                <w:sz w:val="24"/>
                <w:lang w:val="en-US" w:eastAsia="zh-CN"/>
              </w:rPr>
              <w:t>0.578</w:t>
            </w:r>
            <w:r>
              <w:rPr>
                <w:rFonts w:hint="eastAsia" w:ascii="Times New Roman" w:hAnsi="Times New Roman" w:eastAsia="宋体" w:cs="Times New Roman"/>
                <w:color w:val="auto"/>
                <w:sz w:val="24"/>
              </w:rPr>
              <w:t>t</w:t>
            </w:r>
            <w:r>
              <w:rPr>
                <w:rFonts w:ascii="Times New Roman" w:hAnsi="Times New Roman" w:eastAsia="宋体" w:cs="Times New Roman"/>
                <w:color w:val="auto"/>
                <w:sz w:val="24"/>
              </w:rPr>
              <w:t>/a，</w:t>
            </w:r>
            <w:r>
              <w:rPr>
                <w:rFonts w:hint="eastAsia" w:cs="Times New Roman"/>
                <w:color w:val="auto"/>
                <w:sz w:val="24"/>
                <w:lang w:val="en-US" w:eastAsia="zh-CN"/>
              </w:rPr>
              <w:t>产生</w:t>
            </w:r>
            <w:r>
              <w:rPr>
                <w:rFonts w:hint="eastAsia" w:ascii="Times New Roman" w:hAnsi="Times New Roman" w:eastAsia="宋体" w:cs="Times New Roman"/>
                <w:color w:val="auto"/>
                <w:sz w:val="24"/>
                <w:lang w:val="en-US" w:eastAsia="zh-CN"/>
              </w:rPr>
              <w:t>速率为</w:t>
            </w:r>
            <w:r>
              <w:rPr>
                <w:rFonts w:hint="eastAsia" w:cs="Times New Roman"/>
                <w:color w:val="auto"/>
                <w:sz w:val="24"/>
                <w:lang w:val="en-US" w:eastAsia="zh-CN"/>
              </w:rPr>
              <w:t>0.385</w:t>
            </w:r>
            <w:r>
              <w:rPr>
                <w:rFonts w:ascii="Times New Roman" w:hAnsi="Times New Roman" w:eastAsia="宋体" w:cs="Times New Roman"/>
                <w:color w:val="auto"/>
                <w:sz w:val="24"/>
              </w:rPr>
              <w:t>kg/h，</w:t>
            </w:r>
            <w:r>
              <w:rPr>
                <w:rFonts w:hint="eastAsia" w:cs="Times New Roman"/>
                <w:color w:val="auto"/>
                <w:sz w:val="24"/>
                <w:lang w:val="en-US" w:eastAsia="zh-CN"/>
              </w:rPr>
              <w:t>产生</w:t>
            </w:r>
            <w:bookmarkStart w:id="10" w:name="_GoBack"/>
            <w:bookmarkEnd w:id="10"/>
            <w:r>
              <w:rPr>
                <w:rFonts w:hint="eastAsia" w:ascii="Times New Roman" w:hAnsi="Times New Roman" w:eastAsia="宋体" w:cs="Times New Roman"/>
                <w:color w:val="auto"/>
                <w:sz w:val="24"/>
                <w:lang w:val="en-US" w:eastAsia="zh-CN"/>
              </w:rPr>
              <w:t>浓度为</w:t>
            </w:r>
            <w:r>
              <w:rPr>
                <w:rFonts w:hint="eastAsia" w:cs="Times New Roman"/>
                <w:color w:val="auto"/>
                <w:sz w:val="24"/>
                <w:lang w:val="en-US" w:eastAsia="zh-CN"/>
              </w:rPr>
              <w:t>27.525</w:t>
            </w:r>
            <w:r>
              <w:rPr>
                <w:rFonts w:ascii="Times New Roman" w:hAnsi="Times New Roman" w:eastAsia="宋体" w:cs="Times New Roman"/>
                <w:color w:val="auto"/>
                <w:sz w:val="24"/>
              </w:rPr>
              <w:t>mg/m</w:t>
            </w:r>
            <w:r>
              <w:rPr>
                <w:rFonts w:ascii="Times New Roman" w:hAnsi="Times New Roman" w:eastAsia="宋体" w:cs="Times New Roman"/>
                <w:color w:val="auto"/>
                <w:sz w:val="24"/>
                <w:szCs w:val="22"/>
                <w:vertAlign w:val="superscript"/>
              </w:rPr>
              <w:t>3</w:t>
            </w:r>
            <w:r>
              <w:rPr>
                <w:rFonts w:hint="eastAsia" w:cs="Times New Roman"/>
                <w:color w:val="auto"/>
                <w:sz w:val="24"/>
                <w:szCs w:val="22"/>
                <w:vertAlign w:val="baseline"/>
                <w:lang w:eastAsia="zh-CN"/>
              </w:rPr>
              <w:t>，</w:t>
            </w:r>
            <w:r>
              <w:rPr>
                <w:rFonts w:hint="eastAsia" w:ascii="Times New Roman" w:hAnsi="Times New Roman" w:eastAsia="宋体" w:cs="Times New Roman"/>
                <w:color w:val="auto"/>
                <w:sz w:val="24"/>
                <w:lang w:val="en-US" w:eastAsia="zh-CN"/>
              </w:rPr>
              <w:t>颗粒物</w:t>
            </w:r>
            <w:r>
              <w:rPr>
                <w:rFonts w:hint="eastAsia" w:cs="Times New Roman"/>
                <w:color w:val="auto"/>
                <w:sz w:val="24"/>
                <w:lang w:val="en-US" w:eastAsia="zh-CN"/>
              </w:rPr>
              <w:t>有组织</w:t>
            </w:r>
            <w:r>
              <w:rPr>
                <w:rFonts w:ascii="Times New Roman" w:hAnsi="Times New Roman" w:eastAsia="宋体" w:cs="Times New Roman"/>
                <w:color w:val="auto"/>
                <w:sz w:val="24"/>
              </w:rPr>
              <w:t>排放量为</w:t>
            </w:r>
            <w:r>
              <w:rPr>
                <w:rFonts w:hint="eastAsia" w:cs="Times New Roman"/>
                <w:color w:val="auto"/>
                <w:sz w:val="24"/>
                <w:lang w:val="en-US" w:eastAsia="zh-CN"/>
              </w:rPr>
              <w:t>0.004</w:t>
            </w:r>
            <w:r>
              <w:rPr>
                <w:rFonts w:hint="eastAsia" w:ascii="Times New Roman" w:hAnsi="Times New Roman" w:eastAsia="宋体" w:cs="Times New Roman"/>
                <w:color w:val="auto"/>
                <w:sz w:val="24"/>
              </w:rPr>
              <w:t>t</w:t>
            </w:r>
            <w:r>
              <w:rPr>
                <w:rFonts w:ascii="Times New Roman" w:hAnsi="Times New Roman" w:eastAsia="宋体" w:cs="Times New Roman"/>
                <w:color w:val="auto"/>
                <w:sz w:val="24"/>
              </w:rPr>
              <w:t>/a，</w:t>
            </w:r>
            <w:r>
              <w:rPr>
                <w:rFonts w:hint="eastAsia" w:ascii="Times New Roman" w:hAnsi="Times New Roman" w:eastAsia="宋体" w:cs="Times New Roman"/>
                <w:color w:val="auto"/>
                <w:sz w:val="24"/>
                <w:lang w:val="en-US" w:eastAsia="zh-CN"/>
              </w:rPr>
              <w:t>排放速率为</w:t>
            </w:r>
            <w:r>
              <w:rPr>
                <w:rFonts w:hint="eastAsia" w:cs="Times New Roman"/>
                <w:color w:val="auto"/>
                <w:sz w:val="24"/>
                <w:lang w:val="en-US" w:eastAsia="zh-CN"/>
              </w:rPr>
              <w:t>0.003</w:t>
            </w:r>
            <w:r>
              <w:rPr>
                <w:rFonts w:ascii="Times New Roman" w:hAnsi="Times New Roman" w:eastAsia="宋体" w:cs="Times New Roman"/>
                <w:color w:val="auto"/>
                <w:sz w:val="24"/>
              </w:rPr>
              <w:t>kg/h，</w:t>
            </w:r>
            <w:r>
              <w:rPr>
                <w:rFonts w:hint="eastAsia" w:ascii="Times New Roman" w:hAnsi="Times New Roman" w:eastAsia="宋体" w:cs="Times New Roman"/>
                <w:color w:val="auto"/>
                <w:sz w:val="24"/>
                <w:lang w:val="en-US" w:eastAsia="zh-CN"/>
              </w:rPr>
              <w:t>排放浓度为</w:t>
            </w:r>
            <w:r>
              <w:rPr>
                <w:rFonts w:hint="eastAsia" w:cs="Times New Roman"/>
                <w:color w:val="auto"/>
                <w:sz w:val="24"/>
                <w:lang w:val="en-US" w:eastAsia="zh-CN"/>
              </w:rPr>
              <w:t>0.206</w:t>
            </w:r>
            <w:r>
              <w:rPr>
                <w:rFonts w:ascii="Times New Roman" w:hAnsi="Times New Roman" w:eastAsia="宋体" w:cs="Times New Roman"/>
                <w:color w:val="auto"/>
                <w:sz w:val="24"/>
              </w:rPr>
              <w:t>mg/m</w:t>
            </w:r>
            <w:r>
              <w:rPr>
                <w:rFonts w:ascii="Times New Roman" w:hAnsi="Times New Roman" w:eastAsia="宋体" w:cs="Times New Roman"/>
                <w:color w:val="auto"/>
                <w:sz w:val="24"/>
                <w:szCs w:val="22"/>
                <w:vertAlign w:val="superscript"/>
              </w:rPr>
              <w:t>3</w:t>
            </w:r>
            <w:r>
              <w:rPr>
                <w:rFonts w:hint="eastAsia" w:hAnsi="宋体" w:cs="Times New Roman"/>
                <w:color w:val="auto"/>
                <w:sz w:val="24"/>
                <w:szCs w:val="24"/>
                <w:lang w:eastAsia="zh-CN"/>
              </w:rPr>
              <w:t>；</w:t>
            </w:r>
            <w:r>
              <w:rPr>
                <w:rFonts w:hint="eastAsia" w:hAnsi="宋体" w:cs="Times New Roman"/>
                <w:color w:val="auto"/>
                <w:sz w:val="24"/>
                <w:szCs w:val="24"/>
                <w:lang w:val="en-US" w:eastAsia="zh-CN"/>
              </w:rPr>
              <w:t>颗粒物无组织排放量为0.102t/a，排放速率为0.068kg/h，</w:t>
            </w:r>
            <w:r>
              <w:rPr>
                <w:rFonts w:hint="default" w:ascii="Times New Roman" w:hAnsi="宋体" w:eastAsia="宋体" w:cs="Times New Roman"/>
                <w:color w:val="auto"/>
                <w:sz w:val="24"/>
                <w:szCs w:val="24"/>
              </w:rPr>
              <w:t>满足</w:t>
            </w:r>
            <w:r>
              <w:rPr>
                <w:rFonts w:hint="default" w:ascii="Times New Roman" w:hAnsi="宋体" w:eastAsia="宋体" w:cs="Times New Roman"/>
                <w:color w:val="auto"/>
                <w:sz w:val="24"/>
                <w:szCs w:val="24"/>
                <w:lang w:val="en-US" w:eastAsia="zh-CN"/>
              </w:rPr>
              <w:t>《大气污染物综合排放标准》（GB16297-1996）表2颗粒物</w:t>
            </w:r>
            <w:r>
              <w:rPr>
                <w:rFonts w:hint="eastAsia" w:hAnsi="宋体" w:cs="Times New Roman"/>
                <w:color w:val="auto"/>
                <w:sz w:val="24"/>
                <w:szCs w:val="24"/>
                <w:lang w:val="en-US" w:eastAsia="zh-CN"/>
              </w:rPr>
              <w:t>有组织及</w:t>
            </w:r>
            <w:r>
              <w:rPr>
                <w:rFonts w:hint="eastAsia" w:ascii="Times New Roman" w:hAnsi="宋体" w:eastAsia="宋体" w:cs="Times New Roman"/>
                <w:color w:val="auto"/>
                <w:sz w:val="24"/>
                <w:szCs w:val="24"/>
                <w:lang w:val="en-US" w:eastAsia="zh-CN"/>
              </w:rPr>
              <w:t>无组织</w:t>
            </w:r>
            <w:r>
              <w:rPr>
                <w:rFonts w:hint="default" w:ascii="Times New Roman" w:hAnsi="宋体" w:eastAsia="宋体" w:cs="Times New Roman"/>
                <w:color w:val="auto"/>
                <w:sz w:val="24"/>
                <w:szCs w:val="24"/>
                <w:lang w:val="en-US" w:eastAsia="zh-CN"/>
              </w:rPr>
              <w:t>排放限值要求</w:t>
            </w:r>
            <w:r>
              <w:rPr>
                <w:rFonts w:hint="default" w:ascii="Times New Roman" w:hAnsi="宋体" w:eastAsia="宋体" w:cs="Times New Roman"/>
                <w:color w:val="auto"/>
                <w:sz w:val="24"/>
                <w:szCs w:val="24"/>
              </w:rPr>
              <w:t>。</w:t>
            </w:r>
          </w:p>
          <w:p w14:paraId="37732C77">
            <w:pPr>
              <w:numPr>
                <w:ilvl w:val="0"/>
                <w:numId w:val="4"/>
              </w:numPr>
              <w:kinsoku w:val="0"/>
              <w:autoSpaceDE w:val="0"/>
              <w:autoSpaceDN w:val="0"/>
              <w:adjustRightInd w:val="0"/>
              <w:spacing w:line="360" w:lineRule="auto"/>
              <w:ind w:firstLine="480" w:firstLineChars="200"/>
              <w:rPr>
                <w:rFonts w:hint="eastAsia" w:cs="Times New Roman"/>
                <w:color w:val="auto"/>
                <w:sz w:val="24"/>
                <w:lang w:val="en-US" w:eastAsia="zh-CN"/>
              </w:rPr>
            </w:pPr>
            <w:r>
              <w:rPr>
                <w:rFonts w:hint="eastAsia" w:cs="Times New Roman"/>
                <w:color w:val="auto"/>
                <w:sz w:val="24"/>
                <w:lang w:val="en-US" w:eastAsia="zh-CN"/>
              </w:rPr>
              <w:t>喷砂粉尘</w:t>
            </w:r>
          </w:p>
          <w:p w14:paraId="438EBEF5">
            <w:pPr>
              <w:spacing w:line="360" w:lineRule="auto"/>
              <w:ind w:firstLine="480" w:firstLineChars="200"/>
              <w:rPr>
                <w:rFonts w:hint="eastAsia" w:cs="Times New Roman"/>
                <w:color w:val="auto"/>
                <w:sz w:val="24"/>
                <w:lang w:val="en-US" w:eastAsia="zh-CN"/>
              </w:rPr>
            </w:pPr>
            <w:r>
              <w:rPr>
                <w:rFonts w:hint="eastAsia"/>
                <w:b w:val="0"/>
                <w:bCs w:val="0"/>
                <w:color w:val="0000FF"/>
                <w:sz w:val="24"/>
                <w:lang w:val="en-US" w:eastAsia="zh-CN"/>
              </w:rPr>
              <w:t>项目外购的钛铸件需进行喷砂处理，以去除铸件表面的微小毛刺，并使铸件表面产生细微的凹凸面。喷砂工序会产生粉尘，本项目喷砂机</w:t>
            </w:r>
            <w:r>
              <w:rPr>
                <w:rFonts w:hint="eastAsia" w:cs="Times New Roman"/>
                <w:color w:val="0000FF"/>
                <w:kern w:val="0"/>
                <w:sz w:val="24"/>
                <w:szCs w:val="20"/>
                <w:lang w:val="en-US" w:eastAsia="zh-CN"/>
              </w:rPr>
              <w:t>密闭，配套吹灰系统及除尘器，因粉尘量极小，</w:t>
            </w:r>
            <w:r>
              <w:rPr>
                <w:rFonts w:hint="eastAsia"/>
                <w:b w:val="0"/>
                <w:bCs w:val="0"/>
                <w:color w:val="0000FF"/>
                <w:sz w:val="24"/>
                <w:lang w:val="en-US" w:eastAsia="zh-CN"/>
              </w:rPr>
              <w:t>喷砂粉尘经除尘器净化处理后</w:t>
            </w:r>
            <w:r>
              <w:rPr>
                <w:rFonts w:hint="eastAsia"/>
                <w:color w:val="0000FF"/>
                <w:sz w:val="24"/>
                <w:lang w:val="en-US" w:eastAsia="zh-CN"/>
              </w:rPr>
              <w:t>无组织排放。</w:t>
            </w:r>
            <w:r>
              <w:rPr>
                <w:rFonts w:hint="eastAsia"/>
                <w:b w:val="0"/>
                <w:bCs w:val="0"/>
                <w:color w:val="auto"/>
                <w:sz w:val="24"/>
                <w:lang w:val="en-US" w:eastAsia="zh-CN"/>
              </w:rPr>
              <w:t>参考</w:t>
            </w:r>
            <w:r>
              <w:rPr>
                <w:rFonts w:hint="eastAsia" w:ascii="Times New Roman" w:hAnsi="Times New Roman" w:cs="Times New Roman"/>
                <w:color w:val="auto"/>
                <w:sz w:val="24"/>
                <w:lang w:val="en-US" w:eastAsia="zh-CN"/>
              </w:rPr>
              <w:t>《工业源产排污核算方法和系数手册》（</w:t>
            </w:r>
            <w:r>
              <w:rPr>
                <w:rFonts w:hint="default" w:ascii="Times New Roman" w:hAnsi="Times New Roman" w:eastAsia="宋体" w:cs="Times New Roman"/>
                <w:color w:val="auto"/>
                <w:sz w:val="24"/>
                <w:szCs w:val="24"/>
              </w:rPr>
              <w:t>2021</w:t>
            </w:r>
            <w:r>
              <w:rPr>
                <w:rFonts w:hint="default" w:ascii="Times New Roman" w:hAnsi="宋体" w:eastAsia="宋体" w:cs="Times New Roman"/>
                <w:color w:val="auto"/>
                <w:sz w:val="24"/>
                <w:szCs w:val="24"/>
              </w:rPr>
              <w:t>年</w:t>
            </w:r>
            <w:r>
              <w:rPr>
                <w:rFonts w:hint="default" w:ascii="Times New Roman" w:hAnsi="Times New Roman" w:eastAsia="宋体" w:cs="Times New Roman"/>
                <w:color w:val="auto"/>
                <w:sz w:val="24"/>
                <w:szCs w:val="24"/>
              </w:rPr>
              <w:t>6</w:t>
            </w:r>
            <w:r>
              <w:rPr>
                <w:rFonts w:hint="default" w:ascii="Times New Roman" w:hAnsi="宋体" w:eastAsia="宋体" w:cs="Times New Roman"/>
                <w:color w:val="auto"/>
                <w:sz w:val="24"/>
                <w:szCs w:val="24"/>
              </w:rPr>
              <w:t>月</w:t>
            </w:r>
            <w:r>
              <w:rPr>
                <w:rFonts w:hint="default" w:ascii="Times New Roman" w:hAnsi="Times New Roman" w:eastAsia="宋体" w:cs="Times New Roman"/>
                <w:color w:val="auto"/>
                <w:sz w:val="24"/>
                <w:szCs w:val="24"/>
              </w:rPr>
              <w:t>9</w:t>
            </w:r>
            <w:r>
              <w:rPr>
                <w:rFonts w:hint="default" w:ascii="Times New Roman" w:hAnsi="宋体" w:eastAsia="宋体" w:cs="Times New Roman"/>
                <w:color w:val="auto"/>
                <w:sz w:val="24"/>
                <w:szCs w:val="24"/>
              </w:rPr>
              <w:t>日实施</w:t>
            </w:r>
            <w:r>
              <w:rPr>
                <w:rFonts w:hint="eastAsia" w:ascii="Times New Roman" w:hAnsi="Times New Roman" w:cs="Times New Roman"/>
                <w:color w:val="auto"/>
                <w:sz w:val="24"/>
                <w:lang w:val="en-US" w:eastAsia="zh-CN"/>
              </w:rPr>
              <w:t>）-</w:t>
            </w:r>
            <w:r>
              <w:rPr>
                <w:rFonts w:hint="eastAsia" w:cs="Times New Roman"/>
                <w:color w:val="auto"/>
                <w:sz w:val="24"/>
                <w:lang w:val="en-US" w:eastAsia="zh-CN"/>
              </w:rPr>
              <w:t>机械行业系数手册，喷砂工序</w:t>
            </w:r>
            <w:r>
              <w:rPr>
                <w:rFonts w:hint="eastAsia" w:ascii="Times New Roman" w:hAnsi="Times New Roman" w:cs="Times New Roman"/>
                <w:color w:val="auto"/>
                <w:sz w:val="24"/>
                <w:lang w:val="en-US" w:eastAsia="zh-CN"/>
              </w:rPr>
              <w:t>颗粒物产生系数</w:t>
            </w:r>
            <w:r>
              <w:rPr>
                <w:rFonts w:hint="eastAsia" w:cs="Times New Roman"/>
                <w:color w:val="auto"/>
                <w:sz w:val="24"/>
                <w:lang w:val="en-US" w:eastAsia="zh-CN"/>
              </w:rPr>
              <w:t>2.19</w:t>
            </w:r>
            <w:r>
              <w:rPr>
                <w:rFonts w:hint="eastAsia" w:ascii="Times New Roman" w:hAnsi="Times New Roman" w:cs="Times New Roman"/>
                <w:color w:val="auto"/>
                <w:sz w:val="24"/>
                <w:lang w:val="en-US" w:eastAsia="zh-CN"/>
              </w:rPr>
              <w:t>kg/t-原料</w:t>
            </w:r>
            <w:r>
              <w:rPr>
                <w:rFonts w:hint="eastAsia"/>
                <w:b w:val="0"/>
                <w:bCs w:val="0"/>
                <w:color w:val="auto"/>
                <w:sz w:val="24"/>
                <w:lang w:val="en-US" w:eastAsia="zh-CN"/>
              </w:rPr>
              <w:t>，本项目年产钛铸件1.5t，则喷砂粉尘产生量为0.003t/a。</w:t>
            </w:r>
          </w:p>
          <w:p w14:paraId="741FD743">
            <w:pPr>
              <w:spacing w:line="360" w:lineRule="auto"/>
              <w:ind w:firstLine="480" w:firstLineChars="200"/>
              <w:contextualSpacing/>
              <w:rPr>
                <w:rFonts w:hint="default" w:cs="Times New Roman"/>
                <w:color w:val="auto"/>
                <w:sz w:val="24"/>
                <w:lang w:val="en-US" w:eastAsia="zh-CN"/>
              </w:rPr>
            </w:pPr>
            <w:r>
              <w:rPr>
                <w:rFonts w:hint="eastAsia" w:cs="Times New Roman"/>
                <w:color w:val="auto"/>
                <w:kern w:val="0"/>
                <w:sz w:val="24"/>
                <w:szCs w:val="20"/>
                <w:lang w:val="en-US" w:eastAsia="zh-CN"/>
              </w:rPr>
              <w:t>根据建设单位提供的设计资料，2台喷砂机配套的</w:t>
            </w:r>
            <w:r>
              <w:rPr>
                <w:rFonts w:hint="eastAsia" w:eastAsia="宋体" w:cs="Times New Roman"/>
                <w:color w:val="auto"/>
                <w:sz w:val="24"/>
                <w:lang w:val="en-US" w:eastAsia="zh-CN"/>
              </w:rPr>
              <w:t>袋式除尘器</w:t>
            </w:r>
            <w:r>
              <w:rPr>
                <w:rFonts w:hint="eastAsia" w:cs="Times New Roman"/>
                <w:color w:val="auto"/>
                <w:sz w:val="24"/>
                <w:lang w:val="en-US" w:eastAsia="zh-CN"/>
              </w:rPr>
              <w:t>风机</w:t>
            </w:r>
            <w:r>
              <w:rPr>
                <w:rFonts w:ascii="Times New Roman" w:hAnsi="Times New Roman" w:eastAsia="宋体" w:cs="Times New Roman"/>
                <w:color w:val="auto"/>
                <w:sz w:val="24"/>
              </w:rPr>
              <w:t>风量</w:t>
            </w:r>
            <w:r>
              <w:rPr>
                <w:rFonts w:hint="eastAsia" w:cs="Times New Roman"/>
                <w:color w:val="auto"/>
                <w:sz w:val="24"/>
                <w:lang w:val="en-US" w:eastAsia="zh-CN"/>
              </w:rPr>
              <w:t>合计为30</w:t>
            </w:r>
            <w:r>
              <w:rPr>
                <w:rFonts w:ascii="Times New Roman" w:hAnsi="Times New Roman" w:eastAsia="宋体" w:cs="Times New Roman"/>
                <w:color w:val="auto"/>
                <w:sz w:val="24"/>
              </w:rPr>
              <w:t>00m</w:t>
            </w:r>
            <w:r>
              <w:rPr>
                <w:rFonts w:ascii="Times New Roman" w:hAnsi="Times New Roman" w:eastAsia="宋体" w:cs="Times New Roman"/>
                <w:color w:val="auto"/>
                <w:sz w:val="24"/>
                <w:vertAlign w:val="superscript"/>
              </w:rPr>
              <w:t>3</w:t>
            </w:r>
            <w:r>
              <w:rPr>
                <w:rFonts w:ascii="Times New Roman" w:hAnsi="Times New Roman" w:eastAsia="宋体" w:cs="Times New Roman"/>
                <w:color w:val="auto"/>
                <w:sz w:val="24"/>
              </w:rPr>
              <w:t>/h</w:t>
            </w:r>
            <w:r>
              <w:rPr>
                <w:rFonts w:hint="eastAsia" w:cs="Times New Roman"/>
                <w:color w:val="auto"/>
                <w:sz w:val="24"/>
                <w:highlight w:val="none"/>
                <w:lang w:eastAsia="zh-CN"/>
              </w:rPr>
              <w:t>。</w:t>
            </w:r>
            <w:r>
              <w:rPr>
                <w:rFonts w:hint="eastAsia" w:cs="Times New Roman"/>
                <w:color w:val="auto"/>
                <w:spacing w:val="0"/>
                <w:kern w:val="2"/>
                <w:position w:val="0"/>
                <w:sz w:val="24"/>
                <w:szCs w:val="24"/>
                <w:highlight w:val="none"/>
                <w:lang w:val="en-US" w:eastAsia="zh-CN"/>
              </w:rPr>
              <w:t>根据</w:t>
            </w:r>
            <w:r>
              <w:rPr>
                <w:rFonts w:hint="eastAsia" w:ascii="Times New Roman" w:hAnsi="Times New Roman" w:cs="Times New Roman"/>
                <w:color w:val="auto"/>
                <w:sz w:val="24"/>
                <w:lang w:val="en-US" w:eastAsia="zh-CN"/>
              </w:rPr>
              <w:t>《工业源产排污核算方法和系数手册》，</w:t>
            </w:r>
            <w:r>
              <w:rPr>
                <w:rFonts w:hint="eastAsia" w:cs="Times New Roman"/>
                <w:color w:val="auto"/>
                <w:sz w:val="24"/>
                <w:highlight w:val="none"/>
                <w:lang w:val="en-US" w:eastAsia="zh-CN"/>
              </w:rPr>
              <w:t>处理效率按95%计</w:t>
            </w:r>
            <w:r>
              <w:rPr>
                <w:rFonts w:hint="eastAsia" w:cs="Times New Roman"/>
                <w:color w:val="auto"/>
                <w:sz w:val="24"/>
                <w:lang w:val="en-US" w:eastAsia="zh-CN"/>
              </w:rPr>
              <w:t>，喷砂工序工作时间为900h/a，</w:t>
            </w:r>
            <w:r>
              <w:rPr>
                <w:rFonts w:hint="eastAsia" w:ascii="Times New Roman" w:hAnsi="Times New Roman" w:eastAsia="宋体" w:cs="Times New Roman"/>
                <w:color w:val="auto"/>
                <w:sz w:val="24"/>
                <w:lang w:val="en-US" w:eastAsia="zh-CN"/>
              </w:rPr>
              <w:t>颗粒物</w:t>
            </w:r>
            <w:r>
              <w:rPr>
                <w:rFonts w:ascii="Times New Roman" w:hAnsi="Times New Roman" w:eastAsia="宋体" w:cs="Times New Roman"/>
                <w:color w:val="auto"/>
                <w:sz w:val="24"/>
              </w:rPr>
              <w:t>排放量为</w:t>
            </w:r>
            <w:r>
              <w:rPr>
                <w:rFonts w:hint="eastAsia" w:cs="Times New Roman"/>
                <w:color w:val="auto"/>
                <w:sz w:val="24"/>
                <w:lang w:val="en-US" w:eastAsia="zh-CN"/>
              </w:rPr>
              <w:t>0.0002</w:t>
            </w:r>
            <w:r>
              <w:rPr>
                <w:rFonts w:hint="eastAsia" w:ascii="Times New Roman" w:hAnsi="Times New Roman" w:eastAsia="宋体" w:cs="Times New Roman"/>
                <w:color w:val="auto"/>
                <w:sz w:val="24"/>
              </w:rPr>
              <w:t>t</w:t>
            </w:r>
            <w:r>
              <w:rPr>
                <w:rFonts w:ascii="Times New Roman" w:hAnsi="Times New Roman" w:eastAsia="宋体" w:cs="Times New Roman"/>
                <w:color w:val="auto"/>
                <w:sz w:val="24"/>
              </w:rPr>
              <w:t>/a，</w:t>
            </w:r>
            <w:r>
              <w:rPr>
                <w:rFonts w:hint="eastAsia" w:ascii="Times New Roman" w:hAnsi="Times New Roman" w:eastAsia="宋体" w:cs="Times New Roman"/>
                <w:color w:val="auto"/>
                <w:sz w:val="24"/>
                <w:lang w:val="en-US" w:eastAsia="zh-CN"/>
              </w:rPr>
              <w:t>排放速率为</w:t>
            </w:r>
            <w:r>
              <w:rPr>
                <w:rFonts w:hint="eastAsia" w:cs="Times New Roman"/>
                <w:color w:val="auto"/>
                <w:sz w:val="24"/>
                <w:lang w:val="en-US" w:eastAsia="zh-CN"/>
              </w:rPr>
              <w:t>0.0002</w:t>
            </w:r>
            <w:r>
              <w:rPr>
                <w:rFonts w:ascii="Times New Roman" w:hAnsi="Times New Roman" w:eastAsia="宋体" w:cs="Times New Roman"/>
                <w:color w:val="auto"/>
                <w:sz w:val="24"/>
              </w:rPr>
              <w:t>kg/h，</w:t>
            </w:r>
            <w:r>
              <w:rPr>
                <w:rFonts w:hint="eastAsia" w:hAnsi="宋体" w:cs="Times New Roman"/>
                <w:color w:val="auto"/>
                <w:sz w:val="24"/>
                <w:szCs w:val="24"/>
                <w:lang w:val="en-US" w:eastAsia="zh-CN"/>
              </w:rPr>
              <w:t>排放浓度为0.061</w:t>
            </w:r>
            <w:r>
              <w:rPr>
                <w:rFonts w:ascii="Times New Roman" w:hAnsi="Times New Roman" w:eastAsia="宋体" w:cs="Times New Roman"/>
                <w:color w:val="auto"/>
                <w:sz w:val="24"/>
              </w:rPr>
              <w:t>mg/m</w:t>
            </w:r>
            <w:r>
              <w:rPr>
                <w:rFonts w:ascii="Times New Roman" w:hAnsi="Times New Roman" w:eastAsia="宋体" w:cs="Times New Roman"/>
                <w:color w:val="auto"/>
                <w:sz w:val="24"/>
                <w:szCs w:val="22"/>
                <w:vertAlign w:val="superscript"/>
              </w:rPr>
              <w:t>3</w:t>
            </w:r>
            <w:r>
              <w:rPr>
                <w:rFonts w:hint="eastAsia" w:cs="Times New Roman"/>
                <w:color w:val="auto"/>
                <w:sz w:val="24"/>
                <w:szCs w:val="22"/>
                <w:vertAlign w:val="baseline"/>
                <w:lang w:eastAsia="zh-CN"/>
              </w:rPr>
              <w:t>，</w:t>
            </w:r>
            <w:r>
              <w:rPr>
                <w:rFonts w:hint="default" w:ascii="Times New Roman" w:hAnsi="宋体" w:eastAsia="宋体" w:cs="Times New Roman"/>
                <w:color w:val="auto"/>
                <w:sz w:val="24"/>
                <w:szCs w:val="24"/>
              </w:rPr>
              <w:t>满足</w:t>
            </w:r>
            <w:r>
              <w:rPr>
                <w:rFonts w:hint="default" w:ascii="Times New Roman" w:hAnsi="宋体" w:eastAsia="宋体" w:cs="Times New Roman"/>
                <w:color w:val="auto"/>
                <w:sz w:val="24"/>
                <w:szCs w:val="24"/>
                <w:lang w:val="en-US" w:eastAsia="zh-CN"/>
              </w:rPr>
              <w:t>《大气污染物综合排放标准》（GB16297-1996）表2颗粒物</w:t>
            </w:r>
            <w:r>
              <w:rPr>
                <w:rFonts w:hint="eastAsia" w:hAnsi="宋体" w:cs="Times New Roman"/>
                <w:color w:val="auto"/>
                <w:sz w:val="24"/>
                <w:szCs w:val="24"/>
                <w:lang w:val="en-US" w:eastAsia="zh-CN"/>
              </w:rPr>
              <w:t>无组织</w:t>
            </w:r>
            <w:r>
              <w:rPr>
                <w:rFonts w:hint="default" w:ascii="Times New Roman" w:hAnsi="宋体" w:eastAsia="宋体" w:cs="Times New Roman"/>
                <w:color w:val="auto"/>
                <w:sz w:val="24"/>
                <w:szCs w:val="24"/>
                <w:lang w:val="en-US" w:eastAsia="zh-CN"/>
              </w:rPr>
              <w:t>排放限值要求</w:t>
            </w:r>
            <w:r>
              <w:rPr>
                <w:rFonts w:hint="default" w:ascii="Times New Roman" w:hAnsi="宋体" w:eastAsia="宋体" w:cs="Times New Roman"/>
                <w:color w:val="auto"/>
                <w:sz w:val="24"/>
                <w:szCs w:val="24"/>
              </w:rPr>
              <w:t>。</w:t>
            </w:r>
          </w:p>
          <w:p w14:paraId="45E67FD9">
            <w:pPr>
              <w:spacing w:line="360" w:lineRule="auto"/>
              <w:ind w:firstLine="480" w:firstLineChars="200"/>
              <w:rPr>
                <w:rFonts w:hint="default" w:ascii="Times New Roman" w:hAnsi="Times New Roman" w:cs="Times New Roman"/>
                <w:bCs/>
                <w:color w:val="auto"/>
                <w:kern w:val="0"/>
                <w:sz w:val="24"/>
                <w:lang w:bidi="en-US"/>
              </w:rPr>
            </w:pPr>
            <w:r>
              <w:rPr>
                <w:rFonts w:hint="default" w:ascii="Times New Roman" w:hAnsi="Times New Roman" w:cs="Times New Roman"/>
                <w:bCs/>
                <w:color w:val="auto"/>
                <w:kern w:val="0"/>
                <w:sz w:val="24"/>
                <w:lang w:bidi="en-US"/>
              </w:rPr>
              <w:t>（3）废气排放口设置情况</w:t>
            </w:r>
          </w:p>
          <w:p w14:paraId="43C5B30C">
            <w:pPr>
              <w:widowControl/>
              <w:spacing w:line="360" w:lineRule="auto"/>
              <w:ind w:firstLine="480" w:firstLineChars="200"/>
              <w:jc w:val="left"/>
              <w:rPr>
                <w:rFonts w:hint="default" w:ascii="Times New Roman" w:hAnsi="Times New Roman" w:eastAsia="宋体" w:cs="Times New Roman"/>
                <w:color w:val="auto"/>
                <w:kern w:val="0"/>
                <w:sz w:val="24"/>
                <w:lang w:val="en-US" w:eastAsia="zh-CN" w:bidi="en-US"/>
              </w:rPr>
            </w:pPr>
            <w:r>
              <w:rPr>
                <w:rFonts w:hint="default" w:ascii="Times New Roman" w:hAnsi="Times New Roman" w:cs="Times New Roman"/>
                <w:color w:val="auto"/>
                <w:kern w:val="0"/>
                <w:sz w:val="24"/>
                <w:lang w:bidi="en-US"/>
              </w:rPr>
              <w:t>项目生产过程中产生的</w:t>
            </w:r>
            <w:r>
              <w:rPr>
                <w:rFonts w:hint="eastAsia" w:cs="Times New Roman"/>
                <w:color w:val="auto"/>
                <w:kern w:val="0"/>
                <w:sz w:val="24"/>
                <w:lang w:val="en-US" w:eastAsia="zh-CN" w:bidi="en-US"/>
              </w:rPr>
              <w:t>打磨粉尘</w:t>
            </w:r>
            <w:r>
              <w:rPr>
                <w:rFonts w:hint="default" w:ascii="Times New Roman" w:hAnsi="Times New Roman" w:eastAsia="宋体" w:cs="Times New Roman"/>
                <w:color w:val="auto"/>
                <w:kern w:val="0"/>
                <w:sz w:val="24"/>
                <w:lang w:val="en-US" w:eastAsia="zh-CN" w:bidi="en-US"/>
              </w:rPr>
              <w:t>经</w:t>
            </w:r>
            <w:r>
              <w:rPr>
                <w:rFonts w:hint="eastAsia" w:ascii="Times New Roman" w:hAnsi="Times New Roman" w:eastAsia="宋体" w:cs="Times New Roman"/>
                <w:color w:val="auto"/>
                <w:kern w:val="0"/>
                <w:sz w:val="24"/>
                <w:lang w:val="en-US" w:eastAsia="zh-CN" w:bidi="en-US"/>
              </w:rPr>
              <w:t>水雾式除尘+</w:t>
            </w:r>
            <w:r>
              <w:rPr>
                <w:rFonts w:hint="eastAsia" w:cs="Times New Roman"/>
                <w:color w:val="auto"/>
                <w:kern w:val="0"/>
                <w:sz w:val="24"/>
                <w:lang w:val="en-US" w:eastAsia="zh-CN" w:bidi="en-US"/>
              </w:rPr>
              <w:t>袋式除尘器</w:t>
            </w:r>
            <w:r>
              <w:rPr>
                <w:rFonts w:hint="default" w:ascii="Times New Roman" w:hAnsi="Times New Roman" w:eastAsia="宋体" w:cs="Times New Roman"/>
                <w:color w:val="auto"/>
                <w:kern w:val="0"/>
                <w:sz w:val="24"/>
                <w:lang w:val="en-US" w:eastAsia="zh-CN" w:bidi="en-US"/>
              </w:rPr>
              <w:t>处理后</w:t>
            </w:r>
            <w:r>
              <w:rPr>
                <w:rFonts w:hint="eastAsia" w:cs="Times New Roman"/>
                <w:color w:val="auto"/>
                <w:kern w:val="0"/>
                <w:sz w:val="24"/>
                <w:lang w:val="en-US" w:eastAsia="zh-CN" w:bidi="en-US"/>
              </w:rPr>
              <w:t>经20m</w:t>
            </w:r>
            <w:r>
              <w:rPr>
                <w:rFonts w:hint="default" w:ascii="Times New Roman" w:hAnsi="Times New Roman" w:eastAsia="宋体" w:cs="Times New Roman"/>
                <w:color w:val="auto"/>
                <w:kern w:val="0"/>
                <w:sz w:val="24"/>
                <w:lang w:val="en-US" w:eastAsia="zh-CN" w:bidi="en-US"/>
              </w:rPr>
              <w:t>高DA00</w:t>
            </w:r>
            <w:r>
              <w:rPr>
                <w:rFonts w:hint="eastAsia" w:cs="Times New Roman"/>
                <w:color w:val="auto"/>
                <w:kern w:val="0"/>
                <w:sz w:val="24"/>
                <w:lang w:val="en-US" w:eastAsia="zh-CN" w:bidi="en-US"/>
              </w:rPr>
              <w:t>1</w:t>
            </w:r>
            <w:r>
              <w:rPr>
                <w:rFonts w:hint="default" w:ascii="Times New Roman" w:hAnsi="Times New Roman" w:eastAsia="宋体" w:cs="Times New Roman"/>
                <w:color w:val="auto"/>
                <w:kern w:val="0"/>
                <w:sz w:val="24"/>
                <w:lang w:val="en-US" w:eastAsia="zh-CN" w:bidi="en-US"/>
              </w:rPr>
              <w:t>排气筒排放</w:t>
            </w:r>
            <w:r>
              <w:rPr>
                <w:rFonts w:hint="default" w:ascii="Times New Roman" w:hAnsi="Times New Roman" w:eastAsia="宋体" w:cs="Times New Roman"/>
                <w:color w:val="auto"/>
                <w:kern w:val="0"/>
                <w:sz w:val="24"/>
                <w:szCs w:val="20"/>
              </w:rPr>
              <w:t>。</w:t>
            </w:r>
          </w:p>
          <w:p w14:paraId="43F3EF62">
            <w:pPr>
              <w:widowControl/>
              <w:spacing w:line="360" w:lineRule="auto"/>
              <w:ind w:firstLine="480" w:firstLineChars="200"/>
              <w:jc w:val="left"/>
              <w:rPr>
                <w:rFonts w:hint="default" w:ascii="Times New Roman" w:hAnsi="Times New Roman" w:cs="Times New Roman"/>
                <w:color w:val="auto"/>
                <w:kern w:val="0"/>
                <w:sz w:val="24"/>
                <w:lang w:bidi="en-US"/>
              </w:rPr>
            </w:pPr>
            <w:r>
              <w:rPr>
                <w:rFonts w:hint="default" w:ascii="Times New Roman" w:hAnsi="Times New Roman" w:cs="Times New Roman"/>
                <w:color w:val="auto"/>
                <w:kern w:val="0"/>
                <w:sz w:val="24"/>
                <w:lang w:bidi="en-US"/>
              </w:rPr>
              <w:t>排放口具体情况见</w:t>
            </w:r>
            <w:r>
              <w:rPr>
                <w:rFonts w:hint="default" w:ascii="Times New Roman" w:hAnsi="Times New Roman" w:eastAsia="宋体" w:cs="Times New Roman"/>
                <w:color w:val="auto"/>
                <w:kern w:val="0"/>
                <w:sz w:val="24"/>
                <w:lang w:val="en-US" w:eastAsia="zh-CN" w:bidi="en-US"/>
              </w:rPr>
              <w:t>下表</w:t>
            </w:r>
            <w:r>
              <w:rPr>
                <w:rFonts w:hint="default" w:ascii="Times New Roman" w:hAnsi="Times New Roman" w:cs="Times New Roman"/>
                <w:color w:val="auto"/>
                <w:kern w:val="0"/>
                <w:sz w:val="24"/>
                <w:lang w:bidi="en-US"/>
              </w:rPr>
              <w:t>。</w:t>
            </w:r>
          </w:p>
          <w:p w14:paraId="06C0908E">
            <w:pPr>
              <w:autoSpaceDE w:val="0"/>
              <w:autoSpaceDN w:val="0"/>
              <w:spacing w:line="240" w:lineRule="auto"/>
              <w:jc w:val="center"/>
              <w:rPr>
                <w:rFonts w:hint="default" w:ascii="Times New Roman" w:hAnsi="Times New Roman" w:cs="Times New Roman"/>
                <w:b/>
                <w:color w:val="auto"/>
                <w:szCs w:val="21"/>
              </w:rPr>
            </w:pPr>
            <w:r>
              <w:rPr>
                <w:rFonts w:hint="default" w:ascii="Times New Roman" w:hAnsi="Times New Roman" w:cs="Times New Roman"/>
                <w:b/>
                <w:color w:val="auto"/>
                <w:szCs w:val="21"/>
              </w:rPr>
              <w:t>表</w:t>
            </w:r>
            <w:r>
              <w:rPr>
                <w:rFonts w:hint="eastAsia" w:cs="Times New Roman"/>
                <w:b/>
                <w:color w:val="auto"/>
                <w:szCs w:val="21"/>
                <w:lang w:val="en-US" w:eastAsia="zh-CN"/>
              </w:rPr>
              <w:t xml:space="preserve">4-2   </w:t>
            </w:r>
            <w:r>
              <w:rPr>
                <w:rFonts w:hint="default" w:ascii="Times New Roman" w:hAnsi="Times New Roman" w:cs="Times New Roman"/>
                <w:b/>
                <w:color w:val="auto"/>
                <w:szCs w:val="21"/>
              </w:rPr>
              <w:t>项目废气排放口设置情况</w:t>
            </w:r>
          </w:p>
          <w:tbl>
            <w:tblPr>
              <w:tblStyle w:val="17"/>
              <w:tblW w:w="4998" w:type="pct"/>
              <w:jc w:val="center"/>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57" w:type="dxa"/>
                <w:bottom w:w="0" w:type="dxa"/>
                <w:right w:w="57" w:type="dxa"/>
              </w:tblCellMar>
            </w:tblPr>
            <w:tblGrid>
              <w:gridCol w:w="825"/>
              <w:gridCol w:w="782"/>
              <w:gridCol w:w="717"/>
              <w:gridCol w:w="623"/>
              <w:gridCol w:w="840"/>
              <w:gridCol w:w="540"/>
              <w:gridCol w:w="814"/>
              <w:gridCol w:w="1009"/>
              <w:gridCol w:w="2123"/>
            </w:tblGrid>
            <w:tr w14:paraId="5F3777D6">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7" w:type="dxa"/>
                  <w:bottom w:w="0" w:type="dxa"/>
                  <w:right w:w="57" w:type="dxa"/>
                </w:tblCellMar>
              </w:tblPrEx>
              <w:trPr>
                <w:trHeight w:val="23" w:hRule="atLeast"/>
                <w:jc w:val="center"/>
              </w:trPr>
              <w:tc>
                <w:tcPr>
                  <w:tcW w:w="498" w:type="pct"/>
                  <w:noWrap w:val="0"/>
                  <w:vAlign w:val="center"/>
                </w:tcPr>
                <w:p w14:paraId="01F8B585">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b w:val="0"/>
                      <w:bCs w:val="0"/>
                      <w:color w:val="auto"/>
                      <w:kern w:val="0"/>
                      <w:sz w:val="21"/>
                      <w:szCs w:val="21"/>
                      <w:lang w:bidi="en-US"/>
                    </w:rPr>
                  </w:pPr>
                  <w:r>
                    <w:rPr>
                      <w:rFonts w:hint="default" w:ascii="Times New Roman" w:hAnsi="Times New Roman" w:cs="Times New Roman"/>
                      <w:b w:val="0"/>
                      <w:bCs w:val="0"/>
                      <w:color w:val="auto"/>
                      <w:kern w:val="0"/>
                      <w:sz w:val="21"/>
                      <w:szCs w:val="21"/>
                      <w:lang w:bidi="en-US"/>
                    </w:rPr>
                    <w:t>排放口名称</w:t>
                  </w:r>
                </w:p>
              </w:tc>
              <w:tc>
                <w:tcPr>
                  <w:tcW w:w="472" w:type="pct"/>
                  <w:noWrap w:val="0"/>
                  <w:vAlign w:val="center"/>
                </w:tcPr>
                <w:p w14:paraId="1441B80A">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b w:val="0"/>
                      <w:bCs w:val="0"/>
                      <w:color w:val="auto"/>
                      <w:kern w:val="0"/>
                      <w:sz w:val="21"/>
                      <w:szCs w:val="21"/>
                      <w:lang w:bidi="en-US"/>
                    </w:rPr>
                  </w:pPr>
                  <w:r>
                    <w:rPr>
                      <w:rFonts w:hint="default" w:ascii="Times New Roman" w:hAnsi="Times New Roman" w:cs="Times New Roman"/>
                      <w:b w:val="0"/>
                      <w:bCs w:val="0"/>
                      <w:color w:val="auto"/>
                      <w:kern w:val="0"/>
                      <w:sz w:val="21"/>
                      <w:szCs w:val="21"/>
                      <w:lang w:bidi="en-US"/>
                    </w:rPr>
                    <w:t>排放口编号</w:t>
                  </w:r>
                </w:p>
              </w:tc>
              <w:tc>
                <w:tcPr>
                  <w:tcW w:w="433" w:type="pct"/>
                  <w:noWrap w:val="0"/>
                  <w:vAlign w:val="center"/>
                </w:tcPr>
                <w:p w14:paraId="36A1AC1E">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b w:val="0"/>
                      <w:bCs w:val="0"/>
                      <w:color w:val="auto"/>
                      <w:kern w:val="0"/>
                      <w:sz w:val="21"/>
                      <w:szCs w:val="21"/>
                      <w:lang w:bidi="en-US"/>
                    </w:rPr>
                  </w:pPr>
                  <w:r>
                    <w:rPr>
                      <w:rFonts w:hint="default" w:ascii="Times New Roman" w:hAnsi="Times New Roman" w:cs="Times New Roman"/>
                      <w:b w:val="0"/>
                      <w:bCs w:val="0"/>
                      <w:color w:val="auto"/>
                      <w:kern w:val="0"/>
                      <w:sz w:val="21"/>
                      <w:szCs w:val="21"/>
                      <w:lang w:bidi="en-US"/>
                    </w:rPr>
                    <w:t>污染物</w:t>
                  </w:r>
                </w:p>
              </w:tc>
              <w:tc>
                <w:tcPr>
                  <w:tcW w:w="376" w:type="pct"/>
                  <w:noWrap w:val="0"/>
                  <w:vAlign w:val="center"/>
                </w:tcPr>
                <w:p w14:paraId="28F2363D">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b w:val="0"/>
                      <w:bCs w:val="0"/>
                      <w:color w:val="auto"/>
                      <w:kern w:val="0"/>
                      <w:sz w:val="21"/>
                      <w:szCs w:val="21"/>
                      <w:lang w:bidi="en-US"/>
                    </w:rPr>
                  </w:pPr>
                  <w:r>
                    <w:rPr>
                      <w:rFonts w:hint="default" w:ascii="Times New Roman" w:hAnsi="Times New Roman" w:cs="Times New Roman"/>
                      <w:b w:val="0"/>
                      <w:bCs w:val="0"/>
                      <w:color w:val="auto"/>
                      <w:kern w:val="0"/>
                      <w:sz w:val="21"/>
                      <w:szCs w:val="21"/>
                      <w:lang w:bidi="en-US"/>
                    </w:rPr>
                    <w:t>高度/m</w:t>
                  </w:r>
                </w:p>
              </w:tc>
              <w:tc>
                <w:tcPr>
                  <w:tcW w:w="507" w:type="pct"/>
                  <w:noWrap w:val="0"/>
                  <w:vAlign w:val="center"/>
                </w:tcPr>
                <w:p w14:paraId="6BC37883">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b w:val="0"/>
                      <w:bCs w:val="0"/>
                      <w:color w:val="auto"/>
                      <w:kern w:val="0"/>
                      <w:sz w:val="21"/>
                      <w:szCs w:val="21"/>
                      <w:lang w:bidi="en-US"/>
                    </w:rPr>
                  </w:pPr>
                  <w:r>
                    <w:rPr>
                      <w:rFonts w:hint="default" w:ascii="Times New Roman" w:hAnsi="Times New Roman" w:cs="Times New Roman"/>
                      <w:b w:val="0"/>
                      <w:bCs w:val="0"/>
                      <w:color w:val="auto"/>
                      <w:kern w:val="0"/>
                      <w:sz w:val="21"/>
                      <w:szCs w:val="21"/>
                      <w:lang w:bidi="en-US"/>
                    </w:rPr>
                    <w:t>内径/m</w:t>
                  </w:r>
                </w:p>
              </w:tc>
              <w:tc>
                <w:tcPr>
                  <w:tcW w:w="326" w:type="pct"/>
                  <w:noWrap w:val="0"/>
                  <w:vAlign w:val="center"/>
                </w:tcPr>
                <w:p w14:paraId="4E8EF9F1">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b w:val="0"/>
                      <w:bCs w:val="0"/>
                      <w:color w:val="auto"/>
                      <w:kern w:val="0"/>
                      <w:sz w:val="21"/>
                      <w:szCs w:val="21"/>
                      <w:lang w:bidi="en-US"/>
                    </w:rPr>
                  </w:pPr>
                  <w:r>
                    <w:rPr>
                      <w:rFonts w:hint="default" w:ascii="Times New Roman" w:hAnsi="Times New Roman" w:cs="Times New Roman"/>
                      <w:b w:val="0"/>
                      <w:bCs w:val="0"/>
                      <w:color w:val="auto"/>
                      <w:kern w:val="0"/>
                      <w:sz w:val="21"/>
                      <w:szCs w:val="21"/>
                      <w:lang w:bidi="en-US"/>
                    </w:rPr>
                    <w:t>温度/℃</w:t>
                  </w:r>
                </w:p>
              </w:tc>
              <w:tc>
                <w:tcPr>
                  <w:tcW w:w="491" w:type="pct"/>
                  <w:noWrap w:val="0"/>
                  <w:vAlign w:val="center"/>
                </w:tcPr>
                <w:p w14:paraId="28815738">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b w:val="0"/>
                      <w:bCs w:val="0"/>
                      <w:color w:val="auto"/>
                      <w:kern w:val="0"/>
                      <w:sz w:val="21"/>
                      <w:szCs w:val="21"/>
                      <w:lang w:bidi="en-US"/>
                    </w:rPr>
                  </w:pPr>
                  <w:r>
                    <w:rPr>
                      <w:rFonts w:hint="default" w:ascii="Times New Roman" w:hAnsi="Times New Roman" w:cs="Times New Roman"/>
                      <w:b w:val="0"/>
                      <w:bCs w:val="0"/>
                      <w:color w:val="auto"/>
                      <w:kern w:val="0"/>
                      <w:sz w:val="21"/>
                      <w:szCs w:val="21"/>
                      <w:lang w:bidi="en-US"/>
                    </w:rPr>
                    <w:t>类型</w:t>
                  </w:r>
                </w:p>
              </w:tc>
              <w:tc>
                <w:tcPr>
                  <w:tcW w:w="609" w:type="pct"/>
                  <w:noWrap w:val="0"/>
                  <w:vAlign w:val="center"/>
                </w:tcPr>
                <w:p w14:paraId="04A719DF">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b w:val="0"/>
                      <w:bCs w:val="0"/>
                      <w:color w:val="auto"/>
                      <w:kern w:val="0"/>
                      <w:sz w:val="21"/>
                      <w:szCs w:val="21"/>
                      <w:lang w:bidi="en-US"/>
                    </w:rPr>
                  </w:pPr>
                  <w:r>
                    <w:rPr>
                      <w:rFonts w:hint="default" w:ascii="Times New Roman" w:hAnsi="Times New Roman" w:cs="Times New Roman"/>
                      <w:b w:val="0"/>
                      <w:bCs w:val="0"/>
                      <w:color w:val="auto"/>
                      <w:kern w:val="0"/>
                      <w:sz w:val="21"/>
                      <w:szCs w:val="21"/>
                      <w:lang w:bidi="en-US"/>
                    </w:rPr>
                    <w:t>坐标</w:t>
                  </w:r>
                </w:p>
              </w:tc>
              <w:tc>
                <w:tcPr>
                  <w:tcW w:w="1283" w:type="pct"/>
                  <w:noWrap w:val="0"/>
                  <w:vAlign w:val="center"/>
                </w:tcPr>
                <w:p w14:paraId="68E698F4">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b w:val="0"/>
                      <w:bCs w:val="0"/>
                      <w:color w:val="auto"/>
                      <w:kern w:val="0"/>
                      <w:sz w:val="21"/>
                      <w:szCs w:val="21"/>
                      <w:lang w:bidi="en-US"/>
                    </w:rPr>
                  </w:pPr>
                  <w:r>
                    <w:rPr>
                      <w:rFonts w:hint="default" w:ascii="Times New Roman" w:hAnsi="Times New Roman" w:cs="Times New Roman"/>
                      <w:b w:val="0"/>
                      <w:bCs w:val="0"/>
                      <w:color w:val="auto"/>
                      <w:kern w:val="0"/>
                      <w:sz w:val="21"/>
                      <w:szCs w:val="21"/>
                      <w:lang w:bidi="en-US"/>
                    </w:rPr>
                    <w:t>排放标准</w:t>
                  </w:r>
                </w:p>
              </w:tc>
            </w:tr>
            <w:tr w14:paraId="18A70BD8">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7" w:type="dxa"/>
                  <w:bottom w:w="0" w:type="dxa"/>
                  <w:right w:w="57" w:type="dxa"/>
                </w:tblCellMar>
              </w:tblPrEx>
              <w:trPr>
                <w:trHeight w:val="23" w:hRule="atLeast"/>
                <w:jc w:val="center"/>
              </w:trPr>
              <w:tc>
                <w:tcPr>
                  <w:tcW w:w="498" w:type="pct"/>
                  <w:noWrap w:val="0"/>
                  <w:vAlign w:val="center"/>
                </w:tcPr>
                <w:p w14:paraId="5D4DD068">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val="0"/>
                      <w:bCs w:val="0"/>
                      <w:color w:val="auto"/>
                      <w:kern w:val="0"/>
                      <w:sz w:val="21"/>
                      <w:szCs w:val="21"/>
                      <w:lang w:val="en-US" w:eastAsia="zh-CN" w:bidi="en-US"/>
                    </w:rPr>
                  </w:pPr>
                  <w:r>
                    <w:rPr>
                      <w:rFonts w:hint="eastAsia" w:cs="Times New Roman"/>
                      <w:b w:val="0"/>
                      <w:bCs w:val="0"/>
                      <w:color w:val="auto"/>
                      <w:kern w:val="0"/>
                      <w:sz w:val="21"/>
                      <w:szCs w:val="21"/>
                      <w:lang w:val="en-US" w:eastAsia="zh-CN" w:bidi="en-US"/>
                    </w:rPr>
                    <w:t>打磨粉尘排气筒</w:t>
                  </w:r>
                </w:p>
              </w:tc>
              <w:tc>
                <w:tcPr>
                  <w:tcW w:w="472" w:type="pct"/>
                  <w:noWrap w:val="0"/>
                  <w:vAlign w:val="center"/>
                </w:tcPr>
                <w:p w14:paraId="7100BD1A">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imes New Roman"/>
                      <w:b w:val="0"/>
                      <w:bCs w:val="0"/>
                      <w:color w:val="auto"/>
                      <w:kern w:val="0"/>
                      <w:sz w:val="21"/>
                      <w:szCs w:val="21"/>
                      <w:lang w:eastAsia="zh-CN" w:bidi="en-US"/>
                    </w:rPr>
                  </w:pPr>
                  <w:r>
                    <w:rPr>
                      <w:rFonts w:hint="eastAsia" w:cs="Times New Roman"/>
                      <w:b w:val="0"/>
                      <w:bCs w:val="0"/>
                      <w:color w:val="auto"/>
                      <w:kern w:val="0"/>
                      <w:sz w:val="21"/>
                      <w:szCs w:val="21"/>
                      <w:lang w:eastAsia="zh-CN" w:bidi="en-US"/>
                    </w:rPr>
                    <w:t>DA00</w:t>
                  </w:r>
                  <w:r>
                    <w:rPr>
                      <w:rFonts w:hint="eastAsia" w:cs="Times New Roman"/>
                      <w:b w:val="0"/>
                      <w:bCs w:val="0"/>
                      <w:color w:val="auto"/>
                      <w:kern w:val="0"/>
                      <w:sz w:val="21"/>
                      <w:szCs w:val="21"/>
                      <w:lang w:val="en-US" w:eastAsia="zh-CN" w:bidi="en-US"/>
                    </w:rPr>
                    <w:t>1</w:t>
                  </w:r>
                </w:p>
              </w:tc>
              <w:tc>
                <w:tcPr>
                  <w:tcW w:w="433" w:type="pct"/>
                  <w:noWrap w:val="0"/>
                  <w:vAlign w:val="center"/>
                </w:tcPr>
                <w:p w14:paraId="349316F6">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val="0"/>
                      <w:bCs w:val="0"/>
                      <w:color w:val="auto"/>
                      <w:kern w:val="0"/>
                      <w:sz w:val="21"/>
                      <w:szCs w:val="21"/>
                      <w:lang w:val="en-US" w:eastAsia="zh-CN" w:bidi="en-US"/>
                    </w:rPr>
                  </w:pPr>
                  <w:r>
                    <w:rPr>
                      <w:rFonts w:hint="eastAsia" w:cs="Times New Roman"/>
                      <w:b w:val="0"/>
                      <w:bCs w:val="0"/>
                      <w:color w:val="auto"/>
                      <w:kern w:val="0"/>
                      <w:sz w:val="21"/>
                      <w:szCs w:val="21"/>
                      <w:lang w:val="en-US" w:eastAsia="zh-CN" w:bidi="en-US"/>
                    </w:rPr>
                    <w:t>颗粒物</w:t>
                  </w:r>
                </w:p>
              </w:tc>
              <w:tc>
                <w:tcPr>
                  <w:tcW w:w="376" w:type="pct"/>
                  <w:noWrap w:val="0"/>
                  <w:vAlign w:val="center"/>
                </w:tcPr>
                <w:p w14:paraId="402FE7AB">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imes New Roman"/>
                      <w:b w:val="0"/>
                      <w:bCs w:val="0"/>
                      <w:color w:val="auto"/>
                      <w:kern w:val="0"/>
                      <w:sz w:val="21"/>
                      <w:szCs w:val="21"/>
                      <w:lang w:eastAsia="zh-CN" w:bidi="en-US"/>
                    </w:rPr>
                  </w:pPr>
                  <w:r>
                    <w:rPr>
                      <w:rFonts w:hint="default" w:ascii="Times New Roman" w:hAnsi="Times New Roman" w:cs="Times New Roman"/>
                      <w:b w:val="0"/>
                      <w:bCs w:val="0"/>
                      <w:color w:val="auto"/>
                      <w:kern w:val="0"/>
                      <w:sz w:val="21"/>
                      <w:szCs w:val="21"/>
                    </w:rPr>
                    <w:t>1</w:t>
                  </w:r>
                  <w:r>
                    <w:rPr>
                      <w:rFonts w:hint="eastAsia" w:cs="Times New Roman"/>
                      <w:b w:val="0"/>
                      <w:bCs w:val="0"/>
                      <w:color w:val="auto"/>
                      <w:kern w:val="0"/>
                      <w:sz w:val="21"/>
                      <w:szCs w:val="21"/>
                      <w:lang w:val="en-US" w:eastAsia="zh-CN"/>
                    </w:rPr>
                    <w:t>6</w:t>
                  </w:r>
                </w:p>
              </w:tc>
              <w:tc>
                <w:tcPr>
                  <w:tcW w:w="507" w:type="pct"/>
                  <w:noWrap w:val="0"/>
                  <w:vAlign w:val="center"/>
                </w:tcPr>
                <w:p w14:paraId="059B186E">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imes New Roman"/>
                      <w:b w:val="0"/>
                      <w:bCs w:val="0"/>
                      <w:color w:val="auto"/>
                      <w:kern w:val="0"/>
                      <w:sz w:val="21"/>
                      <w:szCs w:val="21"/>
                      <w:lang w:eastAsia="zh-CN" w:bidi="en-US"/>
                    </w:rPr>
                  </w:pPr>
                  <w:r>
                    <w:rPr>
                      <w:rFonts w:hint="default" w:ascii="Times New Roman" w:hAnsi="Times New Roman" w:cs="Times New Roman"/>
                      <w:b w:val="0"/>
                      <w:bCs w:val="0"/>
                      <w:color w:val="auto"/>
                      <w:kern w:val="0"/>
                      <w:sz w:val="21"/>
                      <w:szCs w:val="21"/>
                    </w:rPr>
                    <w:t>0.</w:t>
                  </w:r>
                  <w:r>
                    <w:rPr>
                      <w:rFonts w:hint="eastAsia" w:cs="Times New Roman"/>
                      <w:b w:val="0"/>
                      <w:bCs w:val="0"/>
                      <w:color w:val="auto"/>
                      <w:kern w:val="0"/>
                      <w:sz w:val="21"/>
                      <w:szCs w:val="21"/>
                      <w:lang w:val="en-US" w:eastAsia="zh-CN"/>
                    </w:rPr>
                    <w:t>4</w:t>
                  </w:r>
                </w:p>
              </w:tc>
              <w:tc>
                <w:tcPr>
                  <w:tcW w:w="326" w:type="pct"/>
                  <w:noWrap w:val="0"/>
                  <w:vAlign w:val="center"/>
                </w:tcPr>
                <w:p w14:paraId="786DAEA8">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val="0"/>
                      <w:bCs w:val="0"/>
                      <w:color w:val="auto"/>
                      <w:kern w:val="0"/>
                      <w:sz w:val="21"/>
                      <w:szCs w:val="21"/>
                      <w:lang w:val="en-US" w:eastAsia="zh-CN" w:bidi="en-US"/>
                    </w:rPr>
                  </w:pPr>
                  <w:r>
                    <w:rPr>
                      <w:rFonts w:hint="eastAsia" w:cs="Times New Roman"/>
                      <w:b w:val="0"/>
                      <w:bCs w:val="0"/>
                      <w:color w:val="auto"/>
                      <w:kern w:val="0"/>
                      <w:sz w:val="21"/>
                      <w:szCs w:val="21"/>
                      <w:lang w:val="en-US" w:eastAsia="zh-CN" w:bidi="en-US"/>
                    </w:rPr>
                    <w:t>25</w:t>
                  </w:r>
                </w:p>
              </w:tc>
              <w:tc>
                <w:tcPr>
                  <w:tcW w:w="491" w:type="pct"/>
                  <w:noWrap w:val="0"/>
                  <w:vAlign w:val="center"/>
                </w:tcPr>
                <w:p w14:paraId="4B5AF3F7">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b w:val="0"/>
                      <w:bCs w:val="0"/>
                      <w:color w:val="auto"/>
                      <w:kern w:val="0"/>
                      <w:sz w:val="21"/>
                      <w:szCs w:val="21"/>
                      <w:lang w:bidi="en-US"/>
                    </w:rPr>
                  </w:pPr>
                  <w:r>
                    <w:rPr>
                      <w:rFonts w:hint="default" w:ascii="Times New Roman" w:hAnsi="Times New Roman" w:cs="Times New Roman"/>
                      <w:b w:val="0"/>
                      <w:bCs w:val="0"/>
                      <w:color w:val="auto"/>
                      <w:kern w:val="0"/>
                      <w:sz w:val="21"/>
                      <w:szCs w:val="21"/>
                      <w:lang w:bidi="en-US"/>
                    </w:rPr>
                    <w:t>一般排放口</w:t>
                  </w:r>
                </w:p>
              </w:tc>
              <w:tc>
                <w:tcPr>
                  <w:tcW w:w="609" w:type="pct"/>
                  <w:noWrap w:val="0"/>
                  <w:vAlign w:val="center"/>
                </w:tcPr>
                <w:p w14:paraId="03F71C0E">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val="0"/>
                      <w:bCs w:val="0"/>
                      <w:color w:val="auto"/>
                      <w:kern w:val="0"/>
                      <w:sz w:val="21"/>
                      <w:szCs w:val="21"/>
                      <w:shd w:val="clear" w:color="auto" w:fill="auto"/>
                      <w:lang w:val="en-US" w:eastAsia="zh-CN" w:bidi="en-US"/>
                    </w:rPr>
                  </w:pPr>
                  <w:r>
                    <w:rPr>
                      <w:rFonts w:hint="default" w:ascii="Times New Roman" w:hAnsi="Times New Roman" w:cs="Times New Roman"/>
                      <w:b w:val="0"/>
                      <w:bCs w:val="0"/>
                      <w:color w:val="auto"/>
                      <w:kern w:val="0"/>
                      <w:sz w:val="21"/>
                      <w:szCs w:val="21"/>
                      <w:shd w:val="clear" w:color="auto" w:fill="auto"/>
                      <w:lang w:bidi="en-US"/>
                    </w:rPr>
                    <w:t>E</w:t>
                  </w:r>
                  <w:r>
                    <w:rPr>
                      <w:rFonts w:hint="default" w:ascii="Times New Roman" w:hAnsi="Times New Roman" w:cs="Times New Roman"/>
                      <w:b w:val="0"/>
                      <w:bCs w:val="0"/>
                      <w:color w:val="auto"/>
                      <w:kern w:val="0"/>
                      <w:sz w:val="21"/>
                      <w:szCs w:val="21"/>
                      <w:shd w:val="clear" w:color="auto" w:fill="auto"/>
                      <w:lang w:val="en-US" w:eastAsia="zh-CN" w:bidi="en-US"/>
                    </w:rPr>
                    <w:t>10</w:t>
                  </w:r>
                  <w:r>
                    <w:rPr>
                      <w:rFonts w:hint="eastAsia" w:ascii="Times New Roman" w:hAnsi="Times New Roman" w:cs="Times New Roman"/>
                      <w:b w:val="0"/>
                      <w:bCs w:val="0"/>
                      <w:color w:val="auto"/>
                      <w:kern w:val="0"/>
                      <w:sz w:val="21"/>
                      <w:szCs w:val="21"/>
                      <w:shd w:val="clear" w:color="auto" w:fill="auto"/>
                      <w:lang w:val="en-US" w:eastAsia="zh-CN" w:bidi="en-US"/>
                    </w:rPr>
                    <w:t>8</w:t>
                  </w:r>
                  <w:r>
                    <w:rPr>
                      <w:rFonts w:hint="default" w:ascii="Times New Roman" w:hAnsi="Times New Roman" w:cs="Times New Roman"/>
                      <w:b w:val="0"/>
                      <w:bCs w:val="0"/>
                      <w:color w:val="auto"/>
                      <w:kern w:val="0"/>
                      <w:sz w:val="21"/>
                      <w:szCs w:val="21"/>
                      <w:shd w:val="clear" w:color="auto" w:fill="auto"/>
                      <w:lang w:val="en-US" w:eastAsia="zh-CN" w:bidi="en-US"/>
                    </w:rPr>
                    <w:t>°</w:t>
                  </w:r>
                  <w:r>
                    <w:rPr>
                      <w:rFonts w:hint="eastAsia" w:ascii="Times New Roman" w:hAnsi="Times New Roman" w:cs="Times New Roman"/>
                      <w:b w:val="0"/>
                      <w:bCs w:val="0"/>
                      <w:color w:val="auto"/>
                      <w:kern w:val="0"/>
                      <w:sz w:val="21"/>
                      <w:szCs w:val="21"/>
                      <w:shd w:val="clear" w:color="auto" w:fill="auto"/>
                      <w:lang w:val="en-US" w:eastAsia="zh-CN" w:bidi="en-US"/>
                    </w:rPr>
                    <w:t>59</w:t>
                  </w:r>
                  <w:r>
                    <w:rPr>
                      <w:rFonts w:hint="default" w:ascii="Times New Roman" w:hAnsi="Times New Roman" w:cs="Times New Roman"/>
                      <w:b w:val="0"/>
                      <w:bCs w:val="0"/>
                      <w:color w:val="auto"/>
                      <w:kern w:val="0"/>
                      <w:sz w:val="21"/>
                      <w:szCs w:val="21"/>
                      <w:shd w:val="clear" w:color="auto" w:fill="auto"/>
                      <w:lang w:val="en-US" w:eastAsia="zh-CN" w:bidi="en-US"/>
                    </w:rPr>
                    <w:t>′</w:t>
                  </w:r>
                  <w:r>
                    <w:rPr>
                      <w:rFonts w:hint="eastAsia" w:ascii="Times New Roman" w:hAnsi="Times New Roman" w:cs="Times New Roman"/>
                      <w:b w:val="0"/>
                      <w:bCs w:val="0"/>
                      <w:color w:val="auto"/>
                      <w:kern w:val="0"/>
                      <w:sz w:val="21"/>
                      <w:szCs w:val="21"/>
                      <w:shd w:val="clear" w:color="auto" w:fill="auto"/>
                      <w:lang w:val="en-US" w:eastAsia="zh-CN" w:bidi="en-US"/>
                    </w:rPr>
                    <w:t>16.224</w:t>
                  </w:r>
                  <w:r>
                    <w:rPr>
                      <w:rFonts w:hint="default" w:ascii="Times New Roman" w:hAnsi="Times New Roman" w:cs="Times New Roman"/>
                      <w:b w:val="0"/>
                      <w:bCs w:val="0"/>
                      <w:color w:val="auto"/>
                      <w:kern w:val="0"/>
                      <w:sz w:val="21"/>
                      <w:szCs w:val="21"/>
                      <w:shd w:val="clear" w:color="auto" w:fill="auto"/>
                      <w:lang w:val="en-US" w:eastAsia="zh-CN" w:bidi="en-US"/>
                    </w:rPr>
                    <w:t>″</w:t>
                  </w:r>
                </w:p>
                <w:p w14:paraId="74817615">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val="0"/>
                      <w:bCs w:val="0"/>
                      <w:color w:val="auto"/>
                      <w:kern w:val="0"/>
                      <w:sz w:val="21"/>
                      <w:szCs w:val="21"/>
                      <w:lang w:val="en-US" w:eastAsia="zh-CN"/>
                    </w:rPr>
                  </w:pPr>
                  <w:r>
                    <w:rPr>
                      <w:rFonts w:hint="default" w:ascii="Times New Roman" w:hAnsi="Times New Roman" w:cs="Times New Roman"/>
                      <w:b w:val="0"/>
                      <w:bCs w:val="0"/>
                      <w:color w:val="auto"/>
                      <w:kern w:val="0"/>
                      <w:sz w:val="21"/>
                      <w:szCs w:val="21"/>
                      <w:shd w:val="clear" w:color="auto" w:fill="auto"/>
                      <w:lang w:bidi="en-US"/>
                    </w:rPr>
                    <w:t>N</w:t>
                  </w:r>
                  <w:r>
                    <w:rPr>
                      <w:rFonts w:hint="default" w:ascii="Times New Roman" w:hAnsi="Times New Roman" w:cs="Times New Roman"/>
                      <w:b w:val="0"/>
                      <w:bCs w:val="0"/>
                      <w:color w:val="auto"/>
                      <w:kern w:val="0"/>
                      <w:sz w:val="21"/>
                      <w:szCs w:val="21"/>
                      <w:shd w:val="clear" w:color="auto" w:fill="auto"/>
                      <w:lang w:val="en-US" w:eastAsia="zh-CN" w:bidi="en-US"/>
                    </w:rPr>
                    <w:t>34°</w:t>
                  </w:r>
                  <w:r>
                    <w:rPr>
                      <w:rFonts w:hint="eastAsia" w:ascii="Times New Roman" w:hAnsi="Times New Roman" w:cs="Times New Roman"/>
                      <w:b w:val="0"/>
                      <w:bCs w:val="0"/>
                      <w:color w:val="auto"/>
                      <w:kern w:val="0"/>
                      <w:sz w:val="21"/>
                      <w:szCs w:val="21"/>
                      <w:shd w:val="clear" w:color="auto" w:fill="auto"/>
                      <w:lang w:val="en-US" w:eastAsia="zh-CN" w:bidi="en-US"/>
                    </w:rPr>
                    <w:t>28</w:t>
                  </w:r>
                  <w:r>
                    <w:rPr>
                      <w:rFonts w:hint="default" w:ascii="Times New Roman" w:hAnsi="Times New Roman" w:cs="Times New Roman"/>
                      <w:b w:val="0"/>
                      <w:bCs w:val="0"/>
                      <w:color w:val="auto"/>
                      <w:kern w:val="0"/>
                      <w:sz w:val="21"/>
                      <w:szCs w:val="21"/>
                      <w:shd w:val="clear" w:color="auto" w:fill="auto"/>
                      <w:lang w:val="en-US" w:eastAsia="zh-CN" w:bidi="en-US"/>
                    </w:rPr>
                    <w:t>′</w:t>
                  </w:r>
                  <w:r>
                    <w:rPr>
                      <w:rFonts w:hint="eastAsia" w:ascii="Times New Roman" w:hAnsi="Times New Roman" w:cs="Times New Roman"/>
                      <w:b w:val="0"/>
                      <w:bCs w:val="0"/>
                      <w:color w:val="auto"/>
                      <w:kern w:val="0"/>
                      <w:sz w:val="21"/>
                      <w:szCs w:val="21"/>
                      <w:shd w:val="clear" w:color="auto" w:fill="auto"/>
                      <w:lang w:val="en-US" w:eastAsia="zh-CN" w:bidi="en-US"/>
                    </w:rPr>
                    <w:t>32.691</w:t>
                  </w:r>
                  <w:r>
                    <w:rPr>
                      <w:rFonts w:hint="default" w:ascii="Times New Roman" w:hAnsi="Times New Roman" w:cs="Times New Roman"/>
                      <w:b w:val="0"/>
                      <w:bCs w:val="0"/>
                      <w:color w:val="auto"/>
                      <w:kern w:val="0"/>
                      <w:sz w:val="21"/>
                      <w:szCs w:val="21"/>
                      <w:shd w:val="clear" w:color="auto" w:fill="auto"/>
                      <w:lang w:val="en-US" w:eastAsia="zh-CN" w:bidi="en-US"/>
                    </w:rPr>
                    <w:t>″</w:t>
                  </w:r>
                </w:p>
              </w:tc>
              <w:tc>
                <w:tcPr>
                  <w:tcW w:w="1283" w:type="pct"/>
                  <w:noWrap w:val="0"/>
                  <w:vAlign w:val="center"/>
                </w:tcPr>
                <w:p w14:paraId="20A5DA45">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val="0"/>
                      <w:bCs w:val="0"/>
                      <w:color w:val="auto"/>
                      <w:kern w:val="0"/>
                      <w:sz w:val="21"/>
                      <w:szCs w:val="21"/>
                      <w:lang w:val="en-US"/>
                    </w:rPr>
                  </w:pPr>
                  <w:r>
                    <w:rPr>
                      <w:b w:val="0"/>
                      <w:bCs w:val="0"/>
                      <w:color w:val="auto"/>
                      <w:kern w:val="0"/>
                      <w:sz w:val="21"/>
                      <w:szCs w:val="21"/>
                    </w:rPr>
                    <w:t>《大气污染物综合排放标准》(GB16297-1996)表2中</w:t>
                  </w:r>
                  <w:r>
                    <w:rPr>
                      <w:rFonts w:hint="eastAsia"/>
                      <w:b w:val="0"/>
                      <w:bCs w:val="0"/>
                      <w:color w:val="auto"/>
                      <w:kern w:val="0"/>
                      <w:sz w:val="21"/>
                      <w:szCs w:val="21"/>
                    </w:rPr>
                    <w:t>二级标准</w:t>
                  </w:r>
                </w:p>
              </w:tc>
            </w:tr>
          </w:tbl>
          <w:p w14:paraId="0D557788">
            <w:pPr>
              <w:spacing w:line="360" w:lineRule="auto"/>
              <w:ind w:firstLine="480" w:firstLineChars="200"/>
              <w:rPr>
                <w:rFonts w:hint="default" w:ascii="Times New Roman" w:hAnsi="Times New Roman" w:cs="Times New Roman"/>
                <w:bCs/>
                <w:color w:val="auto"/>
                <w:sz w:val="24"/>
              </w:rPr>
            </w:pPr>
            <w:r>
              <w:rPr>
                <w:rFonts w:hint="eastAsia" w:cs="Times New Roman"/>
                <w:bCs/>
                <w:color w:val="auto"/>
                <w:sz w:val="24"/>
                <w:lang w:eastAsia="zh-CN"/>
              </w:rPr>
              <w:t>（</w:t>
            </w:r>
            <w:r>
              <w:rPr>
                <w:rFonts w:hint="eastAsia" w:cs="Times New Roman"/>
                <w:bCs/>
                <w:color w:val="auto"/>
                <w:sz w:val="24"/>
                <w:lang w:val="en-US" w:eastAsia="zh-CN"/>
              </w:rPr>
              <w:t>4</w:t>
            </w:r>
            <w:r>
              <w:rPr>
                <w:rFonts w:hint="eastAsia" w:cs="Times New Roman"/>
                <w:bCs/>
                <w:color w:val="auto"/>
                <w:sz w:val="24"/>
                <w:lang w:eastAsia="zh-CN"/>
              </w:rPr>
              <w:t>）</w:t>
            </w:r>
            <w:r>
              <w:rPr>
                <w:rFonts w:hint="default" w:ascii="Times New Roman" w:hAnsi="Times New Roman" w:cs="Times New Roman"/>
                <w:bCs/>
                <w:color w:val="auto"/>
                <w:sz w:val="24"/>
              </w:rPr>
              <w:t>废气</w:t>
            </w:r>
            <w:r>
              <w:rPr>
                <w:rFonts w:hint="eastAsia" w:cs="Times New Roman"/>
                <w:bCs/>
                <w:color w:val="auto"/>
                <w:sz w:val="24"/>
                <w:lang w:val="en-US" w:eastAsia="zh-CN"/>
              </w:rPr>
              <w:t>处理措施合理性</w:t>
            </w:r>
            <w:r>
              <w:rPr>
                <w:rFonts w:hint="default" w:ascii="Times New Roman" w:hAnsi="Times New Roman" w:cs="Times New Roman"/>
                <w:bCs/>
                <w:color w:val="auto"/>
                <w:sz w:val="24"/>
              </w:rPr>
              <w:t>分析</w:t>
            </w:r>
          </w:p>
          <w:p w14:paraId="0C790D36">
            <w:pPr>
              <w:spacing w:line="360" w:lineRule="auto"/>
              <w:ind w:firstLine="480" w:firstLineChars="200"/>
              <w:rPr>
                <w:rFonts w:hint="default" w:ascii="Times New Roman" w:hAnsi="Times New Roman" w:cs="Times New Roman"/>
                <w:bCs/>
                <w:color w:val="auto"/>
                <w:sz w:val="24"/>
                <w:lang w:val="en-US"/>
              </w:rPr>
            </w:pPr>
            <w:r>
              <w:rPr>
                <w:rFonts w:hint="default" w:ascii="Times New Roman" w:hAnsi="Times New Roman" w:cs="Times New Roman"/>
                <w:bCs/>
                <w:color w:val="auto"/>
                <w:sz w:val="24"/>
                <w:lang w:val="en-US" w:eastAsia="zh-CN"/>
              </w:rPr>
              <w:t>参照《排污许可证申请与核发技术规范</w:t>
            </w:r>
            <w:r>
              <w:rPr>
                <w:rFonts w:hint="eastAsia" w:cs="Times New Roman"/>
                <w:bCs/>
                <w:color w:val="auto"/>
                <w:sz w:val="24"/>
                <w:lang w:val="en-US" w:eastAsia="zh-CN"/>
              </w:rPr>
              <w:t xml:space="preserve"> </w:t>
            </w:r>
            <w:r>
              <w:rPr>
                <w:rFonts w:hint="default" w:ascii="Times New Roman" w:hAnsi="Times New Roman" w:cs="Times New Roman"/>
                <w:bCs/>
                <w:color w:val="auto"/>
                <w:sz w:val="24"/>
                <w:lang w:val="en-US" w:eastAsia="zh-CN"/>
              </w:rPr>
              <w:t>铁路、船舶、航空航天和其他运输设备制造业》（HJ1124-2020）中表5：预处理生产单元机械预处理产污环节打磨</w:t>
            </w:r>
            <w:r>
              <w:rPr>
                <w:rFonts w:hint="eastAsia" w:cs="Times New Roman"/>
                <w:bCs/>
                <w:color w:val="auto"/>
                <w:sz w:val="24"/>
                <w:lang w:val="en-US" w:eastAsia="zh-CN"/>
              </w:rPr>
              <w:t>、喷砂</w:t>
            </w:r>
            <w:r>
              <w:rPr>
                <w:rFonts w:hint="default" w:ascii="Times New Roman" w:hAnsi="Times New Roman" w:cs="Times New Roman"/>
                <w:bCs/>
                <w:color w:val="auto"/>
                <w:sz w:val="24"/>
                <w:lang w:val="en-US" w:eastAsia="zh-CN"/>
              </w:rPr>
              <w:t>设备产生的颗粒物，可行的污染防治技术包括袋式除尘、湿式除尘。</w:t>
            </w:r>
            <w:r>
              <w:rPr>
                <w:rFonts w:hint="eastAsia" w:cs="Times New Roman"/>
                <w:bCs/>
                <w:color w:val="0000FF"/>
                <w:sz w:val="24"/>
                <w:lang w:val="en-US" w:eastAsia="zh-CN"/>
              </w:rPr>
              <w:t>根据</w:t>
            </w:r>
            <w:r>
              <w:rPr>
                <w:rFonts w:hint="eastAsia" w:cs="Times New Roman"/>
                <w:bCs/>
                <w:color w:val="0000FF"/>
                <w:sz w:val="24"/>
                <w:lang w:val="en-US" w:eastAsia="zh-CN"/>
              </w:rPr>
              <w:fldChar w:fldCharType="begin"/>
            </w:r>
            <w:r>
              <w:rPr>
                <w:rFonts w:hint="eastAsia" w:cs="Times New Roman"/>
                <w:bCs/>
                <w:color w:val="0000FF"/>
                <w:sz w:val="24"/>
                <w:lang w:val="en-US" w:eastAsia="zh-CN"/>
              </w:rPr>
              <w:instrText xml:space="preserve"> HYPERLINK "https://www.mee.gov.cn/ywdt/gsgg/gongshi/gsq/202409/W020240920400041409039.pdf" </w:instrText>
            </w:r>
            <w:r>
              <w:rPr>
                <w:rFonts w:hint="eastAsia" w:cs="Times New Roman"/>
                <w:bCs/>
                <w:color w:val="0000FF"/>
                <w:sz w:val="24"/>
                <w:lang w:val="en-US" w:eastAsia="zh-CN"/>
              </w:rPr>
              <w:fldChar w:fldCharType="separate"/>
            </w:r>
            <w:r>
              <w:rPr>
                <w:rFonts w:hint="eastAsia" w:cs="Times New Roman"/>
                <w:bCs/>
                <w:color w:val="0000FF"/>
                <w:sz w:val="24"/>
                <w:lang w:val="en-US" w:eastAsia="zh-CN"/>
              </w:rPr>
              <w:t>《国家污染防治技术指导目录（2024年，限制类和淘汰类）》（公示稿）</w:t>
            </w:r>
            <w:r>
              <w:rPr>
                <w:rFonts w:hint="eastAsia" w:cs="Times New Roman"/>
                <w:bCs/>
                <w:color w:val="0000FF"/>
                <w:sz w:val="24"/>
                <w:lang w:val="en-US" w:eastAsia="zh-CN"/>
              </w:rPr>
              <w:fldChar w:fldCharType="end"/>
            </w:r>
            <w:r>
              <w:rPr>
                <w:rFonts w:hint="eastAsia" w:cs="Times New Roman"/>
                <w:bCs/>
                <w:color w:val="0000FF"/>
                <w:sz w:val="24"/>
                <w:lang w:val="en-US" w:eastAsia="zh-CN"/>
              </w:rPr>
              <w:t>，洗涤、水膜（浴）、文丘里湿法除尘技术为限制类技术。</w:t>
            </w:r>
          </w:p>
          <w:p w14:paraId="5A368F44">
            <w:pPr>
              <w:spacing w:line="360" w:lineRule="auto"/>
              <w:ind w:firstLine="480" w:firstLineChars="200"/>
              <w:rPr>
                <w:rFonts w:hint="default" w:ascii="Times New Roman" w:hAnsi="Times New Roman" w:cs="Times New Roman"/>
                <w:bCs/>
                <w:color w:val="auto"/>
                <w:sz w:val="24"/>
              </w:rPr>
            </w:pPr>
            <w:r>
              <w:rPr>
                <w:rFonts w:hint="default" w:ascii="Times New Roman" w:hAnsi="Times New Roman" w:cs="Times New Roman"/>
                <w:bCs/>
                <w:color w:val="auto"/>
                <w:sz w:val="24"/>
                <w:lang w:val="en-US" w:eastAsia="zh-CN"/>
              </w:rPr>
              <w:t>本项目打磨粉尘经</w:t>
            </w:r>
            <w:r>
              <w:rPr>
                <w:rFonts w:hint="eastAsia" w:cs="Times New Roman"/>
                <w:bCs/>
                <w:color w:val="auto"/>
                <w:sz w:val="24"/>
                <w:lang w:val="en-US" w:eastAsia="zh-CN"/>
              </w:rPr>
              <w:t>水雾式除尘及袋式除尘器处理后经20m高DA001排气筒排放；喷砂粉尘经配套袋式除尘器处理后在车间内无组织排放</w:t>
            </w:r>
            <w:r>
              <w:rPr>
                <w:rFonts w:hint="default" w:ascii="Times New Roman" w:hAnsi="Times New Roman" w:cs="Times New Roman"/>
                <w:bCs/>
                <w:color w:val="auto"/>
                <w:sz w:val="24"/>
                <w:lang w:val="en-US" w:eastAsia="zh-CN"/>
              </w:rPr>
              <w:t>。</w:t>
            </w:r>
            <w:r>
              <w:rPr>
                <w:rFonts w:hint="eastAsia" w:cs="Times New Roman"/>
                <w:bCs/>
                <w:color w:val="0000FF"/>
                <w:sz w:val="24"/>
                <w:lang w:val="en-US" w:eastAsia="zh-CN"/>
              </w:rPr>
              <w:t>为</w:t>
            </w:r>
            <w:r>
              <w:rPr>
                <w:rFonts w:hint="default" w:ascii="Times New Roman" w:hAnsi="Times New Roman" w:cs="Times New Roman"/>
                <w:bCs/>
                <w:color w:val="0000FF"/>
                <w:sz w:val="24"/>
                <w:lang w:val="en-US" w:eastAsia="zh-CN"/>
              </w:rPr>
              <w:t>《排污许可证申请与核发技术规范 铁路、船舶、航空航天和其他运输设备制造业》（HJ 1124</w:t>
            </w:r>
            <w:r>
              <w:rPr>
                <w:rFonts w:hint="eastAsia" w:cs="Times New Roman"/>
                <w:bCs/>
                <w:color w:val="0000FF"/>
                <w:sz w:val="24"/>
                <w:lang w:val="en-US" w:eastAsia="zh-CN"/>
              </w:rPr>
              <w:t>-</w:t>
            </w:r>
            <w:r>
              <w:rPr>
                <w:rFonts w:hint="default" w:ascii="Times New Roman" w:hAnsi="Times New Roman" w:cs="Times New Roman"/>
                <w:bCs/>
                <w:color w:val="0000FF"/>
                <w:sz w:val="24"/>
                <w:lang w:val="en-US" w:eastAsia="zh-CN"/>
              </w:rPr>
              <w:t>2020）中推荐的污染防治措施</w:t>
            </w:r>
            <w:r>
              <w:rPr>
                <w:rFonts w:hint="eastAsia" w:cs="Times New Roman"/>
                <w:bCs/>
                <w:color w:val="0000FF"/>
                <w:sz w:val="24"/>
                <w:lang w:val="en-US" w:eastAsia="zh-CN"/>
              </w:rPr>
              <w:t>，同时不属于</w:t>
            </w:r>
            <w:r>
              <w:rPr>
                <w:rFonts w:hint="eastAsia" w:cs="Times New Roman"/>
                <w:bCs/>
                <w:color w:val="0000FF"/>
                <w:sz w:val="24"/>
                <w:lang w:val="en-US" w:eastAsia="zh-CN"/>
              </w:rPr>
              <w:fldChar w:fldCharType="begin"/>
            </w:r>
            <w:r>
              <w:rPr>
                <w:rFonts w:hint="eastAsia" w:cs="Times New Roman"/>
                <w:bCs/>
                <w:color w:val="0000FF"/>
                <w:sz w:val="24"/>
                <w:lang w:val="en-US" w:eastAsia="zh-CN"/>
              </w:rPr>
              <w:instrText xml:space="preserve"> HYPERLINK "https://www.mee.gov.cn/ywdt/gsgg/gongshi/gsq/202409/W020240920400041409039.pdf" </w:instrText>
            </w:r>
            <w:r>
              <w:rPr>
                <w:rFonts w:hint="eastAsia" w:cs="Times New Roman"/>
                <w:bCs/>
                <w:color w:val="0000FF"/>
                <w:sz w:val="24"/>
                <w:lang w:val="en-US" w:eastAsia="zh-CN"/>
              </w:rPr>
              <w:fldChar w:fldCharType="separate"/>
            </w:r>
            <w:r>
              <w:rPr>
                <w:rFonts w:hint="eastAsia" w:cs="Times New Roman"/>
                <w:bCs/>
                <w:color w:val="0000FF"/>
                <w:sz w:val="24"/>
                <w:lang w:val="en-US" w:eastAsia="zh-CN"/>
              </w:rPr>
              <w:t>《国家污染防治技术指导目录（2024年，限制类和淘汰类）》（公示稿）</w:t>
            </w:r>
            <w:r>
              <w:rPr>
                <w:rFonts w:hint="eastAsia" w:cs="Times New Roman"/>
                <w:bCs/>
                <w:color w:val="0000FF"/>
                <w:sz w:val="24"/>
                <w:lang w:val="en-US" w:eastAsia="zh-CN"/>
              </w:rPr>
              <w:fldChar w:fldCharType="end"/>
            </w:r>
            <w:r>
              <w:rPr>
                <w:rFonts w:hint="eastAsia" w:cs="Times New Roman"/>
                <w:bCs/>
                <w:color w:val="0000FF"/>
                <w:sz w:val="24"/>
                <w:lang w:val="en-US" w:eastAsia="zh-CN"/>
              </w:rPr>
              <w:t>中的限制类技术</w:t>
            </w:r>
            <w:r>
              <w:rPr>
                <w:rFonts w:hint="default" w:ascii="Times New Roman" w:hAnsi="Times New Roman" w:cs="Times New Roman"/>
                <w:bCs/>
                <w:color w:val="auto"/>
                <w:sz w:val="24"/>
                <w:lang w:val="en-US" w:eastAsia="zh-CN"/>
              </w:rPr>
              <w:t>。综上所述，本项目打磨</w:t>
            </w:r>
            <w:r>
              <w:rPr>
                <w:rFonts w:hint="eastAsia" w:cs="Times New Roman"/>
                <w:bCs/>
                <w:color w:val="auto"/>
                <w:sz w:val="24"/>
                <w:lang w:val="en-US" w:eastAsia="zh-CN"/>
              </w:rPr>
              <w:t>、喷砂</w:t>
            </w:r>
            <w:r>
              <w:rPr>
                <w:rFonts w:hint="default" w:ascii="Times New Roman" w:hAnsi="Times New Roman" w:cs="Times New Roman"/>
                <w:bCs/>
                <w:color w:val="auto"/>
                <w:sz w:val="24"/>
                <w:lang w:val="en-US" w:eastAsia="zh-CN"/>
              </w:rPr>
              <w:t>粉尘废气措施合理可行。</w:t>
            </w:r>
          </w:p>
          <w:p w14:paraId="777B267E">
            <w:pPr>
              <w:wordWrap w:val="0"/>
              <w:spacing w:line="360" w:lineRule="auto"/>
              <w:ind w:firstLine="480" w:firstLineChars="200"/>
              <w:rPr>
                <w:rFonts w:hint="default" w:ascii="Times New Roman" w:hAnsi="Times New Roman" w:eastAsia="宋体" w:cs="Times New Roman"/>
                <w:color w:val="auto"/>
                <w:sz w:val="24"/>
                <w:szCs w:val="32"/>
                <w:highlight w:val="none"/>
                <w:lang w:val="en-US" w:eastAsia="zh-CN"/>
              </w:rPr>
            </w:pPr>
            <w:r>
              <w:rPr>
                <w:rFonts w:hint="eastAsia" w:cs="Times New Roman"/>
                <w:color w:val="auto"/>
                <w:sz w:val="24"/>
                <w:szCs w:val="32"/>
                <w:highlight w:val="none"/>
                <w:lang w:val="en-US" w:eastAsia="zh-CN"/>
              </w:rPr>
              <w:t>（5）排气筒设置合理性分析</w:t>
            </w:r>
          </w:p>
          <w:p w14:paraId="60B92B5D">
            <w:pPr>
              <w:wordWrap w:val="0"/>
              <w:spacing w:line="360" w:lineRule="auto"/>
              <w:ind w:firstLine="480" w:firstLineChars="200"/>
              <w:rPr>
                <w:rFonts w:hint="eastAsia"/>
                <w:bCs/>
                <w:color w:val="auto"/>
                <w:sz w:val="24"/>
                <w:szCs w:val="22"/>
              </w:rPr>
            </w:pPr>
            <w:r>
              <w:rPr>
                <w:rFonts w:hint="eastAsia" w:cs="Times New Roman"/>
                <w:color w:val="auto"/>
                <w:sz w:val="24"/>
                <w:szCs w:val="32"/>
                <w:highlight w:val="none"/>
                <w:lang w:val="en-US" w:eastAsia="zh-CN"/>
              </w:rPr>
              <w:t>根据</w:t>
            </w:r>
            <w:r>
              <w:rPr>
                <w:rFonts w:hint="default" w:ascii="Times New Roman" w:hAnsi="宋体" w:eastAsia="宋体" w:cs="Times New Roman"/>
                <w:color w:val="auto"/>
                <w:sz w:val="24"/>
                <w:szCs w:val="24"/>
                <w:lang w:val="zh-TW"/>
              </w:rPr>
              <w:t>《大气污染物综合排放标准》</w:t>
            </w:r>
            <w:r>
              <w:rPr>
                <w:rFonts w:hint="eastAsia" w:ascii="Times New Roman" w:hAnsi="宋体" w:eastAsia="宋体" w:cs="Times New Roman"/>
                <w:color w:val="auto"/>
                <w:sz w:val="24"/>
                <w:szCs w:val="24"/>
                <w:lang w:val="zh-TW" w:eastAsia="zh-CN"/>
              </w:rPr>
              <w:t>（</w:t>
            </w:r>
            <w:r>
              <w:rPr>
                <w:rFonts w:hint="default" w:ascii="Times New Roman" w:hAnsi="宋体" w:eastAsia="宋体" w:cs="Times New Roman"/>
                <w:color w:val="auto"/>
                <w:sz w:val="24"/>
                <w:szCs w:val="24"/>
                <w:lang w:val="zh-TW"/>
              </w:rPr>
              <w:t>GB16297-1996</w:t>
            </w:r>
            <w:r>
              <w:rPr>
                <w:rFonts w:hint="eastAsia" w:ascii="Times New Roman" w:hAnsi="宋体" w:eastAsia="宋体" w:cs="Times New Roman"/>
                <w:color w:val="auto"/>
                <w:sz w:val="24"/>
                <w:szCs w:val="24"/>
                <w:lang w:val="zh-TW" w:eastAsia="zh-CN"/>
              </w:rPr>
              <w:t>），</w:t>
            </w:r>
            <w:r>
              <w:rPr>
                <w:rFonts w:hint="eastAsia" w:ascii="Times New Roman" w:hAnsi="宋体" w:eastAsia="宋体" w:cs="Times New Roman"/>
                <w:color w:val="auto"/>
                <w:sz w:val="24"/>
                <w:szCs w:val="24"/>
                <w:lang w:val="en-US" w:eastAsia="zh-CN"/>
              </w:rPr>
              <w:t>排气筒高度应高出周围200m半径范围的建筑5m以上，</w:t>
            </w:r>
            <w:r>
              <w:rPr>
                <w:rFonts w:hint="eastAsia" w:hAnsi="宋体" w:cs="Times New Roman"/>
                <w:color w:val="auto"/>
                <w:sz w:val="24"/>
                <w:szCs w:val="24"/>
                <w:lang w:val="en-US" w:eastAsia="zh-CN"/>
              </w:rPr>
              <w:t>不能达到该要求的排气筒，应按其高度对应的表列排放速率标准值严格50%执行，</w:t>
            </w:r>
            <w:r>
              <w:rPr>
                <w:rFonts w:hint="eastAsia" w:ascii="Times New Roman" w:hAnsi="Times New Roman" w:eastAsia="宋体" w:cs="Times New Roman"/>
                <w:bCs/>
                <w:color w:val="auto"/>
                <w:sz w:val="24"/>
                <w:szCs w:val="22"/>
                <w:lang w:val="en-US" w:eastAsia="zh-CN"/>
              </w:rPr>
              <w:t>根据生产厂房、生产工艺的要求设置，</w:t>
            </w:r>
            <w:r>
              <w:rPr>
                <w:rFonts w:hint="eastAsia"/>
                <w:bCs/>
                <w:color w:val="auto"/>
                <w:sz w:val="24"/>
                <w:szCs w:val="22"/>
              </w:rPr>
              <w:t>本项目共设置</w:t>
            </w:r>
            <w:r>
              <w:rPr>
                <w:rFonts w:hint="eastAsia"/>
                <w:bCs/>
                <w:color w:val="auto"/>
                <w:sz w:val="24"/>
                <w:szCs w:val="22"/>
                <w:lang w:val="en-US" w:eastAsia="zh-CN"/>
              </w:rPr>
              <w:t>1</w:t>
            </w:r>
            <w:r>
              <w:rPr>
                <w:rFonts w:hint="eastAsia"/>
                <w:bCs/>
                <w:color w:val="auto"/>
                <w:sz w:val="24"/>
                <w:szCs w:val="22"/>
              </w:rPr>
              <w:t>根排气筒，排气筒高度为</w:t>
            </w:r>
            <w:r>
              <w:rPr>
                <w:rFonts w:hint="eastAsia"/>
                <w:bCs/>
                <w:color w:val="auto"/>
                <w:sz w:val="24"/>
                <w:szCs w:val="22"/>
                <w:lang w:val="en-US" w:eastAsia="zh-CN"/>
              </w:rPr>
              <w:t>20</w:t>
            </w:r>
            <w:r>
              <w:rPr>
                <w:rFonts w:hint="eastAsia"/>
                <w:bCs/>
                <w:color w:val="auto"/>
                <w:sz w:val="24"/>
                <w:szCs w:val="22"/>
                <w:lang w:eastAsia="zh-CN"/>
              </w:rPr>
              <w:t>m</w:t>
            </w:r>
            <w:r>
              <w:rPr>
                <w:rFonts w:hint="eastAsia"/>
                <w:bCs/>
                <w:color w:val="auto"/>
                <w:sz w:val="24"/>
                <w:szCs w:val="22"/>
              </w:rPr>
              <w:t>，周围半径</w:t>
            </w:r>
            <w:r>
              <w:rPr>
                <w:bCs/>
                <w:color w:val="auto"/>
                <w:sz w:val="24"/>
                <w:szCs w:val="22"/>
              </w:rPr>
              <w:t>200m</w:t>
            </w:r>
            <w:r>
              <w:rPr>
                <w:rFonts w:hint="eastAsia"/>
                <w:bCs/>
                <w:color w:val="auto"/>
                <w:sz w:val="24"/>
                <w:szCs w:val="22"/>
              </w:rPr>
              <w:t>距离内最高建筑物为</w:t>
            </w:r>
            <w:r>
              <w:rPr>
                <w:rFonts w:hint="eastAsia"/>
                <w:bCs/>
                <w:color w:val="auto"/>
                <w:sz w:val="24"/>
                <w:szCs w:val="22"/>
                <w:lang w:val="en-US" w:eastAsia="zh-CN"/>
              </w:rPr>
              <w:t>生产车间</w:t>
            </w:r>
            <w:r>
              <w:rPr>
                <w:rFonts w:hint="eastAsia"/>
                <w:bCs/>
                <w:color w:val="auto"/>
                <w:sz w:val="24"/>
                <w:szCs w:val="22"/>
              </w:rPr>
              <w:t>，约为</w:t>
            </w:r>
            <w:r>
              <w:rPr>
                <w:rFonts w:hint="eastAsia"/>
                <w:bCs/>
                <w:color w:val="auto"/>
                <w:sz w:val="24"/>
                <w:szCs w:val="22"/>
                <w:lang w:val="en-US" w:eastAsia="zh-CN"/>
              </w:rPr>
              <w:t>15</w:t>
            </w:r>
            <w:r>
              <w:rPr>
                <w:rFonts w:hint="eastAsia"/>
                <w:bCs/>
                <w:color w:val="auto"/>
                <w:sz w:val="24"/>
                <w:szCs w:val="22"/>
              </w:rPr>
              <w:t>m，</w:t>
            </w:r>
            <w:r>
              <w:rPr>
                <w:rFonts w:hint="eastAsia"/>
                <w:bCs/>
                <w:color w:val="auto"/>
                <w:sz w:val="24"/>
                <w:szCs w:val="22"/>
                <w:lang w:val="en-US" w:eastAsia="zh-CN"/>
              </w:rPr>
              <w:t>能够满足</w:t>
            </w:r>
            <w:r>
              <w:rPr>
                <w:rFonts w:hint="eastAsia" w:ascii="Times New Roman" w:hAnsi="宋体" w:eastAsia="宋体" w:cs="Times New Roman"/>
                <w:color w:val="auto"/>
                <w:sz w:val="24"/>
                <w:szCs w:val="24"/>
                <w:lang w:val="en-US" w:eastAsia="zh-CN"/>
              </w:rPr>
              <w:t>高出周围200m半径范围的建筑5m以上。</w:t>
            </w:r>
            <w:r>
              <w:rPr>
                <w:rFonts w:hint="eastAsia" w:hAnsi="宋体" w:eastAsia="宋体" w:cs="Times New Roman"/>
                <w:color w:val="0000FF"/>
                <w:sz w:val="24"/>
                <w:szCs w:val="24"/>
                <w:lang w:val="en-US" w:eastAsia="zh-CN"/>
              </w:rPr>
              <w:t>则</w:t>
            </w:r>
            <w:r>
              <w:rPr>
                <w:rFonts w:hint="eastAsia"/>
                <w:bCs/>
                <w:color w:val="0000FF"/>
                <w:sz w:val="24"/>
                <w:szCs w:val="22"/>
              </w:rPr>
              <w:t>本项目按生产厂房、工艺等设置</w:t>
            </w:r>
            <w:r>
              <w:rPr>
                <w:rFonts w:hint="eastAsia"/>
                <w:bCs/>
                <w:color w:val="0000FF"/>
                <w:sz w:val="24"/>
                <w:szCs w:val="22"/>
                <w:lang w:val="en-US" w:eastAsia="zh-CN"/>
              </w:rPr>
              <w:t>1</w:t>
            </w:r>
            <w:r>
              <w:rPr>
                <w:rFonts w:hint="eastAsia"/>
                <w:bCs/>
                <w:color w:val="0000FF"/>
                <w:sz w:val="24"/>
                <w:szCs w:val="22"/>
              </w:rPr>
              <w:t>根排气筒，排气筒高均为</w:t>
            </w:r>
            <w:r>
              <w:rPr>
                <w:rFonts w:hint="eastAsia"/>
                <w:bCs/>
                <w:color w:val="0000FF"/>
                <w:sz w:val="24"/>
                <w:szCs w:val="22"/>
                <w:lang w:val="en-US" w:eastAsia="zh-CN"/>
              </w:rPr>
              <w:t>20</w:t>
            </w:r>
            <w:r>
              <w:rPr>
                <w:rFonts w:hint="eastAsia"/>
                <w:bCs/>
                <w:color w:val="0000FF"/>
                <w:sz w:val="24"/>
                <w:szCs w:val="22"/>
                <w:lang w:eastAsia="zh-CN"/>
              </w:rPr>
              <w:t>m</w:t>
            </w:r>
            <w:r>
              <w:rPr>
                <w:rFonts w:hint="eastAsia"/>
                <w:bCs/>
                <w:color w:val="0000FF"/>
                <w:sz w:val="24"/>
                <w:szCs w:val="22"/>
              </w:rPr>
              <w:t>设置合理</w:t>
            </w:r>
            <w:r>
              <w:rPr>
                <w:rFonts w:hint="eastAsia"/>
                <w:bCs/>
                <w:color w:val="auto"/>
                <w:sz w:val="24"/>
                <w:szCs w:val="22"/>
              </w:rPr>
              <w:t>。</w:t>
            </w:r>
          </w:p>
          <w:p w14:paraId="3A83FDA0">
            <w:pPr>
              <w:wordWrap w:val="0"/>
              <w:spacing w:line="360" w:lineRule="auto"/>
              <w:ind w:firstLine="480" w:firstLineChars="200"/>
              <w:rPr>
                <w:rFonts w:hint="default" w:ascii="Times New Roman" w:hAnsi="Times New Roman" w:eastAsia="宋体" w:cs="Times New Roman"/>
                <w:color w:val="auto"/>
                <w:sz w:val="24"/>
                <w:szCs w:val="32"/>
                <w:highlight w:val="none"/>
                <w:lang w:val="en-US" w:eastAsia="zh-CN"/>
              </w:rPr>
            </w:pPr>
            <w:r>
              <w:rPr>
                <w:rFonts w:hint="eastAsia"/>
                <w:bCs/>
                <w:color w:val="auto"/>
                <w:sz w:val="24"/>
                <w:szCs w:val="22"/>
                <w:lang w:eastAsia="zh-CN"/>
              </w:rPr>
              <w:t>（</w:t>
            </w:r>
            <w:r>
              <w:rPr>
                <w:rFonts w:hint="eastAsia"/>
                <w:bCs/>
                <w:color w:val="auto"/>
                <w:sz w:val="24"/>
                <w:szCs w:val="22"/>
                <w:lang w:val="en-US" w:eastAsia="zh-CN"/>
              </w:rPr>
              <w:t>6</w:t>
            </w:r>
            <w:r>
              <w:rPr>
                <w:rFonts w:hint="eastAsia"/>
                <w:bCs/>
                <w:color w:val="auto"/>
                <w:sz w:val="24"/>
                <w:szCs w:val="22"/>
                <w:lang w:eastAsia="zh-CN"/>
              </w:rPr>
              <w:t>）</w:t>
            </w:r>
            <w:r>
              <w:rPr>
                <w:rFonts w:hint="default" w:ascii="Times New Roman" w:hAnsi="Times New Roman" w:eastAsia="宋体" w:cs="Times New Roman"/>
                <w:color w:val="auto"/>
                <w:sz w:val="24"/>
                <w:szCs w:val="32"/>
                <w:highlight w:val="none"/>
                <w:lang w:val="en-US" w:eastAsia="zh-CN"/>
              </w:rPr>
              <w:t>非正常情况污染排放</w:t>
            </w:r>
          </w:p>
          <w:p w14:paraId="4052399D">
            <w:pPr>
              <w:wordWrap w:val="0"/>
              <w:spacing w:line="360" w:lineRule="auto"/>
              <w:ind w:firstLine="480" w:firstLineChars="200"/>
              <w:rPr>
                <w:rFonts w:hint="default" w:ascii="Times New Roman" w:hAnsi="Times New Roman" w:eastAsia="宋体" w:cs="Times New Roman"/>
                <w:color w:val="auto"/>
                <w:sz w:val="24"/>
                <w:szCs w:val="32"/>
                <w:highlight w:val="none"/>
                <w:lang w:val="en-US" w:eastAsia="zh-CN"/>
              </w:rPr>
            </w:pPr>
            <w:r>
              <w:rPr>
                <w:rFonts w:hint="default" w:ascii="Times New Roman" w:hAnsi="Times New Roman" w:eastAsia="宋体" w:cs="Times New Roman"/>
                <w:color w:val="auto"/>
                <w:sz w:val="24"/>
                <w:szCs w:val="32"/>
                <w:highlight w:val="none"/>
                <w:lang w:val="en-US" w:eastAsia="zh-CN"/>
              </w:rPr>
              <w:t>项目非正常情况主要是设备开停时环保</w:t>
            </w:r>
            <w:r>
              <w:rPr>
                <w:rFonts w:hint="eastAsia" w:cs="Times New Roman"/>
                <w:color w:val="auto"/>
                <w:sz w:val="24"/>
                <w:szCs w:val="32"/>
                <w:highlight w:val="none"/>
                <w:lang w:val="en-US" w:eastAsia="zh-CN"/>
              </w:rPr>
              <w:t>设施</w:t>
            </w:r>
            <w:r>
              <w:rPr>
                <w:rFonts w:hint="default" w:ascii="Times New Roman" w:hAnsi="Times New Roman" w:eastAsia="宋体" w:cs="Times New Roman"/>
                <w:color w:val="auto"/>
                <w:sz w:val="24"/>
                <w:szCs w:val="32"/>
                <w:highlight w:val="none"/>
                <w:lang w:val="en-US" w:eastAsia="zh-CN"/>
              </w:rPr>
              <w:t>未提前开启</w:t>
            </w:r>
            <w:r>
              <w:rPr>
                <w:rFonts w:hint="eastAsia" w:cs="Times New Roman"/>
                <w:color w:val="auto"/>
                <w:sz w:val="24"/>
                <w:szCs w:val="32"/>
                <w:highlight w:val="none"/>
                <w:lang w:val="en-US" w:eastAsia="zh-CN"/>
              </w:rPr>
              <w:t>或环保设施故障无法运行</w:t>
            </w:r>
            <w:r>
              <w:rPr>
                <w:rFonts w:hint="default" w:ascii="Times New Roman" w:hAnsi="Times New Roman" w:eastAsia="宋体" w:cs="Times New Roman"/>
                <w:color w:val="auto"/>
                <w:sz w:val="24"/>
                <w:szCs w:val="32"/>
                <w:highlight w:val="none"/>
                <w:lang w:val="en-US" w:eastAsia="zh-CN"/>
              </w:rPr>
              <w:t>，造成废气超标排放，以最不利情况下废气处理系统</w:t>
            </w:r>
            <w:r>
              <w:rPr>
                <w:rFonts w:hint="eastAsia" w:cs="Times New Roman"/>
                <w:color w:val="auto"/>
                <w:sz w:val="24"/>
                <w:szCs w:val="32"/>
                <w:highlight w:val="none"/>
                <w:lang w:val="en-US" w:eastAsia="zh-CN"/>
              </w:rPr>
              <w:t>收集、处理</w:t>
            </w:r>
            <w:r>
              <w:rPr>
                <w:rFonts w:hint="default" w:ascii="Times New Roman" w:hAnsi="Times New Roman" w:eastAsia="宋体" w:cs="Times New Roman"/>
                <w:color w:val="auto"/>
                <w:sz w:val="24"/>
                <w:szCs w:val="32"/>
                <w:highlight w:val="none"/>
                <w:lang w:val="en-US" w:eastAsia="zh-CN"/>
              </w:rPr>
              <w:t>效率为零考虑，源强最大的时段废气排放1h对周围环境的影响，具体见下表。</w:t>
            </w:r>
          </w:p>
          <w:p w14:paraId="3B47D65D">
            <w:pPr>
              <w:autoSpaceDE w:val="0"/>
              <w:autoSpaceDN w:val="0"/>
              <w:spacing w:line="240" w:lineRule="auto"/>
              <w:jc w:val="center"/>
              <w:rPr>
                <w:rFonts w:hint="default" w:ascii="Times New Roman" w:hAnsi="Times New Roman" w:eastAsia="宋体" w:cs="Times New Roman"/>
                <w:b/>
                <w:color w:val="auto"/>
                <w:szCs w:val="21"/>
                <w:lang w:val="en-US" w:eastAsia="zh-CN"/>
              </w:rPr>
            </w:pPr>
            <w:r>
              <w:rPr>
                <w:rFonts w:hint="default" w:ascii="Times New Roman" w:hAnsi="Times New Roman" w:eastAsia="宋体" w:cs="Times New Roman"/>
                <w:b/>
                <w:color w:val="auto"/>
                <w:szCs w:val="21"/>
                <w:lang w:val="en-US" w:eastAsia="zh-CN"/>
              </w:rPr>
              <w:t>表</w:t>
            </w:r>
            <w:r>
              <w:rPr>
                <w:rFonts w:hint="eastAsia" w:cs="Times New Roman"/>
                <w:b/>
                <w:color w:val="auto"/>
                <w:szCs w:val="21"/>
                <w:lang w:val="en-US" w:eastAsia="zh-CN"/>
              </w:rPr>
              <w:t xml:space="preserve">4-3   </w:t>
            </w:r>
            <w:r>
              <w:rPr>
                <w:rFonts w:hint="default" w:ascii="Times New Roman" w:hAnsi="Times New Roman" w:eastAsia="宋体" w:cs="Times New Roman"/>
                <w:b/>
                <w:color w:val="auto"/>
                <w:szCs w:val="21"/>
                <w:lang w:val="en-US" w:eastAsia="zh-CN"/>
              </w:rPr>
              <w:t>非正常情况废气排放情况一览表</w:t>
            </w:r>
          </w:p>
          <w:tbl>
            <w:tblPr>
              <w:tblStyle w:val="17"/>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955"/>
              <w:gridCol w:w="2658"/>
              <w:gridCol w:w="2660"/>
            </w:tblGrid>
            <w:tr w14:paraId="6BD3B1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786" w:type="pct"/>
                  <w:tcBorders>
                    <w:tl2br w:val="nil"/>
                    <w:tr2bl w:val="nil"/>
                  </w:tcBorders>
                  <w:noWrap w:val="0"/>
                  <w:vAlign w:val="center"/>
                </w:tcPr>
                <w:p w14:paraId="2D397A4E">
                  <w:pPr>
                    <w:keepNext w:val="0"/>
                    <w:keepLines w:val="0"/>
                    <w:pageBreakBefore w:val="0"/>
                    <w:widowControl w:val="0"/>
                    <w:kinsoku w:val="0"/>
                    <w:wordWrap/>
                    <w:overflowPunct w:val="0"/>
                    <w:topLinePunct w:val="0"/>
                    <w:autoSpaceDE w:val="0"/>
                    <w:autoSpaceDN w:val="0"/>
                    <w:bidi w:val="0"/>
                    <w:adjustRightInd w:val="0"/>
                    <w:snapToGrid w:val="0"/>
                    <w:spacing w:line="240" w:lineRule="auto"/>
                    <w:ind w:firstLine="0" w:firstLineChars="0"/>
                    <w:jc w:val="center"/>
                    <w:textAlignment w:val="auto"/>
                    <w:rPr>
                      <w:rFonts w:hint="default" w:ascii="Times New Roman" w:hAnsi="Times New Roman" w:eastAsia="宋体" w:cs="Times New Roman"/>
                      <w:b w:val="0"/>
                      <w:bCs w:val="0"/>
                      <w:color w:val="auto"/>
                      <w:szCs w:val="21"/>
                      <w:highlight w:val="none"/>
                    </w:rPr>
                  </w:pPr>
                  <w:r>
                    <w:rPr>
                      <w:rFonts w:hint="default" w:ascii="Times New Roman" w:hAnsi="Times New Roman" w:eastAsia="宋体" w:cs="Times New Roman"/>
                      <w:b w:val="0"/>
                      <w:bCs w:val="0"/>
                      <w:color w:val="auto"/>
                      <w:szCs w:val="21"/>
                      <w:highlight w:val="none"/>
                      <w:lang w:val="en-US" w:eastAsia="zh-CN"/>
                    </w:rPr>
                    <w:t>产排污环节</w:t>
                  </w:r>
                </w:p>
              </w:tc>
              <w:tc>
                <w:tcPr>
                  <w:tcW w:w="1606" w:type="pct"/>
                  <w:tcBorders>
                    <w:tl2br w:val="nil"/>
                    <w:tr2bl w:val="nil"/>
                  </w:tcBorders>
                  <w:noWrap w:val="0"/>
                  <w:vAlign w:val="center"/>
                </w:tcPr>
                <w:p w14:paraId="3E6255C5">
                  <w:pPr>
                    <w:keepNext w:val="0"/>
                    <w:keepLines w:val="0"/>
                    <w:pageBreakBefore w:val="0"/>
                    <w:widowControl w:val="0"/>
                    <w:kinsoku w:val="0"/>
                    <w:wordWrap/>
                    <w:overflowPunct w:val="0"/>
                    <w:topLinePunct w:val="0"/>
                    <w:autoSpaceDE w:val="0"/>
                    <w:autoSpaceDN w:val="0"/>
                    <w:bidi w:val="0"/>
                    <w:adjustRightInd w:val="0"/>
                    <w:snapToGrid w:val="0"/>
                    <w:spacing w:line="240" w:lineRule="auto"/>
                    <w:ind w:firstLine="0" w:firstLineChars="0"/>
                    <w:jc w:val="center"/>
                    <w:textAlignment w:val="auto"/>
                    <w:rPr>
                      <w:rFonts w:hint="default" w:cs="Times New Roman"/>
                      <w:b w:val="0"/>
                      <w:bCs w:val="0"/>
                      <w:color w:val="auto"/>
                      <w:sz w:val="21"/>
                      <w:szCs w:val="21"/>
                      <w:highlight w:val="none"/>
                      <w:lang w:val="en-US" w:eastAsia="zh-CN"/>
                    </w:rPr>
                  </w:pPr>
                  <w:r>
                    <w:rPr>
                      <w:rFonts w:hint="eastAsia" w:cs="Times New Roman"/>
                      <w:b w:val="0"/>
                      <w:bCs w:val="0"/>
                      <w:color w:val="auto"/>
                      <w:sz w:val="21"/>
                      <w:szCs w:val="21"/>
                      <w:highlight w:val="none"/>
                      <w:lang w:val="en-US" w:eastAsia="zh-CN"/>
                    </w:rPr>
                    <w:t>打磨工序</w:t>
                  </w:r>
                </w:p>
              </w:tc>
              <w:tc>
                <w:tcPr>
                  <w:tcW w:w="1607" w:type="pct"/>
                  <w:tcBorders>
                    <w:tl2br w:val="nil"/>
                    <w:tr2bl w:val="nil"/>
                  </w:tcBorders>
                  <w:noWrap w:val="0"/>
                  <w:vAlign w:val="center"/>
                </w:tcPr>
                <w:p w14:paraId="6D638983">
                  <w:pPr>
                    <w:keepNext w:val="0"/>
                    <w:keepLines w:val="0"/>
                    <w:pageBreakBefore w:val="0"/>
                    <w:widowControl w:val="0"/>
                    <w:kinsoku w:val="0"/>
                    <w:wordWrap/>
                    <w:overflowPunct w:val="0"/>
                    <w:topLinePunct w:val="0"/>
                    <w:autoSpaceDE w:val="0"/>
                    <w:autoSpaceDN w:val="0"/>
                    <w:bidi w:val="0"/>
                    <w:adjustRightInd w:val="0"/>
                    <w:snapToGrid w:val="0"/>
                    <w:spacing w:line="240" w:lineRule="auto"/>
                    <w:ind w:firstLine="0" w:firstLineChars="0"/>
                    <w:jc w:val="center"/>
                    <w:textAlignment w:val="auto"/>
                    <w:rPr>
                      <w:rFonts w:hint="default" w:cs="Times New Roman"/>
                      <w:b w:val="0"/>
                      <w:bCs w:val="0"/>
                      <w:color w:val="auto"/>
                      <w:sz w:val="21"/>
                      <w:szCs w:val="21"/>
                      <w:highlight w:val="none"/>
                      <w:lang w:val="en-US" w:eastAsia="zh-CN"/>
                    </w:rPr>
                  </w:pPr>
                  <w:r>
                    <w:rPr>
                      <w:rFonts w:hint="eastAsia" w:cs="Times New Roman"/>
                      <w:b w:val="0"/>
                      <w:bCs w:val="0"/>
                      <w:color w:val="auto"/>
                      <w:sz w:val="21"/>
                      <w:szCs w:val="21"/>
                      <w:highlight w:val="none"/>
                      <w:lang w:val="en-US" w:eastAsia="zh-CN"/>
                    </w:rPr>
                    <w:t>喷砂工序</w:t>
                  </w:r>
                </w:p>
              </w:tc>
            </w:tr>
            <w:tr w14:paraId="7338AB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786" w:type="pct"/>
                  <w:tcBorders>
                    <w:tl2br w:val="nil"/>
                    <w:tr2bl w:val="nil"/>
                  </w:tcBorders>
                  <w:noWrap w:val="0"/>
                  <w:vAlign w:val="center"/>
                </w:tcPr>
                <w:p w14:paraId="7F968B25">
                  <w:pPr>
                    <w:keepNext w:val="0"/>
                    <w:keepLines w:val="0"/>
                    <w:pageBreakBefore w:val="0"/>
                    <w:widowControl w:val="0"/>
                    <w:kinsoku w:val="0"/>
                    <w:wordWrap/>
                    <w:overflowPunct w:val="0"/>
                    <w:topLinePunct w:val="0"/>
                    <w:autoSpaceDE w:val="0"/>
                    <w:autoSpaceDN w:val="0"/>
                    <w:bidi w:val="0"/>
                    <w:adjustRightInd w:val="0"/>
                    <w:snapToGrid w:val="0"/>
                    <w:spacing w:line="240" w:lineRule="auto"/>
                    <w:ind w:firstLine="0" w:firstLineChars="0"/>
                    <w:jc w:val="center"/>
                    <w:textAlignment w:val="auto"/>
                    <w:rPr>
                      <w:rFonts w:hint="default" w:ascii="Times New Roman" w:hAnsi="Times New Roman" w:eastAsia="宋体" w:cs="Times New Roman"/>
                      <w:b w:val="0"/>
                      <w:bCs w:val="0"/>
                      <w:color w:val="auto"/>
                      <w:szCs w:val="21"/>
                      <w:highlight w:val="none"/>
                    </w:rPr>
                  </w:pPr>
                  <w:r>
                    <w:rPr>
                      <w:rFonts w:hint="default" w:ascii="Times New Roman" w:hAnsi="Times New Roman" w:eastAsia="宋体" w:cs="Times New Roman"/>
                      <w:b w:val="0"/>
                      <w:bCs w:val="0"/>
                      <w:color w:val="auto"/>
                      <w:szCs w:val="21"/>
                      <w:highlight w:val="none"/>
                      <w:lang w:val="en-US" w:eastAsia="zh-CN"/>
                    </w:rPr>
                    <w:t>污染物种类</w:t>
                  </w:r>
                </w:p>
              </w:tc>
              <w:tc>
                <w:tcPr>
                  <w:tcW w:w="1606" w:type="pct"/>
                  <w:tcBorders>
                    <w:tl2br w:val="nil"/>
                    <w:tr2bl w:val="nil"/>
                  </w:tcBorders>
                  <w:noWrap w:val="0"/>
                  <w:vAlign w:val="center"/>
                </w:tcPr>
                <w:p w14:paraId="1A452A22">
                  <w:pPr>
                    <w:keepNext w:val="0"/>
                    <w:keepLines w:val="0"/>
                    <w:pageBreakBefore w:val="0"/>
                    <w:widowControl w:val="0"/>
                    <w:kinsoku w:val="0"/>
                    <w:wordWrap/>
                    <w:overflowPunct w:val="0"/>
                    <w:topLinePunct w:val="0"/>
                    <w:autoSpaceDE w:val="0"/>
                    <w:autoSpaceDN w:val="0"/>
                    <w:bidi w:val="0"/>
                    <w:adjustRightInd w:val="0"/>
                    <w:snapToGrid w:val="0"/>
                    <w:spacing w:line="240" w:lineRule="auto"/>
                    <w:ind w:firstLine="0" w:firstLineChars="0"/>
                    <w:jc w:val="center"/>
                    <w:textAlignment w:val="auto"/>
                    <w:rPr>
                      <w:rFonts w:hint="eastAsia" w:ascii="Times New Roman" w:hAnsi="Times New Roman" w:eastAsia="宋体" w:cs="Times New Roman"/>
                      <w:b w:val="0"/>
                      <w:bCs w:val="0"/>
                      <w:color w:val="auto"/>
                      <w:sz w:val="21"/>
                      <w:szCs w:val="21"/>
                      <w:highlight w:val="none"/>
                      <w:lang w:val="en-US" w:eastAsia="zh-CN"/>
                    </w:rPr>
                  </w:pPr>
                  <w:r>
                    <w:rPr>
                      <w:rFonts w:hint="eastAsia" w:ascii="Times New Roman" w:hAnsi="Times New Roman" w:eastAsia="宋体" w:cs="Times New Roman"/>
                      <w:b w:val="0"/>
                      <w:bCs w:val="0"/>
                      <w:color w:val="auto"/>
                      <w:sz w:val="21"/>
                      <w:szCs w:val="21"/>
                      <w:highlight w:val="none"/>
                      <w:lang w:val="en-US" w:eastAsia="zh-CN"/>
                    </w:rPr>
                    <w:t>颗粒物</w:t>
                  </w:r>
                </w:p>
              </w:tc>
              <w:tc>
                <w:tcPr>
                  <w:tcW w:w="1607" w:type="pct"/>
                  <w:tcBorders>
                    <w:tl2br w:val="nil"/>
                    <w:tr2bl w:val="nil"/>
                  </w:tcBorders>
                  <w:noWrap w:val="0"/>
                  <w:vAlign w:val="center"/>
                </w:tcPr>
                <w:p w14:paraId="74E94AE6">
                  <w:pPr>
                    <w:keepNext w:val="0"/>
                    <w:keepLines w:val="0"/>
                    <w:pageBreakBefore w:val="0"/>
                    <w:widowControl w:val="0"/>
                    <w:kinsoku w:val="0"/>
                    <w:wordWrap/>
                    <w:overflowPunct w:val="0"/>
                    <w:topLinePunct w:val="0"/>
                    <w:autoSpaceDE w:val="0"/>
                    <w:autoSpaceDN w:val="0"/>
                    <w:bidi w:val="0"/>
                    <w:adjustRightInd w:val="0"/>
                    <w:snapToGrid w:val="0"/>
                    <w:spacing w:line="240" w:lineRule="auto"/>
                    <w:ind w:firstLine="0" w:firstLineChars="0"/>
                    <w:jc w:val="center"/>
                    <w:textAlignment w:val="auto"/>
                    <w:rPr>
                      <w:rFonts w:hint="default" w:ascii="Times New Roman" w:hAnsi="Times New Roman" w:eastAsia="宋体" w:cs="Times New Roman"/>
                      <w:b w:val="0"/>
                      <w:bCs w:val="0"/>
                      <w:color w:val="auto"/>
                      <w:sz w:val="21"/>
                      <w:szCs w:val="21"/>
                      <w:highlight w:val="none"/>
                      <w:lang w:val="en-US" w:eastAsia="zh-CN"/>
                    </w:rPr>
                  </w:pPr>
                  <w:r>
                    <w:rPr>
                      <w:rFonts w:hint="eastAsia" w:cs="Times New Roman"/>
                      <w:b w:val="0"/>
                      <w:bCs w:val="0"/>
                      <w:color w:val="auto"/>
                      <w:sz w:val="21"/>
                      <w:szCs w:val="21"/>
                      <w:highlight w:val="none"/>
                      <w:lang w:val="en-US" w:eastAsia="zh-CN"/>
                    </w:rPr>
                    <w:t>颗粒物</w:t>
                  </w:r>
                </w:p>
              </w:tc>
            </w:tr>
            <w:tr w14:paraId="6C6AB4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786" w:type="pct"/>
                  <w:tcBorders>
                    <w:tl2br w:val="nil"/>
                    <w:tr2bl w:val="nil"/>
                  </w:tcBorders>
                  <w:noWrap w:val="0"/>
                  <w:vAlign w:val="center"/>
                </w:tcPr>
                <w:p w14:paraId="0AF1CB93">
                  <w:pPr>
                    <w:keepNext w:val="0"/>
                    <w:keepLines w:val="0"/>
                    <w:pageBreakBefore w:val="0"/>
                    <w:widowControl w:val="0"/>
                    <w:kinsoku w:val="0"/>
                    <w:wordWrap/>
                    <w:overflowPunct w:val="0"/>
                    <w:topLinePunct w:val="0"/>
                    <w:autoSpaceDE w:val="0"/>
                    <w:autoSpaceDN w:val="0"/>
                    <w:bidi w:val="0"/>
                    <w:adjustRightInd w:val="0"/>
                    <w:snapToGrid w:val="0"/>
                    <w:spacing w:line="240" w:lineRule="auto"/>
                    <w:ind w:firstLine="0" w:firstLineChars="0"/>
                    <w:jc w:val="center"/>
                    <w:textAlignment w:val="auto"/>
                    <w:rPr>
                      <w:rFonts w:hint="default" w:ascii="Times New Roman" w:hAnsi="Times New Roman" w:eastAsia="宋体" w:cs="Times New Roman"/>
                      <w:b w:val="0"/>
                      <w:bCs w:val="0"/>
                      <w:color w:val="auto"/>
                      <w:szCs w:val="21"/>
                      <w:highlight w:val="none"/>
                    </w:rPr>
                  </w:pPr>
                  <w:r>
                    <w:rPr>
                      <w:rFonts w:hint="default" w:ascii="Times New Roman" w:hAnsi="Times New Roman" w:eastAsia="宋体" w:cs="Times New Roman"/>
                      <w:b w:val="0"/>
                      <w:bCs w:val="0"/>
                      <w:color w:val="auto"/>
                      <w:szCs w:val="21"/>
                      <w:highlight w:val="none"/>
                      <w:lang w:val="en-US" w:eastAsia="zh-CN"/>
                    </w:rPr>
                    <w:t>非正常频次</w:t>
                  </w:r>
                </w:p>
              </w:tc>
              <w:tc>
                <w:tcPr>
                  <w:tcW w:w="3213" w:type="pct"/>
                  <w:gridSpan w:val="2"/>
                  <w:tcBorders>
                    <w:tl2br w:val="nil"/>
                    <w:tr2bl w:val="nil"/>
                  </w:tcBorders>
                  <w:noWrap w:val="0"/>
                  <w:vAlign w:val="center"/>
                </w:tcPr>
                <w:p w14:paraId="093D97D6">
                  <w:pPr>
                    <w:keepNext w:val="0"/>
                    <w:keepLines w:val="0"/>
                    <w:pageBreakBefore w:val="0"/>
                    <w:widowControl w:val="0"/>
                    <w:kinsoku w:val="0"/>
                    <w:wordWrap/>
                    <w:overflowPunct w:val="0"/>
                    <w:topLinePunct w:val="0"/>
                    <w:autoSpaceDE w:val="0"/>
                    <w:autoSpaceDN w:val="0"/>
                    <w:bidi w:val="0"/>
                    <w:adjustRightInd w:val="0"/>
                    <w:snapToGrid w:val="0"/>
                    <w:spacing w:line="240" w:lineRule="auto"/>
                    <w:ind w:firstLine="0" w:firstLineChars="0"/>
                    <w:jc w:val="center"/>
                    <w:textAlignment w:val="auto"/>
                    <w:rPr>
                      <w:rFonts w:hint="default" w:ascii="Times New Roman" w:hAnsi="Times New Roman" w:eastAsia="宋体" w:cs="Times New Roman"/>
                      <w:b w:val="0"/>
                      <w:bCs w:val="0"/>
                      <w:color w:val="auto"/>
                      <w:sz w:val="21"/>
                      <w:szCs w:val="21"/>
                      <w:highlight w:val="none"/>
                      <w:lang w:val="en-US" w:eastAsia="zh-CN"/>
                    </w:rPr>
                  </w:pPr>
                  <w:r>
                    <w:rPr>
                      <w:rFonts w:hint="default" w:ascii="Times New Roman" w:hAnsi="Times New Roman" w:eastAsia="宋体" w:cs="Times New Roman"/>
                      <w:b w:val="0"/>
                      <w:bCs w:val="0"/>
                      <w:color w:val="auto"/>
                      <w:sz w:val="21"/>
                      <w:szCs w:val="21"/>
                      <w:highlight w:val="none"/>
                      <w:lang w:val="en-US" w:eastAsia="zh-CN"/>
                    </w:rPr>
                    <w:t>1次/年</w:t>
                  </w:r>
                </w:p>
              </w:tc>
            </w:tr>
            <w:tr w14:paraId="4F4205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786" w:type="pct"/>
                  <w:tcBorders>
                    <w:tl2br w:val="nil"/>
                    <w:tr2bl w:val="nil"/>
                  </w:tcBorders>
                  <w:noWrap w:val="0"/>
                  <w:vAlign w:val="center"/>
                </w:tcPr>
                <w:p w14:paraId="50AA18BB">
                  <w:pPr>
                    <w:keepNext w:val="0"/>
                    <w:keepLines w:val="0"/>
                    <w:pageBreakBefore w:val="0"/>
                    <w:widowControl w:val="0"/>
                    <w:kinsoku w:val="0"/>
                    <w:wordWrap/>
                    <w:overflowPunct w:val="0"/>
                    <w:topLinePunct w:val="0"/>
                    <w:autoSpaceDE w:val="0"/>
                    <w:autoSpaceDN w:val="0"/>
                    <w:bidi w:val="0"/>
                    <w:adjustRightInd w:val="0"/>
                    <w:snapToGrid w:val="0"/>
                    <w:spacing w:line="240" w:lineRule="auto"/>
                    <w:ind w:firstLine="0" w:firstLineChars="0"/>
                    <w:jc w:val="center"/>
                    <w:textAlignment w:val="auto"/>
                    <w:rPr>
                      <w:rFonts w:hint="default" w:ascii="Times New Roman" w:hAnsi="Times New Roman" w:eastAsia="宋体" w:cs="Times New Roman"/>
                      <w:b w:val="0"/>
                      <w:bCs w:val="0"/>
                      <w:color w:val="auto"/>
                      <w:szCs w:val="21"/>
                      <w:highlight w:val="none"/>
                      <w:lang w:val="en-US" w:eastAsia="zh-CN"/>
                    </w:rPr>
                  </w:pPr>
                  <w:r>
                    <w:rPr>
                      <w:rFonts w:hint="eastAsia" w:cs="Times New Roman"/>
                      <w:b w:val="0"/>
                      <w:bCs w:val="0"/>
                      <w:color w:val="auto"/>
                      <w:szCs w:val="21"/>
                      <w:highlight w:val="none"/>
                      <w:lang w:val="en-US" w:eastAsia="zh-CN"/>
                    </w:rPr>
                    <w:t>排放浓度mg/m</w:t>
                  </w:r>
                  <w:r>
                    <w:rPr>
                      <w:rFonts w:hint="eastAsia" w:cs="Times New Roman"/>
                      <w:b w:val="0"/>
                      <w:bCs w:val="0"/>
                      <w:color w:val="auto"/>
                      <w:szCs w:val="21"/>
                      <w:highlight w:val="none"/>
                      <w:vertAlign w:val="superscript"/>
                      <w:lang w:val="en-US" w:eastAsia="zh-CN"/>
                    </w:rPr>
                    <w:t>3</w:t>
                  </w:r>
                </w:p>
              </w:tc>
              <w:tc>
                <w:tcPr>
                  <w:tcW w:w="1606" w:type="pct"/>
                  <w:tcBorders>
                    <w:tl2br w:val="nil"/>
                    <w:tr2bl w:val="nil"/>
                  </w:tcBorders>
                  <w:noWrap w:val="0"/>
                  <w:vAlign w:val="center"/>
                </w:tcPr>
                <w:p w14:paraId="14E94CC4">
                  <w:pPr>
                    <w:keepNext w:val="0"/>
                    <w:keepLines w:val="0"/>
                    <w:pageBreakBefore w:val="0"/>
                    <w:widowControl w:val="0"/>
                    <w:kinsoku w:val="0"/>
                    <w:wordWrap/>
                    <w:overflowPunct w:val="0"/>
                    <w:topLinePunct w:val="0"/>
                    <w:autoSpaceDE w:val="0"/>
                    <w:autoSpaceDN w:val="0"/>
                    <w:bidi w:val="0"/>
                    <w:adjustRightInd w:val="0"/>
                    <w:snapToGrid w:val="0"/>
                    <w:spacing w:line="240" w:lineRule="auto"/>
                    <w:ind w:firstLine="0" w:firstLineChars="0"/>
                    <w:jc w:val="center"/>
                    <w:textAlignment w:val="auto"/>
                    <w:rPr>
                      <w:rFonts w:hint="default" w:cs="Times New Roman"/>
                      <w:b w:val="0"/>
                      <w:bCs w:val="0"/>
                      <w:color w:val="auto"/>
                      <w:sz w:val="21"/>
                      <w:szCs w:val="21"/>
                      <w:highlight w:val="none"/>
                      <w:lang w:val="en-US" w:eastAsia="zh-CN"/>
                    </w:rPr>
                  </w:pPr>
                  <w:r>
                    <w:rPr>
                      <w:rFonts w:hint="eastAsia" w:cs="Times New Roman"/>
                      <w:b w:val="0"/>
                      <w:bCs w:val="0"/>
                      <w:color w:val="auto"/>
                      <w:sz w:val="21"/>
                      <w:szCs w:val="21"/>
                      <w:highlight w:val="none"/>
                      <w:lang w:val="en-US" w:eastAsia="zh-CN"/>
                    </w:rPr>
                    <w:t>27.525</w:t>
                  </w:r>
                </w:p>
              </w:tc>
              <w:tc>
                <w:tcPr>
                  <w:tcW w:w="1607" w:type="pct"/>
                  <w:tcBorders>
                    <w:tl2br w:val="nil"/>
                    <w:tr2bl w:val="nil"/>
                  </w:tcBorders>
                  <w:noWrap w:val="0"/>
                  <w:vAlign w:val="center"/>
                </w:tcPr>
                <w:p w14:paraId="69125DBC">
                  <w:pPr>
                    <w:keepNext w:val="0"/>
                    <w:keepLines w:val="0"/>
                    <w:pageBreakBefore w:val="0"/>
                    <w:widowControl w:val="0"/>
                    <w:kinsoku w:val="0"/>
                    <w:wordWrap/>
                    <w:overflowPunct w:val="0"/>
                    <w:topLinePunct w:val="0"/>
                    <w:autoSpaceDE w:val="0"/>
                    <w:autoSpaceDN w:val="0"/>
                    <w:bidi w:val="0"/>
                    <w:adjustRightInd w:val="0"/>
                    <w:snapToGrid w:val="0"/>
                    <w:spacing w:line="240" w:lineRule="auto"/>
                    <w:ind w:firstLine="0" w:firstLineChars="0"/>
                    <w:jc w:val="center"/>
                    <w:textAlignment w:val="auto"/>
                    <w:rPr>
                      <w:rFonts w:hint="default" w:cs="Times New Roman"/>
                      <w:b w:val="0"/>
                      <w:bCs w:val="0"/>
                      <w:color w:val="auto"/>
                      <w:sz w:val="21"/>
                      <w:szCs w:val="21"/>
                      <w:highlight w:val="none"/>
                      <w:lang w:val="en-US" w:eastAsia="zh-CN"/>
                    </w:rPr>
                  </w:pPr>
                  <w:r>
                    <w:rPr>
                      <w:rFonts w:hint="eastAsia" w:cs="Times New Roman"/>
                      <w:b w:val="0"/>
                      <w:bCs w:val="0"/>
                      <w:color w:val="auto"/>
                      <w:sz w:val="21"/>
                      <w:szCs w:val="21"/>
                      <w:highlight w:val="none"/>
                      <w:lang w:val="en-US" w:eastAsia="zh-CN"/>
                    </w:rPr>
                    <w:t>1.217</w:t>
                  </w:r>
                </w:p>
              </w:tc>
            </w:tr>
            <w:tr w14:paraId="08EE3C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786" w:type="pct"/>
                  <w:tcBorders>
                    <w:tl2br w:val="nil"/>
                    <w:tr2bl w:val="nil"/>
                  </w:tcBorders>
                  <w:noWrap w:val="0"/>
                  <w:vAlign w:val="center"/>
                </w:tcPr>
                <w:p w14:paraId="21ED5B00">
                  <w:pPr>
                    <w:keepNext w:val="0"/>
                    <w:keepLines w:val="0"/>
                    <w:pageBreakBefore w:val="0"/>
                    <w:widowControl w:val="0"/>
                    <w:kinsoku w:val="0"/>
                    <w:wordWrap/>
                    <w:overflowPunct w:val="0"/>
                    <w:topLinePunct w:val="0"/>
                    <w:autoSpaceDE w:val="0"/>
                    <w:autoSpaceDN w:val="0"/>
                    <w:bidi w:val="0"/>
                    <w:adjustRightInd w:val="0"/>
                    <w:snapToGrid w:val="0"/>
                    <w:spacing w:line="240" w:lineRule="auto"/>
                    <w:ind w:firstLine="0" w:firstLineChars="0"/>
                    <w:jc w:val="center"/>
                    <w:textAlignment w:val="auto"/>
                    <w:rPr>
                      <w:rFonts w:hint="default" w:ascii="Times New Roman" w:hAnsi="Times New Roman" w:eastAsia="宋体" w:cs="Times New Roman"/>
                      <w:b w:val="0"/>
                      <w:bCs w:val="0"/>
                      <w:color w:val="auto"/>
                      <w:szCs w:val="21"/>
                      <w:highlight w:val="none"/>
                      <w:lang w:val="en-US" w:eastAsia="zh-CN"/>
                    </w:rPr>
                  </w:pPr>
                  <w:r>
                    <w:rPr>
                      <w:rFonts w:hint="default" w:ascii="Times New Roman" w:hAnsi="Times New Roman" w:eastAsia="宋体" w:cs="Times New Roman"/>
                      <w:b w:val="0"/>
                      <w:bCs w:val="0"/>
                      <w:color w:val="auto"/>
                      <w:szCs w:val="21"/>
                      <w:highlight w:val="none"/>
                      <w:lang w:val="en-US" w:eastAsia="zh-CN"/>
                    </w:rPr>
                    <w:t>持续时间</w:t>
                  </w:r>
                </w:p>
              </w:tc>
              <w:tc>
                <w:tcPr>
                  <w:tcW w:w="3213" w:type="pct"/>
                  <w:gridSpan w:val="2"/>
                  <w:tcBorders>
                    <w:tl2br w:val="nil"/>
                    <w:tr2bl w:val="nil"/>
                  </w:tcBorders>
                  <w:noWrap w:val="0"/>
                  <w:vAlign w:val="center"/>
                </w:tcPr>
                <w:p w14:paraId="4597A4AE">
                  <w:pPr>
                    <w:keepNext w:val="0"/>
                    <w:keepLines w:val="0"/>
                    <w:pageBreakBefore w:val="0"/>
                    <w:widowControl w:val="0"/>
                    <w:kinsoku w:val="0"/>
                    <w:wordWrap/>
                    <w:overflowPunct w:val="0"/>
                    <w:topLinePunct w:val="0"/>
                    <w:autoSpaceDE w:val="0"/>
                    <w:autoSpaceDN w:val="0"/>
                    <w:bidi w:val="0"/>
                    <w:adjustRightInd w:val="0"/>
                    <w:snapToGrid w:val="0"/>
                    <w:spacing w:line="240" w:lineRule="auto"/>
                    <w:ind w:firstLine="0" w:firstLineChars="0"/>
                    <w:jc w:val="center"/>
                    <w:textAlignment w:val="auto"/>
                    <w:rPr>
                      <w:rFonts w:hint="default" w:ascii="Times New Roman" w:hAnsi="Times New Roman" w:eastAsia="宋体" w:cs="Times New Roman"/>
                      <w:b w:val="0"/>
                      <w:bCs w:val="0"/>
                      <w:color w:val="auto"/>
                      <w:sz w:val="21"/>
                      <w:szCs w:val="21"/>
                      <w:highlight w:val="none"/>
                      <w:lang w:val="en-US" w:eastAsia="zh-CN"/>
                    </w:rPr>
                  </w:pPr>
                  <w:r>
                    <w:rPr>
                      <w:rFonts w:hint="default" w:ascii="Times New Roman" w:hAnsi="Times New Roman" w:eastAsia="宋体" w:cs="Times New Roman"/>
                      <w:b w:val="0"/>
                      <w:bCs w:val="0"/>
                      <w:color w:val="auto"/>
                      <w:sz w:val="21"/>
                      <w:szCs w:val="21"/>
                      <w:highlight w:val="none"/>
                      <w:lang w:val="en-US" w:eastAsia="zh-CN"/>
                    </w:rPr>
                    <w:t>1h</w:t>
                  </w:r>
                </w:p>
              </w:tc>
            </w:tr>
            <w:tr w14:paraId="1E7463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786" w:type="pct"/>
                  <w:tcBorders>
                    <w:tl2br w:val="nil"/>
                    <w:tr2bl w:val="nil"/>
                  </w:tcBorders>
                  <w:noWrap w:val="0"/>
                  <w:vAlign w:val="center"/>
                </w:tcPr>
                <w:p w14:paraId="12FE77BA">
                  <w:pPr>
                    <w:keepNext w:val="0"/>
                    <w:keepLines w:val="0"/>
                    <w:pageBreakBefore w:val="0"/>
                    <w:widowControl w:val="0"/>
                    <w:kinsoku w:val="0"/>
                    <w:wordWrap/>
                    <w:overflowPunct w:val="0"/>
                    <w:topLinePunct w:val="0"/>
                    <w:autoSpaceDE w:val="0"/>
                    <w:autoSpaceDN w:val="0"/>
                    <w:bidi w:val="0"/>
                    <w:adjustRightInd w:val="0"/>
                    <w:snapToGrid w:val="0"/>
                    <w:spacing w:line="240" w:lineRule="auto"/>
                    <w:ind w:firstLine="0" w:firstLineChars="0"/>
                    <w:jc w:val="center"/>
                    <w:textAlignment w:val="auto"/>
                    <w:rPr>
                      <w:rFonts w:hint="default" w:ascii="Times New Roman" w:hAnsi="Times New Roman" w:eastAsia="宋体" w:cs="Times New Roman"/>
                      <w:b w:val="0"/>
                      <w:bCs w:val="0"/>
                      <w:color w:val="auto"/>
                      <w:szCs w:val="21"/>
                      <w:highlight w:val="none"/>
                      <w:lang w:val="en-US" w:eastAsia="zh-CN"/>
                    </w:rPr>
                  </w:pPr>
                  <w:r>
                    <w:rPr>
                      <w:rFonts w:hint="default" w:ascii="Times New Roman" w:hAnsi="Times New Roman" w:eastAsia="宋体" w:cs="Times New Roman"/>
                      <w:b w:val="0"/>
                      <w:bCs w:val="0"/>
                      <w:color w:val="auto"/>
                      <w:szCs w:val="21"/>
                      <w:highlight w:val="none"/>
                      <w:lang w:val="en-US" w:eastAsia="zh-CN"/>
                    </w:rPr>
                    <w:t>排放量kg</w:t>
                  </w:r>
                </w:p>
              </w:tc>
              <w:tc>
                <w:tcPr>
                  <w:tcW w:w="1606" w:type="pct"/>
                  <w:tcBorders>
                    <w:tl2br w:val="nil"/>
                    <w:tr2bl w:val="nil"/>
                  </w:tcBorders>
                  <w:noWrap w:val="0"/>
                  <w:vAlign w:val="center"/>
                </w:tcPr>
                <w:p w14:paraId="39DADD65">
                  <w:pPr>
                    <w:keepNext w:val="0"/>
                    <w:keepLines w:val="0"/>
                    <w:pageBreakBefore w:val="0"/>
                    <w:widowControl w:val="0"/>
                    <w:kinsoku w:val="0"/>
                    <w:wordWrap/>
                    <w:overflowPunct w:val="0"/>
                    <w:topLinePunct w:val="0"/>
                    <w:autoSpaceDE w:val="0"/>
                    <w:autoSpaceDN w:val="0"/>
                    <w:bidi w:val="0"/>
                    <w:adjustRightInd w:val="0"/>
                    <w:snapToGrid w:val="0"/>
                    <w:spacing w:line="240" w:lineRule="auto"/>
                    <w:ind w:firstLine="0" w:firstLineChars="0"/>
                    <w:jc w:val="center"/>
                    <w:textAlignment w:val="auto"/>
                    <w:rPr>
                      <w:rFonts w:hint="default" w:cs="Times New Roman"/>
                      <w:b w:val="0"/>
                      <w:bCs w:val="0"/>
                      <w:color w:val="auto"/>
                      <w:sz w:val="21"/>
                      <w:szCs w:val="21"/>
                      <w:highlight w:val="none"/>
                      <w:lang w:val="en-US" w:eastAsia="zh-CN"/>
                    </w:rPr>
                  </w:pPr>
                  <w:r>
                    <w:rPr>
                      <w:rFonts w:hint="eastAsia" w:cs="Times New Roman"/>
                      <w:b w:val="0"/>
                      <w:bCs w:val="0"/>
                      <w:color w:val="auto"/>
                      <w:sz w:val="21"/>
                      <w:szCs w:val="21"/>
                      <w:highlight w:val="none"/>
                      <w:lang w:val="en-US" w:eastAsia="zh-CN"/>
                    </w:rPr>
                    <w:t>0.385</w:t>
                  </w:r>
                </w:p>
              </w:tc>
              <w:tc>
                <w:tcPr>
                  <w:tcW w:w="1607" w:type="pct"/>
                  <w:tcBorders>
                    <w:tl2br w:val="nil"/>
                    <w:tr2bl w:val="nil"/>
                  </w:tcBorders>
                  <w:noWrap w:val="0"/>
                  <w:vAlign w:val="center"/>
                </w:tcPr>
                <w:p w14:paraId="49B06107">
                  <w:pPr>
                    <w:keepNext w:val="0"/>
                    <w:keepLines w:val="0"/>
                    <w:pageBreakBefore w:val="0"/>
                    <w:widowControl w:val="0"/>
                    <w:kinsoku w:val="0"/>
                    <w:wordWrap/>
                    <w:overflowPunct w:val="0"/>
                    <w:topLinePunct w:val="0"/>
                    <w:autoSpaceDE w:val="0"/>
                    <w:autoSpaceDN w:val="0"/>
                    <w:bidi w:val="0"/>
                    <w:adjustRightInd w:val="0"/>
                    <w:snapToGrid w:val="0"/>
                    <w:spacing w:line="240" w:lineRule="auto"/>
                    <w:ind w:firstLine="0" w:firstLineChars="0"/>
                    <w:jc w:val="center"/>
                    <w:textAlignment w:val="auto"/>
                    <w:rPr>
                      <w:rFonts w:hint="default" w:cs="Times New Roman"/>
                      <w:b w:val="0"/>
                      <w:bCs w:val="0"/>
                      <w:color w:val="auto"/>
                      <w:sz w:val="21"/>
                      <w:szCs w:val="21"/>
                      <w:highlight w:val="none"/>
                      <w:lang w:val="en-US" w:eastAsia="zh-CN"/>
                    </w:rPr>
                  </w:pPr>
                  <w:r>
                    <w:rPr>
                      <w:rFonts w:hint="eastAsia" w:cs="Times New Roman"/>
                      <w:b w:val="0"/>
                      <w:bCs w:val="0"/>
                      <w:color w:val="auto"/>
                      <w:sz w:val="21"/>
                      <w:szCs w:val="21"/>
                      <w:highlight w:val="none"/>
                      <w:lang w:val="en-US" w:eastAsia="zh-CN"/>
                    </w:rPr>
                    <w:t>0.004</w:t>
                  </w:r>
                </w:p>
              </w:tc>
            </w:tr>
          </w:tbl>
          <w:p w14:paraId="23AE1C2B">
            <w:pPr>
              <w:wordWrap w:val="0"/>
              <w:spacing w:line="360" w:lineRule="auto"/>
              <w:ind w:firstLine="480" w:firstLineChars="200"/>
              <w:rPr>
                <w:rFonts w:hint="default" w:ascii="Times New Roman" w:hAnsi="Times New Roman" w:eastAsia="宋体" w:cs="Times New Roman"/>
                <w:color w:val="auto"/>
                <w:sz w:val="24"/>
                <w:lang w:eastAsia="zh-CN"/>
              </w:rPr>
            </w:pPr>
            <w:r>
              <w:rPr>
                <w:rFonts w:hint="default" w:ascii="Times New Roman" w:hAnsi="Times New Roman" w:eastAsia="宋体" w:cs="Times New Roman"/>
                <w:color w:val="auto"/>
                <w:kern w:val="2"/>
                <w:sz w:val="24"/>
                <w:szCs w:val="32"/>
                <w:highlight w:val="none"/>
                <w:lang w:val="en-US" w:eastAsia="zh-CN" w:bidi="ar-SA"/>
              </w:rPr>
              <w:t>防治措施：</w:t>
            </w:r>
            <w:r>
              <w:rPr>
                <w:rFonts w:hint="eastAsia" w:cs="Times New Roman"/>
                <w:color w:val="auto"/>
                <w:kern w:val="2"/>
                <w:sz w:val="24"/>
                <w:szCs w:val="32"/>
                <w:highlight w:val="none"/>
                <w:lang w:val="en-US" w:eastAsia="zh-CN" w:bidi="ar-SA"/>
              </w:rPr>
              <w:t>在非正常工况下，需</w:t>
            </w:r>
            <w:r>
              <w:rPr>
                <w:rFonts w:hint="default" w:ascii="Times New Roman" w:hAnsi="Times New Roman" w:eastAsia="宋体" w:cs="Times New Roman"/>
                <w:color w:val="auto"/>
                <w:kern w:val="2"/>
                <w:sz w:val="24"/>
                <w:szCs w:val="32"/>
                <w:highlight w:val="none"/>
                <w:lang w:val="en-US" w:eastAsia="zh-CN" w:bidi="ar-SA"/>
              </w:rPr>
              <w:t>严格控制生产，装置</w:t>
            </w:r>
            <w:r>
              <w:rPr>
                <w:rFonts w:hint="eastAsia" w:cs="Times New Roman"/>
                <w:color w:val="auto"/>
                <w:kern w:val="2"/>
                <w:sz w:val="24"/>
                <w:szCs w:val="32"/>
                <w:highlight w:val="none"/>
                <w:lang w:val="en-US" w:eastAsia="zh-CN" w:bidi="ar-SA"/>
              </w:rPr>
              <w:t>开启</w:t>
            </w:r>
            <w:r>
              <w:rPr>
                <w:rFonts w:hint="default" w:ascii="Times New Roman" w:hAnsi="Times New Roman" w:eastAsia="宋体" w:cs="Times New Roman"/>
                <w:color w:val="auto"/>
                <w:kern w:val="2"/>
                <w:sz w:val="24"/>
                <w:szCs w:val="32"/>
                <w:highlight w:val="none"/>
                <w:lang w:val="en-US" w:eastAsia="zh-CN" w:bidi="ar-SA"/>
              </w:rPr>
              <w:t>时先运行废气处理系统，</w:t>
            </w:r>
            <w:r>
              <w:rPr>
                <w:rFonts w:hint="eastAsia" w:cs="Times New Roman"/>
                <w:color w:val="auto"/>
                <w:kern w:val="2"/>
                <w:sz w:val="24"/>
                <w:szCs w:val="32"/>
                <w:highlight w:val="none"/>
                <w:lang w:val="en-US" w:eastAsia="zh-CN" w:bidi="ar-SA"/>
              </w:rPr>
              <w:t>关闭</w:t>
            </w:r>
            <w:r>
              <w:rPr>
                <w:rFonts w:hint="default" w:ascii="Times New Roman" w:hAnsi="Times New Roman" w:eastAsia="宋体" w:cs="Times New Roman"/>
                <w:color w:val="auto"/>
                <w:kern w:val="2"/>
                <w:sz w:val="24"/>
                <w:szCs w:val="32"/>
                <w:highlight w:val="none"/>
                <w:lang w:val="en-US" w:eastAsia="zh-CN" w:bidi="ar-SA"/>
              </w:rPr>
              <w:t>时后停废气处理装置，避免开停时出现废气事故排放；加强废气处理设施的运营维护，定期检修、定期更换</w:t>
            </w:r>
            <w:r>
              <w:rPr>
                <w:rFonts w:hint="eastAsia" w:cs="Times New Roman"/>
                <w:color w:val="auto"/>
                <w:kern w:val="2"/>
                <w:sz w:val="24"/>
                <w:szCs w:val="32"/>
                <w:highlight w:val="none"/>
                <w:lang w:val="en-US" w:eastAsia="zh-CN" w:bidi="ar-SA"/>
              </w:rPr>
              <w:t>布袋</w:t>
            </w:r>
            <w:r>
              <w:rPr>
                <w:rFonts w:hint="default" w:ascii="Times New Roman" w:hAnsi="Times New Roman" w:eastAsia="宋体" w:cs="Times New Roman"/>
                <w:color w:val="auto"/>
                <w:kern w:val="2"/>
                <w:sz w:val="24"/>
                <w:szCs w:val="32"/>
                <w:highlight w:val="none"/>
                <w:lang w:val="en-US" w:eastAsia="zh-CN" w:bidi="ar-SA"/>
              </w:rPr>
              <w:t>，确保废气处理设施正常运行；当出现非正常排放时，建设单位应采取紧急处理措施，暂时停止生产，及时维修，直到生产设施或环保设施正常运转，坚决杜绝非正常排放。</w:t>
            </w:r>
          </w:p>
          <w:p w14:paraId="33FD7B78">
            <w:pPr>
              <w:wordWrap w:val="0"/>
              <w:spacing w:line="360" w:lineRule="auto"/>
              <w:ind w:firstLine="480" w:firstLineChars="200"/>
              <w:rPr>
                <w:rFonts w:hint="default" w:ascii="Times New Roman" w:hAnsi="Times New Roman" w:eastAsia="宋体" w:cs="Times New Roman"/>
                <w:bCs/>
                <w:color w:val="auto"/>
                <w:sz w:val="24"/>
                <w:szCs w:val="22"/>
              </w:rPr>
            </w:pPr>
            <w:r>
              <w:rPr>
                <w:rFonts w:hint="default" w:ascii="Times New Roman" w:hAnsi="Times New Roman" w:eastAsia="宋体" w:cs="Times New Roman"/>
                <w:bCs/>
                <w:color w:val="auto"/>
                <w:sz w:val="24"/>
                <w:szCs w:val="22"/>
              </w:rPr>
              <w:t>（</w:t>
            </w:r>
            <w:r>
              <w:rPr>
                <w:rFonts w:hint="eastAsia" w:cs="Times New Roman"/>
                <w:bCs/>
                <w:color w:val="auto"/>
                <w:sz w:val="24"/>
                <w:szCs w:val="22"/>
                <w:lang w:val="en-US" w:eastAsia="zh-CN"/>
              </w:rPr>
              <w:t>7</w:t>
            </w:r>
            <w:r>
              <w:rPr>
                <w:rFonts w:hint="default" w:ascii="Times New Roman" w:hAnsi="Times New Roman" w:eastAsia="宋体" w:cs="Times New Roman"/>
                <w:bCs/>
                <w:color w:val="auto"/>
                <w:sz w:val="24"/>
                <w:szCs w:val="22"/>
              </w:rPr>
              <w:t>）废气监测计划</w:t>
            </w:r>
          </w:p>
          <w:p w14:paraId="259A4478">
            <w:pPr>
              <w:wordWrap w:val="0"/>
              <w:spacing w:line="360" w:lineRule="auto"/>
              <w:ind w:firstLine="480" w:firstLineChars="200"/>
              <w:rPr>
                <w:rFonts w:hint="default" w:ascii="Times New Roman" w:hAnsi="Times New Roman" w:eastAsia="宋体" w:cs="Times New Roman"/>
                <w:bCs/>
                <w:color w:val="auto"/>
                <w:sz w:val="24"/>
                <w:szCs w:val="22"/>
              </w:rPr>
            </w:pPr>
            <w:r>
              <w:rPr>
                <w:rFonts w:hint="default" w:ascii="Times New Roman" w:hAnsi="Times New Roman" w:eastAsia="宋体" w:cs="Times New Roman"/>
                <w:bCs/>
                <w:color w:val="auto"/>
                <w:sz w:val="24"/>
                <w:szCs w:val="22"/>
                <w:lang w:val="en-US" w:eastAsia="zh-CN"/>
              </w:rPr>
              <w:t>根据本项目运营期各项污染物的污染特点及《排污单位自行监测技术指南</w:t>
            </w:r>
            <w:r>
              <w:rPr>
                <w:rFonts w:hint="eastAsia" w:cs="Times New Roman"/>
                <w:bCs/>
                <w:color w:val="auto"/>
                <w:sz w:val="24"/>
                <w:szCs w:val="22"/>
                <w:lang w:val="en-US" w:eastAsia="zh-CN"/>
              </w:rPr>
              <w:t xml:space="preserve"> </w:t>
            </w:r>
            <w:r>
              <w:rPr>
                <w:rFonts w:hint="default" w:ascii="Times New Roman" w:hAnsi="Times New Roman" w:eastAsia="宋体" w:cs="Times New Roman"/>
                <w:bCs/>
                <w:color w:val="auto"/>
                <w:sz w:val="24"/>
                <w:szCs w:val="22"/>
                <w:lang w:val="en-US" w:eastAsia="zh-CN"/>
              </w:rPr>
              <w:t>总则》（HJ819-2017）中的相关监测要求，制定了废气运营期污染源与环境监测计划表，见下表。</w:t>
            </w:r>
          </w:p>
          <w:p w14:paraId="2BFEE776">
            <w:pPr>
              <w:spacing w:line="240" w:lineRule="auto"/>
              <w:jc w:val="center"/>
              <w:rPr>
                <w:rFonts w:hint="eastAsia" w:ascii="Times New Roman" w:hAnsi="Times New Roman" w:eastAsia="宋体" w:cs="Times New Roman"/>
                <w:b/>
                <w:color w:val="auto"/>
                <w:kern w:val="0"/>
                <w:szCs w:val="21"/>
                <w:lang w:val="en-US" w:eastAsia="zh-CN"/>
              </w:rPr>
            </w:pPr>
            <w:r>
              <w:rPr>
                <w:rFonts w:hint="default" w:ascii="Times New Roman" w:hAnsi="Times New Roman" w:cs="Times New Roman"/>
                <w:b/>
                <w:color w:val="auto"/>
                <w:kern w:val="0"/>
                <w:szCs w:val="21"/>
              </w:rPr>
              <w:t>表</w:t>
            </w:r>
            <w:r>
              <w:rPr>
                <w:rFonts w:hint="eastAsia" w:cs="Times New Roman"/>
                <w:b/>
                <w:color w:val="auto"/>
                <w:kern w:val="0"/>
                <w:szCs w:val="21"/>
                <w:lang w:val="en-US" w:eastAsia="zh-CN"/>
              </w:rPr>
              <w:t xml:space="preserve">4-4   </w:t>
            </w:r>
            <w:r>
              <w:rPr>
                <w:rFonts w:hint="default" w:ascii="Times New Roman" w:hAnsi="Times New Roman" w:cs="Times New Roman"/>
                <w:b/>
                <w:color w:val="auto"/>
                <w:kern w:val="0"/>
                <w:szCs w:val="21"/>
              </w:rPr>
              <w:t>运营期</w:t>
            </w:r>
            <w:r>
              <w:rPr>
                <w:rFonts w:hint="eastAsia" w:cs="Times New Roman"/>
                <w:b/>
                <w:color w:val="auto"/>
                <w:kern w:val="0"/>
                <w:szCs w:val="21"/>
                <w:lang w:val="en-US" w:eastAsia="zh-CN"/>
              </w:rPr>
              <w:t>废气</w:t>
            </w:r>
            <w:r>
              <w:rPr>
                <w:rFonts w:hint="default" w:ascii="Times New Roman" w:hAnsi="Times New Roman" w:cs="Times New Roman"/>
                <w:b/>
                <w:color w:val="auto"/>
                <w:kern w:val="0"/>
                <w:szCs w:val="21"/>
              </w:rPr>
              <w:t>监测计划</w:t>
            </w:r>
            <w:r>
              <w:rPr>
                <w:rFonts w:hint="eastAsia" w:cs="Times New Roman"/>
                <w:b/>
                <w:color w:val="auto"/>
                <w:kern w:val="0"/>
                <w:szCs w:val="21"/>
                <w:lang w:val="en-US" w:eastAsia="zh-CN"/>
              </w:rPr>
              <w:t>一览表</w:t>
            </w:r>
          </w:p>
          <w:tbl>
            <w:tblPr>
              <w:tblStyle w:val="17"/>
              <w:tblW w:w="8319" w:type="dxa"/>
              <w:jc w:val="center"/>
              <w:tblBorders>
                <w:top w:val="single" w:color="auto" w:sz="4" w:space="0"/>
                <w:left w:val="single" w:color="auto" w:sz="4" w:space="0"/>
                <w:bottom w:val="single" w:color="auto" w:sz="4" w:space="0"/>
                <w:right w:val="single" w:color="auto" w:sz="4" w:space="0"/>
                <w:insideH w:val="single" w:color="auto" w:sz="2" w:space="0"/>
                <w:insideV w:val="single" w:color="auto" w:sz="2" w:space="0"/>
              </w:tblBorders>
              <w:tblLayout w:type="fixed"/>
              <w:tblCellMar>
                <w:top w:w="0" w:type="dxa"/>
                <w:left w:w="108" w:type="dxa"/>
                <w:bottom w:w="0" w:type="dxa"/>
                <w:right w:w="108" w:type="dxa"/>
              </w:tblCellMar>
            </w:tblPr>
            <w:tblGrid>
              <w:gridCol w:w="692"/>
              <w:gridCol w:w="835"/>
              <w:gridCol w:w="1157"/>
              <w:gridCol w:w="1433"/>
              <w:gridCol w:w="752"/>
              <w:gridCol w:w="1141"/>
              <w:gridCol w:w="2309"/>
            </w:tblGrid>
            <w:tr w14:paraId="2AA08646">
              <w:tblPrEx>
                <w:tblBorders>
                  <w:top w:val="single" w:color="auto" w:sz="4" w:space="0"/>
                  <w:left w:val="single" w:color="auto" w:sz="4" w:space="0"/>
                  <w:bottom w:val="single" w:color="auto" w:sz="4" w:space="0"/>
                  <w:right w:val="single" w:color="auto" w:sz="4" w:space="0"/>
                  <w:insideH w:val="single" w:color="auto" w:sz="2" w:space="0"/>
                  <w:insideV w:val="single" w:color="auto" w:sz="2" w:space="0"/>
                </w:tblBorders>
                <w:tblCellMar>
                  <w:top w:w="0" w:type="dxa"/>
                  <w:left w:w="108" w:type="dxa"/>
                  <w:bottom w:w="0" w:type="dxa"/>
                  <w:right w:w="108" w:type="dxa"/>
                </w:tblCellMar>
              </w:tblPrEx>
              <w:trPr>
                <w:trHeight w:val="277" w:hRule="atLeast"/>
                <w:jc w:val="center"/>
              </w:trPr>
              <w:tc>
                <w:tcPr>
                  <w:tcW w:w="1527" w:type="dxa"/>
                  <w:gridSpan w:val="2"/>
                  <w:tcBorders>
                    <w:tl2br w:val="nil"/>
                    <w:tr2bl w:val="nil"/>
                  </w:tcBorders>
                  <w:vAlign w:val="center"/>
                </w:tcPr>
                <w:p w14:paraId="24169BB8">
                  <w:pPr>
                    <w:kinsoku w:val="0"/>
                    <w:snapToGrid w:val="0"/>
                    <w:spacing w:line="240" w:lineRule="auto"/>
                    <w:ind w:firstLine="0" w:firstLineChars="0"/>
                    <w:jc w:val="center"/>
                    <w:rPr>
                      <w:color w:val="auto"/>
                      <w:szCs w:val="21"/>
                    </w:rPr>
                  </w:pPr>
                  <w:r>
                    <w:rPr>
                      <w:color w:val="auto"/>
                      <w:szCs w:val="21"/>
                    </w:rPr>
                    <w:t>污染源名称</w:t>
                  </w:r>
                </w:p>
              </w:tc>
              <w:tc>
                <w:tcPr>
                  <w:tcW w:w="1157" w:type="dxa"/>
                  <w:tcBorders>
                    <w:tl2br w:val="nil"/>
                    <w:tr2bl w:val="nil"/>
                  </w:tcBorders>
                  <w:vAlign w:val="center"/>
                </w:tcPr>
                <w:p w14:paraId="3CED25E1">
                  <w:pPr>
                    <w:kinsoku w:val="0"/>
                    <w:snapToGrid w:val="0"/>
                    <w:spacing w:line="240" w:lineRule="auto"/>
                    <w:ind w:firstLine="0" w:firstLineChars="0"/>
                    <w:jc w:val="center"/>
                    <w:rPr>
                      <w:color w:val="auto"/>
                      <w:szCs w:val="21"/>
                    </w:rPr>
                  </w:pPr>
                  <w:r>
                    <w:rPr>
                      <w:color w:val="auto"/>
                      <w:szCs w:val="21"/>
                    </w:rPr>
                    <w:t>监测项目</w:t>
                  </w:r>
                </w:p>
              </w:tc>
              <w:tc>
                <w:tcPr>
                  <w:tcW w:w="1433" w:type="dxa"/>
                  <w:tcBorders>
                    <w:tl2br w:val="nil"/>
                    <w:tr2bl w:val="nil"/>
                  </w:tcBorders>
                  <w:vAlign w:val="center"/>
                </w:tcPr>
                <w:p w14:paraId="32ADE355">
                  <w:pPr>
                    <w:kinsoku w:val="0"/>
                    <w:snapToGrid w:val="0"/>
                    <w:spacing w:line="240" w:lineRule="auto"/>
                    <w:ind w:firstLine="0" w:firstLineChars="0"/>
                    <w:jc w:val="center"/>
                    <w:rPr>
                      <w:color w:val="auto"/>
                      <w:szCs w:val="21"/>
                    </w:rPr>
                  </w:pPr>
                  <w:r>
                    <w:rPr>
                      <w:color w:val="auto"/>
                      <w:szCs w:val="21"/>
                    </w:rPr>
                    <w:t>监测点位置</w:t>
                  </w:r>
                </w:p>
              </w:tc>
              <w:tc>
                <w:tcPr>
                  <w:tcW w:w="752" w:type="dxa"/>
                  <w:tcBorders>
                    <w:tl2br w:val="nil"/>
                    <w:tr2bl w:val="nil"/>
                  </w:tcBorders>
                  <w:vAlign w:val="center"/>
                </w:tcPr>
                <w:p w14:paraId="591132AE">
                  <w:pPr>
                    <w:kinsoku w:val="0"/>
                    <w:snapToGrid w:val="0"/>
                    <w:spacing w:line="240" w:lineRule="auto"/>
                    <w:ind w:firstLine="0" w:firstLineChars="0"/>
                    <w:jc w:val="center"/>
                    <w:rPr>
                      <w:color w:val="auto"/>
                      <w:szCs w:val="21"/>
                    </w:rPr>
                  </w:pPr>
                  <w:r>
                    <w:rPr>
                      <w:color w:val="auto"/>
                      <w:szCs w:val="21"/>
                    </w:rPr>
                    <w:t>监测</w:t>
                  </w:r>
                </w:p>
                <w:p w14:paraId="2F4AA184">
                  <w:pPr>
                    <w:kinsoku w:val="0"/>
                    <w:snapToGrid w:val="0"/>
                    <w:spacing w:line="240" w:lineRule="auto"/>
                    <w:ind w:firstLine="0" w:firstLineChars="0"/>
                    <w:jc w:val="center"/>
                    <w:rPr>
                      <w:color w:val="auto"/>
                      <w:szCs w:val="21"/>
                    </w:rPr>
                  </w:pPr>
                  <w:r>
                    <w:rPr>
                      <w:color w:val="auto"/>
                      <w:szCs w:val="21"/>
                    </w:rPr>
                    <w:t>点数</w:t>
                  </w:r>
                </w:p>
              </w:tc>
              <w:tc>
                <w:tcPr>
                  <w:tcW w:w="1141" w:type="dxa"/>
                  <w:tcBorders>
                    <w:tl2br w:val="nil"/>
                    <w:tr2bl w:val="nil"/>
                  </w:tcBorders>
                  <w:vAlign w:val="center"/>
                </w:tcPr>
                <w:p w14:paraId="763CBA37">
                  <w:pPr>
                    <w:kinsoku w:val="0"/>
                    <w:snapToGrid w:val="0"/>
                    <w:spacing w:line="240" w:lineRule="auto"/>
                    <w:ind w:firstLine="0" w:firstLineChars="0"/>
                    <w:jc w:val="center"/>
                    <w:rPr>
                      <w:color w:val="auto"/>
                      <w:szCs w:val="21"/>
                    </w:rPr>
                  </w:pPr>
                  <w:r>
                    <w:rPr>
                      <w:color w:val="auto"/>
                      <w:szCs w:val="21"/>
                    </w:rPr>
                    <w:t>监测</w:t>
                  </w:r>
                </w:p>
                <w:p w14:paraId="0A3BB6F5">
                  <w:pPr>
                    <w:kinsoku w:val="0"/>
                    <w:snapToGrid w:val="0"/>
                    <w:spacing w:line="240" w:lineRule="auto"/>
                    <w:ind w:firstLine="0" w:firstLineChars="0"/>
                    <w:jc w:val="center"/>
                    <w:rPr>
                      <w:color w:val="auto"/>
                      <w:szCs w:val="21"/>
                    </w:rPr>
                  </w:pPr>
                  <w:r>
                    <w:rPr>
                      <w:color w:val="auto"/>
                      <w:szCs w:val="21"/>
                    </w:rPr>
                    <w:t>频率</w:t>
                  </w:r>
                </w:p>
              </w:tc>
              <w:tc>
                <w:tcPr>
                  <w:tcW w:w="2309" w:type="dxa"/>
                  <w:tcBorders>
                    <w:tl2br w:val="nil"/>
                    <w:tr2bl w:val="nil"/>
                  </w:tcBorders>
                  <w:vAlign w:val="center"/>
                </w:tcPr>
                <w:p w14:paraId="1609FC7D">
                  <w:pPr>
                    <w:kinsoku w:val="0"/>
                    <w:snapToGrid w:val="0"/>
                    <w:spacing w:line="240" w:lineRule="auto"/>
                    <w:ind w:firstLine="0" w:firstLineChars="0"/>
                    <w:jc w:val="center"/>
                    <w:rPr>
                      <w:color w:val="auto"/>
                      <w:szCs w:val="21"/>
                    </w:rPr>
                  </w:pPr>
                  <w:r>
                    <w:rPr>
                      <w:color w:val="auto"/>
                      <w:szCs w:val="21"/>
                    </w:rPr>
                    <w:t>控制指标</w:t>
                  </w:r>
                </w:p>
              </w:tc>
            </w:tr>
            <w:tr w14:paraId="0E31B7D3">
              <w:tblPrEx>
                <w:tblBorders>
                  <w:top w:val="single" w:color="auto" w:sz="4" w:space="0"/>
                  <w:left w:val="single" w:color="auto" w:sz="4" w:space="0"/>
                  <w:bottom w:val="single" w:color="auto" w:sz="4" w:space="0"/>
                  <w:right w:val="single" w:color="auto" w:sz="4" w:space="0"/>
                  <w:insideH w:val="single" w:color="auto" w:sz="2" w:space="0"/>
                  <w:insideV w:val="single" w:color="auto" w:sz="2" w:space="0"/>
                </w:tblBorders>
                <w:tblCellMar>
                  <w:top w:w="0" w:type="dxa"/>
                  <w:left w:w="108" w:type="dxa"/>
                  <w:bottom w:w="0" w:type="dxa"/>
                  <w:right w:w="108" w:type="dxa"/>
                </w:tblCellMar>
              </w:tblPrEx>
              <w:trPr>
                <w:trHeight w:val="90" w:hRule="atLeast"/>
                <w:jc w:val="center"/>
              </w:trPr>
              <w:tc>
                <w:tcPr>
                  <w:tcW w:w="692" w:type="dxa"/>
                  <w:vMerge w:val="restart"/>
                  <w:tcBorders>
                    <w:tl2br w:val="nil"/>
                    <w:tr2bl w:val="nil"/>
                  </w:tcBorders>
                  <w:vAlign w:val="center"/>
                </w:tcPr>
                <w:p w14:paraId="61F60814">
                  <w:pPr>
                    <w:kinsoku w:val="0"/>
                    <w:snapToGrid w:val="0"/>
                    <w:spacing w:line="240" w:lineRule="auto"/>
                    <w:ind w:firstLine="0" w:firstLineChars="0"/>
                    <w:jc w:val="center"/>
                    <w:rPr>
                      <w:color w:val="auto"/>
                      <w:szCs w:val="21"/>
                    </w:rPr>
                  </w:pPr>
                  <w:r>
                    <w:rPr>
                      <w:rFonts w:hint="eastAsia"/>
                      <w:color w:val="auto"/>
                      <w:szCs w:val="21"/>
                    </w:rPr>
                    <w:t>废气</w:t>
                  </w:r>
                </w:p>
              </w:tc>
              <w:tc>
                <w:tcPr>
                  <w:tcW w:w="835" w:type="dxa"/>
                  <w:tcBorders>
                    <w:tl2br w:val="nil"/>
                    <w:tr2bl w:val="nil"/>
                  </w:tcBorders>
                  <w:shd w:val="clear" w:color="auto" w:fill="auto"/>
                  <w:vAlign w:val="center"/>
                </w:tcPr>
                <w:p w14:paraId="122F20C3">
                  <w:pPr>
                    <w:kinsoku w:val="0"/>
                    <w:snapToGrid w:val="0"/>
                    <w:spacing w:line="240" w:lineRule="auto"/>
                    <w:ind w:firstLine="0" w:firstLineChars="0"/>
                    <w:jc w:val="center"/>
                    <w:rPr>
                      <w:rFonts w:hint="eastAsia"/>
                      <w:color w:val="auto"/>
                      <w:szCs w:val="21"/>
                    </w:rPr>
                  </w:pPr>
                  <w:r>
                    <w:rPr>
                      <w:rFonts w:hint="eastAsia"/>
                      <w:color w:val="auto"/>
                      <w:szCs w:val="21"/>
                    </w:rPr>
                    <w:t>DA00</w:t>
                  </w:r>
                  <w:r>
                    <w:rPr>
                      <w:rFonts w:hint="eastAsia"/>
                      <w:color w:val="auto"/>
                      <w:szCs w:val="21"/>
                      <w:lang w:val="en-US" w:eastAsia="zh-CN"/>
                    </w:rPr>
                    <w:t>1</w:t>
                  </w:r>
                </w:p>
              </w:tc>
              <w:tc>
                <w:tcPr>
                  <w:tcW w:w="1157" w:type="dxa"/>
                  <w:tcBorders>
                    <w:tl2br w:val="nil"/>
                    <w:tr2bl w:val="nil"/>
                  </w:tcBorders>
                  <w:shd w:val="clear" w:color="auto" w:fill="auto"/>
                  <w:vAlign w:val="center"/>
                </w:tcPr>
                <w:p w14:paraId="25CEFCE2">
                  <w:pPr>
                    <w:kinsoku w:val="0"/>
                    <w:snapToGrid w:val="0"/>
                    <w:spacing w:line="240" w:lineRule="auto"/>
                    <w:ind w:firstLine="0" w:firstLineChars="0"/>
                    <w:jc w:val="center"/>
                    <w:rPr>
                      <w:rFonts w:hint="eastAsia"/>
                      <w:color w:val="auto"/>
                      <w:szCs w:val="21"/>
                      <w:lang w:val="en-US" w:eastAsia="zh-CN"/>
                    </w:rPr>
                  </w:pPr>
                  <w:r>
                    <w:rPr>
                      <w:rFonts w:hint="eastAsia" w:ascii="Times New Roman" w:hAnsi="Times New Roman" w:cs="Times New Roman"/>
                      <w:color w:val="auto"/>
                      <w:szCs w:val="21"/>
                      <w:lang w:val="en-US" w:eastAsia="zh-CN"/>
                    </w:rPr>
                    <w:t>颗粒物</w:t>
                  </w:r>
                </w:p>
              </w:tc>
              <w:tc>
                <w:tcPr>
                  <w:tcW w:w="1433" w:type="dxa"/>
                  <w:tcBorders>
                    <w:tl2br w:val="nil"/>
                    <w:tr2bl w:val="nil"/>
                  </w:tcBorders>
                  <w:shd w:val="clear" w:color="auto" w:fill="auto"/>
                  <w:vAlign w:val="center"/>
                </w:tcPr>
                <w:p w14:paraId="11B3DCAA">
                  <w:pPr>
                    <w:kinsoku w:val="0"/>
                    <w:snapToGrid w:val="0"/>
                    <w:spacing w:line="240" w:lineRule="auto"/>
                    <w:ind w:firstLine="0" w:firstLineChars="0"/>
                    <w:jc w:val="center"/>
                    <w:rPr>
                      <w:rFonts w:hint="eastAsia"/>
                      <w:color w:val="auto"/>
                      <w:szCs w:val="21"/>
                    </w:rPr>
                  </w:pPr>
                  <w:r>
                    <w:rPr>
                      <w:rFonts w:hint="eastAsia"/>
                      <w:color w:val="auto"/>
                      <w:szCs w:val="21"/>
                    </w:rPr>
                    <w:t>排气筒出口</w:t>
                  </w:r>
                </w:p>
              </w:tc>
              <w:tc>
                <w:tcPr>
                  <w:tcW w:w="752" w:type="dxa"/>
                  <w:tcBorders>
                    <w:tl2br w:val="nil"/>
                    <w:tr2bl w:val="nil"/>
                  </w:tcBorders>
                  <w:shd w:val="clear" w:color="auto" w:fill="auto"/>
                  <w:vAlign w:val="center"/>
                </w:tcPr>
                <w:p w14:paraId="4B4C104C">
                  <w:pPr>
                    <w:kinsoku w:val="0"/>
                    <w:snapToGrid w:val="0"/>
                    <w:spacing w:line="240" w:lineRule="auto"/>
                    <w:ind w:firstLine="0" w:firstLineChars="0"/>
                    <w:jc w:val="center"/>
                    <w:rPr>
                      <w:rFonts w:hint="eastAsia"/>
                      <w:color w:val="auto"/>
                      <w:szCs w:val="21"/>
                    </w:rPr>
                  </w:pPr>
                  <w:r>
                    <w:rPr>
                      <w:rFonts w:hint="eastAsia"/>
                      <w:color w:val="auto"/>
                      <w:szCs w:val="21"/>
                    </w:rPr>
                    <w:t>1</w:t>
                  </w:r>
                </w:p>
              </w:tc>
              <w:tc>
                <w:tcPr>
                  <w:tcW w:w="1141" w:type="dxa"/>
                  <w:tcBorders>
                    <w:tl2br w:val="nil"/>
                    <w:tr2bl w:val="nil"/>
                  </w:tcBorders>
                  <w:shd w:val="clear" w:color="auto" w:fill="auto"/>
                  <w:vAlign w:val="center"/>
                </w:tcPr>
                <w:p w14:paraId="6EBE226D">
                  <w:pPr>
                    <w:kinsoku w:val="0"/>
                    <w:snapToGrid w:val="0"/>
                    <w:spacing w:line="240" w:lineRule="auto"/>
                    <w:ind w:firstLine="0" w:firstLineChars="0"/>
                    <w:jc w:val="center"/>
                    <w:rPr>
                      <w:color w:val="auto"/>
                      <w:szCs w:val="21"/>
                    </w:rPr>
                  </w:pPr>
                  <w:r>
                    <w:rPr>
                      <w:rFonts w:hint="default" w:ascii="Times New Roman" w:hAnsi="Times New Roman" w:eastAsia="宋体" w:cs="Times New Roman"/>
                      <w:color w:val="auto"/>
                      <w:kern w:val="0"/>
                      <w:sz w:val="21"/>
                      <w:szCs w:val="21"/>
                      <w:lang w:val="en-US" w:eastAsia="zh-CN"/>
                    </w:rPr>
                    <w:t>1次/</w:t>
                  </w:r>
                  <w:r>
                    <w:rPr>
                      <w:rFonts w:hint="eastAsia" w:cs="Times New Roman"/>
                      <w:color w:val="auto"/>
                      <w:kern w:val="0"/>
                      <w:sz w:val="21"/>
                      <w:szCs w:val="21"/>
                      <w:lang w:val="en-US" w:eastAsia="zh-CN"/>
                    </w:rPr>
                    <w:t>半</w:t>
                  </w:r>
                  <w:r>
                    <w:rPr>
                      <w:rFonts w:hint="default" w:ascii="Times New Roman" w:hAnsi="Times New Roman" w:eastAsia="宋体" w:cs="Times New Roman"/>
                      <w:color w:val="auto"/>
                      <w:kern w:val="0"/>
                      <w:sz w:val="21"/>
                      <w:szCs w:val="21"/>
                      <w:lang w:val="en-US" w:eastAsia="zh-CN"/>
                    </w:rPr>
                    <w:t>年</w:t>
                  </w:r>
                </w:p>
              </w:tc>
              <w:tc>
                <w:tcPr>
                  <w:tcW w:w="2309" w:type="dxa"/>
                  <w:vMerge w:val="restart"/>
                  <w:tcBorders>
                    <w:tl2br w:val="nil"/>
                    <w:tr2bl w:val="nil"/>
                  </w:tcBorders>
                  <w:vAlign w:val="center"/>
                </w:tcPr>
                <w:p w14:paraId="4EF361B3">
                  <w:pPr>
                    <w:kinsoku w:val="0"/>
                    <w:snapToGrid w:val="0"/>
                    <w:spacing w:line="240" w:lineRule="auto"/>
                    <w:ind w:firstLine="0" w:firstLineChars="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《大气污染物综合排放标准》</w:t>
                  </w:r>
                </w:p>
                <w:p w14:paraId="7E770820">
                  <w:pPr>
                    <w:kinsoku w:val="0"/>
                    <w:snapToGrid w:val="0"/>
                    <w:spacing w:line="240" w:lineRule="auto"/>
                    <w:ind w:firstLine="0" w:firstLineChars="0"/>
                    <w:jc w:val="center"/>
                    <w:rPr>
                      <w:rFonts w:hint="eastAsia"/>
                      <w:color w:val="auto"/>
                      <w:szCs w:val="21"/>
                    </w:rPr>
                  </w:pPr>
                  <w:r>
                    <w:rPr>
                      <w:rFonts w:hint="default" w:ascii="Times New Roman" w:hAnsi="Times New Roman" w:eastAsia="宋体" w:cs="Times New Roman"/>
                      <w:color w:val="auto"/>
                      <w:kern w:val="0"/>
                      <w:sz w:val="21"/>
                      <w:szCs w:val="21"/>
                      <w:lang w:val="en-US" w:eastAsia="zh-CN"/>
                    </w:rPr>
                    <w:t>（GB16297-1996）</w:t>
                  </w:r>
                </w:p>
              </w:tc>
            </w:tr>
            <w:tr w14:paraId="462BC0B1">
              <w:tblPrEx>
                <w:tblBorders>
                  <w:top w:val="single" w:color="auto" w:sz="4" w:space="0"/>
                  <w:left w:val="single" w:color="auto" w:sz="4" w:space="0"/>
                  <w:bottom w:val="single" w:color="auto" w:sz="4" w:space="0"/>
                  <w:right w:val="single" w:color="auto" w:sz="4" w:space="0"/>
                  <w:insideH w:val="single" w:color="auto" w:sz="2" w:space="0"/>
                  <w:insideV w:val="single" w:color="auto" w:sz="2" w:space="0"/>
                </w:tblBorders>
                <w:tblCellMar>
                  <w:top w:w="0" w:type="dxa"/>
                  <w:left w:w="108" w:type="dxa"/>
                  <w:bottom w:w="0" w:type="dxa"/>
                  <w:right w:w="108" w:type="dxa"/>
                </w:tblCellMar>
              </w:tblPrEx>
              <w:trPr>
                <w:trHeight w:val="90" w:hRule="atLeast"/>
                <w:jc w:val="center"/>
              </w:trPr>
              <w:tc>
                <w:tcPr>
                  <w:tcW w:w="692" w:type="dxa"/>
                  <w:vMerge w:val="continue"/>
                  <w:tcBorders>
                    <w:tl2br w:val="nil"/>
                    <w:tr2bl w:val="nil"/>
                  </w:tcBorders>
                  <w:vAlign w:val="center"/>
                </w:tcPr>
                <w:p w14:paraId="577C83BD">
                  <w:pPr>
                    <w:kinsoku w:val="0"/>
                    <w:snapToGrid w:val="0"/>
                    <w:spacing w:line="240" w:lineRule="auto"/>
                    <w:ind w:firstLine="0" w:firstLineChars="0"/>
                    <w:jc w:val="center"/>
                    <w:rPr>
                      <w:color w:val="auto"/>
                      <w:szCs w:val="21"/>
                    </w:rPr>
                  </w:pPr>
                </w:p>
              </w:tc>
              <w:tc>
                <w:tcPr>
                  <w:tcW w:w="835" w:type="dxa"/>
                  <w:tcBorders>
                    <w:tl2br w:val="nil"/>
                    <w:tr2bl w:val="nil"/>
                  </w:tcBorders>
                  <w:shd w:val="clear" w:color="auto" w:fill="auto"/>
                  <w:vAlign w:val="center"/>
                </w:tcPr>
                <w:p w14:paraId="580C9333">
                  <w:pPr>
                    <w:kinsoku w:val="0"/>
                    <w:snapToGrid w:val="0"/>
                    <w:spacing w:line="240" w:lineRule="auto"/>
                    <w:ind w:firstLine="0" w:firstLineChars="0"/>
                    <w:jc w:val="center"/>
                    <w:rPr>
                      <w:rFonts w:hint="eastAsia" w:ascii="Times New Roman" w:hAnsi="Times New Roman" w:eastAsia="宋体" w:cs="Times New Roman"/>
                      <w:color w:val="auto"/>
                      <w:kern w:val="2"/>
                      <w:sz w:val="21"/>
                      <w:szCs w:val="21"/>
                      <w:lang w:val="en-US" w:eastAsia="zh-CN" w:bidi="ar-SA"/>
                    </w:rPr>
                  </w:pPr>
                  <w:r>
                    <w:rPr>
                      <w:rFonts w:hint="eastAsia"/>
                      <w:color w:val="auto"/>
                      <w:szCs w:val="21"/>
                      <w:lang w:val="en-US" w:eastAsia="zh-CN"/>
                    </w:rPr>
                    <w:t>厂房外</w:t>
                  </w:r>
                </w:p>
              </w:tc>
              <w:tc>
                <w:tcPr>
                  <w:tcW w:w="1157" w:type="dxa"/>
                  <w:tcBorders>
                    <w:tl2br w:val="nil"/>
                    <w:tr2bl w:val="nil"/>
                  </w:tcBorders>
                  <w:shd w:val="clear" w:color="auto" w:fill="auto"/>
                  <w:vAlign w:val="center"/>
                </w:tcPr>
                <w:p w14:paraId="09036390">
                  <w:pPr>
                    <w:kinsoku w:val="0"/>
                    <w:snapToGrid w:val="0"/>
                    <w:spacing w:line="240" w:lineRule="auto"/>
                    <w:ind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color w:val="auto"/>
                      <w:szCs w:val="21"/>
                      <w:lang w:val="en-US" w:eastAsia="zh-CN"/>
                    </w:rPr>
                    <w:t>颗粒物</w:t>
                  </w:r>
                </w:p>
              </w:tc>
              <w:tc>
                <w:tcPr>
                  <w:tcW w:w="1433" w:type="dxa"/>
                  <w:tcBorders>
                    <w:tl2br w:val="nil"/>
                    <w:tr2bl w:val="nil"/>
                  </w:tcBorders>
                  <w:shd w:val="clear" w:color="auto" w:fill="auto"/>
                  <w:vAlign w:val="center"/>
                </w:tcPr>
                <w:p w14:paraId="4D2DADD4">
                  <w:pPr>
                    <w:kinsoku w:val="0"/>
                    <w:snapToGrid w:val="0"/>
                    <w:spacing w:line="240" w:lineRule="auto"/>
                    <w:ind w:firstLine="0" w:firstLineChars="0"/>
                    <w:jc w:val="center"/>
                    <w:rPr>
                      <w:rFonts w:hint="eastAsia" w:ascii="Times New Roman" w:hAnsi="Times New Roman" w:eastAsia="宋体" w:cs="Times New Roman"/>
                      <w:color w:val="auto"/>
                      <w:kern w:val="2"/>
                      <w:sz w:val="21"/>
                      <w:szCs w:val="21"/>
                      <w:lang w:val="en-US" w:eastAsia="zh-CN" w:bidi="ar-SA"/>
                    </w:rPr>
                  </w:pPr>
                  <w:r>
                    <w:rPr>
                      <w:rFonts w:hint="eastAsia"/>
                      <w:color w:val="auto"/>
                      <w:szCs w:val="21"/>
                    </w:rPr>
                    <w:t>上风向一个、下风向三个</w:t>
                  </w:r>
                </w:p>
              </w:tc>
              <w:tc>
                <w:tcPr>
                  <w:tcW w:w="752" w:type="dxa"/>
                  <w:tcBorders>
                    <w:tl2br w:val="nil"/>
                    <w:tr2bl w:val="nil"/>
                  </w:tcBorders>
                  <w:shd w:val="clear" w:color="auto" w:fill="auto"/>
                  <w:vAlign w:val="center"/>
                </w:tcPr>
                <w:p w14:paraId="5A51650B">
                  <w:pPr>
                    <w:kinsoku w:val="0"/>
                    <w:snapToGrid w:val="0"/>
                    <w:spacing w:line="240" w:lineRule="auto"/>
                    <w:ind w:firstLine="0" w:firstLineChars="0"/>
                    <w:jc w:val="center"/>
                    <w:rPr>
                      <w:rFonts w:hint="eastAsia" w:ascii="Times New Roman" w:hAnsi="Times New Roman" w:eastAsia="宋体" w:cs="Times New Roman"/>
                      <w:color w:val="auto"/>
                      <w:kern w:val="2"/>
                      <w:sz w:val="21"/>
                      <w:szCs w:val="21"/>
                      <w:lang w:val="en-US" w:eastAsia="zh-CN" w:bidi="ar-SA"/>
                    </w:rPr>
                  </w:pPr>
                  <w:r>
                    <w:rPr>
                      <w:rFonts w:hint="eastAsia"/>
                      <w:color w:val="auto"/>
                      <w:szCs w:val="21"/>
                    </w:rPr>
                    <w:t>4</w:t>
                  </w:r>
                </w:p>
              </w:tc>
              <w:tc>
                <w:tcPr>
                  <w:tcW w:w="1141" w:type="dxa"/>
                  <w:tcBorders>
                    <w:tl2br w:val="nil"/>
                    <w:tr2bl w:val="nil"/>
                  </w:tcBorders>
                  <w:shd w:val="clear" w:color="auto" w:fill="auto"/>
                  <w:vAlign w:val="center"/>
                </w:tcPr>
                <w:p w14:paraId="177C23F2">
                  <w:pPr>
                    <w:kinsoku w:val="0"/>
                    <w:snapToGrid w:val="0"/>
                    <w:spacing w:line="240" w:lineRule="auto"/>
                    <w:ind w:firstLine="0" w:firstLineChars="0"/>
                    <w:jc w:val="center"/>
                    <w:rPr>
                      <w:rFonts w:hint="eastAsia" w:ascii="Times New Roman" w:hAnsi="Times New Roman" w:eastAsia="宋体" w:cs="Times New Roman"/>
                      <w:color w:val="auto"/>
                      <w:kern w:val="2"/>
                      <w:sz w:val="21"/>
                      <w:szCs w:val="21"/>
                      <w:lang w:val="en-US" w:eastAsia="zh-CN" w:bidi="ar-SA"/>
                    </w:rPr>
                  </w:pPr>
                  <w:r>
                    <w:rPr>
                      <w:color w:val="auto"/>
                      <w:szCs w:val="21"/>
                    </w:rPr>
                    <w:t>1次/</w:t>
                  </w:r>
                  <w:r>
                    <w:rPr>
                      <w:rFonts w:hint="eastAsia"/>
                      <w:color w:val="auto"/>
                      <w:szCs w:val="21"/>
                    </w:rPr>
                    <w:t>年</w:t>
                  </w:r>
                </w:p>
              </w:tc>
              <w:tc>
                <w:tcPr>
                  <w:tcW w:w="2309" w:type="dxa"/>
                  <w:vMerge w:val="continue"/>
                  <w:tcBorders>
                    <w:tl2br w:val="nil"/>
                    <w:tr2bl w:val="nil"/>
                  </w:tcBorders>
                  <w:vAlign w:val="center"/>
                </w:tcPr>
                <w:p w14:paraId="066F13C5">
                  <w:pPr>
                    <w:kinsoku w:val="0"/>
                    <w:snapToGrid w:val="0"/>
                    <w:spacing w:line="240" w:lineRule="auto"/>
                    <w:ind w:firstLine="0" w:firstLineChars="0"/>
                    <w:jc w:val="center"/>
                    <w:rPr>
                      <w:rFonts w:hint="eastAsia"/>
                      <w:color w:val="auto"/>
                      <w:szCs w:val="21"/>
                    </w:rPr>
                  </w:pPr>
                </w:p>
              </w:tc>
            </w:tr>
          </w:tbl>
          <w:p w14:paraId="1D850A51">
            <w:pPr>
              <w:spacing w:line="360" w:lineRule="auto"/>
              <w:ind w:firstLine="482" w:firstLineChars="200"/>
              <w:rPr>
                <w:b/>
                <w:bCs/>
                <w:color w:val="auto"/>
                <w:kern w:val="0"/>
                <w:sz w:val="24"/>
                <w:szCs w:val="20"/>
              </w:rPr>
            </w:pPr>
            <w:r>
              <w:rPr>
                <w:b/>
                <w:bCs/>
                <w:color w:val="auto"/>
                <w:kern w:val="0"/>
                <w:sz w:val="24"/>
                <w:szCs w:val="20"/>
              </w:rPr>
              <w:t>2、废水</w:t>
            </w:r>
          </w:p>
          <w:p w14:paraId="10ED4A1C">
            <w:pPr>
              <w:spacing w:line="360" w:lineRule="auto"/>
              <w:ind w:firstLine="480" w:firstLineChars="200"/>
              <w:rPr>
                <w:rFonts w:hint="eastAsia" w:eastAsia="宋体"/>
                <w:color w:val="auto"/>
                <w:kern w:val="0"/>
                <w:sz w:val="24"/>
                <w:szCs w:val="20"/>
                <w:lang w:val="en-US" w:eastAsia="zh-CN"/>
              </w:rPr>
            </w:pPr>
            <w:r>
              <w:rPr>
                <w:color w:val="auto"/>
                <w:kern w:val="0"/>
                <w:sz w:val="24"/>
                <w:szCs w:val="20"/>
              </w:rPr>
              <w:t>（1）废水排放</w:t>
            </w:r>
            <w:r>
              <w:rPr>
                <w:rFonts w:hint="eastAsia"/>
                <w:color w:val="auto"/>
                <w:kern w:val="0"/>
                <w:sz w:val="24"/>
                <w:szCs w:val="20"/>
                <w:lang w:val="en-US" w:eastAsia="zh-CN"/>
              </w:rPr>
              <w:t>源强</w:t>
            </w:r>
          </w:p>
          <w:p w14:paraId="5E9C5305">
            <w:pPr>
              <w:spacing w:line="360" w:lineRule="auto"/>
              <w:ind w:firstLine="480" w:firstLineChars="200"/>
              <w:rPr>
                <w:color w:val="auto"/>
                <w:kern w:val="0"/>
                <w:sz w:val="24"/>
              </w:rPr>
            </w:pPr>
            <w:r>
              <w:rPr>
                <w:rFonts w:hint="eastAsia"/>
                <w:color w:val="auto"/>
                <w:kern w:val="0"/>
                <w:sz w:val="24"/>
                <w:lang w:val="en-US" w:eastAsia="zh-CN"/>
              </w:rPr>
              <w:t>本</w:t>
            </w:r>
            <w:r>
              <w:rPr>
                <w:color w:val="auto"/>
                <w:kern w:val="0"/>
                <w:sz w:val="24"/>
              </w:rPr>
              <w:t>项目劳动定员</w:t>
            </w:r>
            <w:r>
              <w:rPr>
                <w:rFonts w:hint="eastAsia"/>
                <w:color w:val="auto"/>
                <w:kern w:val="0"/>
                <w:sz w:val="24"/>
                <w:lang w:val="en-US" w:eastAsia="zh-CN"/>
              </w:rPr>
              <w:t>20</w:t>
            </w:r>
            <w:r>
              <w:rPr>
                <w:color w:val="auto"/>
                <w:kern w:val="0"/>
                <w:sz w:val="24"/>
              </w:rPr>
              <w:t>人，生活用水量</w:t>
            </w:r>
            <w:r>
              <w:rPr>
                <w:rFonts w:hint="eastAsia"/>
                <w:color w:val="auto"/>
                <w:kern w:val="0"/>
                <w:sz w:val="24"/>
                <w:lang w:val="en-US" w:eastAsia="zh-CN"/>
              </w:rPr>
              <w:t>164.384</w:t>
            </w:r>
            <w:r>
              <w:rPr>
                <w:color w:val="auto"/>
                <w:kern w:val="0"/>
                <w:sz w:val="24"/>
              </w:rPr>
              <w:t>m</w:t>
            </w:r>
            <w:r>
              <w:rPr>
                <w:color w:val="auto"/>
                <w:kern w:val="0"/>
                <w:sz w:val="24"/>
                <w:vertAlign w:val="superscript"/>
              </w:rPr>
              <w:t>3</w:t>
            </w:r>
            <w:r>
              <w:rPr>
                <w:color w:val="auto"/>
                <w:kern w:val="0"/>
                <w:sz w:val="24"/>
              </w:rPr>
              <w:t>/a，污水产生量按照用水量的80%计算，则废水产生量为</w:t>
            </w:r>
            <w:r>
              <w:rPr>
                <w:rFonts w:hint="eastAsia"/>
                <w:color w:val="auto"/>
                <w:kern w:val="0"/>
                <w:sz w:val="24"/>
                <w:lang w:val="en-US" w:eastAsia="zh-CN"/>
              </w:rPr>
              <w:t>131.507</w:t>
            </w:r>
            <w:r>
              <w:rPr>
                <w:color w:val="auto"/>
                <w:kern w:val="0"/>
                <w:sz w:val="24"/>
              </w:rPr>
              <w:t>m</w:t>
            </w:r>
            <w:r>
              <w:rPr>
                <w:color w:val="auto"/>
                <w:kern w:val="0"/>
                <w:sz w:val="24"/>
                <w:vertAlign w:val="superscript"/>
              </w:rPr>
              <w:t>3</w:t>
            </w:r>
            <w:r>
              <w:rPr>
                <w:color w:val="auto"/>
                <w:kern w:val="0"/>
                <w:sz w:val="24"/>
              </w:rPr>
              <w:t>/a</w:t>
            </w:r>
            <w:r>
              <w:rPr>
                <w:rFonts w:hint="eastAsia"/>
                <w:color w:val="auto"/>
                <w:kern w:val="0"/>
                <w:sz w:val="24"/>
                <w:lang w:eastAsia="zh-CN"/>
              </w:rPr>
              <w:t>，</w:t>
            </w:r>
            <w:r>
              <w:rPr>
                <w:color w:val="auto"/>
                <w:kern w:val="0"/>
                <w:sz w:val="24"/>
              </w:rPr>
              <w:t>生活污水</w:t>
            </w:r>
            <w:r>
              <w:rPr>
                <w:rFonts w:hint="eastAsia"/>
                <w:color w:val="auto"/>
                <w:kern w:val="0"/>
                <w:sz w:val="24"/>
                <w:lang w:val="en-US" w:eastAsia="zh-CN"/>
              </w:rPr>
              <w:t>依托陕西重型机械制造有限公司化粪池处理后经市政管网排入西安工业资产经营公司泾河产业基地污水处理站处理</w:t>
            </w:r>
            <w:r>
              <w:rPr>
                <w:color w:val="auto"/>
                <w:kern w:val="0"/>
                <w:sz w:val="24"/>
              </w:rPr>
              <w:t>；无生产废水产生。</w:t>
            </w:r>
          </w:p>
          <w:p w14:paraId="04F6DF53">
            <w:pPr>
              <w:keepNext w:val="0"/>
              <w:keepLines w:val="0"/>
              <w:pageBreakBefore w:val="0"/>
              <w:kinsoku/>
              <w:wordWrap/>
              <w:overflowPunct/>
              <w:topLinePunct w:val="0"/>
              <w:autoSpaceDE/>
              <w:autoSpaceDN/>
              <w:bidi w:val="0"/>
              <w:adjustRightInd w:val="0"/>
              <w:snapToGrid w:val="0"/>
              <w:spacing w:line="240" w:lineRule="auto"/>
              <w:ind w:firstLine="0" w:firstLineChars="0"/>
              <w:jc w:val="center"/>
              <w:rPr>
                <w:b/>
                <w:bCs/>
                <w:snapToGrid w:val="0"/>
                <w:color w:val="auto"/>
                <w:kern w:val="0"/>
                <w:szCs w:val="16"/>
              </w:rPr>
            </w:pPr>
            <w:r>
              <w:rPr>
                <w:b/>
                <w:bCs/>
                <w:snapToGrid w:val="0"/>
                <w:color w:val="auto"/>
                <w:kern w:val="0"/>
                <w:szCs w:val="16"/>
              </w:rPr>
              <w:t>表4-</w:t>
            </w:r>
            <w:r>
              <w:rPr>
                <w:rFonts w:hint="eastAsia"/>
                <w:b/>
                <w:bCs/>
                <w:snapToGrid w:val="0"/>
                <w:color w:val="auto"/>
                <w:kern w:val="0"/>
                <w:szCs w:val="16"/>
                <w:lang w:val="en-US" w:eastAsia="zh-CN"/>
              </w:rPr>
              <w:t>5</w:t>
            </w:r>
            <w:r>
              <w:rPr>
                <w:b/>
                <w:bCs/>
                <w:snapToGrid w:val="0"/>
                <w:color w:val="auto"/>
                <w:kern w:val="0"/>
                <w:szCs w:val="16"/>
              </w:rPr>
              <w:t xml:space="preserve">   废水污染物产排情况一览表</w:t>
            </w:r>
          </w:p>
          <w:tbl>
            <w:tblPr>
              <w:tblStyle w:val="17"/>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53"/>
              <w:gridCol w:w="1794"/>
              <w:gridCol w:w="2361"/>
              <w:gridCol w:w="2363"/>
            </w:tblGrid>
            <w:tr w14:paraId="6ACEDC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2144" w:type="pct"/>
                  <w:gridSpan w:val="2"/>
                  <w:vMerge w:val="restart"/>
                  <w:tcBorders>
                    <w:tl2br w:val="single" w:color="auto" w:sz="4" w:space="0"/>
                  </w:tcBorders>
                  <w:vAlign w:val="center"/>
                </w:tcPr>
                <w:p w14:paraId="6367A67D">
                  <w:pPr>
                    <w:keepNext w:val="0"/>
                    <w:keepLines w:val="0"/>
                    <w:pageBreakBefore w:val="0"/>
                    <w:kinsoku/>
                    <w:wordWrap/>
                    <w:overflowPunct/>
                    <w:topLinePunct w:val="0"/>
                    <w:autoSpaceDE/>
                    <w:autoSpaceDN/>
                    <w:bidi w:val="0"/>
                    <w:adjustRightInd w:val="0"/>
                    <w:snapToGrid w:val="0"/>
                    <w:spacing w:line="240" w:lineRule="auto"/>
                    <w:ind w:firstLine="0" w:firstLineChars="0"/>
                    <w:jc w:val="right"/>
                    <w:rPr>
                      <w:color w:val="auto"/>
                      <w:szCs w:val="21"/>
                    </w:rPr>
                  </w:pPr>
                  <w:r>
                    <w:rPr>
                      <w:color w:val="auto"/>
                      <w:szCs w:val="21"/>
                    </w:rPr>
                    <w:t>产、排情况</w:t>
                  </w:r>
                </w:p>
                <w:p w14:paraId="4231FCF2">
                  <w:pPr>
                    <w:keepNext w:val="0"/>
                    <w:keepLines w:val="0"/>
                    <w:pageBreakBefore w:val="0"/>
                    <w:tabs>
                      <w:tab w:val="left" w:pos="2583"/>
                    </w:tabs>
                    <w:kinsoku/>
                    <w:wordWrap/>
                    <w:overflowPunct/>
                    <w:topLinePunct w:val="0"/>
                    <w:autoSpaceDE/>
                    <w:autoSpaceDN/>
                    <w:bidi w:val="0"/>
                    <w:adjustRightInd w:val="0"/>
                    <w:snapToGrid w:val="0"/>
                    <w:spacing w:line="240" w:lineRule="auto"/>
                    <w:ind w:firstLine="0" w:firstLineChars="0"/>
                    <w:jc w:val="left"/>
                    <w:rPr>
                      <w:color w:val="auto"/>
                      <w:szCs w:val="21"/>
                    </w:rPr>
                  </w:pPr>
                  <w:r>
                    <w:rPr>
                      <w:color w:val="auto"/>
                      <w:szCs w:val="21"/>
                    </w:rPr>
                    <w:t>污染因子</w:t>
                  </w:r>
                </w:p>
              </w:tc>
              <w:tc>
                <w:tcPr>
                  <w:tcW w:w="2855" w:type="pct"/>
                  <w:gridSpan w:val="2"/>
                  <w:vAlign w:val="center"/>
                </w:tcPr>
                <w:p w14:paraId="7BC8E06B">
                  <w:pPr>
                    <w:keepNext w:val="0"/>
                    <w:keepLines w:val="0"/>
                    <w:pageBreakBefore w:val="0"/>
                    <w:kinsoku/>
                    <w:wordWrap/>
                    <w:overflowPunct/>
                    <w:topLinePunct w:val="0"/>
                    <w:autoSpaceDE/>
                    <w:autoSpaceDN/>
                    <w:bidi w:val="0"/>
                    <w:adjustRightInd w:val="0"/>
                    <w:snapToGrid w:val="0"/>
                    <w:spacing w:line="240" w:lineRule="auto"/>
                    <w:ind w:firstLine="0" w:firstLineChars="0"/>
                    <w:jc w:val="center"/>
                    <w:rPr>
                      <w:color w:val="auto"/>
                      <w:szCs w:val="21"/>
                    </w:rPr>
                  </w:pPr>
                  <w:r>
                    <w:rPr>
                      <w:rFonts w:hint="eastAsia"/>
                      <w:color w:val="auto"/>
                      <w:szCs w:val="21"/>
                    </w:rPr>
                    <w:t>排放情况</w:t>
                  </w:r>
                </w:p>
              </w:tc>
            </w:tr>
            <w:tr w14:paraId="1335A9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2144" w:type="pct"/>
                  <w:gridSpan w:val="2"/>
                  <w:vMerge w:val="continue"/>
                  <w:vAlign w:val="center"/>
                </w:tcPr>
                <w:p w14:paraId="235CCBCD">
                  <w:pPr>
                    <w:keepNext w:val="0"/>
                    <w:keepLines w:val="0"/>
                    <w:pageBreakBefore w:val="0"/>
                    <w:kinsoku/>
                    <w:wordWrap/>
                    <w:overflowPunct/>
                    <w:topLinePunct w:val="0"/>
                    <w:autoSpaceDE/>
                    <w:autoSpaceDN/>
                    <w:bidi w:val="0"/>
                    <w:adjustRightInd w:val="0"/>
                    <w:snapToGrid w:val="0"/>
                    <w:spacing w:line="240" w:lineRule="auto"/>
                    <w:ind w:firstLine="0" w:firstLineChars="0"/>
                    <w:jc w:val="center"/>
                    <w:rPr>
                      <w:color w:val="auto"/>
                      <w:szCs w:val="21"/>
                    </w:rPr>
                  </w:pPr>
                </w:p>
              </w:tc>
              <w:tc>
                <w:tcPr>
                  <w:tcW w:w="1427" w:type="pct"/>
                  <w:vAlign w:val="center"/>
                </w:tcPr>
                <w:p w14:paraId="0B7130A6">
                  <w:pPr>
                    <w:keepNext w:val="0"/>
                    <w:keepLines w:val="0"/>
                    <w:pageBreakBefore w:val="0"/>
                    <w:kinsoku/>
                    <w:wordWrap/>
                    <w:overflowPunct/>
                    <w:topLinePunct w:val="0"/>
                    <w:autoSpaceDE/>
                    <w:autoSpaceDN/>
                    <w:bidi w:val="0"/>
                    <w:adjustRightInd w:val="0"/>
                    <w:snapToGrid w:val="0"/>
                    <w:spacing w:line="240" w:lineRule="auto"/>
                    <w:ind w:firstLine="0" w:firstLineChars="0"/>
                    <w:jc w:val="center"/>
                    <w:rPr>
                      <w:color w:val="auto"/>
                      <w:szCs w:val="21"/>
                    </w:rPr>
                  </w:pPr>
                  <w:r>
                    <w:rPr>
                      <w:rFonts w:hint="eastAsia"/>
                      <w:color w:val="auto"/>
                      <w:szCs w:val="21"/>
                    </w:rPr>
                    <w:t>排放浓度</w:t>
                  </w:r>
                  <w:r>
                    <w:rPr>
                      <w:color w:val="auto"/>
                      <w:szCs w:val="21"/>
                    </w:rPr>
                    <w:t>（mg/L）</w:t>
                  </w:r>
                </w:p>
              </w:tc>
              <w:tc>
                <w:tcPr>
                  <w:tcW w:w="1428" w:type="pct"/>
                  <w:vAlign w:val="center"/>
                </w:tcPr>
                <w:p w14:paraId="3FF49897">
                  <w:pPr>
                    <w:keepNext w:val="0"/>
                    <w:keepLines w:val="0"/>
                    <w:pageBreakBefore w:val="0"/>
                    <w:kinsoku/>
                    <w:wordWrap/>
                    <w:overflowPunct/>
                    <w:topLinePunct w:val="0"/>
                    <w:autoSpaceDE/>
                    <w:autoSpaceDN/>
                    <w:bidi w:val="0"/>
                    <w:adjustRightInd w:val="0"/>
                    <w:snapToGrid w:val="0"/>
                    <w:spacing w:line="240" w:lineRule="auto"/>
                    <w:ind w:firstLine="0" w:firstLineChars="0"/>
                    <w:jc w:val="center"/>
                    <w:rPr>
                      <w:color w:val="auto"/>
                      <w:szCs w:val="21"/>
                    </w:rPr>
                  </w:pPr>
                  <w:r>
                    <w:rPr>
                      <w:rFonts w:hint="eastAsia"/>
                      <w:color w:val="auto"/>
                      <w:szCs w:val="21"/>
                    </w:rPr>
                    <w:t>排放量</w:t>
                  </w:r>
                  <w:r>
                    <w:rPr>
                      <w:color w:val="auto"/>
                      <w:szCs w:val="21"/>
                    </w:rPr>
                    <w:t>（t/a）</w:t>
                  </w:r>
                </w:p>
              </w:tc>
            </w:tr>
            <w:tr w14:paraId="6E024D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46" w:hRule="atLeast"/>
                <w:jc w:val="center"/>
              </w:trPr>
              <w:tc>
                <w:tcPr>
                  <w:tcW w:w="1060" w:type="pct"/>
                  <w:vMerge w:val="restart"/>
                  <w:vAlign w:val="center"/>
                </w:tcPr>
                <w:p w14:paraId="1D341BA7">
                  <w:pPr>
                    <w:keepNext w:val="0"/>
                    <w:keepLines w:val="0"/>
                    <w:pageBreakBefore w:val="0"/>
                    <w:kinsoku/>
                    <w:wordWrap/>
                    <w:overflowPunct/>
                    <w:topLinePunct w:val="0"/>
                    <w:autoSpaceDE/>
                    <w:autoSpaceDN/>
                    <w:bidi w:val="0"/>
                    <w:adjustRightInd w:val="0"/>
                    <w:snapToGrid w:val="0"/>
                    <w:spacing w:line="240" w:lineRule="auto"/>
                    <w:ind w:firstLine="0" w:firstLineChars="0"/>
                    <w:jc w:val="center"/>
                    <w:rPr>
                      <w:color w:val="auto"/>
                      <w:szCs w:val="21"/>
                    </w:rPr>
                  </w:pPr>
                  <w:r>
                    <w:rPr>
                      <w:rFonts w:hint="eastAsia"/>
                      <w:color w:val="auto"/>
                      <w:szCs w:val="21"/>
                      <w:lang w:val="en-US" w:eastAsia="zh-CN"/>
                    </w:rPr>
                    <w:t>生活污水</w:t>
                  </w:r>
                  <w:r>
                    <w:rPr>
                      <w:color w:val="auto"/>
                      <w:szCs w:val="21"/>
                    </w:rPr>
                    <w:t>（</w:t>
                  </w:r>
                  <w:r>
                    <w:rPr>
                      <w:rFonts w:hint="eastAsia"/>
                      <w:color w:val="auto"/>
                      <w:szCs w:val="21"/>
                      <w:lang w:val="en-US" w:eastAsia="zh-CN"/>
                    </w:rPr>
                    <w:t>131.507</w:t>
                  </w:r>
                  <w:r>
                    <w:rPr>
                      <w:color w:val="auto"/>
                      <w:szCs w:val="21"/>
                    </w:rPr>
                    <w:t>m</w:t>
                  </w:r>
                  <w:r>
                    <w:rPr>
                      <w:color w:val="auto"/>
                      <w:szCs w:val="21"/>
                      <w:vertAlign w:val="superscript"/>
                    </w:rPr>
                    <w:t>3</w:t>
                  </w:r>
                  <w:r>
                    <w:rPr>
                      <w:color w:val="auto"/>
                      <w:szCs w:val="21"/>
                    </w:rPr>
                    <w:t>/a）</w:t>
                  </w:r>
                </w:p>
              </w:tc>
              <w:tc>
                <w:tcPr>
                  <w:tcW w:w="1084" w:type="pct"/>
                  <w:vAlign w:val="center"/>
                </w:tcPr>
                <w:p w14:paraId="529961DE">
                  <w:pPr>
                    <w:keepNext w:val="0"/>
                    <w:keepLines w:val="0"/>
                    <w:pageBreakBefore w:val="0"/>
                    <w:kinsoku/>
                    <w:wordWrap/>
                    <w:overflowPunct/>
                    <w:topLinePunct w:val="0"/>
                    <w:autoSpaceDE/>
                    <w:autoSpaceDN/>
                    <w:bidi w:val="0"/>
                    <w:adjustRightInd w:val="0"/>
                    <w:snapToGrid w:val="0"/>
                    <w:spacing w:line="240" w:lineRule="auto"/>
                    <w:ind w:firstLine="0" w:firstLineChars="0"/>
                    <w:jc w:val="center"/>
                    <w:rPr>
                      <w:color w:val="auto"/>
                      <w:szCs w:val="21"/>
                    </w:rPr>
                  </w:pPr>
                  <w:r>
                    <w:rPr>
                      <w:color w:val="auto"/>
                      <w:szCs w:val="21"/>
                    </w:rPr>
                    <w:t>COD</w:t>
                  </w:r>
                </w:p>
              </w:tc>
              <w:tc>
                <w:tcPr>
                  <w:tcW w:w="1427" w:type="pct"/>
                  <w:vAlign w:val="center"/>
                </w:tcPr>
                <w:p w14:paraId="158647C6">
                  <w:pPr>
                    <w:keepNext w:val="0"/>
                    <w:keepLines w:val="0"/>
                    <w:widowControl/>
                    <w:suppressLineNumbers w:val="0"/>
                    <w:jc w:val="center"/>
                    <w:textAlignment w:val="center"/>
                    <w:rPr>
                      <w:rFonts w:hint="default" w:eastAsia="宋体"/>
                      <w:color w:val="auto"/>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400</w:t>
                  </w:r>
                </w:p>
              </w:tc>
              <w:tc>
                <w:tcPr>
                  <w:tcW w:w="2379" w:type="dxa"/>
                  <w:vAlign w:val="center"/>
                </w:tcPr>
                <w:p w14:paraId="6977547E">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0.0526</w:t>
                  </w:r>
                </w:p>
              </w:tc>
            </w:tr>
            <w:tr w14:paraId="795673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18" w:hRule="atLeast"/>
                <w:jc w:val="center"/>
              </w:trPr>
              <w:tc>
                <w:tcPr>
                  <w:tcW w:w="1060" w:type="pct"/>
                  <w:vMerge w:val="continue"/>
                  <w:vAlign w:val="center"/>
                </w:tcPr>
                <w:p w14:paraId="33FF0717">
                  <w:pPr>
                    <w:keepNext w:val="0"/>
                    <w:keepLines w:val="0"/>
                    <w:pageBreakBefore w:val="0"/>
                    <w:kinsoku/>
                    <w:wordWrap/>
                    <w:overflowPunct/>
                    <w:topLinePunct w:val="0"/>
                    <w:autoSpaceDE/>
                    <w:autoSpaceDN/>
                    <w:bidi w:val="0"/>
                    <w:adjustRightInd w:val="0"/>
                    <w:snapToGrid w:val="0"/>
                    <w:spacing w:line="240" w:lineRule="auto"/>
                    <w:ind w:firstLine="0" w:firstLineChars="0"/>
                    <w:jc w:val="center"/>
                    <w:rPr>
                      <w:color w:val="auto"/>
                      <w:szCs w:val="21"/>
                    </w:rPr>
                  </w:pPr>
                </w:p>
              </w:tc>
              <w:tc>
                <w:tcPr>
                  <w:tcW w:w="1084" w:type="pct"/>
                  <w:vAlign w:val="center"/>
                </w:tcPr>
                <w:p w14:paraId="6BA4CFCA">
                  <w:pPr>
                    <w:keepNext w:val="0"/>
                    <w:keepLines w:val="0"/>
                    <w:pageBreakBefore w:val="0"/>
                    <w:kinsoku/>
                    <w:wordWrap/>
                    <w:overflowPunct/>
                    <w:topLinePunct w:val="0"/>
                    <w:autoSpaceDE/>
                    <w:autoSpaceDN/>
                    <w:bidi w:val="0"/>
                    <w:adjustRightInd w:val="0"/>
                    <w:snapToGrid w:val="0"/>
                    <w:spacing w:line="240" w:lineRule="auto"/>
                    <w:ind w:firstLine="0" w:firstLineChars="0"/>
                    <w:jc w:val="center"/>
                    <w:rPr>
                      <w:color w:val="auto"/>
                      <w:szCs w:val="21"/>
                    </w:rPr>
                  </w:pPr>
                  <w:r>
                    <w:rPr>
                      <w:color w:val="auto"/>
                      <w:szCs w:val="21"/>
                    </w:rPr>
                    <w:t>BOD</w:t>
                  </w:r>
                  <w:r>
                    <w:rPr>
                      <w:color w:val="auto"/>
                      <w:szCs w:val="21"/>
                      <w:vertAlign w:val="subscript"/>
                    </w:rPr>
                    <w:t>5</w:t>
                  </w:r>
                </w:p>
              </w:tc>
              <w:tc>
                <w:tcPr>
                  <w:tcW w:w="1427" w:type="pct"/>
                  <w:vAlign w:val="center"/>
                </w:tcPr>
                <w:p w14:paraId="5EB08C4F">
                  <w:pPr>
                    <w:keepNext w:val="0"/>
                    <w:keepLines w:val="0"/>
                    <w:widowControl/>
                    <w:suppressLineNumbers w:val="0"/>
                    <w:jc w:val="center"/>
                    <w:textAlignment w:val="center"/>
                    <w:rPr>
                      <w:rFonts w:hint="default" w:eastAsia="宋体"/>
                      <w:color w:val="auto"/>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220</w:t>
                  </w:r>
                </w:p>
              </w:tc>
              <w:tc>
                <w:tcPr>
                  <w:tcW w:w="2379" w:type="dxa"/>
                  <w:vAlign w:val="center"/>
                </w:tcPr>
                <w:p w14:paraId="4B5E4B36">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0.0289</w:t>
                  </w:r>
                </w:p>
              </w:tc>
            </w:tr>
            <w:tr w14:paraId="5DDA01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1060" w:type="pct"/>
                  <w:vMerge w:val="continue"/>
                  <w:vAlign w:val="center"/>
                </w:tcPr>
                <w:p w14:paraId="5B92965A">
                  <w:pPr>
                    <w:keepNext w:val="0"/>
                    <w:keepLines w:val="0"/>
                    <w:pageBreakBefore w:val="0"/>
                    <w:kinsoku/>
                    <w:wordWrap/>
                    <w:overflowPunct/>
                    <w:topLinePunct w:val="0"/>
                    <w:autoSpaceDE/>
                    <w:autoSpaceDN/>
                    <w:bidi w:val="0"/>
                    <w:adjustRightInd w:val="0"/>
                    <w:snapToGrid w:val="0"/>
                    <w:spacing w:line="240" w:lineRule="auto"/>
                    <w:ind w:firstLine="0" w:firstLineChars="0"/>
                    <w:jc w:val="center"/>
                    <w:rPr>
                      <w:color w:val="auto"/>
                      <w:szCs w:val="21"/>
                    </w:rPr>
                  </w:pPr>
                </w:p>
              </w:tc>
              <w:tc>
                <w:tcPr>
                  <w:tcW w:w="1084" w:type="pct"/>
                  <w:vAlign w:val="center"/>
                </w:tcPr>
                <w:p w14:paraId="5B98006C">
                  <w:pPr>
                    <w:keepNext w:val="0"/>
                    <w:keepLines w:val="0"/>
                    <w:pageBreakBefore w:val="0"/>
                    <w:kinsoku/>
                    <w:wordWrap/>
                    <w:overflowPunct/>
                    <w:topLinePunct w:val="0"/>
                    <w:autoSpaceDE/>
                    <w:autoSpaceDN/>
                    <w:bidi w:val="0"/>
                    <w:adjustRightInd w:val="0"/>
                    <w:snapToGrid w:val="0"/>
                    <w:spacing w:line="240" w:lineRule="auto"/>
                    <w:ind w:firstLine="0" w:firstLineChars="0"/>
                    <w:jc w:val="center"/>
                    <w:rPr>
                      <w:color w:val="auto"/>
                      <w:szCs w:val="21"/>
                    </w:rPr>
                  </w:pPr>
                  <w:r>
                    <w:rPr>
                      <w:color w:val="auto"/>
                      <w:szCs w:val="21"/>
                    </w:rPr>
                    <w:t>NH</w:t>
                  </w:r>
                  <w:r>
                    <w:rPr>
                      <w:color w:val="auto"/>
                      <w:szCs w:val="21"/>
                      <w:vertAlign w:val="subscript"/>
                    </w:rPr>
                    <w:t>3</w:t>
                  </w:r>
                  <w:r>
                    <w:rPr>
                      <w:color w:val="auto"/>
                      <w:szCs w:val="21"/>
                    </w:rPr>
                    <w:t>-N</w:t>
                  </w:r>
                </w:p>
              </w:tc>
              <w:tc>
                <w:tcPr>
                  <w:tcW w:w="1427" w:type="pct"/>
                  <w:vAlign w:val="center"/>
                </w:tcPr>
                <w:p w14:paraId="214972CC">
                  <w:pPr>
                    <w:keepNext w:val="0"/>
                    <w:keepLines w:val="0"/>
                    <w:widowControl/>
                    <w:suppressLineNumbers w:val="0"/>
                    <w:jc w:val="center"/>
                    <w:textAlignment w:val="center"/>
                    <w:rPr>
                      <w:rFonts w:hint="default" w:eastAsia="宋体"/>
                      <w:color w:val="auto"/>
                      <w:kern w:val="0"/>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40</w:t>
                  </w:r>
                </w:p>
              </w:tc>
              <w:tc>
                <w:tcPr>
                  <w:tcW w:w="2379" w:type="dxa"/>
                  <w:vAlign w:val="center"/>
                </w:tcPr>
                <w:p w14:paraId="0E5CC002">
                  <w:pPr>
                    <w:keepNext w:val="0"/>
                    <w:keepLines w:val="0"/>
                    <w:widowControl/>
                    <w:suppressLineNumbers w:val="0"/>
                    <w:jc w:val="center"/>
                    <w:textAlignment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0.0053</w:t>
                  </w:r>
                </w:p>
              </w:tc>
            </w:tr>
            <w:tr w14:paraId="78BC42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0" w:hRule="atLeast"/>
                <w:jc w:val="center"/>
              </w:trPr>
              <w:tc>
                <w:tcPr>
                  <w:tcW w:w="1060" w:type="pct"/>
                  <w:vMerge w:val="continue"/>
                  <w:vAlign w:val="center"/>
                </w:tcPr>
                <w:p w14:paraId="55A609BE">
                  <w:pPr>
                    <w:keepNext w:val="0"/>
                    <w:keepLines w:val="0"/>
                    <w:pageBreakBefore w:val="0"/>
                    <w:kinsoku/>
                    <w:wordWrap/>
                    <w:overflowPunct/>
                    <w:topLinePunct w:val="0"/>
                    <w:autoSpaceDE/>
                    <w:autoSpaceDN/>
                    <w:bidi w:val="0"/>
                    <w:adjustRightInd w:val="0"/>
                    <w:snapToGrid w:val="0"/>
                    <w:spacing w:line="240" w:lineRule="auto"/>
                    <w:ind w:firstLine="0" w:firstLineChars="0"/>
                    <w:jc w:val="center"/>
                    <w:rPr>
                      <w:color w:val="auto"/>
                      <w:szCs w:val="21"/>
                    </w:rPr>
                  </w:pPr>
                </w:p>
              </w:tc>
              <w:tc>
                <w:tcPr>
                  <w:tcW w:w="1084" w:type="pct"/>
                  <w:vAlign w:val="center"/>
                </w:tcPr>
                <w:p w14:paraId="1014E641">
                  <w:pPr>
                    <w:keepNext w:val="0"/>
                    <w:keepLines w:val="0"/>
                    <w:pageBreakBefore w:val="0"/>
                    <w:kinsoku/>
                    <w:wordWrap/>
                    <w:overflowPunct/>
                    <w:topLinePunct w:val="0"/>
                    <w:autoSpaceDE/>
                    <w:autoSpaceDN/>
                    <w:bidi w:val="0"/>
                    <w:adjustRightInd w:val="0"/>
                    <w:snapToGrid w:val="0"/>
                    <w:spacing w:line="240" w:lineRule="auto"/>
                    <w:ind w:firstLine="0" w:firstLineChars="0"/>
                    <w:jc w:val="center"/>
                    <w:rPr>
                      <w:color w:val="auto"/>
                      <w:szCs w:val="21"/>
                    </w:rPr>
                  </w:pPr>
                  <w:r>
                    <w:rPr>
                      <w:color w:val="auto"/>
                      <w:szCs w:val="21"/>
                    </w:rPr>
                    <w:t>SS</w:t>
                  </w:r>
                </w:p>
              </w:tc>
              <w:tc>
                <w:tcPr>
                  <w:tcW w:w="1427" w:type="pct"/>
                  <w:vAlign w:val="center"/>
                </w:tcPr>
                <w:p w14:paraId="5A69B10A">
                  <w:pPr>
                    <w:keepNext w:val="0"/>
                    <w:keepLines w:val="0"/>
                    <w:widowControl/>
                    <w:suppressLineNumbers w:val="0"/>
                    <w:jc w:val="center"/>
                    <w:textAlignment w:val="center"/>
                    <w:rPr>
                      <w:rFonts w:hint="default" w:eastAsia="宋体"/>
                      <w:color w:val="auto"/>
                      <w:kern w:val="0"/>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300</w:t>
                  </w:r>
                </w:p>
              </w:tc>
              <w:tc>
                <w:tcPr>
                  <w:tcW w:w="2379" w:type="dxa"/>
                  <w:vAlign w:val="center"/>
                </w:tcPr>
                <w:p w14:paraId="10D063BC">
                  <w:pPr>
                    <w:keepNext w:val="0"/>
                    <w:keepLines w:val="0"/>
                    <w:widowControl/>
                    <w:suppressLineNumbers w:val="0"/>
                    <w:jc w:val="center"/>
                    <w:textAlignment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0.0395</w:t>
                  </w:r>
                </w:p>
              </w:tc>
            </w:tr>
            <w:tr w14:paraId="52D57D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0" w:hRule="atLeast"/>
                <w:jc w:val="center"/>
              </w:trPr>
              <w:tc>
                <w:tcPr>
                  <w:tcW w:w="1060" w:type="pct"/>
                  <w:vMerge w:val="continue"/>
                  <w:vAlign w:val="center"/>
                </w:tcPr>
                <w:p w14:paraId="39B71C0A">
                  <w:pPr>
                    <w:keepNext w:val="0"/>
                    <w:keepLines w:val="0"/>
                    <w:pageBreakBefore w:val="0"/>
                    <w:kinsoku/>
                    <w:wordWrap/>
                    <w:overflowPunct/>
                    <w:topLinePunct w:val="0"/>
                    <w:autoSpaceDE/>
                    <w:autoSpaceDN/>
                    <w:bidi w:val="0"/>
                    <w:adjustRightInd w:val="0"/>
                    <w:snapToGrid w:val="0"/>
                    <w:spacing w:line="240" w:lineRule="auto"/>
                    <w:ind w:firstLine="0" w:firstLineChars="0"/>
                    <w:jc w:val="center"/>
                    <w:rPr>
                      <w:color w:val="auto"/>
                      <w:szCs w:val="21"/>
                    </w:rPr>
                  </w:pPr>
                </w:p>
              </w:tc>
              <w:tc>
                <w:tcPr>
                  <w:tcW w:w="1084" w:type="pct"/>
                  <w:vAlign w:val="center"/>
                </w:tcPr>
                <w:p w14:paraId="2B54BD90">
                  <w:pPr>
                    <w:keepNext w:val="0"/>
                    <w:keepLines w:val="0"/>
                    <w:pageBreakBefore w:val="0"/>
                    <w:kinsoku/>
                    <w:wordWrap/>
                    <w:overflowPunct/>
                    <w:topLinePunct w:val="0"/>
                    <w:autoSpaceDE/>
                    <w:autoSpaceDN/>
                    <w:bidi w:val="0"/>
                    <w:adjustRightInd w:val="0"/>
                    <w:snapToGrid w:val="0"/>
                    <w:spacing w:line="240" w:lineRule="auto"/>
                    <w:ind w:firstLine="0" w:firstLineChars="0"/>
                    <w:jc w:val="center"/>
                    <w:rPr>
                      <w:rFonts w:hint="default" w:eastAsia="宋体"/>
                      <w:color w:val="auto"/>
                      <w:szCs w:val="21"/>
                      <w:lang w:val="en-US" w:eastAsia="zh-CN"/>
                    </w:rPr>
                  </w:pPr>
                  <w:r>
                    <w:rPr>
                      <w:rFonts w:hint="eastAsia"/>
                      <w:color w:val="auto"/>
                      <w:szCs w:val="21"/>
                      <w:lang w:val="en-US" w:eastAsia="zh-CN"/>
                    </w:rPr>
                    <w:t>TP</w:t>
                  </w:r>
                </w:p>
              </w:tc>
              <w:tc>
                <w:tcPr>
                  <w:tcW w:w="1427" w:type="pct"/>
                  <w:vAlign w:val="center"/>
                </w:tcPr>
                <w:p w14:paraId="4AD0A402">
                  <w:pPr>
                    <w:keepNext w:val="0"/>
                    <w:keepLines w:val="0"/>
                    <w:widowControl/>
                    <w:suppressLineNumbers w:val="0"/>
                    <w:jc w:val="center"/>
                    <w:textAlignment w:val="center"/>
                    <w:rPr>
                      <w:rFonts w:hint="default" w:eastAsia="宋体"/>
                      <w:color w:val="auto"/>
                      <w:kern w:val="0"/>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4</w:t>
                  </w:r>
                </w:p>
              </w:tc>
              <w:tc>
                <w:tcPr>
                  <w:tcW w:w="2379" w:type="dxa"/>
                  <w:vAlign w:val="center"/>
                </w:tcPr>
                <w:p w14:paraId="53CAB5CE">
                  <w:pPr>
                    <w:keepNext w:val="0"/>
                    <w:keepLines w:val="0"/>
                    <w:widowControl/>
                    <w:suppressLineNumbers w:val="0"/>
                    <w:jc w:val="center"/>
                    <w:textAlignment w:val="center"/>
                    <w:rPr>
                      <w:rFonts w:hint="default" w:ascii="Times New Roman" w:hAnsi="Times New Roman" w:cs="Times New Roman"/>
                      <w:color w:val="auto"/>
                      <w:kern w:val="0"/>
                      <w:sz w:val="21"/>
                      <w:szCs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0.00</w:t>
                  </w:r>
                  <w:r>
                    <w:rPr>
                      <w:rFonts w:hint="eastAsia" w:cs="Times New Roman"/>
                      <w:i w:val="0"/>
                      <w:iCs w:val="0"/>
                      <w:color w:val="000000"/>
                      <w:kern w:val="0"/>
                      <w:sz w:val="21"/>
                      <w:szCs w:val="21"/>
                      <w:u w:val="none"/>
                      <w:lang w:val="en-US" w:eastAsia="zh-CN" w:bidi="ar"/>
                    </w:rPr>
                    <w:t>05</w:t>
                  </w:r>
                </w:p>
              </w:tc>
            </w:tr>
            <w:tr w14:paraId="484030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0" w:hRule="atLeast"/>
                <w:jc w:val="center"/>
              </w:trPr>
              <w:tc>
                <w:tcPr>
                  <w:tcW w:w="1060" w:type="pct"/>
                  <w:vMerge w:val="continue"/>
                  <w:vAlign w:val="center"/>
                </w:tcPr>
                <w:p w14:paraId="5DE852B6">
                  <w:pPr>
                    <w:keepNext w:val="0"/>
                    <w:keepLines w:val="0"/>
                    <w:pageBreakBefore w:val="0"/>
                    <w:kinsoku/>
                    <w:wordWrap/>
                    <w:overflowPunct/>
                    <w:topLinePunct w:val="0"/>
                    <w:autoSpaceDE/>
                    <w:autoSpaceDN/>
                    <w:bidi w:val="0"/>
                    <w:adjustRightInd w:val="0"/>
                    <w:snapToGrid w:val="0"/>
                    <w:spacing w:line="240" w:lineRule="auto"/>
                    <w:ind w:firstLine="0" w:firstLineChars="0"/>
                    <w:jc w:val="center"/>
                    <w:rPr>
                      <w:color w:val="auto"/>
                      <w:szCs w:val="21"/>
                    </w:rPr>
                  </w:pPr>
                </w:p>
              </w:tc>
              <w:tc>
                <w:tcPr>
                  <w:tcW w:w="1084" w:type="pct"/>
                  <w:vAlign w:val="center"/>
                </w:tcPr>
                <w:p w14:paraId="2E238C1C">
                  <w:pPr>
                    <w:keepNext w:val="0"/>
                    <w:keepLines w:val="0"/>
                    <w:pageBreakBefore w:val="0"/>
                    <w:kinsoku/>
                    <w:wordWrap/>
                    <w:overflowPunct/>
                    <w:topLinePunct w:val="0"/>
                    <w:autoSpaceDE/>
                    <w:autoSpaceDN/>
                    <w:bidi w:val="0"/>
                    <w:adjustRightInd w:val="0"/>
                    <w:snapToGrid w:val="0"/>
                    <w:spacing w:line="240" w:lineRule="auto"/>
                    <w:ind w:firstLine="0" w:firstLineChars="0"/>
                    <w:jc w:val="center"/>
                    <w:rPr>
                      <w:rFonts w:hint="default" w:eastAsia="宋体"/>
                      <w:color w:val="auto"/>
                      <w:szCs w:val="21"/>
                      <w:lang w:val="en-US" w:eastAsia="zh-CN"/>
                    </w:rPr>
                  </w:pPr>
                  <w:r>
                    <w:rPr>
                      <w:rFonts w:hint="eastAsia"/>
                      <w:color w:val="auto"/>
                      <w:szCs w:val="21"/>
                      <w:lang w:val="en-US" w:eastAsia="zh-CN"/>
                    </w:rPr>
                    <w:t>TN</w:t>
                  </w:r>
                </w:p>
              </w:tc>
              <w:tc>
                <w:tcPr>
                  <w:tcW w:w="1427" w:type="pct"/>
                  <w:vAlign w:val="center"/>
                </w:tcPr>
                <w:p w14:paraId="7CAF84B0">
                  <w:pPr>
                    <w:keepNext w:val="0"/>
                    <w:keepLines w:val="0"/>
                    <w:widowControl/>
                    <w:suppressLineNumbers w:val="0"/>
                    <w:jc w:val="center"/>
                    <w:textAlignment w:val="center"/>
                    <w:rPr>
                      <w:rFonts w:hint="default" w:eastAsia="宋体"/>
                      <w:color w:val="auto"/>
                      <w:kern w:val="0"/>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4</w:t>
                  </w:r>
                  <w:r>
                    <w:rPr>
                      <w:rFonts w:hint="eastAsia" w:cs="Times New Roman"/>
                      <w:i w:val="0"/>
                      <w:iCs w:val="0"/>
                      <w:color w:val="auto"/>
                      <w:kern w:val="0"/>
                      <w:sz w:val="21"/>
                      <w:szCs w:val="21"/>
                      <w:u w:val="none"/>
                      <w:lang w:val="en-US" w:eastAsia="zh-CN" w:bidi="ar"/>
                    </w:rPr>
                    <w:t>5</w:t>
                  </w:r>
                </w:p>
              </w:tc>
              <w:tc>
                <w:tcPr>
                  <w:tcW w:w="2379" w:type="dxa"/>
                  <w:vAlign w:val="center"/>
                </w:tcPr>
                <w:p w14:paraId="4EB28D40">
                  <w:pPr>
                    <w:keepNext w:val="0"/>
                    <w:keepLines w:val="0"/>
                    <w:widowControl/>
                    <w:suppressLineNumbers w:val="0"/>
                    <w:jc w:val="center"/>
                    <w:textAlignment w:val="center"/>
                    <w:rPr>
                      <w:rFonts w:hint="default" w:ascii="Times New Roman" w:hAnsi="Times New Roman" w:cs="Times New Roman"/>
                      <w:color w:val="auto"/>
                      <w:kern w:val="0"/>
                      <w:sz w:val="21"/>
                      <w:szCs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0.00</w:t>
                  </w:r>
                  <w:r>
                    <w:rPr>
                      <w:rFonts w:hint="eastAsia" w:cs="Times New Roman"/>
                      <w:i w:val="0"/>
                      <w:iCs w:val="0"/>
                      <w:color w:val="000000"/>
                      <w:kern w:val="0"/>
                      <w:sz w:val="21"/>
                      <w:szCs w:val="21"/>
                      <w:u w:val="none"/>
                      <w:lang w:val="en-US" w:eastAsia="zh-CN" w:bidi="ar"/>
                    </w:rPr>
                    <w:t>59</w:t>
                  </w:r>
                </w:p>
              </w:tc>
            </w:tr>
          </w:tbl>
          <w:p w14:paraId="39858101">
            <w:pPr>
              <w:numPr>
                <w:ilvl w:val="0"/>
                <w:numId w:val="0"/>
              </w:numPr>
              <w:spacing w:line="360" w:lineRule="auto"/>
              <w:ind w:leftChars="200"/>
              <w:rPr>
                <w:color w:val="auto"/>
                <w:kern w:val="0"/>
                <w:sz w:val="24"/>
                <w:szCs w:val="20"/>
              </w:rPr>
            </w:pPr>
            <w:r>
              <w:rPr>
                <w:rFonts w:hint="eastAsia"/>
                <w:color w:val="auto"/>
                <w:kern w:val="0"/>
                <w:sz w:val="24"/>
                <w:szCs w:val="20"/>
                <w:lang w:eastAsia="zh-CN"/>
              </w:rPr>
              <w:t>（</w:t>
            </w:r>
            <w:r>
              <w:rPr>
                <w:rFonts w:hint="eastAsia"/>
                <w:color w:val="auto"/>
                <w:kern w:val="0"/>
                <w:sz w:val="24"/>
                <w:szCs w:val="20"/>
                <w:lang w:val="en-US" w:eastAsia="zh-CN"/>
              </w:rPr>
              <w:t>2</w:t>
            </w:r>
            <w:r>
              <w:rPr>
                <w:rFonts w:hint="eastAsia"/>
                <w:color w:val="auto"/>
                <w:kern w:val="0"/>
                <w:sz w:val="24"/>
                <w:szCs w:val="20"/>
                <w:lang w:eastAsia="zh-CN"/>
              </w:rPr>
              <w:t>）</w:t>
            </w:r>
            <w:r>
              <w:rPr>
                <w:color w:val="auto"/>
                <w:kern w:val="0"/>
                <w:sz w:val="24"/>
                <w:szCs w:val="20"/>
              </w:rPr>
              <w:t>达标排放分析</w:t>
            </w:r>
          </w:p>
          <w:p w14:paraId="1C0A4C32">
            <w:pPr>
              <w:numPr>
                <w:ilvl w:val="0"/>
                <w:numId w:val="0"/>
              </w:numPr>
              <w:spacing w:line="360" w:lineRule="auto"/>
              <w:ind w:firstLine="480" w:firstLineChars="200"/>
              <w:rPr>
                <w:color w:val="auto"/>
                <w:kern w:val="0"/>
                <w:sz w:val="24"/>
                <w:szCs w:val="20"/>
              </w:rPr>
            </w:pPr>
            <w:r>
              <w:rPr>
                <w:rFonts w:hint="eastAsia"/>
                <w:color w:val="auto"/>
                <w:kern w:val="0"/>
                <w:sz w:val="24"/>
              </w:rPr>
              <w:t>根据工程分析，项目废水中各污染因子的排放浓度均满足《污水综合排放标准》（GB8978-1996）三级标准及《污水排入城镇下水道水质标准》（GB/T31962-2015）中相关限值要求。</w:t>
            </w:r>
          </w:p>
          <w:p w14:paraId="09B136B2">
            <w:pPr>
              <w:spacing w:line="360" w:lineRule="auto"/>
              <w:ind w:firstLine="480" w:firstLineChars="200"/>
              <w:rPr>
                <w:rFonts w:hint="eastAsia" w:eastAsia="宋体"/>
                <w:color w:val="auto"/>
                <w:kern w:val="0"/>
                <w:sz w:val="24"/>
                <w:lang w:val="en-US" w:eastAsia="zh-CN"/>
              </w:rPr>
            </w:pPr>
            <w:r>
              <w:rPr>
                <w:color w:val="auto"/>
                <w:kern w:val="0"/>
                <w:sz w:val="24"/>
                <w:szCs w:val="20"/>
              </w:rPr>
              <w:t>（</w:t>
            </w:r>
            <w:r>
              <w:rPr>
                <w:rFonts w:hint="eastAsia"/>
                <w:color w:val="auto"/>
                <w:kern w:val="0"/>
                <w:sz w:val="24"/>
                <w:szCs w:val="20"/>
                <w:lang w:val="en-US" w:eastAsia="zh-CN"/>
              </w:rPr>
              <w:t>3</w:t>
            </w:r>
            <w:r>
              <w:rPr>
                <w:color w:val="auto"/>
                <w:kern w:val="0"/>
                <w:sz w:val="24"/>
                <w:szCs w:val="20"/>
              </w:rPr>
              <w:t>）</w:t>
            </w:r>
            <w:r>
              <w:rPr>
                <w:color w:val="auto"/>
                <w:kern w:val="0"/>
                <w:sz w:val="24"/>
              </w:rPr>
              <w:t>依托</w:t>
            </w:r>
            <w:r>
              <w:rPr>
                <w:rFonts w:hint="eastAsia"/>
                <w:color w:val="auto"/>
                <w:kern w:val="0"/>
                <w:sz w:val="24"/>
              </w:rPr>
              <w:t>污水处理</w:t>
            </w:r>
            <w:r>
              <w:rPr>
                <w:rFonts w:hint="eastAsia"/>
                <w:color w:val="auto"/>
                <w:kern w:val="0"/>
                <w:sz w:val="24"/>
                <w:lang w:val="en-US" w:eastAsia="zh-CN"/>
              </w:rPr>
              <w:t>设施</w:t>
            </w:r>
            <w:r>
              <w:rPr>
                <w:rFonts w:hint="eastAsia"/>
                <w:color w:val="auto"/>
                <w:kern w:val="0"/>
                <w:sz w:val="24"/>
              </w:rPr>
              <w:t>的</w:t>
            </w:r>
            <w:r>
              <w:rPr>
                <w:color w:val="auto"/>
                <w:kern w:val="0"/>
                <w:sz w:val="24"/>
              </w:rPr>
              <w:t>可行性</w:t>
            </w:r>
            <w:r>
              <w:rPr>
                <w:rFonts w:hint="eastAsia"/>
                <w:color w:val="auto"/>
                <w:kern w:val="0"/>
                <w:sz w:val="24"/>
                <w:lang w:val="en-US" w:eastAsia="zh-CN"/>
              </w:rPr>
              <w:t>分析</w:t>
            </w:r>
          </w:p>
          <w:p w14:paraId="5D84EEEC">
            <w:pPr>
              <w:spacing w:line="360" w:lineRule="auto"/>
              <w:ind w:firstLine="480" w:firstLineChars="200"/>
              <w:rPr>
                <w:rFonts w:hint="default" w:eastAsia="宋体"/>
                <w:color w:val="auto"/>
                <w:kern w:val="0"/>
                <w:sz w:val="24"/>
                <w:lang w:val="en-US" w:eastAsia="zh-CN"/>
              </w:rPr>
            </w:pPr>
            <w:r>
              <w:rPr>
                <w:rFonts w:hint="eastAsia"/>
                <w:color w:val="auto"/>
                <w:kern w:val="0"/>
                <w:sz w:val="24"/>
                <w:szCs w:val="20"/>
              </w:rPr>
              <w:t>本项目产生的</w:t>
            </w:r>
            <w:r>
              <w:rPr>
                <w:rFonts w:hint="eastAsia"/>
                <w:color w:val="auto"/>
                <w:kern w:val="0"/>
                <w:sz w:val="24"/>
              </w:rPr>
              <w:t>生活污水</w:t>
            </w:r>
            <w:r>
              <w:rPr>
                <w:rFonts w:hint="eastAsia"/>
                <w:color w:val="auto"/>
                <w:kern w:val="0"/>
                <w:sz w:val="24"/>
                <w:lang w:val="en-US" w:eastAsia="zh-CN"/>
              </w:rPr>
              <w:t>依托陕西重型机械制造有限公司化粪池处理</w:t>
            </w:r>
            <w:r>
              <w:rPr>
                <w:rFonts w:hint="eastAsia"/>
                <w:color w:val="auto"/>
                <w:sz w:val="24"/>
                <w:lang w:val="en-US" w:eastAsia="zh-CN"/>
              </w:rPr>
              <w:t>，</w:t>
            </w:r>
            <w:r>
              <w:rPr>
                <w:rFonts w:hint="eastAsia" w:ascii="Times New Roman" w:hAnsi="Times New Roman" w:eastAsia="宋体" w:cs="Times New Roman"/>
                <w:color w:val="auto"/>
                <w:kern w:val="0"/>
                <w:sz w:val="24"/>
              </w:rPr>
              <w:t>根据建设单</w:t>
            </w:r>
            <w:r>
              <w:rPr>
                <w:rFonts w:hint="eastAsia"/>
                <w:color w:val="auto"/>
                <w:kern w:val="0"/>
                <w:sz w:val="24"/>
                <w:szCs w:val="20"/>
              </w:rPr>
              <w:t>位提供</w:t>
            </w:r>
            <w:r>
              <w:rPr>
                <w:rFonts w:hint="eastAsia"/>
                <w:color w:val="auto"/>
                <w:kern w:val="0"/>
                <w:sz w:val="24"/>
                <w:szCs w:val="20"/>
                <w:lang w:val="en-US" w:eastAsia="zh-CN"/>
              </w:rPr>
              <w:t>资料</w:t>
            </w:r>
            <w:r>
              <w:rPr>
                <w:rFonts w:hint="eastAsia"/>
                <w:color w:val="auto"/>
                <w:kern w:val="0"/>
                <w:sz w:val="24"/>
                <w:szCs w:val="20"/>
              </w:rPr>
              <w:t>，</w:t>
            </w:r>
            <w:r>
              <w:rPr>
                <w:rFonts w:hint="eastAsia"/>
                <w:color w:val="auto"/>
                <w:kern w:val="0"/>
                <w:sz w:val="24"/>
                <w:lang w:val="en-US" w:eastAsia="zh-CN"/>
              </w:rPr>
              <w:t>陕西重型机械制造有限公司化粪池</w:t>
            </w:r>
            <w:r>
              <w:rPr>
                <w:color w:val="auto"/>
                <w:sz w:val="24"/>
                <w:lang w:bidi="ar"/>
              </w:rPr>
              <w:t>容积为</w:t>
            </w:r>
            <w:r>
              <w:rPr>
                <w:rFonts w:hint="eastAsia"/>
                <w:color w:val="auto"/>
                <w:sz w:val="24"/>
                <w:lang w:val="en-US" w:eastAsia="zh-CN" w:bidi="ar"/>
              </w:rPr>
              <w:t>100</w:t>
            </w:r>
            <w:r>
              <w:rPr>
                <w:color w:val="auto"/>
                <w:sz w:val="24"/>
                <w:lang w:bidi="ar"/>
              </w:rPr>
              <w:t>m</w:t>
            </w:r>
            <w:r>
              <w:rPr>
                <w:color w:val="auto"/>
                <w:sz w:val="24"/>
                <w:vertAlign w:val="superscript"/>
                <w:lang w:bidi="ar"/>
              </w:rPr>
              <w:t>3</w:t>
            </w:r>
            <w:r>
              <w:rPr>
                <w:color w:val="auto"/>
                <w:sz w:val="24"/>
                <w:lang w:bidi="ar"/>
              </w:rPr>
              <w:t>，</w:t>
            </w:r>
            <w:r>
              <w:rPr>
                <w:rFonts w:hint="eastAsia"/>
                <w:color w:val="auto"/>
                <w:sz w:val="24"/>
                <w:lang w:val="en-US" w:eastAsia="zh-CN" w:bidi="ar"/>
              </w:rPr>
              <w:t>现有余量37</w:t>
            </w:r>
            <w:r>
              <w:rPr>
                <w:color w:val="auto"/>
                <w:sz w:val="24"/>
                <w:lang w:bidi="ar"/>
              </w:rPr>
              <w:t>m</w:t>
            </w:r>
            <w:r>
              <w:rPr>
                <w:color w:val="auto"/>
                <w:sz w:val="24"/>
                <w:vertAlign w:val="superscript"/>
                <w:lang w:bidi="ar"/>
              </w:rPr>
              <w:t>3</w:t>
            </w:r>
            <w:r>
              <w:rPr>
                <w:color w:val="auto"/>
                <w:sz w:val="24"/>
                <w:lang w:bidi="ar"/>
              </w:rPr>
              <w:t>，</w:t>
            </w:r>
            <w:r>
              <w:rPr>
                <w:rFonts w:hint="eastAsia"/>
                <w:color w:val="auto"/>
                <w:sz w:val="24"/>
                <w:lang w:val="en-US" w:eastAsia="zh-CN" w:bidi="ar"/>
              </w:rPr>
              <w:t>停留时间约12h，</w:t>
            </w:r>
            <w:r>
              <w:rPr>
                <w:rFonts w:hint="eastAsia" w:ascii="宋体" w:hAnsi="宋体" w:eastAsia="宋体" w:cs="宋体"/>
                <w:sz w:val="24"/>
                <w:szCs w:val="24"/>
                <w:lang w:val="en-US" w:eastAsia="zh-CN"/>
              </w:rPr>
              <w:t>本</w:t>
            </w:r>
            <w:r>
              <w:rPr>
                <w:rFonts w:hint="eastAsia"/>
                <w:color w:val="auto"/>
                <w:kern w:val="0"/>
                <w:sz w:val="24"/>
              </w:rPr>
              <w:t>项目生活污水产生量为</w:t>
            </w:r>
            <w:r>
              <w:rPr>
                <w:rFonts w:hint="eastAsia"/>
                <w:color w:val="auto"/>
                <w:kern w:val="0"/>
                <w:sz w:val="24"/>
                <w:lang w:val="en-US" w:eastAsia="zh-CN"/>
              </w:rPr>
              <w:t>1.4</w:t>
            </w:r>
            <w:r>
              <w:rPr>
                <w:rFonts w:hint="eastAsia"/>
                <w:color w:val="auto"/>
                <w:kern w:val="0"/>
                <w:sz w:val="24"/>
              </w:rPr>
              <w:t>m</w:t>
            </w:r>
            <w:r>
              <w:rPr>
                <w:rFonts w:hint="eastAsia"/>
                <w:color w:val="auto"/>
                <w:kern w:val="0"/>
                <w:sz w:val="24"/>
                <w:vertAlign w:val="superscript"/>
              </w:rPr>
              <w:t>3</w:t>
            </w:r>
            <w:r>
              <w:rPr>
                <w:rFonts w:hint="eastAsia"/>
                <w:color w:val="auto"/>
                <w:kern w:val="0"/>
                <w:sz w:val="24"/>
              </w:rPr>
              <w:t>/d，</w:t>
            </w:r>
            <w:r>
              <w:rPr>
                <w:rFonts w:hint="eastAsia"/>
                <w:color w:val="auto"/>
                <w:kern w:val="0"/>
                <w:sz w:val="24"/>
                <w:lang w:val="en-US" w:eastAsia="zh-CN"/>
              </w:rPr>
              <w:t>本项目生活污水产生量为0.438</w:t>
            </w:r>
            <w:r>
              <w:rPr>
                <w:rFonts w:hint="eastAsia"/>
                <w:color w:val="auto"/>
                <w:kern w:val="0"/>
                <w:sz w:val="24"/>
              </w:rPr>
              <w:t>m</w:t>
            </w:r>
            <w:r>
              <w:rPr>
                <w:rFonts w:hint="eastAsia"/>
                <w:color w:val="auto"/>
                <w:kern w:val="0"/>
                <w:sz w:val="24"/>
                <w:vertAlign w:val="superscript"/>
              </w:rPr>
              <w:t>3</w:t>
            </w:r>
            <w:r>
              <w:rPr>
                <w:rFonts w:hint="eastAsia"/>
                <w:color w:val="auto"/>
                <w:kern w:val="0"/>
                <w:sz w:val="24"/>
              </w:rPr>
              <w:t>/d，</w:t>
            </w:r>
            <w:r>
              <w:rPr>
                <w:color w:val="auto"/>
                <w:sz w:val="24"/>
                <w:lang w:bidi="ar"/>
              </w:rPr>
              <w:t>处理</w:t>
            </w:r>
            <w:r>
              <w:rPr>
                <w:rFonts w:hint="eastAsia"/>
                <w:color w:val="auto"/>
                <w:sz w:val="24"/>
                <w:lang w:val="en-US" w:eastAsia="zh-CN" w:bidi="ar"/>
              </w:rPr>
              <w:t>后达到</w:t>
            </w:r>
            <w:r>
              <w:rPr>
                <w:color w:val="auto"/>
                <w:sz w:val="24"/>
                <w:lang w:bidi="ar"/>
              </w:rPr>
              <w:t>《污水排入城镇下水道水质标准》（GB/T31962-2015）中B级标准及《污水综合排放标准》（GB8978-1996）三级标准后，通过市政污水管网排入</w:t>
            </w:r>
            <w:r>
              <w:rPr>
                <w:rFonts w:hint="eastAsia"/>
                <w:color w:val="auto"/>
                <w:kern w:val="0"/>
                <w:sz w:val="24"/>
                <w:lang w:val="en-US" w:eastAsia="zh-CN"/>
              </w:rPr>
              <w:t>西安工业资产经营公司泾河产业基地污水处理站</w:t>
            </w:r>
            <w:r>
              <w:rPr>
                <w:color w:val="auto"/>
                <w:sz w:val="24"/>
                <w:lang w:bidi="ar"/>
              </w:rPr>
              <w:t>处理达标后排放。同时项目所在地设有完善的市政管网，因此项目废水排放且处理达标是可行的</w:t>
            </w:r>
            <w:r>
              <w:rPr>
                <w:rFonts w:hint="eastAsia" w:ascii="Times New Roman" w:hAnsi="Times New Roman" w:eastAsia="宋体" w:cs="Times New Roman"/>
                <w:color w:val="auto"/>
                <w:kern w:val="0"/>
                <w:sz w:val="24"/>
                <w:highlight w:val="none"/>
              </w:rPr>
              <w:t>。</w:t>
            </w:r>
          </w:p>
          <w:p w14:paraId="7263127C">
            <w:pPr>
              <w:autoSpaceDE w:val="0"/>
              <w:autoSpaceDN w:val="0"/>
              <w:spacing w:line="360" w:lineRule="auto"/>
              <w:ind w:firstLine="480" w:firstLineChars="200"/>
              <w:textAlignment w:val="baseline"/>
              <w:rPr>
                <w:rFonts w:ascii="Times New Roman" w:cs="Times New Roman"/>
                <w:color w:val="auto"/>
                <w:kern w:val="2"/>
                <w:sz w:val="24"/>
                <w:szCs w:val="32"/>
                <w:lang w:bidi="ar"/>
              </w:rPr>
            </w:pPr>
            <w:r>
              <w:rPr>
                <w:rFonts w:ascii="Times New Roman" w:cs="Times New Roman"/>
                <w:color w:val="auto"/>
                <w:kern w:val="2"/>
                <w:sz w:val="24"/>
                <w:szCs w:val="32"/>
                <w:lang w:bidi="ar"/>
              </w:rPr>
              <w:t>西安工业资产经营公司泾河产业基地污水处理站位于泾河产业基地南侧，用于收集基地内企业的生活污水，设计处理能力为200m</w:t>
            </w:r>
            <w:r>
              <w:rPr>
                <w:rFonts w:ascii="Times New Roman" w:cs="Times New Roman"/>
                <w:color w:val="auto"/>
                <w:kern w:val="2"/>
                <w:sz w:val="24"/>
                <w:szCs w:val="32"/>
                <w:vertAlign w:val="superscript"/>
                <w:lang w:bidi="ar"/>
              </w:rPr>
              <w:t>3</w:t>
            </w:r>
            <w:r>
              <w:rPr>
                <w:rFonts w:ascii="Times New Roman" w:cs="Times New Roman"/>
                <w:color w:val="auto"/>
                <w:kern w:val="2"/>
                <w:sz w:val="24"/>
                <w:szCs w:val="32"/>
                <w:lang w:bidi="ar"/>
              </w:rPr>
              <w:t>/d，采用MBR生物膜处理工艺，根据现场勘查，现污水处理站的实际处理能力为170m</w:t>
            </w:r>
            <w:r>
              <w:rPr>
                <w:rFonts w:ascii="Times New Roman" w:cs="Times New Roman"/>
                <w:color w:val="auto"/>
                <w:kern w:val="2"/>
                <w:sz w:val="24"/>
                <w:szCs w:val="32"/>
                <w:vertAlign w:val="superscript"/>
                <w:lang w:bidi="ar"/>
              </w:rPr>
              <w:t>3</w:t>
            </w:r>
            <w:r>
              <w:rPr>
                <w:rFonts w:ascii="Times New Roman" w:cs="Times New Roman"/>
                <w:color w:val="auto"/>
                <w:kern w:val="2"/>
                <w:sz w:val="24"/>
                <w:szCs w:val="32"/>
                <w:lang w:bidi="ar"/>
              </w:rPr>
              <w:t>/d。本项目位于西安工业资产经营公司泾河产业基地内，在泾河产业基地污水处理站的收纳范围内，因此本项目污水依托泾河产业基地污水处理站措施可行。</w:t>
            </w:r>
          </w:p>
          <w:p w14:paraId="0CBC99AC">
            <w:pPr>
              <w:spacing w:line="360" w:lineRule="auto"/>
              <w:ind w:firstLine="480" w:firstLineChars="200"/>
              <w:rPr>
                <w:color w:val="auto"/>
                <w:kern w:val="0"/>
                <w:sz w:val="24"/>
                <w:szCs w:val="22"/>
              </w:rPr>
            </w:pPr>
            <w:r>
              <w:rPr>
                <w:color w:val="auto"/>
                <w:kern w:val="0"/>
                <w:sz w:val="24"/>
                <w:szCs w:val="22"/>
              </w:rPr>
              <w:t>污染源排放量核算结果及自查结果见下表。</w:t>
            </w:r>
          </w:p>
          <w:p w14:paraId="2EC22F2A">
            <w:pPr>
              <w:contextualSpacing/>
              <w:jc w:val="center"/>
              <w:rPr>
                <w:b/>
                <w:bCs/>
                <w:color w:val="auto"/>
                <w:kern w:val="0"/>
                <w:szCs w:val="21"/>
              </w:rPr>
            </w:pPr>
            <w:r>
              <w:rPr>
                <w:b/>
                <w:bCs/>
                <w:color w:val="auto"/>
                <w:kern w:val="0"/>
                <w:szCs w:val="21"/>
              </w:rPr>
              <w:t>表</w:t>
            </w:r>
            <w:r>
              <w:rPr>
                <w:rFonts w:hint="eastAsia"/>
                <w:b/>
                <w:bCs/>
                <w:color w:val="auto"/>
                <w:kern w:val="0"/>
                <w:szCs w:val="21"/>
              </w:rPr>
              <w:t>4-</w:t>
            </w:r>
            <w:r>
              <w:rPr>
                <w:rFonts w:hint="eastAsia"/>
                <w:b/>
                <w:bCs/>
                <w:color w:val="auto"/>
                <w:kern w:val="0"/>
                <w:szCs w:val="21"/>
                <w:lang w:val="en-US" w:eastAsia="zh-CN"/>
              </w:rPr>
              <w:t>6</w:t>
            </w:r>
            <w:r>
              <w:rPr>
                <w:rFonts w:hint="eastAsia"/>
                <w:b/>
                <w:bCs/>
                <w:color w:val="auto"/>
                <w:kern w:val="0"/>
                <w:szCs w:val="21"/>
              </w:rPr>
              <w:t xml:space="preserve">   </w:t>
            </w:r>
            <w:r>
              <w:rPr>
                <w:b/>
                <w:bCs/>
                <w:color w:val="auto"/>
                <w:kern w:val="0"/>
                <w:szCs w:val="21"/>
              </w:rPr>
              <w:t>废水类别、污染物及污染治理设施信息表</w:t>
            </w:r>
          </w:p>
          <w:tbl>
            <w:tblPr>
              <w:tblStyle w:val="17"/>
              <w:tblW w:w="498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344"/>
              <w:gridCol w:w="456"/>
              <w:gridCol w:w="1025"/>
              <w:gridCol w:w="509"/>
              <w:gridCol w:w="539"/>
              <w:gridCol w:w="899"/>
              <w:gridCol w:w="916"/>
              <w:gridCol w:w="871"/>
              <w:gridCol w:w="461"/>
              <w:gridCol w:w="745"/>
              <w:gridCol w:w="1491"/>
            </w:tblGrid>
            <w:tr w14:paraId="1A3A67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209" w:type="pct"/>
                  <w:vMerge w:val="restart"/>
                  <w:vAlign w:val="center"/>
                </w:tcPr>
                <w:p w14:paraId="726DB94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color w:val="auto"/>
                      <w:kern w:val="0"/>
                      <w:szCs w:val="21"/>
                    </w:rPr>
                  </w:pPr>
                  <w:r>
                    <w:rPr>
                      <w:rFonts w:hint="eastAsia"/>
                      <w:color w:val="auto"/>
                      <w:kern w:val="0"/>
                      <w:szCs w:val="21"/>
                    </w:rPr>
                    <w:t>序号</w:t>
                  </w:r>
                </w:p>
              </w:tc>
              <w:tc>
                <w:tcPr>
                  <w:tcW w:w="276" w:type="pct"/>
                  <w:vMerge w:val="restart"/>
                  <w:vAlign w:val="center"/>
                </w:tcPr>
                <w:p w14:paraId="2B2CE1CC">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color w:val="auto"/>
                      <w:kern w:val="0"/>
                      <w:szCs w:val="21"/>
                    </w:rPr>
                  </w:pPr>
                  <w:r>
                    <w:rPr>
                      <w:rFonts w:hint="eastAsia"/>
                      <w:color w:val="auto"/>
                      <w:kern w:val="0"/>
                      <w:szCs w:val="21"/>
                    </w:rPr>
                    <w:t>废水类别</w:t>
                  </w:r>
                </w:p>
              </w:tc>
              <w:tc>
                <w:tcPr>
                  <w:tcW w:w="620" w:type="pct"/>
                  <w:vMerge w:val="restart"/>
                  <w:vAlign w:val="center"/>
                </w:tcPr>
                <w:p w14:paraId="005AAC6B">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color w:val="auto"/>
                      <w:kern w:val="0"/>
                      <w:szCs w:val="21"/>
                    </w:rPr>
                  </w:pPr>
                  <w:r>
                    <w:rPr>
                      <w:rFonts w:hint="eastAsia"/>
                      <w:color w:val="auto"/>
                      <w:kern w:val="0"/>
                      <w:szCs w:val="21"/>
                    </w:rPr>
                    <w:t>污染物种类</w:t>
                  </w:r>
                </w:p>
              </w:tc>
              <w:tc>
                <w:tcPr>
                  <w:tcW w:w="308" w:type="pct"/>
                  <w:vMerge w:val="restart"/>
                  <w:vAlign w:val="center"/>
                </w:tcPr>
                <w:p w14:paraId="09CC243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color w:val="auto"/>
                      <w:kern w:val="0"/>
                      <w:szCs w:val="21"/>
                    </w:rPr>
                  </w:pPr>
                  <w:r>
                    <w:rPr>
                      <w:rFonts w:hint="eastAsia"/>
                      <w:color w:val="auto"/>
                      <w:kern w:val="0"/>
                      <w:szCs w:val="21"/>
                    </w:rPr>
                    <w:t>排放去向</w:t>
                  </w:r>
                </w:p>
              </w:tc>
              <w:tc>
                <w:tcPr>
                  <w:tcW w:w="326" w:type="pct"/>
                  <w:vMerge w:val="restart"/>
                  <w:vAlign w:val="center"/>
                </w:tcPr>
                <w:p w14:paraId="7ECEFD3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color w:val="auto"/>
                      <w:kern w:val="0"/>
                      <w:szCs w:val="21"/>
                    </w:rPr>
                  </w:pPr>
                  <w:r>
                    <w:rPr>
                      <w:rFonts w:hint="eastAsia"/>
                      <w:color w:val="auto"/>
                      <w:kern w:val="0"/>
                      <w:szCs w:val="21"/>
                    </w:rPr>
                    <w:t>排放规律</w:t>
                  </w:r>
                </w:p>
              </w:tc>
              <w:tc>
                <w:tcPr>
                  <w:tcW w:w="1625" w:type="pct"/>
                  <w:gridSpan w:val="3"/>
                  <w:vAlign w:val="center"/>
                </w:tcPr>
                <w:p w14:paraId="4D2BA47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color w:val="auto"/>
                      <w:kern w:val="0"/>
                      <w:szCs w:val="21"/>
                    </w:rPr>
                  </w:pPr>
                  <w:r>
                    <w:rPr>
                      <w:rFonts w:hint="eastAsia"/>
                      <w:color w:val="auto"/>
                      <w:kern w:val="0"/>
                      <w:szCs w:val="21"/>
                    </w:rPr>
                    <w:t>污染治理设施</w:t>
                  </w:r>
                </w:p>
              </w:tc>
              <w:tc>
                <w:tcPr>
                  <w:tcW w:w="279" w:type="pct"/>
                  <w:vMerge w:val="restart"/>
                  <w:vAlign w:val="center"/>
                </w:tcPr>
                <w:p w14:paraId="0231A2AC">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color w:val="auto"/>
                      <w:kern w:val="0"/>
                      <w:szCs w:val="21"/>
                    </w:rPr>
                  </w:pPr>
                  <w:r>
                    <w:rPr>
                      <w:rFonts w:hint="eastAsia"/>
                      <w:color w:val="auto"/>
                      <w:kern w:val="0"/>
                      <w:szCs w:val="21"/>
                    </w:rPr>
                    <w:t>排放口编号</w:t>
                  </w:r>
                </w:p>
              </w:tc>
              <w:tc>
                <w:tcPr>
                  <w:tcW w:w="451" w:type="pct"/>
                  <w:vMerge w:val="restart"/>
                  <w:vAlign w:val="center"/>
                </w:tcPr>
                <w:p w14:paraId="203EAAF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color w:val="auto"/>
                      <w:kern w:val="0"/>
                      <w:szCs w:val="21"/>
                    </w:rPr>
                  </w:pPr>
                  <w:r>
                    <w:rPr>
                      <w:rFonts w:hint="eastAsia"/>
                      <w:color w:val="auto"/>
                      <w:kern w:val="0"/>
                      <w:szCs w:val="21"/>
                    </w:rPr>
                    <w:t>排放口设置是否符合要求</w:t>
                  </w:r>
                </w:p>
              </w:tc>
              <w:tc>
                <w:tcPr>
                  <w:tcW w:w="902" w:type="pct"/>
                  <w:vMerge w:val="restart"/>
                  <w:vAlign w:val="center"/>
                </w:tcPr>
                <w:p w14:paraId="4781C82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color w:val="auto"/>
                      <w:kern w:val="0"/>
                      <w:szCs w:val="21"/>
                    </w:rPr>
                  </w:pPr>
                  <w:r>
                    <w:rPr>
                      <w:rFonts w:hint="eastAsia"/>
                      <w:color w:val="auto"/>
                      <w:kern w:val="0"/>
                      <w:szCs w:val="21"/>
                    </w:rPr>
                    <w:t>排放口类型</w:t>
                  </w:r>
                </w:p>
              </w:tc>
            </w:tr>
            <w:tr w14:paraId="6397F2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209" w:type="pct"/>
                  <w:vMerge w:val="continue"/>
                  <w:vAlign w:val="center"/>
                </w:tcPr>
                <w:p w14:paraId="13644FB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color w:val="auto"/>
                      <w:kern w:val="0"/>
                      <w:szCs w:val="21"/>
                    </w:rPr>
                  </w:pPr>
                </w:p>
              </w:tc>
              <w:tc>
                <w:tcPr>
                  <w:tcW w:w="276" w:type="pct"/>
                  <w:vMerge w:val="continue"/>
                  <w:vAlign w:val="center"/>
                </w:tcPr>
                <w:p w14:paraId="7055C739">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color w:val="auto"/>
                      <w:kern w:val="0"/>
                      <w:szCs w:val="21"/>
                    </w:rPr>
                  </w:pPr>
                </w:p>
              </w:tc>
              <w:tc>
                <w:tcPr>
                  <w:tcW w:w="620" w:type="pct"/>
                  <w:vMerge w:val="continue"/>
                  <w:vAlign w:val="center"/>
                </w:tcPr>
                <w:p w14:paraId="68CA1FFC">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color w:val="auto"/>
                      <w:kern w:val="0"/>
                      <w:szCs w:val="21"/>
                    </w:rPr>
                  </w:pPr>
                </w:p>
              </w:tc>
              <w:tc>
                <w:tcPr>
                  <w:tcW w:w="308" w:type="pct"/>
                  <w:vMerge w:val="continue"/>
                  <w:vAlign w:val="center"/>
                </w:tcPr>
                <w:p w14:paraId="4939403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color w:val="auto"/>
                      <w:kern w:val="0"/>
                      <w:szCs w:val="21"/>
                    </w:rPr>
                  </w:pPr>
                </w:p>
              </w:tc>
              <w:tc>
                <w:tcPr>
                  <w:tcW w:w="326" w:type="pct"/>
                  <w:vMerge w:val="continue"/>
                  <w:vAlign w:val="center"/>
                </w:tcPr>
                <w:p w14:paraId="043DA2B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color w:val="auto"/>
                      <w:kern w:val="0"/>
                      <w:szCs w:val="21"/>
                    </w:rPr>
                  </w:pPr>
                </w:p>
              </w:tc>
              <w:tc>
                <w:tcPr>
                  <w:tcW w:w="544" w:type="pct"/>
                  <w:vAlign w:val="center"/>
                </w:tcPr>
                <w:p w14:paraId="7AA95D4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color w:val="auto"/>
                      <w:kern w:val="0"/>
                      <w:szCs w:val="21"/>
                    </w:rPr>
                  </w:pPr>
                  <w:r>
                    <w:rPr>
                      <w:rFonts w:hint="eastAsia"/>
                      <w:color w:val="auto"/>
                      <w:kern w:val="0"/>
                      <w:szCs w:val="21"/>
                    </w:rPr>
                    <w:t>污染治理设施编号</w:t>
                  </w:r>
                </w:p>
              </w:tc>
              <w:tc>
                <w:tcPr>
                  <w:tcW w:w="554" w:type="pct"/>
                  <w:vAlign w:val="center"/>
                </w:tcPr>
                <w:p w14:paraId="2EFC59F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color w:val="auto"/>
                      <w:kern w:val="0"/>
                      <w:szCs w:val="21"/>
                    </w:rPr>
                  </w:pPr>
                  <w:r>
                    <w:rPr>
                      <w:rFonts w:hint="eastAsia"/>
                      <w:color w:val="auto"/>
                      <w:kern w:val="0"/>
                      <w:szCs w:val="21"/>
                    </w:rPr>
                    <w:t>污染治理设施名称</w:t>
                  </w:r>
                </w:p>
              </w:tc>
              <w:tc>
                <w:tcPr>
                  <w:tcW w:w="526" w:type="pct"/>
                  <w:vAlign w:val="center"/>
                </w:tcPr>
                <w:p w14:paraId="03B1C8C9">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color w:val="auto"/>
                      <w:kern w:val="0"/>
                      <w:szCs w:val="21"/>
                    </w:rPr>
                  </w:pPr>
                  <w:r>
                    <w:rPr>
                      <w:rFonts w:hint="eastAsia"/>
                      <w:color w:val="auto"/>
                      <w:kern w:val="0"/>
                      <w:szCs w:val="21"/>
                    </w:rPr>
                    <w:t>污染治理设施工艺</w:t>
                  </w:r>
                </w:p>
              </w:tc>
              <w:tc>
                <w:tcPr>
                  <w:tcW w:w="279" w:type="pct"/>
                  <w:vMerge w:val="continue"/>
                  <w:vAlign w:val="center"/>
                </w:tcPr>
                <w:p w14:paraId="7AA1974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color w:val="auto"/>
                      <w:kern w:val="0"/>
                      <w:szCs w:val="21"/>
                    </w:rPr>
                  </w:pPr>
                </w:p>
              </w:tc>
              <w:tc>
                <w:tcPr>
                  <w:tcW w:w="451" w:type="pct"/>
                  <w:vMerge w:val="continue"/>
                  <w:vAlign w:val="center"/>
                </w:tcPr>
                <w:p w14:paraId="4C3B28C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color w:val="auto"/>
                      <w:kern w:val="0"/>
                      <w:szCs w:val="21"/>
                    </w:rPr>
                  </w:pPr>
                </w:p>
              </w:tc>
              <w:tc>
                <w:tcPr>
                  <w:tcW w:w="902" w:type="pct"/>
                  <w:vMerge w:val="continue"/>
                  <w:vAlign w:val="center"/>
                </w:tcPr>
                <w:p w14:paraId="2450E0C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color w:val="auto"/>
                      <w:kern w:val="0"/>
                      <w:szCs w:val="21"/>
                    </w:rPr>
                  </w:pPr>
                </w:p>
              </w:tc>
            </w:tr>
            <w:tr w14:paraId="7113E3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17" w:hRule="atLeast"/>
                <w:jc w:val="center"/>
              </w:trPr>
              <w:tc>
                <w:tcPr>
                  <w:tcW w:w="209" w:type="pct"/>
                  <w:vAlign w:val="center"/>
                </w:tcPr>
                <w:p w14:paraId="13CA04F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color w:val="auto"/>
                      <w:kern w:val="0"/>
                      <w:szCs w:val="21"/>
                    </w:rPr>
                  </w:pPr>
                  <w:r>
                    <w:rPr>
                      <w:rFonts w:hint="eastAsia"/>
                      <w:color w:val="auto"/>
                      <w:kern w:val="0"/>
                      <w:szCs w:val="21"/>
                    </w:rPr>
                    <w:t>1</w:t>
                  </w:r>
                </w:p>
              </w:tc>
              <w:tc>
                <w:tcPr>
                  <w:tcW w:w="276" w:type="pct"/>
                  <w:vAlign w:val="center"/>
                </w:tcPr>
                <w:p w14:paraId="1BF6D089">
                  <w:pPr>
                    <w:jc w:val="center"/>
                    <w:rPr>
                      <w:rFonts w:hint="default" w:ascii="Times New Roman" w:hAnsi="Times New Roman" w:eastAsia="宋体" w:cs="Times New Roman"/>
                      <w:color w:val="auto"/>
                      <w:kern w:val="0"/>
                      <w:sz w:val="21"/>
                      <w:szCs w:val="21"/>
                      <w:lang w:val="en-US" w:eastAsia="zh-CN" w:bidi="ar-SA"/>
                    </w:rPr>
                  </w:pPr>
                  <w:r>
                    <w:rPr>
                      <w:rFonts w:hint="eastAsia"/>
                      <w:color w:val="auto"/>
                      <w:kern w:val="0"/>
                      <w:szCs w:val="21"/>
                      <w:lang w:val="en-US" w:eastAsia="zh-CN"/>
                    </w:rPr>
                    <w:t>生活污水</w:t>
                  </w:r>
                </w:p>
              </w:tc>
              <w:tc>
                <w:tcPr>
                  <w:tcW w:w="620" w:type="pct"/>
                  <w:vAlign w:val="center"/>
                </w:tcPr>
                <w:p w14:paraId="613C2328">
                  <w:pPr>
                    <w:jc w:val="center"/>
                    <w:rPr>
                      <w:rFonts w:hint="default" w:ascii="Times New Roman" w:hAnsi="Times New Roman" w:eastAsia="宋体" w:cs="Times New Roman"/>
                      <w:color w:val="auto"/>
                      <w:kern w:val="0"/>
                      <w:sz w:val="21"/>
                      <w:szCs w:val="21"/>
                      <w:lang w:val="en-US" w:eastAsia="zh-CN" w:bidi="ar-SA"/>
                    </w:rPr>
                  </w:pPr>
                  <w:r>
                    <w:rPr>
                      <w:color w:val="auto"/>
                      <w:kern w:val="0"/>
                      <w:szCs w:val="21"/>
                    </w:rPr>
                    <w:t>COD、BOD</w:t>
                  </w:r>
                  <w:r>
                    <w:rPr>
                      <w:color w:val="auto"/>
                      <w:kern w:val="0"/>
                      <w:szCs w:val="21"/>
                      <w:vertAlign w:val="subscript"/>
                    </w:rPr>
                    <w:t>5</w:t>
                  </w:r>
                  <w:r>
                    <w:rPr>
                      <w:color w:val="auto"/>
                      <w:kern w:val="0"/>
                      <w:szCs w:val="21"/>
                    </w:rPr>
                    <w:t>、SS</w:t>
                  </w:r>
                  <w:r>
                    <w:rPr>
                      <w:rFonts w:hint="eastAsia"/>
                      <w:color w:val="auto"/>
                      <w:kern w:val="0"/>
                      <w:szCs w:val="21"/>
                    </w:rPr>
                    <w:t>、</w:t>
                  </w:r>
                  <w:r>
                    <w:rPr>
                      <w:color w:val="auto"/>
                      <w:kern w:val="0"/>
                      <w:szCs w:val="21"/>
                    </w:rPr>
                    <w:t>NH</w:t>
                  </w:r>
                  <w:r>
                    <w:rPr>
                      <w:color w:val="auto"/>
                      <w:kern w:val="0"/>
                      <w:szCs w:val="21"/>
                      <w:vertAlign w:val="subscript"/>
                    </w:rPr>
                    <w:t>3</w:t>
                  </w:r>
                  <w:r>
                    <w:rPr>
                      <w:color w:val="auto"/>
                      <w:kern w:val="0"/>
                      <w:szCs w:val="21"/>
                    </w:rPr>
                    <w:t>-N</w:t>
                  </w:r>
                  <w:r>
                    <w:rPr>
                      <w:rFonts w:hint="eastAsia"/>
                      <w:color w:val="auto"/>
                      <w:kern w:val="0"/>
                      <w:szCs w:val="21"/>
                      <w:lang w:val="en-US" w:eastAsia="zh-CN"/>
                    </w:rPr>
                    <w:t>、TP、TN等</w:t>
                  </w:r>
                </w:p>
              </w:tc>
              <w:tc>
                <w:tcPr>
                  <w:tcW w:w="308" w:type="pct"/>
                  <w:vAlign w:val="center"/>
                </w:tcPr>
                <w:p w14:paraId="113FABD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eastAsia="宋体"/>
                      <w:color w:val="auto"/>
                      <w:kern w:val="0"/>
                      <w:szCs w:val="21"/>
                      <w:lang w:val="en-US" w:eastAsia="zh-CN"/>
                    </w:rPr>
                  </w:pPr>
                  <w:r>
                    <w:rPr>
                      <w:rFonts w:hint="eastAsia" w:eastAsia="宋体"/>
                      <w:color w:val="auto"/>
                      <w:kern w:val="0"/>
                      <w:szCs w:val="21"/>
                      <w:lang w:val="en-US" w:eastAsia="zh-CN"/>
                    </w:rPr>
                    <w:t>泾河产业基地污水处理站</w:t>
                  </w:r>
                </w:p>
              </w:tc>
              <w:tc>
                <w:tcPr>
                  <w:tcW w:w="326" w:type="pct"/>
                  <w:vAlign w:val="center"/>
                </w:tcPr>
                <w:p w14:paraId="2EB905B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color w:val="auto"/>
                      <w:kern w:val="0"/>
                      <w:szCs w:val="21"/>
                    </w:rPr>
                  </w:pPr>
                  <w:r>
                    <w:rPr>
                      <w:rFonts w:hint="eastAsia"/>
                      <w:color w:val="auto"/>
                      <w:kern w:val="0"/>
                      <w:szCs w:val="21"/>
                    </w:rPr>
                    <w:t>间断排放</w:t>
                  </w:r>
                </w:p>
              </w:tc>
              <w:tc>
                <w:tcPr>
                  <w:tcW w:w="544" w:type="pct"/>
                  <w:vAlign w:val="center"/>
                </w:tcPr>
                <w:p w14:paraId="113942A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eastAsia="宋体"/>
                      <w:color w:val="auto"/>
                      <w:kern w:val="0"/>
                      <w:szCs w:val="21"/>
                      <w:lang w:val="en-US" w:eastAsia="zh-CN"/>
                    </w:rPr>
                  </w:pPr>
                  <w:r>
                    <w:rPr>
                      <w:rFonts w:hint="eastAsia"/>
                      <w:color w:val="auto"/>
                      <w:kern w:val="0"/>
                      <w:szCs w:val="21"/>
                      <w:lang w:val="en-US" w:eastAsia="zh-CN"/>
                    </w:rPr>
                    <w:t>/</w:t>
                  </w:r>
                </w:p>
              </w:tc>
              <w:tc>
                <w:tcPr>
                  <w:tcW w:w="554" w:type="pct"/>
                  <w:vAlign w:val="center"/>
                </w:tcPr>
                <w:p w14:paraId="38452F4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eastAsia="宋体"/>
                      <w:color w:val="auto"/>
                      <w:kern w:val="0"/>
                      <w:szCs w:val="21"/>
                      <w:lang w:eastAsia="zh-CN"/>
                    </w:rPr>
                  </w:pPr>
                  <w:r>
                    <w:rPr>
                      <w:rFonts w:hint="eastAsia"/>
                      <w:color w:val="auto"/>
                      <w:kern w:val="0"/>
                      <w:szCs w:val="21"/>
                      <w:lang w:val="en-US" w:eastAsia="zh-CN"/>
                    </w:rPr>
                    <w:t>/</w:t>
                  </w:r>
                </w:p>
              </w:tc>
              <w:tc>
                <w:tcPr>
                  <w:tcW w:w="526" w:type="pct"/>
                  <w:vAlign w:val="center"/>
                </w:tcPr>
                <w:p w14:paraId="01D033FB">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eastAsia="宋体"/>
                      <w:color w:val="auto"/>
                      <w:kern w:val="0"/>
                      <w:szCs w:val="21"/>
                      <w:lang w:eastAsia="zh-CN"/>
                    </w:rPr>
                  </w:pPr>
                  <w:r>
                    <w:rPr>
                      <w:rFonts w:hint="eastAsia"/>
                      <w:color w:val="auto"/>
                      <w:kern w:val="0"/>
                      <w:szCs w:val="21"/>
                      <w:lang w:val="en-US" w:eastAsia="zh-CN"/>
                    </w:rPr>
                    <w:t>/</w:t>
                  </w:r>
                </w:p>
              </w:tc>
              <w:tc>
                <w:tcPr>
                  <w:tcW w:w="279" w:type="pct"/>
                  <w:vAlign w:val="center"/>
                </w:tcPr>
                <w:p w14:paraId="699C6449">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eastAsia="宋体"/>
                      <w:color w:val="auto"/>
                      <w:kern w:val="0"/>
                      <w:szCs w:val="21"/>
                      <w:lang w:val="en-US" w:eastAsia="zh-CN"/>
                    </w:rPr>
                  </w:pPr>
                  <w:r>
                    <w:rPr>
                      <w:rFonts w:hint="eastAsia"/>
                      <w:color w:val="auto"/>
                      <w:kern w:val="0"/>
                      <w:szCs w:val="21"/>
                    </w:rPr>
                    <w:t>DW001</w:t>
                  </w:r>
                </w:p>
              </w:tc>
              <w:tc>
                <w:tcPr>
                  <w:tcW w:w="451" w:type="pct"/>
                  <w:vAlign w:val="center"/>
                </w:tcPr>
                <w:p w14:paraId="54807E8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宋体" w:hAnsi="宋体"/>
                      <w:color w:val="auto"/>
                      <w:kern w:val="0"/>
                      <w:szCs w:val="21"/>
                    </w:rPr>
                  </w:pPr>
                  <w:r>
                    <w:rPr>
                      <w:rFonts w:hint="eastAsia" w:ascii="宋体" w:hAnsi="宋体"/>
                      <w:color w:val="auto"/>
                      <w:kern w:val="0"/>
                      <w:szCs w:val="21"/>
                    </w:rPr>
                    <w:t>☑是</w:t>
                  </w:r>
                </w:p>
                <w:p w14:paraId="4A9D1EBC">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宋体" w:hAnsi="宋体"/>
                      <w:color w:val="auto"/>
                      <w:kern w:val="0"/>
                      <w:szCs w:val="21"/>
                    </w:rPr>
                  </w:pPr>
                  <w:r>
                    <w:rPr>
                      <w:rFonts w:hint="eastAsia" w:ascii="宋体" w:hAnsi="宋体"/>
                      <w:color w:val="auto"/>
                      <w:kern w:val="0"/>
                      <w:szCs w:val="21"/>
                    </w:rPr>
                    <w:t>□否</w:t>
                  </w:r>
                </w:p>
              </w:tc>
              <w:tc>
                <w:tcPr>
                  <w:tcW w:w="902" w:type="pct"/>
                  <w:vAlign w:val="center"/>
                </w:tcPr>
                <w:p w14:paraId="5B6FD77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宋体" w:hAnsi="宋体"/>
                      <w:color w:val="auto"/>
                      <w:kern w:val="0"/>
                      <w:szCs w:val="21"/>
                    </w:rPr>
                  </w:pPr>
                  <w:r>
                    <w:rPr>
                      <w:rFonts w:hint="eastAsia" w:ascii="宋体" w:hAnsi="宋体"/>
                      <w:color w:val="auto"/>
                      <w:kern w:val="0"/>
                      <w:szCs w:val="21"/>
                    </w:rPr>
                    <w:t>☑企业总排</w:t>
                  </w:r>
                </w:p>
                <w:p w14:paraId="5DF023F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宋体" w:hAnsi="宋体"/>
                      <w:color w:val="auto"/>
                      <w:kern w:val="0"/>
                      <w:szCs w:val="21"/>
                    </w:rPr>
                  </w:pPr>
                  <w:r>
                    <w:rPr>
                      <w:rFonts w:hint="eastAsia" w:ascii="宋体" w:hAnsi="宋体"/>
                      <w:color w:val="auto"/>
                      <w:kern w:val="0"/>
                      <w:szCs w:val="21"/>
                    </w:rPr>
                    <w:t>□雨水排放</w:t>
                  </w:r>
                </w:p>
                <w:p w14:paraId="603199CC">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宋体" w:hAnsi="宋体"/>
                      <w:color w:val="auto"/>
                      <w:kern w:val="0"/>
                      <w:szCs w:val="21"/>
                    </w:rPr>
                  </w:pPr>
                  <w:r>
                    <w:rPr>
                      <w:rFonts w:hint="eastAsia" w:ascii="宋体" w:hAnsi="宋体"/>
                      <w:color w:val="auto"/>
                      <w:kern w:val="0"/>
                      <w:szCs w:val="21"/>
                    </w:rPr>
                    <w:t>□清净下水排放</w:t>
                  </w:r>
                </w:p>
                <w:p w14:paraId="1254EA3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宋体" w:hAnsi="宋体"/>
                      <w:color w:val="auto"/>
                      <w:kern w:val="0"/>
                      <w:szCs w:val="21"/>
                    </w:rPr>
                  </w:pPr>
                  <w:r>
                    <w:rPr>
                      <w:rFonts w:hint="eastAsia" w:ascii="宋体" w:hAnsi="宋体"/>
                      <w:color w:val="auto"/>
                      <w:kern w:val="0"/>
                      <w:szCs w:val="21"/>
                    </w:rPr>
                    <w:t>□温排水排放</w:t>
                  </w:r>
                </w:p>
                <w:p w14:paraId="237D7FCC">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宋体" w:hAnsi="宋体"/>
                      <w:color w:val="auto"/>
                      <w:kern w:val="0"/>
                      <w:szCs w:val="21"/>
                    </w:rPr>
                  </w:pPr>
                  <w:r>
                    <w:rPr>
                      <w:rFonts w:hint="eastAsia" w:ascii="宋体" w:hAnsi="宋体"/>
                      <w:color w:val="auto"/>
                      <w:kern w:val="0"/>
                      <w:szCs w:val="21"/>
                    </w:rPr>
                    <w:t>□车间或车间处理设施排放口</w:t>
                  </w:r>
                </w:p>
                <w:p w14:paraId="4A810D8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宋体" w:hAnsi="宋体" w:eastAsia="宋体"/>
                      <w:color w:val="auto"/>
                      <w:kern w:val="0"/>
                      <w:szCs w:val="21"/>
                      <w:lang w:val="en-US" w:eastAsia="zh-CN"/>
                    </w:rPr>
                  </w:pPr>
                  <w:r>
                    <w:rPr>
                      <w:rFonts w:hint="eastAsia" w:ascii="宋体" w:hAnsi="宋体"/>
                      <w:color w:val="auto"/>
                      <w:kern w:val="0"/>
                      <w:szCs w:val="21"/>
                      <w:lang w:val="en-US" w:eastAsia="zh-CN"/>
                    </w:rPr>
                    <w:t>/</w:t>
                  </w:r>
                </w:p>
              </w:tc>
            </w:tr>
          </w:tbl>
          <w:p w14:paraId="79CA88DA">
            <w:pPr>
              <w:autoSpaceDE w:val="0"/>
              <w:autoSpaceDN w:val="0"/>
              <w:adjustRightInd w:val="0"/>
              <w:spacing w:line="360" w:lineRule="auto"/>
              <w:ind w:firstLine="480" w:firstLineChars="200"/>
              <w:jc w:val="left"/>
              <w:outlineLvl w:val="0"/>
              <w:rPr>
                <w:color w:val="auto"/>
                <w:kern w:val="0"/>
                <w:sz w:val="24"/>
              </w:rPr>
            </w:pPr>
            <w:r>
              <w:rPr>
                <w:rFonts w:hint="eastAsia"/>
                <w:color w:val="auto"/>
                <w:kern w:val="0"/>
                <w:sz w:val="24"/>
                <w:lang w:eastAsia="zh-CN"/>
              </w:rPr>
              <w:t>（</w:t>
            </w:r>
            <w:r>
              <w:rPr>
                <w:rFonts w:hint="eastAsia"/>
                <w:color w:val="auto"/>
                <w:kern w:val="0"/>
                <w:sz w:val="24"/>
                <w:lang w:val="en-US" w:eastAsia="zh-CN"/>
              </w:rPr>
              <w:t>4</w:t>
            </w:r>
            <w:r>
              <w:rPr>
                <w:rFonts w:hint="eastAsia"/>
                <w:color w:val="auto"/>
                <w:kern w:val="0"/>
                <w:sz w:val="24"/>
                <w:lang w:eastAsia="zh-CN"/>
              </w:rPr>
              <w:t>）</w:t>
            </w:r>
            <w:r>
              <w:rPr>
                <w:rFonts w:hint="eastAsia"/>
                <w:color w:val="auto"/>
                <w:kern w:val="0"/>
                <w:sz w:val="24"/>
              </w:rPr>
              <w:t>排放口基本情况及监测计划</w:t>
            </w:r>
          </w:p>
          <w:p w14:paraId="4D97074B">
            <w:pPr>
              <w:autoSpaceDE w:val="0"/>
              <w:autoSpaceDN w:val="0"/>
              <w:spacing w:line="360" w:lineRule="auto"/>
              <w:ind w:firstLine="480" w:firstLineChars="200"/>
              <w:textAlignment w:val="baseline"/>
              <w:rPr>
                <w:rFonts w:hint="eastAsia"/>
                <w:color w:val="auto"/>
                <w:kern w:val="0"/>
                <w:sz w:val="24"/>
              </w:rPr>
            </w:pPr>
            <w:r>
              <w:rPr>
                <w:rFonts w:hint="eastAsia"/>
                <w:color w:val="auto"/>
                <w:kern w:val="0"/>
                <w:sz w:val="24"/>
                <w:lang w:val="en-US" w:eastAsia="zh-CN"/>
              </w:rPr>
              <w:t>本</w:t>
            </w:r>
            <w:r>
              <w:rPr>
                <w:rFonts w:hint="eastAsia"/>
                <w:color w:val="auto"/>
                <w:kern w:val="0"/>
                <w:sz w:val="24"/>
              </w:rPr>
              <w:t>项目</w:t>
            </w:r>
            <w:r>
              <w:rPr>
                <w:rFonts w:hint="eastAsia"/>
                <w:color w:val="auto"/>
                <w:kern w:val="0"/>
                <w:sz w:val="24"/>
                <w:lang w:val="en-US" w:eastAsia="zh-CN"/>
              </w:rPr>
              <w:t>仅为生活污水，依托陕西重型机械制造有限公司化粪池处理，</w:t>
            </w:r>
            <w:r>
              <w:rPr>
                <w:rFonts w:hint="eastAsia"/>
                <w:color w:val="auto"/>
                <w:kern w:val="0"/>
                <w:sz w:val="24"/>
              </w:rPr>
              <w:t>未设置单独排放口、间接排放，</w:t>
            </w:r>
            <w:r>
              <w:rPr>
                <w:rFonts w:hint="eastAsia"/>
                <w:color w:val="auto"/>
                <w:kern w:val="0"/>
                <w:sz w:val="24"/>
                <w:lang w:val="en-US" w:eastAsia="zh-CN"/>
              </w:rPr>
              <w:t>监测纳入陕西重型机械制造有限公司，由其统一开展</w:t>
            </w:r>
            <w:r>
              <w:rPr>
                <w:rFonts w:hint="eastAsia"/>
                <w:color w:val="auto"/>
                <w:kern w:val="0"/>
                <w:sz w:val="24"/>
              </w:rPr>
              <w:t>。</w:t>
            </w:r>
          </w:p>
          <w:p w14:paraId="06D01D96">
            <w:pPr>
              <w:autoSpaceDE w:val="0"/>
              <w:autoSpaceDN w:val="0"/>
              <w:spacing w:line="360" w:lineRule="auto"/>
              <w:ind w:firstLine="482" w:firstLineChars="200"/>
              <w:textAlignment w:val="baseline"/>
              <w:rPr>
                <w:color w:val="auto"/>
                <w:kern w:val="0"/>
                <w:sz w:val="24"/>
                <w:szCs w:val="20"/>
              </w:rPr>
            </w:pPr>
            <w:r>
              <w:rPr>
                <w:b/>
                <w:color w:val="auto"/>
                <w:kern w:val="0"/>
                <w:sz w:val="24"/>
                <w:szCs w:val="20"/>
              </w:rPr>
              <w:t>3、</w:t>
            </w:r>
            <w:r>
              <w:rPr>
                <w:b/>
                <w:bCs/>
                <w:color w:val="auto"/>
                <w:kern w:val="0"/>
                <w:sz w:val="24"/>
                <w:szCs w:val="20"/>
              </w:rPr>
              <w:t>噪声</w:t>
            </w:r>
          </w:p>
          <w:p w14:paraId="165B6439">
            <w:pPr>
              <w:autoSpaceDN w:val="0"/>
              <w:spacing w:line="360" w:lineRule="auto"/>
              <w:ind w:firstLine="480" w:firstLineChars="200"/>
              <w:rPr>
                <w:color w:val="auto"/>
                <w:kern w:val="0"/>
                <w:sz w:val="24"/>
                <w:szCs w:val="20"/>
              </w:rPr>
            </w:pPr>
            <w:r>
              <w:rPr>
                <w:color w:val="auto"/>
                <w:kern w:val="0"/>
                <w:sz w:val="24"/>
                <w:szCs w:val="20"/>
                <w:lang w:val="zh-CN"/>
              </w:rPr>
              <w:t>（1）噪声源强</w:t>
            </w:r>
          </w:p>
          <w:p w14:paraId="32EA5D22">
            <w:pPr>
              <w:spacing w:line="360" w:lineRule="auto"/>
              <w:ind w:firstLine="480" w:firstLineChars="200"/>
              <w:rPr>
                <w:color w:val="auto"/>
                <w:sz w:val="24"/>
              </w:rPr>
            </w:pPr>
            <w:r>
              <w:rPr>
                <w:color w:val="auto"/>
                <w:kern w:val="0"/>
                <w:sz w:val="24"/>
                <w:szCs w:val="20"/>
              </w:rPr>
              <w:t>项目生产过程的噪声源为车间内生产设备</w:t>
            </w:r>
            <w:r>
              <w:rPr>
                <w:rFonts w:hint="eastAsia"/>
                <w:color w:val="auto"/>
                <w:kern w:val="0"/>
                <w:sz w:val="24"/>
                <w:szCs w:val="20"/>
                <w:lang w:val="en-US" w:eastAsia="zh-CN"/>
              </w:rPr>
              <w:t>机械</w:t>
            </w:r>
            <w:r>
              <w:rPr>
                <w:color w:val="auto"/>
                <w:kern w:val="0"/>
                <w:sz w:val="24"/>
                <w:szCs w:val="20"/>
              </w:rPr>
              <w:t>噪声，根据建设单位提供资料及同类项目类比，</w:t>
            </w:r>
            <w:r>
              <w:rPr>
                <w:color w:val="auto"/>
                <w:spacing w:val="-4"/>
                <w:kern w:val="0"/>
                <w:sz w:val="24"/>
                <w:szCs w:val="20"/>
              </w:rPr>
              <w:t>源强约</w:t>
            </w:r>
            <w:r>
              <w:rPr>
                <w:rFonts w:hint="eastAsia"/>
                <w:color w:val="auto"/>
                <w:spacing w:val="-4"/>
                <w:kern w:val="0"/>
                <w:sz w:val="24"/>
                <w:szCs w:val="20"/>
                <w:lang w:val="en-US" w:eastAsia="zh-CN"/>
              </w:rPr>
              <w:t>80~92</w:t>
            </w:r>
            <w:r>
              <w:rPr>
                <w:color w:val="auto"/>
                <w:spacing w:val="-4"/>
                <w:kern w:val="0"/>
                <w:sz w:val="24"/>
                <w:szCs w:val="20"/>
              </w:rPr>
              <w:t>dB(A)</w:t>
            </w:r>
            <w:r>
              <w:rPr>
                <w:color w:val="auto"/>
                <w:kern w:val="0"/>
                <w:sz w:val="24"/>
                <w:szCs w:val="20"/>
              </w:rPr>
              <w:t>，项目设备及噪声源强见表</w:t>
            </w:r>
            <w:r>
              <w:rPr>
                <w:rFonts w:hint="eastAsia"/>
                <w:color w:val="auto"/>
                <w:kern w:val="0"/>
                <w:sz w:val="24"/>
                <w:szCs w:val="20"/>
              </w:rPr>
              <w:t>4</w:t>
            </w:r>
            <w:r>
              <w:rPr>
                <w:rFonts w:hint="eastAsia"/>
                <w:color w:val="auto"/>
                <w:kern w:val="0"/>
                <w:sz w:val="24"/>
                <w:szCs w:val="20"/>
                <w:lang w:val="en-US" w:eastAsia="zh-CN"/>
              </w:rPr>
              <w:t>-7</w:t>
            </w:r>
            <w:r>
              <w:rPr>
                <w:color w:val="auto"/>
                <w:kern w:val="0"/>
                <w:sz w:val="24"/>
                <w:szCs w:val="20"/>
              </w:rPr>
              <w:t>。</w:t>
            </w:r>
          </w:p>
          <w:p w14:paraId="70BC99D6">
            <w:pPr>
              <w:spacing w:line="360" w:lineRule="auto"/>
              <w:rPr>
                <w:color w:val="auto"/>
              </w:rPr>
            </w:pPr>
          </w:p>
        </w:tc>
      </w:tr>
    </w:tbl>
    <w:p w14:paraId="3B99B4E8">
      <w:pPr>
        <w:rPr>
          <w:rFonts w:eastAsia="黑体"/>
          <w:snapToGrid w:val="0"/>
          <w:color w:val="auto"/>
          <w:kern w:val="0"/>
          <w:sz w:val="30"/>
          <w:szCs w:val="30"/>
        </w:rPr>
        <w:sectPr>
          <w:footerReference r:id="rId5" w:type="default"/>
          <w:pgSz w:w="11906" w:h="16838"/>
          <w:pgMar w:top="1553" w:right="1553" w:bottom="1553" w:left="1553" w:header="851" w:footer="851" w:gutter="0"/>
          <w:pgNumType w:fmt="numberInDash"/>
          <w:cols w:space="720" w:num="1"/>
          <w:docGrid w:linePitch="312" w:charSpace="0"/>
        </w:sectPr>
      </w:pPr>
    </w:p>
    <w:tbl>
      <w:tblPr>
        <w:tblStyle w:val="1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174"/>
      </w:tblGrid>
      <w:tr w14:paraId="58EFC5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72" w:hRule="atLeast"/>
        </w:trPr>
        <w:tc>
          <w:tcPr>
            <w:tcW w:w="14174" w:type="dxa"/>
          </w:tcPr>
          <w:p w14:paraId="7704B941">
            <w:pPr>
              <w:spacing w:line="240" w:lineRule="auto"/>
              <w:jc w:val="center"/>
              <w:rPr>
                <w:b/>
                <w:color w:val="auto"/>
                <w:kern w:val="0"/>
                <w:szCs w:val="21"/>
              </w:rPr>
            </w:pPr>
            <w:r>
              <w:rPr>
                <w:b/>
                <w:color w:val="auto"/>
                <w:kern w:val="0"/>
                <w:szCs w:val="21"/>
              </w:rPr>
              <w:t>表</w:t>
            </w:r>
            <w:r>
              <w:rPr>
                <w:rFonts w:hint="eastAsia"/>
                <w:b/>
                <w:color w:val="auto"/>
                <w:kern w:val="0"/>
                <w:szCs w:val="21"/>
              </w:rPr>
              <w:t>4-</w:t>
            </w:r>
            <w:r>
              <w:rPr>
                <w:rFonts w:hint="eastAsia"/>
                <w:b/>
                <w:color w:val="auto"/>
                <w:kern w:val="0"/>
                <w:szCs w:val="21"/>
                <w:lang w:val="en-US" w:eastAsia="zh-CN"/>
              </w:rPr>
              <w:t>7</w:t>
            </w:r>
            <w:r>
              <w:rPr>
                <w:rFonts w:hint="eastAsia"/>
                <w:b/>
                <w:color w:val="auto"/>
                <w:kern w:val="0"/>
                <w:szCs w:val="21"/>
              </w:rPr>
              <w:t xml:space="preserve">   </w:t>
            </w:r>
            <w:r>
              <w:rPr>
                <w:b/>
                <w:color w:val="auto"/>
                <w:kern w:val="0"/>
                <w:szCs w:val="21"/>
              </w:rPr>
              <w:t>工业企业噪声源强调查清单（室内声源）</w:t>
            </w:r>
          </w:p>
          <w:tbl>
            <w:tblPr>
              <w:tblStyle w:val="18"/>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36"/>
              <w:gridCol w:w="695"/>
              <w:gridCol w:w="1363"/>
              <w:gridCol w:w="700"/>
              <w:gridCol w:w="1696"/>
              <w:gridCol w:w="1395"/>
              <w:gridCol w:w="690"/>
              <w:gridCol w:w="630"/>
              <w:gridCol w:w="615"/>
              <w:gridCol w:w="900"/>
              <w:gridCol w:w="974"/>
              <w:gridCol w:w="700"/>
              <w:gridCol w:w="1065"/>
              <w:gridCol w:w="1066"/>
              <w:gridCol w:w="1117"/>
            </w:tblGrid>
            <w:tr w14:paraId="605D48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20" w:type="pct"/>
                  <w:vMerge w:val="restart"/>
                  <w:vAlign w:val="center"/>
                </w:tcPr>
                <w:p w14:paraId="4A69C8B8">
                  <w:pPr>
                    <w:jc w:val="center"/>
                    <w:rPr>
                      <w:color w:val="auto"/>
                      <w:szCs w:val="21"/>
                    </w:rPr>
                  </w:pPr>
                  <w:r>
                    <w:rPr>
                      <w:color w:val="auto"/>
                      <w:szCs w:val="21"/>
                    </w:rPr>
                    <w:t>序号</w:t>
                  </w:r>
                </w:p>
              </w:tc>
              <w:tc>
                <w:tcPr>
                  <w:tcW w:w="249" w:type="pct"/>
                  <w:vMerge w:val="restart"/>
                  <w:vAlign w:val="center"/>
                </w:tcPr>
                <w:p w14:paraId="1E7211AF">
                  <w:pPr>
                    <w:jc w:val="center"/>
                    <w:rPr>
                      <w:color w:val="auto"/>
                      <w:szCs w:val="21"/>
                    </w:rPr>
                  </w:pPr>
                  <w:r>
                    <w:rPr>
                      <w:color w:val="auto"/>
                      <w:szCs w:val="21"/>
                    </w:rPr>
                    <w:t>建筑物名称</w:t>
                  </w:r>
                </w:p>
              </w:tc>
              <w:tc>
                <w:tcPr>
                  <w:tcW w:w="488" w:type="pct"/>
                  <w:vMerge w:val="restart"/>
                  <w:vAlign w:val="center"/>
                </w:tcPr>
                <w:p w14:paraId="2B948034">
                  <w:pPr>
                    <w:jc w:val="center"/>
                    <w:rPr>
                      <w:color w:val="auto"/>
                      <w:szCs w:val="21"/>
                    </w:rPr>
                  </w:pPr>
                  <w:r>
                    <w:rPr>
                      <w:color w:val="auto"/>
                      <w:szCs w:val="21"/>
                    </w:rPr>
                    <w:t>声源名称</w:t>
                  </w:r>
                </w:p>
              </w:tc>
              <w:tc>
                <w:tcPr>
                  <w:tcW w:w="251" w:type="pct"/>
                  <w:vMerge w:val="restart"/>
                  <w:vAlign w:val="center"/>
                </w:tcPr>
                <w:p w14:paraId="162BC33E">
                  <w:pPr>
                    <w:jc w:val="center"/>
                    <w:rPr>
                      <w:rFonts w:hint="eastAsia" w:eastAsia="宋体"/>
                      <w:color w:val="auto"/>
                      <w:szCs w:val="21"/>
                      <w:lang w:val="en-US" w:eastAsia="zh-CN"/>
                    </w:rPr>
                  </w:pPr>
                  <w:r>
                    <w:rPr>
                      <w:rFonts w:hint="eastAsia"/>
                      <w:color w:val="auto"/>
                      <w:szCs w:val="21"/>
                      <w:lang w:val="en-US" w:eastAsia="zh-CN"/>
                    </w:rPr>
                    <w:t>数量</w:t>
                  </w:r>
                </w:p>
              </w:tc>
              <w:tc>
                <w:tcPr>
                  <w:tcW w:w="608" w:type="pct"/>
                  <w:vAlign w:val="center"/>
                </w:tcPr>
                <w:p w14:paraId="1D481D51">
                  <w:pPr>
                    <w:jc w:val="center"/>
                    <w:rPr>
                      <w:color w:val="auto"/>
                      <w:szCs w:val="21"/>
                    </w:rPr>
                  </w:pPr>
                  <w:r>
                    <w:rPr>
                      <w:color w:val="auto"/>
                      <w:szCs w:val="21"/>
                    </w:rPr>
                    <w:t>声源源强</w:t>
                  </w:r>
                </w:p>
              </w:tc>
              <w:tc>
                <w:tcPr>
                  <w:tcW w:w="500" w:type="pct"/>
                  <w:vMerge w:val="restart"/>
                  <w:vAlign w:val="center"/>
                </w:tcPr>
                <w:p w14:paraId="45B3419E">
                  <w:pPr>
                    <w:jc w:val="center"/>
                    <w:rPr>
                      <w:color w:val="auto"/>
                      <w:szCs w:val="21"/>
                    </w:rPr>
                  </w:pPr>
                  <w:r>
                    <w:rPr>
                      <w:color w:val="auto"/>
                      <w:szCs w:val="21"/>
                    </w:rPr>
                    <w:t>声源控制措施</w:t>
                  </w:r>
                </w:p>
              </w:tc>
              <w:tc>
                <w:tcPr>
                  <w:tcW w:w="693" w:type="pct"/>
                  <w:gridSpan w:val="3"/>
                  <w:vAlign w:val="center"/>
                </w:tcPr>
                <w:p w14:paraId="672C5496">
                  <w:pPr>
                    <w:jc w:val="center"/>
                    <w:rPr>
                      <w:color w:val="auto"/>
                      <w:szCs w:val="21"/>
                    </w:rPr>
                  </w:pPr>
                  <w:r>
                    <w:rPr>
                      <w:color w:val="auto"/>
                      <w:szCs w:val="21"/>
                    </w:rPr>
                    <w:t>空间相对位置/m</w:t>
                  </w:r>
                </w:p>
              </w:tc>
              <w:tc>
                <w:tcPr>
                  <w:tcW w:w="322" w:type="pct"/>
                  <w:vMerge w:val="restart"/>
                  <w:vAlign w:val="center"/>
                </w:tcPr>
                <w:p w14:paraId="38DFF30C">
                  <w:pPr>
                    <w:jc w:val="center"/>
                    <w:rPr>
                      <w:color w:val="auto"/>
                      <w:szCs w:val="21"/>
                    </w:rPr>
                  </w:pPr>
                  <w:r>
                    <w:rPr>
                      <w:color w:val="auto"/>
                      <w:szCs w:val="21"/>
                    </w:rPr>
                    <w:t>距室内边界距离/m</w:t>
                  </w:r>
                </w:p>
              </w:tc>
              <w:tc>
                <w:tcPr>
                  <w:tcW w:w="349" w:type="pct"/>
                  <w:vMerge w:val="restart"/>
                  <w:vAlign w:val="center"/>
                </w:tcPr>
                <w:p w14:paraId="03DEA165">
                  <w:pPr>
                    <w:widowControl/>
                    <w:jc w:val="center"/>
                    <w:rPr>
                      <w:color w:val="auto"/>
                      <w:szCs w:val="21"/>
                    </w:rPr>
                  </w:pPr>
                  <w:r>
                    <w:rPr>
                      <w:color w:val="auto"/>
                      <w:kern w:val="0"/>
                      <w:szCs w:val="21"/>
                      <w:lang w:bidi="ar"/>
                    </w:rPr>
                    <w:t>室内边界声级/dB（A）</w:t>
                  </w:r>
                </w:p>
              </w:tc>
              <w:tc>
                <w:tcPr>
                  <w:tcW w:w="251" w:type="pct"/>
                  <w:vMerge w:val="restart"/>
                  <w:vAlign w:val="center"/>
                </w:tcPr>
                <w:p w14:paraId="1ADC1F67">
                  <w:pPr>
                    <w:jc w:val="center"/>
                    <w:rPr>
                      <w:color w:val="auto"/>
                      <w:szCs w:val="21"/>
                    </w:rPr>
                  </w:pPr>
                  <w:r>
                    <w:rPr>
                      <w:color w:val="auto"/>
                      <w:szCs w:val="21"/>
                    </w:rPr>
                    <w:t>运行时间</w:t>
                  </w:r>
                </w:p>
              </w:tc>
              <w:tc>
                <w:tcPr>
                  <w:tcW w:w="381" w:type="pct"/>
                  <w:vMerge w:val="restart"/>
                  <w:vAlign w:val="center"/>
                </w:tcPr>
                <w:p w14:paraId="79E2273F">
                  <w:pPr>
                    <w:jc w:val="center"/>
                    <w:rPr>
                      <w:color w:val="auto"/>
                      <w:szCs w:val="21"/>
                    </w:rPr>
                  </w:pPr>
                  <w:r>
                    <w:rPr>
                      <w:rFonts w:hint="eastAsia"/>
                      <w:color w:val="auto"/>
                      <w:szCs w:val="21"/>
                    </w:rPr>
                    <w:t>建筑物插入损失/dB（A）</w:t>
                  </w:r>
                </w:p>
              </w:tc>
              <w:tc>
                <w:tcPr>
                  <w:tcW w:w="782" w:type="pct"/>
                  <w:gridSpan w:val="2"/>
                  <w:vAlign w:val="center"/>
                </w:tcPr>
                <w:p w14:paraId="3EF5B6C2">
                  <w:pPr>
                    <w:jc w:val="center"/>
                    <w:rPr>
                      <w:color w:val="auto"/>
                      <w:szCs w:val="21"/>
                    </w:rPr>
                  </w:pPr>
                  <w:r>
                    <w:rPr>
                      <w:color w:val="auto"/>
                      <w:szCs w:val="21"/>
                    </w:rPr>
                    <w:t>建筑物外噪声</w:t>
                  </w:r>
                </w:p>
              </w:tc>
            </w:tr>
            <w:tr w14:paraId="6EC4F5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120" w:type="pct"/>
                  <w:vMerge w:val="continue"/>
                  <w:vAlign w:val="center"/>
                </w:tcPr>
                <w:p w14:paraId="012FC918">
                  <w:pPr>
                    <w:jc w:val="center"/>
                    <w:rPr>
                      <w:color w:val="auto"/>
                      <w:szCs w:val="21"/>
                    </w:rPr>
                  </w:pPr>
                </w:p>
              </w:tc>
              <w:tc>
                <w:tcPr>
                  <w:tcW w:w="249" w:type="pct"/>
                  <w:vMerge w:val="continue"/>
                  <w:vAlign w:val="center"/>
                </w:tcPr>
                <w:p w14:paraId="76345219">
                  <w:pPr>
                    <w:jc w:val="center"/>
                    <w:rPr>
                      <w:color w:val="auto"/>
                      <w:szCs w:val="21"/>
                    </w:rPr>
                  </w:pPr>
                </w:p>
              </w:tc>
              <w:tc>
                <w:tcPr>
                  <w:tcW w:w="488" w:type="pct"/>
                  <w:vMerge w:val="continue"/>
                  <w:vAlign w:val="center"/>
                </w:tcPr>
                <w:p w14:paraId="561073DF">
                  <w:pPr>
                    <w:jc w:val="center"/>
                    <w:rPr>
                      <w:color w:val="auto"/>
                      <w:szCs w:val="21"/>
                    </w:rPr>
                  </w:pPr>
                </w:p>
              </w:tc>
              <w:tc>
                <w:tcPr>
                  <w:tcW w:w="251" w:type="pct"/>
                  <w:vMerge w:val="continue"/>
                  <w:vAlign w:val="center"/>
                </w:tcPr>
                <w:p w14:paraId="511E89D9">
                  <w:pPr>
                    <w:jc w:val="center"/>
                    <w:rPr>
                      <w:color w:val="auto"/>
                      <w:szCs w:val="21"/>
                    </w:rPr>
                  </w:pPr>
                </w:p>
              </w:tc>
              <w:tc>
                <w:tcPr>
                  <w:tcW w:w="608" w:type="pct"/>
                  <w:vAlign w:val="center"/>
                </w:tcPr>
                <w:p w14:paraId="1FE038D2">
                  <w:pPr>
                    <w:jc w:val="center"/>
                    <w:rPr>
                      <w:color w:val="auto"/>
                      <w:szCs w:val="21"/>
                    </w:rPr>
                  </w:pPr>
                  <w:r>
                    <w:rPr>
                      <w:rFonts w:hint="eastAsia"/>
                      <w:color w:val="auto"/>
                      <w:szCs w:val="21"/>
                      <w:lang w:val="en-US" w:eastAsia="zh-CN"/>
                    </w:rPr>
                    <w:t>叠加后声压</w:t>
                  </w:r>
                  <w:r>
                    <w:rPr>
                      <w:color w:val="auto"/>
                      <w:szCs w:val="21"/>
                    </w:rPr>
                    <w:t>级/dB（A）</w:t>
                  </w:r>
                </w:p>
              </w:tc>
              <w:tc>
                <w:tcPr>
                  <w:tcW w:w="500" w:type="pct"/>
                  <w:vMerge w:val="continue"/>
                  <w:vAlign w:val="center"/>
                </w:tcPr>
                <w:p w14:paraId="51D5A970">
                  <w:pPr>
                    <w:jc w:val="center"/>
                    <w:rPr>
                      <w:color w:val="auto"/>
                      <w:szCs w:val="21"/>
                    </w:rPr>
                  </w:pPr>
                </w:p>
              </w:tc>
              <w:tc>
                <w:tcPr>
                  <w:tcW w:w="247" w:type="pct"/>
                  <w:vAlign w:val="center"/>
                </w:tcPr>
                <w:p w14:paraId="4A9DE785">
                  <w:pPr>
                    <w:jc w:val="center"/>
                    <w:rPr>
                      <w:color w:val="auto"/>
                      <w:szCs w:val="21"/>
                    </w:rPr>
                  </w:pPr>
                  <w:r>
                    <w:rPr>
                      <w:color w:val="auto"/>
                      <w:szCs w:val="21"/>
                    </w:rPr>
                    <w:t>X</w:t>
                  </w:r>
                </w:p>
              </w:tc>
              <w:tc>
                <w:tcPr>
                  <w:tcW w:w="225" w:type="pct"/>
                  <w:vAlign w:val="center"/>
                </w:tcPr>
                <w:p w14:paraId="2F087B33">
                  <w:pPr>
                    <w:jc w:val="center"/>
                    <w:rPr>
                      <w:color w:val="auto"/>
                      <w:szCs w:val="21"/>
                    </w:rPr>
                  </w:pPr>
                  <w:r>
                    <w:rPr>
                      <w:color w:val="auto"/>
                      <w:szCs w:val="21"/>
                    </w:rPr>
                    <w:t>Y</w:t>
                  </w:r>
                </w:p>
              </w:tc>
              <w:tc>
                <w:tcPr>
                  <w:tcW w:w="220" w:type="pct"/>
                  <w:vAlign w:val="center"/>
                </w:tcPr>
                <w:p w14:paraId="458B9423">
                  <w:pPr>
                    <w:jc w:val="center"/>
                    <w:rPr>
                      <w:color w:val="auto"/>
                      <w:szCs w:val="21"/>
                    </w:rPr>
                  </w:pPr>
                  <w:r>
                    <w:rPr>
                      <w:color w:val="auto"/>
                      <w:szCs w:val="21"/>
                    </w:rPr>
                    <w:t>Z</w:t>
                  </w:r>
                </w:p>
              </w:tc>
              <w:tc>
                <w:tcPr>
                  <w:tcW w:w="322" w:type="pct"/>
                  <w:vMerge w:val="continue"/>
                  <w:vAlign w:val="center"/>
                </w:tcPr>
                <w:p w14:paraId="68C8B0AE">
                  <w:pPr>
                    <w:widowControl/>
                    <w:adjustRightInd w:val="0"/>
                    <w:snapToGrid w:val="0"/>
                    <w:jc w:val="center"/>
                    <w:rPr>
                      <w:color w:val="auto"/>
                      <w:kern w:val="0"/>
                      <w:szCs w:val="21"/>
                    </w:rPr>
                  </w:pPr>
                </w:p>
              </w:tc>
              <w:tc>
                <w:tcPr>
                  <w:tcW w:w="349" w:type="pct"/>
                  <w:vMerge w:val="continue"/>
                  <w:vAlign w:val="center"/>
                </w:tcPr>
                <w:p w14:paraId="205A12A3">
                  <w:pPr>
                    <w:widowControl/>
                    <w:adjustRightInd w:val="0"/>
                    <w:snapToGrid w:val="0"/>
                    <w:jc w:val="center"/>
                    <w:rPr>
                      <w:color w:val="auto"/>
                      <w:kern w:val="0"/>
                      <w:szCs w:val="21"/>
                    </w:rPr>
                  </w:pPr>
                </w:p>
              </w:tc>
              <w:tc>
                <w:tcPr>
                  <w:tcW w:w="251" w:type="pct"/>
                  <w:vMerge w:val="continue"/>
                  <w:vAlign w:val="center"/>
                </w:tcPr>
                <w:p w14:paraId="1F1CA04A">
                  <w:pPr>
                    <w:jc w:val="center"/>
                    <w:rPr>
                      <w:color w:val="auto"/>
                      <w:szCs w:val="21"/>
                    </w:rPr>
                  </w:pPr>
                </w:p>
              </w:tc>
              <w:tc>
                <w:tcPr>
                  <w:tcW w:w="381" w:type="pct"/>
                  <w:vMerge w:val="continue"/>
                  <w:vAlign w:val="center"/>
                </w:tcPr>
                <w:p w14:paraId="67E6C1DC">
                  <w:pPr>
                    <w:jc w:val="center"/>
                    <w:rPr>
                      <w:color w:val="auto"/>
                      <w:szCs w:val="21"/>
                    </w:rPr>
                  </w:pPr>
                </w:p>
              </w:tc>
              <w:tc>
                <w:tcPr>
                  <w:tcW w:w="382" w:type="pct"/>
                  <w:vAlign w:val="center"/>
                </w:tcPr>
                <w:p w14:paraId="64601560">
                  <w:pPr>
                    <w:widowControl/>
                    <w:jc w:val="center"/>
                    <w:rPr>
                      <w:color w:val="auto"/>
                      <w:szCs w:val="21"/>
                    </w:rPr>
                  </w:pPr>
                  <w:r>
                    <w:rPr>
                      <w:color w:val="auto"/>
                      <w:kern w:val="0"/>
                      <w:szCs w:val="21"/>
                      <w:lang w:bidi="ar"/>
                    </w:rPr>
                    <w:t>声压级</w:t>
                  </w:r>
                </w:p>
                <w:p w14:paraId="0E5F7C65">
                  <w:pPr>
                    <w:widowControl/>
                    <w:jc w:val="center"/>
                    <w:rPr>
                      <w:color w:val="auto"/>
                      <w:szCs w:val="21"/>
                    </w:rPr>
                  </w:pPr>
                  <w:r>
                    <w:rPr>
                      <w:color w:val="auto"/>
                      <w:kern w:val="0"/>
                      <w:szCs w:val="21"/>
                      <w:lang w:bidi="ar"/>
                    </w:rPr>
                    <w:t>/dB（A）</w:t>
                  </w:r>
                </w:p>
              </w:tc>
              <w:tc>
                <w:tcPr>
                  <w:tcW w:w="400" w:type="pct"/>
                  <w:vAlign w:val="center"/>
                </w:tcPr>
                <w:p w14:paraId="6BAC7620">
                  <w:pPr>
                    <w:jc w:val="center"/>
                    <w:rPr>
                      <w:color w:val="auto"/>
                      <w:szCs w:val="21"/>
                    </w:rPr>
                  </w:pPr>
                  <w:r>
                    <w:rPr>
                      <w:color w:val="auto"/>
                      <w:szCs w:val="21"/>
                    </w:rPr>
                    <w:t>建筑物外距离/m</w:t>
                  </w:r>
                </w:p>
              </w:tc>
            </w:tr>
            <w:tr w14:paraId="736FED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20" w:type="pct"/>
                  <w:vMerge w:val="restart"/>
                  <w:vAlign w:val="center"/>
                </w:tcPr>
                <w:p w14:paraId="03137DBD">
                  <w:pPr>
                    <w:jc w:val="center"/>
                    <w:rPr>
                      <w:color w:val="auto"/>
                      <w:szCs w:val="21"/>
                    </w:rPr>
                  </w:pPr>
                  <w:r>
                    <w:rPr>
                      <w:color w:val="auto"/>
                      <w:szCs w:val="21"/>
                    </w:rPr>
                    <w:t>1</w:t>
                  </w:r>
                </w:p>
              </w:tc>
              <w:tc>
                <w:tcPr>
                  <w:tcW w:w="249" w:type="pct"/>
                  <w:vMerge w:val="restart"/>
                  <w:vAlign w:val="center"/>
                </w:tcPr>
                <w:p w14:paraId="0FAB551A">
                  <w:pPr>
                    <w:contextualSpacing/>
                    <w:jc w:val="center"/>
                    <w:rPr>
                      <w:color w:val="auto"/>
                      <w:kern w:val="0"/>
                      <w:szCs w:val="21"/>
                    </w:rPr>
                  </w:pPr>
                  <w:r>
                    <w:rPr>
                      <w:color w:val="auto"/>
                      <w:kern w:val="0"/>
                      <w:szCs w:val="21"/>
                    </w:rPr>
                    <w:t>生产</w:t>
                  </w:r>
                </w:p>
                <w:p w14:paraId="21CE544D">
                  <w:pPr>
                    <w:jc w:val="center"/>
                    <w:rPr>
                      <w:color w:val="auto"/>
                      <w:szCs w:val="21"/>
                    </w:rPr>
                  </w:pPr>
                  <w:r>
                    <w:rPr>
                      <w:color w:val="auto"/>
                      <w:kern w:val="0"/>
                      <w:szCs w:val="21"/>
                    </w:rPr>
                    <w:t>车间</w:t>
                  </w:r>
                </w:p>
              </w:tc>
              <w:tc>
                <w:tcPr>
                  <w:tcW w:w="488" w:type="pct"/>
                  <w:vAlign w:val="center"/>
                </w:tcPr>
                <w:p w14:paraId="6A29E3B5">
                  <w:pPr>
                    <w:keepNext w:val="0"/>
                    <w:keepLines w:val="0"/>
                    <w:pageBreakBefore w:val="0"/>
                    <w:kinsoku/>
                    <w:wordWrap/>
                    <w:overflowPunct/>
                    <w:topLinePunct w:val="0"/>
                    <w:bidi w:val="0"/>
                    <w:snapToGrid w:val="0"/>
                    <w:spacing w:line="240" w:lineRule="auto"/>
                    <w:jc w:val="center"/>
                    <w:rPr>
                      <w:color w:val="auto"/>
                      <w:kern w:val="0"/>
                      <w:szCs w:val="21"/>
                    </w:rPr>
                  </w:pPr>
                  <w:r>
                    <w:rPr>
                      <w:rFonts w:hint="eastAsia" w:ascii="Times New Roman" w:hAnsi="Times New Roman" w:eastAsia="宋体" w:cs="Times New Roman"/>
                      <w:color w:val="000000"/>
                      <w:sz w:val="21"/>
                      <w:szCs w:val="21"/>
                      <w:lang w:val="en-US" w:eastAsia="zh-CN"/>
                    </w:rPr>
                    <w:t>打磨砂轮机</w:t>
                  </w:r>
                </w:p>
              </w:tc>
              <w:tc>
                <w:tcPr>
                  <w:tcW w:w="251" w:type="pct"/>
                  <w:vAlign w:val="center"/>
                </w:tcPr>
                <w:p w14:paraId="3636E8EB">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center"/>
                    <w:rPr>
                      <w:rFonts w:hint="default" w:eastAsia="宋体"/>
                      <w:color w:val="auto"/>
                      <w:szCs w:val="21"/>
                      <w:lang w:val="en-US" w:eastAsia="zh-CN"/>
                    </w:rPr>
                  </w:pPr>
                  <w:r>
                    <w:rPr>
                      <w:rFonts w:hint="eastAsia"/>
                      <w:color w:val="auto"/>
                      <w:kern w:val="0"/>
                      <w:szCs w:val="21"/>
                      <w:lang w:val="en-US" w:eastAsia="zh-CN"/>
                    </w:rPr>
                    <w:t>20</w:t>
                  </w:r>
                </w:p>
              </w:tc>
              <w:tc>
                <w:tcPr>
                  <w:tcW w:w="608" w:type="pct"/>
                  <w:vAlign w:val="center"/>
                </w:tcPr>
                <w:p w14:paraId="7F4B9482">
                  <w:pPr>
                    <w:keepNext w:val="0"/>
                    <w:keepLines w:val="0"/>
                    <w:pageBreakBefore w:val="0"/>
                    <w:widowControl w:val="0"/>
                    <w:kinsoku/>
                    <w:wordWrap/>
                    <w:overflowPunct/>
                    <w:topLinePunct w:val="0"/>
                    <w:autoSpaceDE/>
                    <w:autoSpaceDN/>
                    <w:bidi w:val="0"/>
                    <w:adjustRightInd w:val="0"/>
                    <w:snapToGrid w:val="0"/>
                    <w:spacing w:line="240" w:lineRule="auto"/>
                    <w:jc w:val="center"/>
                    <w:rPr>
                      <w:rFonts w:hint="default" w:eastAsia="宋体"/>
                      <w:color w:val="auto"/>
                      <w:kern w:val="0"/>
                      <w:szCs w:val="21"/>
                      <w:lang w:val="en-US" w:eastAsia="zh-CN"/>
                    </w:rPr>
                  </w:pPr>
                  <w:r>
                    <w:rPr>
                      <w:rFonts w:hint="eastAsia"/>
                      <w:color w:val="auto"/>
                      <w:kern w:val="0"/>
                      <w:szCs w:val="21"/>
                      <w:lang w:val="en-US" w:eastAsia="zh-CN"/>
                    </w:rPr>
                    <w:t>92</w:t>
                  </w:r>
                </w:p>
              </w:tc>
              <w:tc>
                <w:tcPr>
                  <w:tcW w:w="500" w:type="pct"/>
                  <w:vMerge w:val="restart"/>
                  <w:vAlign w:val="center"/>
                </w:tcPr>
                <w:p w14:paraId="72710BAB">
                  <w:pPr>
                    <w:widowControl/>
                    <w:adjustRightInd w:val="0"/>
                    <w:snapToGrid w:val="0"/>
                    <w:jc w:val="center"/>
                    <w:rPr>
                      <w:color w:val="auto"/>
                      <w:szCs w:val="21"/>
                    </w:rPr>
                  </w:pPr>
                  <w:r>
                    <w:rPr>
                      <w:color w:val="auto"/>
                      <w:kern w:val="0"/>
                      <w:szCs w:val="21"/>
                    </w:rPr>
                    <w:t>采用低噪声设备</w:t>
                  </w:r>
                  <w:r>
                    <w:rPr>
                      <w:rFonts w:hint="eastAsia"/>
                      <w:color w:val="auto"/>
                      <w:kern w:val="0"/>
                      <w:szCs w:val="21"/>
                    </w:rPr>
                    <w:t>、</w:t>
                  </w:r>
                  <w:r>
                    <w:rPr>
                      <w:color w:val="auto"/>
                      <w:kern w:val="0"/>
                      <w:szCs w:val="21"/>
                    </w:rPr>
                    <w:t>合理布局</w:t>
                  </w:r>
                  <w:r>
                    <w:rPr>
                      <w:rFonts w:hint="eastAsia"/>
                      <w:color w:val="auto"/>
                      <w:kern w:val="0"/>
                      <w:szCs w:val="21"/>
                    </w:rPr>
                    <w:t>、</w:t>
                  </w:r>
                  <w:r>
                    <w:rPr>
                      <w:rFonts w:hint="default" w:ascii="Times New Roman" w:hAnsi="Times New Roman" w:cs="Times New Roman"/>
                      <w:color w:val="auto"/>
                      <w:szCs w:val="21"/>
                    </w:rPr>
                    <w:t>基础减振、</w:t>
                  </w:r>
                  <w:r>
                    <w:rPr>
                      <w:rFonts w:hint="eastAsia"/>
                      <w:color w:val="auto"/>
                      <w:kern w:val="0"/>
                      <w:szCs w:val="21"/>
                      <w:lang w:val="en-US" w:eastAsia="zh-CN"/>
                    </w:rPr>
                    <w:t>厂房隔声</w:t>
                  </w:r>
                </w:p>
              </w:tc>
              <w:tc>
                <w:tcPr>
                  <w:tcW w:w="247" w:type="pct"/>
                  <w:vAlign w:val="center"/>
                </w:tcPr>
                <w:p w14:paraId="45F82FF1">
                  <w:pPr>
                    <w:keepNext w:val="0"/>
                    <w:keepLines w:val="0"/>
                    <w:widowControl/>
                    <w:suppressLineNumbers w:val="0"/>
                    <w:jc w:val="center"/>
                    <w:textAlignment w:val="center"/>
                    <w:rPr>
                      <w:rFonts w:hint="default" w:eastAsia="宋体"/>
                      <w:color w:val="auto"/>
                      <w:kern w:val="0"/>
                      <w:szCs w:val="21"/>
                      <w:lang w:val="en-US" w:eastAsia="zh-CN"/>
                    </w:rPr>
                  </w:pPr>
                  <w:r>
                    <w:rPr>
                      <w:rFonts w:hint="eastAsia"/>
                      <w:color w:val="auto"/>
                      <w:kern w:val="0"/>
                      <w:szCs w:val="21"/>
                      <w:lang w:val="en-US" w:eastAsia="zh-CN"/>
                    </w:rPr>
                    <w:t>4</w:t>
                  </w:r>
                </w:p>
              </w:tc>
              <w:tc>
                <w:tcPr>
                  <w:tcW w:w="225" w:type="pct"/>
                  <w:vAlign w:val="center"/>
                </w:tcPr>
                <w:p w14:paraId="0FD9C6D9">
                  <w:pPr>
                    <w:widowControl/>
                    <w:jc w:val="center"/>
                    <w:textAlignment w:val="center"/>
                    <w:rPr>
                      <w:rFonts w:hint="default" w:eastAsia="宋体"/>
                      <w:color w:val="auto"/>
                      <w:kern w:val="0"/>
                      <w:szCs w:val="21"/>
                      <w:lang w:val="en-US" w:eastAsia="zh-CN"/>
                    </w:rPr>
                  </w:pPr>
                  <w:r>
                    <w:rPr>
                      <w:rFonts w:hint="eastAsia"/>
                      <w:color w:val="auto"/>
                      <w:kern w:val="0"/>
                      <w:szCs w:val="21"/>
                      <w:lang w:val="en-US" w:eastAsia="zh-CN"/>
                    </w:rPr>
                    <w:t>4</w:t>
                  </w:r>
                </w:p>
              </w:tc>
              <w:tc>
                <w:tcPr>
                  <w:tcW w:w="220" w:type="pct"/>
                  <w:vAlign w:val="center"/>
                </w:tcPr>
                <w:p w14:paraId="171B29D0">
                  <w:pPr>
                    <w:jc w:val="center"/>
                    <w:rPr>
                      <w:rFonts w:hint="eastAsia" w:eastAsia="宋体"/>
                      <w:color w:val="auto"/>
                      <w:kern w:val="0"/>
                      <w:szCs w:val="21"/>
                      <w:lang w:val="en-US" w:eastAsia="zh-CN"/>
                    </w:rPr>
                  </w:pPr>
                  <w:r>
                    <w:rPr>
                      <w:rFonts w:hint="eastAsia"/>
                      <w:color w:val="auto"/>
                      <w:kern w:val="0"/>
                      <w:szCs w:val="21"/>
                      <w:lang w:val="en-US" w:eastAsia="zh-CN"/>
                    </w:rPr>
                    <w:t>1</w:t>
                  </w:r>
                </w:p>
              </w:tc>
              <w:tc>
                <w:tcPr>
                  <w:tcW w:w="322" w:type="pct"/>
                  <w:vAlign w:val="center"/>
                </w:tcPr>
                <w:p w14:paraId="48E192B3">
                  <w:pPr>
                    <w:jc w:val="center"/>
                    <w:rPr>
                      <w:rFonts w:hint="default" w:eastAsia="宋体"/>
                      <w:color w:val="auto"/>
                      <w:szCs w:val="21"/>
                      <w:lang w:val="en-US" w:eastAsia="zh-CN"/>
                    </w:rPr>
                  </w:pPr>
                  <w:r>
                    <w:rPr>
                      <w:rFonts w:hint="eastAsia"/>
                      <w:color w:val="auto"/>
                      <w:kern w:val="0"/>
                      <w:szCs w:val="21"/>
                      <w:lang w:val="en-US" w:eastAsia="zh-CN"/>
                    </w:rPr>
                    <w:t>4</w:t>
                  </w:r>
                </w:p>
              </w:tc>
              <w:tc>
                <w:tcPr>
                  <w:tcW w:w="349" w:type="pct"/>
                  <w:vAlign w:val="center"/>
                </w:tcPr>
                <w:p w14:paraId="26303A52">
                  <w:pPr>
                    <w:keepNext w:val="0"/>
                    <w:keepLines w:val="0"/>
                    <w:pageBreakBefore w:val="0"/>
                    <w:widowControl w:val="0"/>
                    <w:kinsoku/>
                    <w:wordWrap/>
                    <w:overflowPunct/>
                    <w:topLinePunct w:val="0"/>
                    <w:autoSpaceDE/>
                    <w:autoSpaceDN/>
                    <w:bidi w:val="0"/>
                    <w:adjustRightInd w:val="0"/>
                    <w:snapToGrid w:val="0"/>
                    <w:spacing w:line="240" w:lineRule="auto"/>
                    <w:jc w:val="center"/>
                    <w:rPr>
                      <w:rFonts w:hint="default" w:eastAsia="宋体"/>
                      <w:color w:val="auto"/>
                      <w:kern w:val="0"/>
                      <w:szCs w:val="21"/>
                      <w:highlight w:val="none"/>
                      <w:lang w:val="en-US" w:eastAsia="zh-CN"/>
                    </w:rPr>
                  </w:pPr>
                  <w:r>
                    <w:rPr>
                      <w:rFonts w:hint="eastAsia"/>
                      <w:color w:val="auto"/>
                      <w:kern w:val="0"/>
                      <w:szCs w:val="21"/>
                      <w:highlight w:val="none"/>
                      <w:lang w:val="en-US" w:eastAsia="zh-CN"/>
                    </w:rPr>
                    <w:t>79</w:t>
                  </w:r>
                </w:p>
              </w:tc>
              <w:tc>
                <w:tcPr>
                  <w:tcW w:w="251" w:type="pct"/>
                  <w:vMerge w:val="restart"/>
                  <w:vAlign w:val="center"/>
                </w:tcPr>
                <w:p w14:paraId="17260EBA">
                  <w:pPr>
                    <w:jc w:val="center"/>
                    <w:rPr>
                      <w:color w:val="auto"/>
                      <w:szCs w:val="21"/>
                    </w:rPr>
                  </w:pPr>
                  <w:r>
                    <w:rPr>
                      <w:color w:val="auto"/>
                      <w:kern w:val="0"/>
                      <w:sz w:val="21"/>
                      <w:szCs w:val="20"/>
                    </w:rPr>
                    <w:t>每</w:t>
                  </w:r>
                  <w:r>
                    <w:rPr>
                      <w:rFonts w:hint="eastAsia"/>
                      <w:color w:val="auto"/>
                      <w:kern w:val="0"/>
                      <w:sz w:val="21"/>
                      <w:szCs w:val="20"/>
                      <w:lang w:val="en-US" w:eastAsia="zh-CN"/>
                    </w:rPr>
                    <w:t>班8</w:t>
                  </w:r>
                  <w:r>
                    <w:rPr>
                      <w:color w:val="auto"/>
                      <w:kern w:val="0"/>
                      <w:sz w:val="21"/>
                      <w:szCs w:val="20"/>
                    </w:rPr>
                    <w:t>h</w:t>
                  </w:r>
                  <w:r>
                    <w:rPr>
                      <w:color w:val="auto"/>
                      <w:kern w:val="0"/>
                      <w:sz w:val="21"/>
                      <w:szCs w:val="20"/>
                      <w:lang w:val="zh-TW"/>
                    </w:rPr>
                    <w:t>，</w:t>
                  </w:r>
                  <w:r>
                    <w:rPr>
                      <w:rFonts w:hint="eastAsia"/>
                      <w:color w:val="auto"/>
                      <w:kern w:val="0"/>
                      <w:sz w:val="21"/>
                      <w:szCs w:val="20"/>
                      <w:lang w:val="en-US" w:eastAsia="zh-CN"/>
                    </w:rPr>
                    <w:t>每天2班</w:t>
                  </w:r>
                </w:p>
              </w:tc>
              <w:tc>
                <w:tcPr>
                  <w:tcW w:w="381" w:type="pct"/>
                  <w:vAlign w:val="center"/>
                </w:tcPr>
                <w:p w14:paraId="4A60DE2A">
                  <w:pPr>
                    <w:jc w:val="center"/>
                    <w:rPr>
                      <w:rFonts w:hint="default" w:eastAsia="宋体"/>
                      <w:color w:val="auto"/>
                      <w:szCs w:val="21"/>
                      <w:lang w:val="en-US" w:eastAsia="zh-CN"/>
                    </w:rPr>
                  </w:pPr>
                  <w:r>
                    <w:rPr>
                      <w:rFonts w:hint="eastAsia"/>
                      <w:color w:val="auto"/>
                      <w:szCs w:val="21"/>
                      <w:lang w:val="en-US" w:eastAsia="zh-CN"/>
                    </w:rPr>
                    <w:t>23</w:t>
                  </w:r>
                </w:p>
              </w:tc>
              <w:tc>
                <w:tcPr>
                  <w:tcW w:w="382" w:type="pct"/>
                  <w:vAlign w:val="center"/>
                </w:tcPr>
                <w:p w14:paraId="025A04CB">
                  <w:pPr>
                    <w:jc w:val="center"/>
                    <w:rPr>
                      <w:rFonts w:hint="default" w:eastAsia="宋体"/>
                      <w:color w:val="auto"/>
                      <w:kern w:val="0"/>
                      <w:szCs w:val="21"/>
                      <w:lang w:val="en-US" w:eastAsia="zh-CN"/>
                    </w:rPr>
                  </w:pPr>
                  <w:r>
                    <w:rPr>
                      <w:rFonts w:hint="eastAsia"/>
                      <w:color w:val="auto"/>
                      <w:kern w:val="0"/>
                      <w:szCs w:val="21"/>
                      <w:lang w:val="en-US" w:eastAsia="zh-CN"/>
                    </w:rPr>
                    <w:t>56</w:t>
                  </w:r>
                </w:p>
              </w:tc>
              <w:tc>
                <w:tcPr>
                  <w:tcW w:w="400" w:type="pct"/>
                  <w:vAlign w:val="center"/>
                </w:tcPr>
                <w:p w14:paraId="4482FC20">
                  <w:pPr>
                    <w:widowControl/>
                    <w:adjustRightInd w:val="0"/>
                    <w:snapToGrid w:val="0"/>
                    <w:jc w:val="center"/>
                    <w:rPr>
                      <w:color w:val="auto"/>
                      <w:kern w:val="0"/>
                      <w:szCs w:val="21"/>
                    </w:rPr>
                  </w:pPr>
                  <w:r>
                    <w:rPr>
                      <w:color w:val="auto"/>
                      <w:kern w:val="0"/>
                      <w:szCs w:val="21"/>
                    </w:rPr>
                    <w:t>1</w:t>
                  </w:r>
                </w:p>
              </w:tc>
            </w:tr>
            <w:tr w14:paraId="13F30D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20" w:type="pct"/>
                  <w:vMerge w:val="continue"/>
                  <w:vAlign w:val="center"/>
                </w:tcPr>
                <w:p w14:paraId="53E7DAB7">
                  <w:pPr>
                    <w:jc w:val="center"/>
                    <w:rPr>
                      <w:color w:val="auto"/>
                      <w:szCs w:val="21"/>
                    </w:rPr>
                  </w:pPr>
                </w:p>
              </w:tc>
              <w:tc>
                <w:tcPr>
                  <w:tcW w:w="249" w:type="pct"/>
                  <w:vMerge w:val="continue"/>
                  <w:vAlign w:val="center"/>
                </w:tcPr>
                <w:p w14:paraId="36B72CAA">
                  <w:pPr>
                    <w:jc w:val="center"/>
                    <w:rPr>
                      <w:color w:val="auto"/>
                      <w:szCs w:val="21"/>
                    </w:rPr>
                  </w:pPr>
                </w:p>
              </w:tc>
              <w:tc>
                <w:tcPr>
                  <w:tcW w:w="488" w:type="pct"/>
                  <w:shd w:val="clear" w:color="auto" w:fill="auto"/>
                  <w:vAlign w:val="center"/>
                </w:tcPr>
                <w:p w14:paraId="669B8D6B">
                  <w:pPr>
                    <w:keepNext w:val="0"/>
                    <w:keepLines w:val="0"/>
                    <w:pageBreakBefore w:val="0"/>
                    <w:kinsoku/>
                    <w:wordWrap/>
                    <w:overflowPunct/>
                    <w:topLinePunct w:val="0"/>
                    <w:autoSpaceDE/>
                    <w:autoSpaceDN/>
                    <w:bidi w:val="0"/>
                    <w:adjustRightInd w:val="0"/>
                    <w:snapToGrid w:val="0"/>
                    <w:spacing w:line="240" w:lineRule="auto"/>
                    <w:jc w:val="center"/>
                    <w:rPr>
                      <w:rFonts w:ascii="Times New Roman" w:hAnsi="Times New Roman" w:eastAsia="宋体" w:cs="Times New Roman"/>
                      <w:color w:val="auto"/>
                      <w:kern w:val="0"/>
                      <w:sz w:val="21"/>
                      <w:szCs w:val="21"/>
                      <w:lang w:val="en-US" w:eastAsia="zh-CN" w:bidi="ar-SA"/>
                    </w:rPr>
                  </w:pPr>
                  <w:r>
                    <w:rPr>
                      <w:rFonts w:hint="eastAsia" w:cs="Times New Roman"/>
                      <w:b w:val="0"/>
                      <w:bCs w:val="0"/>
                      <w:color w:val="auto"/>
                      <w:sz w:val="21"/>
                      <w:szCs w:val="21"/>
                      <w:lang w:val="en-US" w:eastAsia="zh-CN"/>
                    </w:rPr>
                    <w:t>振壳机</w:t>
                  </w:r>
                </w:p>
              </w:tc>
              <w:tc>
                <w:tcPr>
                  <w:tcW w:w="251" w:type="pct"/>
                  <w:vAlign w:val="center"/>
                </w:tcPr>
                <w:p w14:paraId="24CF4677">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center"/>
                    <w:rPr>
                      <w:rFonts w:hint="default" w:eastAsia="宋体"/>
                      <w:color w:val="auto"/>
                      <w:szCs w:val="21"/>
                      <w:lang w:val="en-US" w:eastAsia="zh-CN"/>
                    </w:rPr>
                  </w:pPr>
                  <w:r>
                    <w:rPr>
                      <w:rFonts w:hint="eastAsia"/>
                      <w:color w:val="auto"/>
                      <w:szCs w:val="21"/>
                      <w:lang w:val="en-US" w:eastAsia="zh-CN"/>
                    </w:rPr>
                    <w:t>2</w:t>
                  </w:r>
                </w:p>
              </w:tc>
              <w:tc>
                <w:tcPr>
                  <w:tcW w:w="608" w:type="pct"/>
                  <w:vAlign w:val="center"/>
                </w:tcPr>
                <w:p w14:paraId="1A5CAC75">
                  <w:pPr>
                    <w:keepNext w:val="0"/>
                    <w:keepLines w:val="0"/>
                    <w:pageBreakBefore w:val="0"/>
                    <w:widowControl w:val="0"/>
                    <w:kinsoku/>
                    <w:wordWrap/>
                    <w:overflowPunct/>
                    <w:topLinePunct w:val="0"/>
                    <w:autoSpaceDE/>
                    <w:autoSpaceDN/>
                    <w:bidi w:val="0"/>
                    <w:adjustRightInd w:val="0"/>
                    <w:snapToGrid w:val="0"/>
                    <w:spacing w:line="240" w:lineRule="auto"/>
                    <w:jc w:val="center"/>
                    <w:rPr>
                      <w:rFonts w:hint="default" w:eastAsia="宋体"/>
                      <w:color w:val="auto"/>
                      <w:kern w:val="0"/>
                      <w:szCs w:val="21"/>
                      <w:lang w:val="en-US" w:eastAsia="zh-CN"/>
                    </w:rPr>
                  </w:pPr>
                  <w:r>
                    <w:rPr>
                      <w:rFonts w:hint="eastAsia"/>
                      <w:color w:val="auto"/>
                      <w:kern w:val="0"/>
                      <w:szCs w:val="21"/>
                      <w:lang w:val="en-US" w:eastAsia="zh-CN"/>
                    </w:rPr>
                    <w:t>80</w:t>
                  </w:r>
                </w:p>
              </w:tc>
              <w:tc>
                <w:tcPr>
                  <w:tcW w:w="500" w:type="pct"/>
                  <w:vMerge w:val="continue"/>
                  <w:vAlign w:val="center"/>
                </w:tcPr>
                <w:p w14:paraId="00ADA9B6">
                  <w:pPr>
                    <w:jc w:val="center"/>
                    <w:rPr>
                      <w:color w:val="auto"/>
                      <w:szCs w:val="21"/>
                    </w:rPr>
                  </w:pPr>
                </w:p>
              </w:tc>
              <w:tc>
                <w:tcPr>
                  <w:tcW w:w="247" w:type="pct"/>
                  <w:vAlign w:val="center"/>
                </w:tcPr>
                <w:p w14:paraId="2675347D">
                  <w:pPr>
                    <w:keepNext w:val="0"/>
                    <w:keepLines w:val="0"/>
                    <w:widowControl/>
                    <w:suppressLineNumbers w:val="0"/>
                    <w:jc w:val="center"/>
                    <w:textAlignment w:val="center"/>
                    <w:rPr>
                      <w:rFonts w:hint="default" w:eastAsia="宋体"/>
                      <w:color w:val="auto"/>
                      <w:kern w:val="0"/>
                      <w:szCs w:val="21"/>
                      <w:lang w:val="en-US" w:eastAsia="zh-CN"/>
                    </w:rPr>
                  </w:pPr>
                  <w:r>
                    <w:rPr>
                      <w:rFonts w:hint="eastAsia"/>
                      <w:color w:val="auto"/>
                      <w:kern w:val="0"/>
                      <w:szCs w:val="21"/>
                      <w:lang w:val="en-US" w:eastAsia="zh-CN"/>
                    </w:rPr>
                    <w:t>2</w:t>
                  </w:r>
                </w:p>
              </w:tc>
              <w:tc>
                <w:tcPr>
                  <w:tcW w:w="225" w:type="pct"/>
                  <w:vAlign w:val="center"/>
                </w:tcPr>
                <w:p w14:paraId="0D4C69D8">
                  <w:pPr>
                    <w:widowControl/>
                    <w:jc w:val="center"/>
                    <w:textAlignment w:val="center"/>
                    <w:rPr>
                      <w:rFonts w:hint="default" w:eastAsia="宋体"/>
                      <w:color w:val="auto"/>
                      <w:kern w:val="0"/>
                      <w:szCs w:val="21"/>
                      <w:lang w:val="en-US" w:eastAsia="zh-CN"/>
                    </w:rPr>
                  </w:pPr>
                  <w:r>
                    <w:rPr>
                      <w:rFonts w:hint="eastAsia"/>
                      <w:color w:val="auto"/>
                      <w:kern w:val="0"/>
                      <w:szCs w:val="21"/>
                      <w:lang w:val="en-US" w:eastAsia="zh-CN"/>
                    </w:rPr>
                    <w:t>2</w:t>
                  </w:r>
                </w:p>
              </w:tc>
              <w:tc>
                <w:tcPr>
                  <w:tcW w:w="220" w:type="pct"/>
                  <w:vAlign w:val="center"/>
                </w:tcPr>
                <w:p w14:paraId="30881ED1">
                  <w:pPr>
                    <w:jc w:val="center"/>
                    <w:rPr>
                      <w:rFonts w:hint="eastAsia" w:eastAsia="宋体"/>
                      <w:color w:val="auto"/>
                      <w:kern w:val="0"/>
                      <w:szCs w:val="21"/>
                      <w:lang w:val="en-US" w:eastAsia="zh-CN"/>
                    </w:rPr>
                  </w:pPr>
                  <w:r>
                    <w:rPr>
                      <w:rFonts w:hint="eastAsia"/>
                      <w:color w:val="auto"/>
                      <w:kern w:val="0"/>
                      <w:szCs w:val="21"/>
                      <w:lang w:val="en-US" w:eastAsia="zh-CN"/>
                    </w:rPr>
                    <w:t>1</w:t>
                  </w:r>
                </w:p>
              </w:tc>
              <w:tc>
                <w:tcPr>
                  <w:tcW w:w="322" w:type="pct"/>
                  <w:vAlign w:val="center"/>
                </w:tcPr>
                <w:p w14:paraId="71569DC4">
                  <w:pPr>
                    <w:jc w:val="center"/>
                    <w:rPr>
                      <w:rFonts w:hint="default" w:eastAsia="宋体"/>
                      <w:color w:val="auto"/>
                      <w:szCs w:val="21"/>
                      <w:lang w:val="en-US" w:eastAsia="zh-CN"/>
                    </w:rPr>
                  </w:pPr>
                  <w:r>
                    <w:rPr>
                      <w:rFonts w:hint="eastAsia"/>
                      <w:color w:val="auto"/>
                      <w:kern w:val="0"/>
                      <w:szCs w:val="21"/>
                      <w:lang w:val="en-US" w:eastAsia="zh-CN"/>
                    </w:rPr>
                    <w:t>2</w:t>
                  </w:r>
                </w:p>
              </w:tc>
              <w:tc>
                <w:tcPr>
                  <w:tcW w:w="349" w:type="pct"/>
                  <w:vAlign w:val="center"/>
                </w:tcPr>
                <w:p w14:paraId="36803BDF">
                  <w:pPr>
                    <w:keepNext w:val="0"/>
                    <w:keepLines w:val="0"/>
                    <w:pageBreakBefore w:val="0"/>
                    <w:widowControl w:val="0"/>
                    <w:kinsoku/>
                    <w:wordWrap/>
                    <w:overflowPunct/>
                    <w:topLinePunct w:val="0"/>
                    <w:autoSpaceDE/>
                    <w:autoSpaceDN/>
                    <w:bidi w:val="0"/>
                    <w:adjustRightInd w:val="0"/>
                    <w:snapToGrid w:val="0"/>
                    <w:spacing w:line="240" w:lineRule="auto"/>
                    <w:jc w:val="center"/>
                    <w:rPr>
                      <w:rFonts w:hint="default" w:eastAsia="宋体"/>
                      <w:color w:val="auto"/>
                      <w:kern w:val="0"/>
                      <w:szCs w:val="21"/>
                      <w:highlight w:val="none"/>
                      <w:lang w:val="en-US" w:eastAsia="zh-CN"/>
                    </w:rPr>
                  </w:pPr>
                  <w:r>
                    <w:rPr>
                      <w:rFonts w:hint="eastAsia"/>
                      <w:color w:val="auto"/>
                      <w:kern w:val="0"/>
                      <w:szCs w:val="21"/>
                      <w:highlight w:val="none"/>
                      <w:lang w:val="en-US" w:eastAsia="zh-CN"/>
                    </w:rPr>
                    <w:t>73</w:t>
                  </w:r>
                </w:p>
              </w:tc>
              <w:tc>
                <w:tcPr>
                  <w:tcW w:w="251" w:type="pct"/>
                  <w:vMerge w:val="continue"/>
                  <w:vAlign w:val="center"/>
                </w:tcPr>
                <w:p w14:paraId="37E67179">
                  <w:pPr>
                    <w:jc w:val="center"/>
                    <w:rPr>
                      <w:color w:val="auto"/>
                      <w:szCs w:val="21"/>
                    </w:rPr>
                  </w:pPr>
                </w:p>
              </w:tc>
              <w:tc>
                <w:tcPr>
                  <w:tcW w:w="381" w:type="pct"/>
                  <w:vAlign w:val="center"/>
                </w:tcPr>
                <w:p w14:paraId="7B3747FD">
                  <w:pPr>
                    <w:jc w:val="center"/>
                    <w:rPr>
                      <w:rFonts w:hint="default" w:eastAsia="宋体"/>
                      <w:color w:val="auto"/>
                      <w:szCs w:val="21"/>
                      <w:lang w:val="en-US" w:eastAsia="zh-CN"/>
                    </w:rPr>
                  </w:pPr>
                  <w:r>
                    <w:rPr>
                      <w:rFonts w:hint="eastAsia"/>
                      <w:color w:val="auto"/>
                      <w:szCs w:val="21"/>
                      <w:lang w:val="en-US" w:eastAsia="zh-CN"/>
                    </w:rPr>
                    <w:t>23</w:t>
                  </w:r>
                </w:p>
              </w:tc>
              <w:tc>
                <w:tcPr>
                  <w:tcW w:w="382" w:type="pct"/>
                  <w:vAlign w:val="center"/>
                </w:tcPr>
                <w:p w14:paraId="403B241A">
                  <w:pPr>
                    <w:jc w:val="center"/>
                    <w:rPr>
                      <w:rFonts w:hint="default" w:eastAsia="宋体"/>
                      <w:color w:val="auto"/>
                      <w:kern w:val="0"/>
                      <w:szCs w:val="21"/>
                      <w:lang w:val="en-US" w:eastAsia="zh-CN"/>
                    </w:rPr>
                  </w:pPr>
                  <w:r>
                    <w:rPr>
                      <w:rFonts w:hint="eastAsia"/>
                      <w:color w:val="auto"/>
                      <w:kern w:val="0"/>
                      <w:szCs w:val="21"/>
                      <w:lang w:val="en-US" w:eastAsia="zh-CN"/>
                    </w:rPr>
                    <w:t>50</w:t>
                  </w:r>
                </w:p>
              </w:tc>
              <w:tc>
                <w:tcPr>
                  <w:tcW w:w="400" w:type="pct"/>
                  <w:vAlign w:val="center"/>
                </w:tcPr>
                <w:p w14:paraId="518EC17A">
                  <w:pPr>
                    <w:widowControl/>
                    <w:adjustRightInd w:val="0"/>
                    <w:snapToGrid w:val="0"/>
                    <w:jc w:val="center"/>
                    <w:rPr>
                      <w:color w:val="auto"/>
                      <w:kern w:val="0"/>
                      <w:szCs w:val="21"/>
                    </w:rPr>
                  </w:pPr>
                  <w:r>
                    <w:rPr>
                      <w:color w:val="auto"/>
                      <w:kern w:val="0"/>
                      <w:szCs w:val="21"/>
                    </w:rPr>
                    <w:t>1</w:t>
                  </w:r>
                </w:p>
              </w:tc>
            </w:tr>
            <w:tr w14:paraId="69D590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20" w:type="pct"/>
                  <w:vMerge w:val="continue"/>
                  <w:vAlign w:val="center"/>
                </w:tcPr>
                <w:p w14:paraId="2EE412C3">
                  <w:pPr>
                    <w:jc w:val="center"/>
                    <w:rPr>
                      <w:color w:val="auto"/>
                      <w:szCs w:val="21"/>
                    </w:rPr>
                  </w:pPr>
                </w:p>
              </w:tc>
              <w:tc>
                <w:tcPr>
                  <w:tcW w:w="249" w:type="pct"/>
                  <w:vMerge w:val="continue"/>
                  <w:vAlign w:val="center"/>
                </w:tcPr>
                <w:p w14:paraId="7E2C1E3E">
                  <w:pPr>
                    <w:jc w:val="center"/>
                    <w:rPr>
                      <w:color w:val="auto"/>
                      <w:szCs w:val="21"/>
                    </w:rPr>
                  </w:pPr>
                </w:p>
              </w:tc>
              <w:tc>
                <w:tcPr>
                  <w:tcW w:w="488" w:type="pct"/>
                  <w:shd w:val="clear" w:color="auto" w:fill="auto"/>
                  <w:vAlign w:val="center"/>
                </w:tcPr>
                <w:p w14:paraId="392886EA">
                  <w:pPr>
                    <w:keepNext w:val="0"/>
                    <w:keepLines w:val="0"/>
                    <w:pageBreakBefore w:val="0"/>
                    <w:kinsoku/>
                    <w:wordWrap/>
                    <w:overflowPunct/>
                    <w:topLinePunct w:val="0"/>
                    <w:autoSpaceDE/>
                    <w:autoSpaceDN/>
                    <w:bidi w:val="0"/>
                    <w:adjustRightInd w:val="0"/>
                    <w:snapToGrid w:val="0"/>
                    <w:spacing w:line="240" w:lineRule="auto"/>
                    <w:jc w:val="center"/>
                    <w:rPr>
                      <w:rFonts w:hint="eastAsia" w:ascii="宋体" w:hAnsi="宋体" w:eastAsia="宋体" w:cs="宋体"/>
                      <w:i w:val="0"/>
                      <w:iCs w:val="0"/>
                      <w:color w:val="auto"/>
                      <w:spacing w:val="4"/>
                      <w:kern w:val="0"/>
                      <w:sz w:val="21"/>
                      <w:szCs w:val="21"/>
                      <w:u w:val="none"/>
                      <w:lang w:val="en-US" w:eastAsia="zh-CN" w:bidi="ar"/>
                    </w:rPr>
                  </w:pPr>
                  <w:r>
                    <w:rPr>
                      <w:rFonts w:hint="eastAsia" w:cs="Times New Roman"/>
                      <w:b w:val="0"/>
                      <w:bCs w:val="0"/>
                      <w:color w:val="auto"/>
                      <w:sz w:val="21"/>
                      <w:szCs w:val="21"/>
                      <w:lang w:val="en-US" w:eastAsia="zh-CN"/>
                    </w:rPr>
                    <w:t>喷砂机</w:t>
                  </w:r>
                </w:p>
              </w:tc>
              <w:tc>
                <w:tcPr>
                  <w:tcW w:w="251" w:type="pct"/>
                  <w:vAlign w:val="center"/>
                </w:tcPr>
                <w:p w14:paraId="00C51E01">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center"/>
                    <w:rPr>
                      <w:rFonts w:hint="eastAsia" w:eastAsia="宋体"/>
                      <w:color w:val="auto"/>
                      <w:szCs w:val="21"/>
                      <w:lang w:val="en-US" w:eastAsia="zh-CN"/>
                    </w:rPr>
                  </w:pPr>
                  <w:r>
                    <w:rPr>
                      <w:rFonts w:hint="eastAsia"/>
                      <w:color w:val="auto"/>
                      <w:kern w:val="0"/>
                      <w:szCs w:val="21"/>
                      <w:lang w:val="en-US" w:eastAsia="zh-CN"/>
                    </w:rPr>
                    <w:t>2</w:t>
                  </w:r>
                </w:p>
              </w:tc>
              <w:tc>
                <w:tcPr>
                  <w:tcW w:w="608" w:type="pct"/>
                  <w:vAlign w:val="center"/>
                </w:tcPr>
                <w:p w14:paraId="014603EE">
                  <w:pPr>
                    <w:keepNext w:val="0"/>
                    <w:keepLines w:val="0"/>
                    <w:pageBreakBefore w:val="0"/>
                    <w:widowControl w:val="0"/>
                    <w:kinsoku/>
                    <w:wordWrap/>
                    <w:overflowPunct/>
                    <w:topLinePunct w:val="0"/>
                    <w:autoSpaceDE/>
                    <w:autoSpaceDN/>
                    <w:bidi w:val="0"/>
                    <w:adjustRightInd w:val="0"/>
                    <w:snapToGrid w:val="0"/>
                    <w:spacing w:line="240" w:lineRule="auto"/>
                    <w:jc w:val="center"/>
                    <w:rPr>
                      <w:rFonts w:hint="default" w:eastAsia="宋体"/>
                      <w:color w:val="auto"/>
                      <w:kern w:val="0"/>
                      <w:szCs w:val="21"/>
                      <w:lang w:val="en-US" w:eastAsia="zh-CN"/>
                    </w:rPr>
                  </w:pPr>
                  <w:r>
                    <w:rPr>
                      <w:rFonts w:hint="eastAsia"/>
                      <w:color w:val="auto"/>
                      <w:kern w:val="0"/>
                      <w:szCs w:val="21"/>
                      <w:lang w:val="en-US" w:eastAsia="zh-CN"/>
                    </w:rPr>
                    <w:t>80</w:t>
                  </w:r>
                </w:p>
              </w:tc>
              <w:tc>
                <w:tcPr>
                  <w:tcW w:w="500" w:type="pct"/>
                  <w:vMerge w:val="continue"/>
                  <w:vAlign w:val="center"/>
                </w:tcPr>
                <w:p w14:paraId="4A4B53D5">
                  <w:pPr>
                    <w:jc w:val="center"/>
                    <w:rPr>
                      <w:color w:val="auto"/>
                      <w:szCs w:val="21"/>
                    </w:rPr>
                  </w:pPr>
                </w:p>
              </w:tc>
              <w:tc>
                <w:tcPr>
                  <w:tcW w:w="247" w:type="pct"/>
                  <w:vAlign w:val="center"/>
                </w:tcPr>
                <w:p w14:paraId="3A1C040D">
                  <w:pPr>
                    <w:keepNext w:val="0"/>
                    <w:keepLines w:val="0"/>
                    <w:widowControl/>
                    <w:suppressLineNumbers w:val="0"/>
                    <w:jc w:val="center"/>
                    <w:textAlignment w:val="center"/>
                    <w:rPr>
                      <w:rFonts w:hint="default" w:eastAsia="宋体"/>
                      <w:color w:val="auto"/>
                      <w:kern w:val="0"/>
                      <w:szCs w:val="21"/>
                      <w:lang w:val="en-US" w:eastAsia="zh-CN"/>
                    </w:rPr>
                  </w:pPr>
                  <w:r>
                    <w:rPr>
                      <w:rFonts w:hint="eastAsia"/>
                      <w:color w:val="auto"/>
                      <w:kern w:val="0"/>
                      <w:szCs w:val="21"/>
                      <w:lang w:val="en-US" w:eastAsia="zh-CN"/>
                    </w:rPr>
                    <w:t>3</w:t>
                  </w:r>
                </w:p>
              </w:tc>
              <w:tc>
                <w:tcPr>
                  <w:tcW w:w="225" w:type="pct"/>
                  <w:vAlign w:val="center"/>
                </w:tcPr>
                <w:p w14:paraId="43B7DCF4">
                  <w:pPr>
                    <w:widowControl/>
                    <w:jc w:val="center"/>
                    <w:textAlignment w:val="center"/>
                    <w:rPr>
                      <w:rFonts w:hint="default" w:eastAsia="宋体"/>
                      <w:color w:val="auto"/>
                      <w:kern w:val="0"/>
                      <w:szCs w:val="21"/>
                      <w:lang w:val="en-US" w:eastAsia="zh-CN"/>
                    </w:rPr>
                  </w:pPr>
                  <w:r>
                    <w:rPr>
                      <w:rFonts w:hint="eastAsia"/>
                      <w:color w:val="auto"/>
                      <w:kern w:val="0"/>
                      <w:szCs w:val="21"/>
                      <w:lang w:val="en-US" w:eastAsia="zh-CN"/>
                    </w:rPr>
                    <w:t>3</w:t>
                  </w:r>
                </w:p>
              </w:tc>
              <w:tc>
                <w:tcPr>
                  <w:tcW w:w="220" w:type="pct"/>
                  <w:vAlign w:val="center"/>
                </w:tcPr>
                <w:p w14:paraId="224D79F4">
                  <w:pPr>
                    <w:jc w:val="center"/>
                    <w:rPr>
                      <w:rFonts w:hint="eastAsia" w:eastAsia="宋体"/>
                      <w:color w:val="auto"/>
                      <w:kern w:val="0"/>
                      <w:szCs w:val="21"/>
                      <w:lang w:val="en-US" w:eastAsia="zh-CN"/>
                    </w:rPr>
                  </w:pPr>
                  <w:r>
                    <w:rPr>
                      <w:rFonts w:hint="eastAsia"/>
                      <w:color w:val="auto"/>
                      <w:kern w:val="0"/>
                      <w:szCs w:val="21"/>
                      <w:lang w:val="en-US" w:eastAsia="zh-CN"/>
                    </w:rPr>
                    <w:t>1</w:t>
                  </w:r>
                </w:p>
              </w:tc>
              <w:tc>
                <w:tcPr>
                  <w:tcW w:w="322" w:type="pct"/>
                  <w:vAlign w:val="center"/>
                </w:tcPr>
                <w:p w14:paraId="685A1FCC">
                  <w:pPr>
                    <w:jc w:val="center"/>
                    <w:rPr>
                      <w:rFonts w:hint="default" w:eastAsia="宋体"/>
                      <w:color w:val="auto"/>
                      <w:szCs w:val="21"/>
                      <w:lang w:val="en-US" w:eastAsia="zh-CN"/>
                    </w:rPr>
                  </w:pPr>
                  <w:r>
                    <w:rPr>
                      <w:rFonts w:hint="eastAsia"/>
                      <w:color w:val="auto"/>
                      <w:szCs w:val="21"/>
                      <w:lang w:val="en-US" w:eastAsia="zh-CN"/>
                    </w:rPr>
                    <w:t>2</w:t>
                  </w:r>
                </w:p>
              </w:tc>
              <w:tc>
                <w:tcPr>
                  <w:tcW w:w="349" w:type="pct"/>
                  <w:vAlign w:val="center"/>
                </w:tcPr>
                <w:p w14:paraId="70DE0B30">
                  <w:pPr>
                    <w:keepNext w:val="0"/>
                    <w:keepLines w:val="0"/>
                    <w:pageBreakBefore w:val="0"/>
                    <w:widowControl w:val="0"/>
                    <w:kinsoku/>
                    <w:wordWrap/>
                    <w:overflowPunct/>
                    <w:topLinePunct w:val="0"/>
                    <w:autoSpaceDE/>
                    <w:autoSpaceDN/>
                    <w:bidi w:val="0"/>
                    <w:adjustRightInd w:val="0"/>
                    <w:snapToGrid w:val="0"/>
                    <w:spacing w:line="240" w:lineRule="auto"/>
                    <w:jc w:val="center"/>
                    <w:rPr>
                      <w:rFonts w:hint="default" w:eastAsia="宋体"/>
                      <w:color w:val="auto"/>
                      <w:kern w:val="0"/>
                      <w:szCs w:val="21"/>
                      <w:highlight w:val="none"/>
                      <w:lang w:val="en-US" w:eastAsia="zh-CN"/>
                    </w:rPr>
                  </w:pPr>
                  <w:r>
                    <w:rPr>
                      <w:rFonts w:hint="eastAsia"/>
                      <w:color w:val="auto"/>
                      <w:kern w:val="0"/>
                      <w:szCs w:val="21"/>
                      <w:highlight w:val="none"/>
                      <w:lang w:val="en-US" w:eastAsia="zh-CN"/>
                    </w:rPr>
                    <w:t>73</w:t>
                  </w:r>
                </w:p>
              </w:tc>
              <w:tc>
                <w:tcPr>
                  <w:tcW w:w="251" w:type="pct"/>
                  <w:vMerge w:val="continue"/>
                  <w:vAlign w:val="center"/>
                </w:tcPr>
                <w:p w14:paraId="442ECC5E">
                  <w:pPr>
                    <w:jc w:val="center"/>
                    <w:rPr>
                      <w:color w:val="auto"/>
                      <w:szCs w:val="21"/>
                    </w:rPr>
                  </w:pPr>
                </w:p>
              </w:tc>
              <w:tc>
                <w:tcPr>
                  <w:tcW w:w="381" w:type="pct"/>
                  <w:vAlign w:val="center"/>
                </w:tcPr>
                <w:p w14:paraId="015E652B">
                  <w:pPr>
                    <w:jc w:val="center"/>
                    <w:rPr>
                      <w:rFonts w:hint="default" w:eastAsia="宋体"/>
                      <w:color w:val="auto"/>
                      <w:szCs w:val="21"/>
                      <w:lang w:val="en-US" w:eastAsia="zh-CN"/>
                    </w:rPr>
                  </w:pPr>
                  <w:r>
                    <w:rPr>
                      <w:rFonts w:hint="eastAsia"/>
                      <w:color w:val="auto"/>
                      <w:szCs w:val="21"/>
                      <w:lang w:val="en-US" w:eastAsia="zh-CN"/>
                    </w:rPr>
                    <w:t>23</w:t>
                  </w:r>
                </w:p>
              </w:tc>
              <w:tc>
                <w:tcPr>
                  <w:tcW w:w="382" w:type="pct"/>
                  <w:vAlign w:val="center"/>
                </w:tcPr>
                <w:p w14:paraId="2776F839">
                  <w:pPr>
                    <w:jc w:val="center"/>
                    <w:rPr>
                      <w:rFonts w:hint="default" w:eastAsia="宋体"/>
                      <w:color w:val="auto"/>
                      <w:kern w:val="0"/>
                      <w:szCs w:val="21"/>
                      <w:lang w:val="en-US" w:eastAsia="zh-CN"/>
                    </w:rPr>
                  </w:pPr>
                  <w:r>
                    <w:rPr>
                      <w:rFonts w:hint="eastAsia"/>
                      <w:color w:val="auto"/>
                      <w:kern w:val="0"/>
                      <w:szCs w:val="21"/>
                      <w:lang w:val="en-US" w:eastAsia="zh-CN"/>
                    </w:rPr>
                    <w:t>50</w:t>
                  </w:r>
                </w:p>
              </w:tc>
              <w:tc>
                <w:tcPr>
                  <w:tcW w:w="400" w:type="pct"/>
                  <w:vAlign w:val="center"/>
                </w:tcPr>
                <w:p w14:paraId="5C8002B5">
                  <w:pPr>
                    <w:widowControl/>
                    <w:adjustRightInd w:val="0"/>
                    <w:snapToGrid w:val="0"/>
                    <w:jc w:val="center"/>
                    <w:rPr>
                      <w:color w:val="auto"/>
                      <w:kern w:val="0"/>
                      <w:szCs w:val="21"/>
                    </w:rPr>
                  </w:pPr>
                  <w:r>
                    <w:rPr>
                      <w:color w:val="auto"/>
                      <w:kern w:val="0"/>
                      <w:szCs w:val="21"/>
                    </w:rPr>
                    <w:t>1</w:t>
                  </w:r>
                </w:p>
              </w:tc>
            </w:tr>
            <w:tr w14:paraId="379B5F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20" w:type="pct"/>
                  <w:vMerge w:val="continue"/>
                  <w:vAlign w:val="center"/>
                </w:tcPr>
                <w:p w14:paraId="168D3D3E">
                  <w:pPr>
                    <w:jc w:val="center"/>
                    <w:rPr>
                      <w:color w:val="auto"/>
                      <w:szCs w:val="21"/>
                    </w:rPr>
                  </w:pPr>
                </w:p>
              </w:tc>
              <w:tc>
                <w:tcPr>
                  <w:tcW w:w="249" w:type="pct"/>
                  <w:vMerge w:val="continue"/>
                  <w:vAlign w:val="center"/>
                </w:tcPr>
                <w:p w14:paraId="7694F4C4">
                  <w:pPr>
                    <w:jc w:val="center"/>
                    <w:rPr>
                      <w:color w:val="auto"/>
                      <w:szCs w:val="21"/>
                    </w:rPr>
                  </w:pPr>
                </w:p>
              </w:tc>
              <w:tc>
                <w:tcPr>
                  <w:tcW w:w="488" w:type="pct"/>
                  <w:vAlign w:val="center"/>
                </w:tcPr>
                <w:p w14:paraId="0CDC36C1">
                  <w:pPr>
                    <w:keepNext w:val="0"/>
                    <w:keepLines w:val="0"/>
                    <w:pageBreakBefore w:val="0"/>
                    <w:kinsoku/>
                    <w:wordWrap/>
                    <w:overflowPunct/>
                    <w:topLinePunct w:val="0"/>
                    <w:autoSpaceDE/>
                    <w:autoSpaceDN/>
                    <w:bidi w:val="0"/>
                    <w:adjustRightInd w:val="0"/>
                    <w:snapToGrid w:val="0"/>
                    <w:spacing w:line="240" w:lineRule="auto"/>
                    <w:jc w:val="center"/>
                    <w:rPr>
                      <w:rFonts w:hint="eastAsia" w:ascii="宋体" w:hAnsi="宋体" w:eastAsia="宋体" w:cs="宋体"/>
                      <w:i w:val="0"/>
                      <w:iCs w:val="0"/>
                      <w:color w:val="auto"/>
                      <w:spacing w:val="4"/>
                      <w:kern w:val="0"/>
                      <w:sz w:val="21"/>
                      <w:szCs w:val="21"/>
                      <w:u w:val="none"/>
                      <w:lang w:val="en-US" w:eastAsia="zh-CN" w:bidi="ar"/>
                    </w:rPr>
                  </w:pPr>
                  <w:r>
                    <w:rPr>
                      <w:rFonts w:hint="eastAsia" w:cs="Times New Roman"/>
                      <w:b w:val="0"/>
                      <w:bCs w:val="0"/>
                      <w:color w:val="auto"/>
                      <w:sz w:val="21"/>
                      <w:szCs w:val="21"/>
                      <w:lang w:val="en-US" w:eastAsia="zh-CN"/>
                    </w:rPr>
                    <w:t>循环水泵</w:t>
                  </w:r>
                </w:p>
              </w:tc>
              <w:tc>
                <w:tcPr>
                  <w:tcW w:w="251" w:type="pct"/>
                  <w:vAlign w:val="center"/>
                </w:tcPr>
                <w:p w14:paraId="768C425A">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center"/>
                    <w:rPr>
                      <w:rFonts w:hint="default"/>
                      <w:color w:val="auto"/>
                      <w:kern w:val="0"/>
                      <w:szCs w:val="21"/>
                      <w:lang w:val="en-US" w:eastAsia="zh-CN"/>
                    </w:rPr>
                  </w:pPr>
                  <w:r>
                    <w:rPr>
                      <w:rFonts w:hint="eastAsia"/>
                      <w:color w:val="auto"/>
                      <w:kern w:val="0"/>
                      <w:szCs w:val="21"/>
                      <w:lang w:val="en-US" w:eastAsia="zh-CN"/>
                    </w:rPr>
                    <w:t>2</w:t>
                  </w:r>
                </w:p>
              </w:tc>
              <w:tc>
                <w:tcPr>
                  <w:tcW w:w="608" w:type="pct"/>
                  <w:vAlign w:val="center"/>
                </w:tcPr>
                <w:p w14:paraId="0BBA7691">
                  <w:pPr>
                    <w:keepNext w:val="0"/>
                    <w:keepLines w:val="0"/>
                    <w:pageBreakBefore w:val="0"/>
                    <w:widowControl w:val="0"/>
                    <w:kinsoku/>
                    <w:wordWrap/>
                    <w:overflowPunct/>
                    <w:topLinePunct w:val="0"/>
                    <w:autoSpaceDE/>
                    <w:autoSpaceDN/>
                    <w:bidi w:val="0"/>
                    <w:adjustRightInd w:val="0"/>
                    <w:snapToGrid w:val="0"/>
                    <w:spacing w:line="240" w:lineRule="auto"/>
                    <w:jc w:val="center"/>
                    <w:rPr>
                      <w:rFonts w:hint="default"/>
                      <w:color w:val="auto"/>
                      <w:kern w:val="0"/>
                      <w:szCs w:val="21"/>
                      <w:lang w:val="en-US" w:eastAsia="zh-CN"/>
                    </w:rPr>
                  </w:pPr>
                  <w:r>
                    <w:rPr>
                      <w:rFonts w:hint="eastAsia"/>
                      <w:color w:val="auto"/>
                      <w:kern w:val="0"/>
                      <w:szCs w:val="21"/>
                      <w:lang w:val="en-US" w:eastAsia="zh-CN"/>
                    </w:rPr>
                    <w:t>84</w:t>
                  </w:r>
                </w:p>
              </w:tc>
              <w:tc>
                <w:tcPr>
                  <w:tcW w:w="500" w:type="pct"/>
                  <w:vMerge w:val="restart"/>
                  <w:vAlign w:val="center"/>
                </w:tcPr>
                <w:p w14:paraId="76047BFD">
                  <w:pPr>
                    <w:jc w:val="both"/>
                    <w:rPr>
                      <w:rFonts w:hint="default" w:eastAsia="宋体"/>
                      <w:color w:val="auto"/>
                      <w:szCs w:val="21"/>
                      <w:lang w:val="en-US" w:eastAsia="zh-CN"/>
                    </w:rPr>
                  </w:pPr>
                  <w:r>
                    <w:rPr>
                      <w:rFonts w:hint="eastAsia"/>
                      <w:color w:val="auto"/>
                      <w:szCs w:val="21"/>
                      <w:lang w:val="en-US" w:eastAsia="zh-CN"/>
                    </w:rPr>
                    <w:t>采用低噪声设备、合理布局、基础减振、软连接、厂房隔声等</w:t>
                  </w:r>
                </w:p>
              </w:tc>
              <w:tc>
                <w:tcPr>
                  <w:tcW w:w="247" w:type="pct"/>
                  <w:vAlign w:val="center"/>
                </w:tcPr>
                <w:p w14:paraId="25CE55B9">
                  <w:pPr>
                    <w:keepNext w:val="0"/>
                    <w:keepLines w:val="0"/>
                    <w:widowControl/>
                    <w:suppressLineNumbers w:val="0"/>
                    <w:jc w:val="center"/>
                    <w:textAlignment w:val="center"/>
                    <w:rPr>
                      <w:rFonts w:hint="default"/>
                      <w:color w:val="auto"/>
                      <w:kern w:val="0"/>
                      <w:szCs w:val="21"/>
                      <w:lang w:val="en-US" w:eastAsia="zh-CN"/>
                    </w:rPr>
                  </w:pPr>
                  <w:r>
                    <w:rPr>
                      <w:rFonts w:hint="eastAsia"/>
                      <w:color w:val="auto"/>
                      <w:kern w:val="0"/>
                      <w:szCs w:val="21"/>
                      <w:lang w:val="en-US" w:eastAsia="zh-CN"/>
                    </w:rPr>
                    <w:t>2</w:t>
                  </w:r>
                </w:p>
              </w:tc>
              <w:tc>
                <w:tcPr>
                  <w:tcW w:w="225" w:type="pct"/>
                  <w:vAlign w:val="center"/>
                </w:tcPr>
                <w:p w14:paraId="079462D7">
                  <w:pPr>
                    <w:widowControl/>
                    <w:jc w:val="center"/>
                    <w:textAlignment w:val="center"/>
                    <w:rPr>
                      <w:rFonts w:hint="default"/>
                      <w:color w:val="auto"/>
                      <w:kern w:val="0"/>
                      <w:szCs w:val="21"/>
                      <w:lang w:val="en-US" w:eastAsia="zh-CN"/>
                    </w:rPr>
                  </w:pPr>
                  <w:r>
                    <w:rPr>
                      <w:rFonts w:hint="eastAsia"/>
                      <w:color w:val="auto"/>
                      <w:kern w:val="0"/>
                      <w:szCs w:val="21"/>
                      <w:lang w:val="en-US" w:eastAsia="zh-CN"/>
                    </w:rPr>
                    <w:t>35</w:t>
                  </w:r>
                </w:p>
              </w:tc>
              <w:tc>
                <w:tcPr>
                  <w:tcW w:w="220" w:type="pct"/>
                  <w:vAlign w:val="center"/>
                </w:tcPr>
                <w:p w14:paraId="0638EAFD">
                  <w:pPr>
                    <w:jc w:val="center"/>
                    <w:rPr>
                      <w:rFonts w:hint="default"/>
                      <w:color w:val="auto"/>
                      <w:kern w:val="0"/>
                      <w:szCs w:val="21"/>
                      <w:lang w:val="en-US" w:eastAsia="zh-CN"/>
                    </w:rPr>
                  </w:pPr>
                  <w:r>
                    <w:rPr>
                      <w:rFonts w:hint="eastAsia"/>
                      <w:color w:val="auto"/>
                      <w:kern w:val="0"/>
                      <w:szCs w:val="21"/>
                      <w:lang w:val="en-US" w:eastAsia="zh-CN"/>
                    </w:rPr>
                    <w:t>1</w:t>
                  </w:r>
                </w:p>
              </w:tc>
              <w:tc>
                <w:tcPr>
                  <w:tcW w:w="322" w:type="pct"/>
                  <w:vAlign w:val="center"/>
                </w:tcPr>
                <w:p w14:paraId="6930BC86">
                  <w:pPr>
                    <w:jc w:val="center"/>
                    <w:rPr>
                      <w:rFonts w:hint="default"/>
                      <w:color w:val="auto"/>
                      <w:szCs w:val="21"/>
                      <w:lang w:val="en-US" w:eastAsia="zh-CN"/>
                    </w:rPr>
                  </w:pPr>
                  <w:r>
                    <w:rPr>
                      <w:rFonts w:hint="eastAsia"/>
                      <w:color w:val="auto"/>
                      <w:szCs w:val="21"/>
                      <w:lang w:val="en-US" w:eastAsia="zh-CN"/>
                    </w:rPr>
                    <w:t>2</w:t>
                  </w:r>
                </w:p>
              </w:tc>
              <w:tc>
                <w:tcPr>
                  <w:tcW w:w="349" w:type="pct"/>
                  <w:vAlign w:val="center"/>
                </w:tcPr>
                <w:p w14:paraId="1C49C22C">
                  <w:pPr>
                    <w:keepNext w:val="0"/>
                    <w:keepLines w:val="0"/>
                    <w:pageBreakBefore w:val="0"/>
                    <w:widowControl w:val="0"/>
                    <w:kinsoku/>
                    <w:wordWrap/>
                    <w:overflowPunct/>
                    <w:topLinePunct w:val="0"/>
                    <w:autoSpaceDE/>
                    <w:autoSpaceDN/>
                    <w:bidi w:val="0"/>
                    <w:adjustRightInd w:val="0"/>
                    <w:snapToGrid w:val="0"/>
                    <w:spacing w:line="240" w:lineRule="auto"/>
                    <w:jc w:val="center"/>
                    <w:rPr>
                      <w:rFonts w:hint="default"/>
                      <w:color w:val="auto"/>
                      <w:kern w:val="0"/>
                      <w:szCs w:val="21"/>
                      <w:highlight w:val="none"/>
                      <w:lang w:val="en-US" w:eastAsia="zh-CN"/>
                    </w:rPr>
                  </w:pPr>
                  <w:r>
                    <w:rPr>
                      <w:rFonts w:hint="eastAsia"/>
                      <w:color w:val="auto"/>
                      <w:kern w:val="0"/>
                      <w:szCs w:val="21"/>
                      <w:highlight w:val="none"/>
                      <w:lang w:val="en-US" w:eastAsia="zh-CN"/>
                    </w:rPr>
                    <w:t>78</w:t>
                  </w:r>
                </w:p>
              </w:tc>
              <w:tc>
                <w:tcPr>
                  <w:tcW w:w="251" w:type="pct"/>
                  <w:vMerge w:val="continue"/>
                  <w:vAlign w:val="center"/>
                </w:tcPr>
                <w:p w14:paraId="687D45B7">
                  <w:pPr>
                    <w:jc w:val="center"/>
                    <w:rPr>
                      <w:color w:val="auto"/>
                      <w:szCs w:val="21"/>
                    </w:rPr>
                  </w:pPr>
                </w:p>
              </w:tc>
              <w:tc>
                <w:tcPr>
                  <w:tcW w:w="381" w:type="pct"/>
                  <w:vAlign w:val="center"/>
                </w:tcPr>
                <w:p w14:paraId="46481EFC">
                  <w:pPr>
                    <w:jc w:val="center"/>
                    <w:rPr>
                      <w:rFonts w:hint="default"/>
                      <w:color w:val="auto"/>
                      <w:szCs w:val="21"/>
                      <w:lang w:val="en-US" w:eastAsia="zh-CN"/>
                    </w:rPr>
                  </w:pPr>
                  <w:r>
                    <w:rPr>
                      <w:rFonts w:hint="eastAsia"/>
                      <w:color w:val="auto"/>
                      <w:szCs w:val="21"/>
                      <w:lang w:val="en-US" w:eastAsia="zh-CN"/>
                    </w:rPr>
                    <w:t>23</w:t>
                  </w:r>
                </w:p>
              </w:tc>
              <w:tc>
                <w:tcPr>
                  <w:tcW w:w="382" w:type="pct"/>
                  <w:vAlign w:val="center"/>
                </w:tcPr>
                <w:p w14:paraId="5969E242">
                  <w:pPr>
                    <w:jc w:val="center"/>
                    <w:rPr>
                      <w:rFonts w:hint="default"/>
                      <w:color w:val="auto"/>
                      <w:kern w:val="0"/>
                      <w:szCs w:val="21"/>
                      <w:lang w:val="en-US" w:eastAsia="zh-CN"/>
                    </w:rPr>
                  </w:pPr>
                  <w:r>
                    <w:rPr>
                      <w:rFonts w:hint="eastAsia"/>
                      <w:color w:val="auto"/>
                      <w:kern w:val="0"/>
                      <w:szCs w:val="21"/>
                      <w:lang w:val="en-US" w:eastAsia="zh-CN"/>
                    </w:rPr>
                    <w:t>55</w:t>
                  </w:r>
                </w:p>
              </w:tc>
              <w:tc>
                <w:tcPr>
                  <w:tcW w:w="400" w:type="pct"/>
                  <w:vAlign w:val="center"/>
                </w:tcPr>
                <w:p w14:paraId="31DB114C">
                  <w:pPr>
                    <w:widowControl/>
                    <w:adjustRightInd w:val="0"/>
                    <w:snapToGrid w:val="0"/>
                    <w:jc w:val="center"/>
                    <w:rPr>
                      <w:rFonts w:hint="eastAsia" w:eastAsia="宋体"/>
                      <w:color w:val="auto"/>
                      <w:kern w:val="0"/>
                      <w:szCs w:val="21"/>
                      <w:lang w:val="en-US" w:eastAsia="zh-CN"/>
                    </w:rPr>
                  </w:pPr>
                  <w:r>
                    <w:rPr>
                      <w:rFonts w:hint="eastAsia"/>
                      <w:color w:val="auto"/>
                      <w:kern w:val="0"/>
                      <w:szCs w:val="21"/>
                      <w:lang w:val="en-US" w:eastAsia="zh-CN"/>
                    </w:rPr>
                    <w:t>1</w:t>
                  </w:r>
                </w:p>
              </w:tc>
            </w:tr>
            <w:tr w14:paraId="17D0C1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20" w:type="pct"/>
                  <w:vMerge w:val="continue"/>
                  <w:vAlign w:val="center"/>
                </w:tcPr>
                <w:p w14:paraId="7A269C1E">
                  <w:pPr>
                    <w:jc w:val="center"/>
                    <w:rPr>
                      <w:color w:val="auto"/>
                      <w:szCs w:val="21"/>
                    </w:rPr>
                  </w:pPr>
                </w:p>
              </w:tc>
              <w:tc>
                <w:tcPr>
                  <w:tcW w:w="249" w:type="pct"/>
                  <w:vMerge w:val="continue"/>
                  <w:vAlign w:val="center"/>
                </w:tcPr>
                <w:p w14:paraId="3653CC88">
                  <w:pPr>
                    <w:jc w:val="center"/>
                    <w:rPr>
                      <w:color w:val="auto"/>
                      <w:szCs w:val="21"/>
                    </w:rPr>
                  </w:pPr>
                </w:p>
              </w:tc>
              <w:tc>
                <w:tcPr>
                  <w:tcW w:w="488" w:type="pct"/>
                  <w:vAlign w:val="center"/>
                </w:tcPr>
                <w:p w14:paraId="6B68B52B">
                  <w:pPr>
                    <w:keepNext w:val="0"/>
                    <w:keepLines w:val="0"/>
                    <w:pageBreakBefore w:val="0"/>
                    <w:widowControl/>
                    <w:kinsoku/>
                    <w:wordWrap/>
                    <w:overflowPunct/>
                    <w:topLinePunct w:val="0"/>
                    <w:autoSpaceDE/>
                    <w:autoSpaceDN/>
                    <w:bidi w:val="0"/>
                    <w:adjustRightInd w:val="0"/>
                    <w:snapToGrid w:val="0"/>
                    <w:ind w:firstLine="0" w:firstLineChars="0"/>
                    <w:jc w:val="center"/>
                    <w:textAlignment w:val="auto"/>
                    <w:rPr>
                      <w:rFonts w:hint="eastAsia" w:cs="Times New Roman"/>
                      <w:b w:val="0"/>
                      <w:bCs w:val="0"/>
                      <w:color w:val="auto"/>
                      <w:sz w:val="21"/>
                      <w:szCs w:val="21"/>
                      <w:lang w:val="en-US" w:eastAsia="zh-CN"/>
                    </w:rPr>
                  </w:pPr>
                  <w:r>
                    <w:rPr>
                      <w:rFonts w:hint="eastAsia"/>
                      <w:color w:val="auto"/>
                      <w:sz w:val="21"/>
                      <w:szCs w:val="21"/>
                      <w:lang w:val="en-US" w:eastAsia="zh-CN"/>
                    </w:rPr>
                    <w:t>除尘风机</w:t>
                  </w:r>
                </w:p>
              </w:tc>
              <w:tc>
                <w:tcPr>
                  <w:tcW w:w="251" w:type="pct"/>
                  <w:vAlign w:val="center"/>
                </w:tcPr>
                <w:p w14:paraId="09A87DCC">
                  <w:pPr>
                    <w:keepNext w:val="0"/>
                    <w:keepLines w:val="0"/>
                    <w:pageBreakBefore w:val="0"/>
                    <w:widowControl/>
                    <w:kinsoku/>
                    <w:wordWrap/>
                    <w:overflowPunct/>
                    <w:topLinePunct w:val="0"/>
                    <w:autoSpaceDE/>
                    <w:autoSpaceDN/>
                    <w:bidi w:val="0"/>
                    <w:adjustRightInd w:val="0"/>
                    <w:snapToGrid w:val="0"/>
                    <w:ind w:firstLine="0" w:firstLineChars="0"/>
                    <w:jc w:val="center"/>
                    <w:textAlignment w:val="auto"/>
                    <w:rPr>
                      <w:rFonts w:hint="eastAsia"/>
                      <w:color w:val="auto"/>
                      <w:kern w:val="0"/>
                      <w:szCs w:val="21"/>
                      <w:lang w:val="en-US" w:eastAsia="zh-CN"/>
                    </w:rPr>
                  </w:pPr>
                  <w:r>
                    <w:rPr>
                      <w:rFonts w:hint="eastAsia"/>
                      <w:color w:val="auto"/>
                      <w:sz w:val="21"/>
                      <w:szCs w:val="21"/>
                      <w:lang w:val="en-US" w:eastAsia="zh-CN"/>
                    </w:rPr>
                    <w:t>20</w:t>
                  </w:r>
                </w:p>
              </w:tc>
              <w:tc>
                <w:tcPr>
                  <w:tcW w:w="608" w:type="pct"/>
                  <w:vAlign w:val="center"/>
                </w:tcPr>
                <w:p w14:paraId="2F8FD154">
                  <w:pPr>
                    <w:keepNext w:val="0"/>
                    <w:keepLines w:val="0"/>
                    <w:pageBreakBefore w:val="0"/>
                    <w:widowControl w:val="0"/>
                    <w:kinsoku/>
                    <w:wordWrap/>
                    <w:overflowPunct/>
                    <w:topLinePunct w:val="0"/>
                    <w:autoSpaceDE/>
                    <w:autoSpaceDN/>
                    <w:bidi w:val="0"/>
                    <w:adjustRightInd w:val="0"/>
                    <w:snapToGrid w:val="0"/>
                    <w:spacing w:line="240" w:lineRule="auto"/>
                    <w:jc w:val="center"/>
                    <w:rPr>
                      <w:rFonts w:hint="default"/>
                      <w:color w:val="auto"/>
                      <w:kern w:val="0"/>
                      <w:szCs w:val="21"/>
                      <w:lang w:val="en-US" w:eastAsia="zh-CN"/>
                    </w:rPr>
                  </w:pPr>
                  <w:r>
                    <w:rPr>
                      <w:rFonts w:hint="eastAsia"/>
                      <w:color w:val="auto"/>
                      <w:kern w:val="0"/>
                      <w:szCs w:val="21"/>
                      <w:lang w:val="en-US" w:eastAsia="zh-CN"/>
                    </w:rPr>
                    <w:t>90</w:t>
                  </w:r>
                </w:p>
              </w:tc>
              <w:tc>
                <w:tcPr>
                  <w:tcW w:w="500" w:type="pct"/>
                  <w:vMerge w:val="continue"/>
                  <w:vAlign w:val="center"/>
                </w:tcPr>
                <w:p w14:paraId="053C9131">
                  <w:pPr>
                    <w:jc w:val="center"/>
                    <w:rPr>
                      <w:color w:val="auto"/>
                      <w:szCs w:val="21"/>
                    </w:rPr>
                  </w:pPr>
                </w:p>
              </w:tc>
              <w:tc>
                <w:tcPr>
                  <w:tcW w:w="247" w:type="pct"/>
                  <w:vAlign w:val="center"/>
                </w:tcPr>
                <w:p w14:paraId="354EA9B6">
                  <w:pPr>
                    <w:keepNext w:val="0"/>
                    <w:keepLines w:val="0"/>
                    <w:widowControl/>
                    <w:suppressLineNumbers w:val="0"/>
                    <w:jc w:val="center"/>
                    <w:textAlignment w:val="center"/>
                    <w:rPr>
                      <w:rFonts w:hint="default"/>
                      <w:color w:val="auto"/>
                      <w:kern w:val="0"/>
                      <w:szCs w:val="21"/>
                      <w:lang w:val="en-US" w:eastAsia="zh-CN"/>
                    </w:rPr>
                  </w:pPr>
                  <w:r>
                    <w:rPr>
                      <w:rFonts w:hint="eastAsia"/>
                      <w:color w:val="auto"/>
                      <w:kern w:val="0"/>
                      <w:szCs w:val="21"/>
                      <w:lang w:val="en-US" w:eastAsia="zh-CN"/>
                    </w:rPr>
                    <w:t>2</w:t>
                  </w:r>
                </w:p>
              </w:tc>
              <w:tc>
                <w:tcPr>
                  <w:tcW w:w="225" w:type="pct"/>
                  <w:vAlign w:val="center"/>
                </w:tcPr>
                <w:p w14:paraId="3E53156B">
                  <w:pPr>
                    <w:widowControl/>
                    <w:jc w:val="center"/>
                    <w:textAlignment w:val="center"/>
                    <w:rPr>
                      <w:rFonts w:hint="default"/>
                      <w:color w:val="auto"/>
                      <w:kern w:val="0"/>
                      <w:szCs w:val="21"/>
                      <w:lang w:val="en-US" w:eastAsia="zh-CN"/>
                    </w:rPr>
                  </w:pPr>
                  <w:r>
                    <w:rPr>
                      <w:rFonts w:hint="eastAsia"/>
                      <w:color w:val="auto"/>
                      <w:kern w:val="0"/>
                      <w:szCs w:val="21"/>
                      <w:lang w:val="en-US" w:eastAsia="zh-CN"/>
                    </w:rPr>
                    <w:t>3</w:t>
                  </w:r>
                </w:p>
              </w:tc>
              <w:tc>
                <w:tcPr>
                  <w:tcW w:w="220" w:type="pct"/>
                  <w:vAlign w:val="center"/>
                </w:tcPr>
                <w:p w14:paraId="37800406">
                  <w:pPr>
                    <w:jc w:val="center"/>
                    <w:rPr>
                      <w:rFonts w:hint="default"/>
                      <w:color w:val="auto"/>
                      <w:kern w:val="0"/>
                      <w:szCs w:val="21"/>
                      <w:lang w:val="en-US" w:eastAsia="zh-CN"/>
                    </w:rPr>
                  </w:pPr>
                  <w:r>
                    <w:rPr>
                      <w:rFonts w:hint="eastAsia"/>
                      <w:color w:val="auto"/>
                      <w:kern w:val="0"/>
                      <w:szCs w:val="21"/>
                      <w:lang w:val="en-US" w:eastAsia="zh-CN"/>
                    </w:rPr>
                    <w:t>1</w:t>
                  </w:r>
                </w:p>
              </w:tc>
              <w:tc>
                <w:tcPr>
                  <w:tcW w:w="322" w:type="pct"/>
                  <w:vAlign w:val="center"/>
                </w:tcPr>
                <w:p w14:paraId="40B3DAA0">
                  <w:pPr>
                    <w:jc w:val="center"/>
                    <w:rPr>
                      <w:rFonts w:hint="default"/>
                      <w:color w:val="auto"/>
                      <w:szCs w:val="21"/>
                      <w:lang w:val="en-US" w:eastAsia="zh-CN"/>
                    </w:rPr>
                  </w:pPr>
                  <w:r>
                    <w:rPr>
                      <w:rFonts w:hint="eastAsia"/>
                      <w:color w:val="auto"/>
                      <w:szCs w:val="21"/>
                      <w:lang w:val="en-US" w:eastAsia="zh-CN"/>
                    </w:rPr>
                    <w:t>2</w:t>
                  </w:r>
                </w:p>
              </w:tc>
              <w:tc>
                <w:tcPr>
                  <w:tcW w:w="349" w:type="pct"/>
                  <w:vAlign w:val="center"/>
                </w:tcPr>
                <w:p w14:paraId="1A725125">
                  <w:pPr>
                    <w:keepNext w:val="0"/>
                    <w:keepLines w:val="0"/>
                    <w:pageBreakBefore w:val="0"/>
                    <w:widowControl w:val="0"/>
                    <w:kinsoku/>
                    <w:wordWrap/>
                    <w:overflowPunct/>
                    <w:topLinePunct w:val="0"/>
                    <w:autoSpaceDE/>
                    <w:autoSpaceDN/>
                    <w:bidi w:val="0"/>
                    <w:adjustRightInd w:val="0"/>
                    <w:snapToGrid w:val="0"/>
                    <w:spacing w:line="240" w:lineRule="auto"/>
                    <w:jc w:val="center"/>
                    <w:rPr>
                      <w:rFonts w:hint="default"/>
                      <w:color w:val="auto"/>
                      <w:kern w:val="0"/>
                      <w:szCs w:val="21"/>
                      <w:highlight w:val="none"/>
                      <w:lang w:val="en-US" w:eastAsia="zh-CN"/>
                    </w:rPr>
                  </w:pPr>
                  <w:r>
                    <w:rPr>
                      <w:rFonts w:hint="eastAsia"/>
                      <w:color w:val="auto"/>
                      <w:kern w:val="0"/>
                      <w:szCs w:val="21"/>
                      <w:highlight w:val="none"/>
                      <w:lang w:val="en-US" w:eastAsia="zh-CN"/>
                    </w:rPr>
                    <w:t>84</w:t>
                  </w:r>
                </w:p>
              </w:tc>
              <w:tc>
                <w:tcPr>
                  <w:tcW w:w="251" w:type="pct"/>
                  <w:vMerge w:val="continue"/>
                  <w:vAlign w:val="center"/>
                </w:tcPr>
                <w:p w14:paraId="4BFA0425">
                  <w:pPr>
                    <w:jc w:val="center"/>
                    <w:rPr>
                      <w:color w:val="auto"/>
                      <w:szCs w:val="21"/>
                    </w:rPr>
                  </w:pPr>
                </w:p>
              </w:tc>
              <w:tc>
                <w:tcPr>
                  <w:tcW w:w="381" w:type="pct"/>
                  <w:vAlign w:val="center"/>
                </w:tcPr>
                <w:p w14:paraId="0B911B66">
                  <w:pPr>
                    <w:jc w:val="center"/>
                    <w:rPr>
                      <w:rFonts w:hint="default"/>
                      <w:color w:val="auto"/>
                      <w:szCs w:val="21"/>
                      <w:lang w:val="en-US" w:eastAsia="zh-CN"/>
                    </w:rPr>
                  </w:pPr>
                  <w:r>
                    <w:rPr>
                      <w:rFonts w:hint="eastAsia"/>
                      <w:color w:val="auto"/>
                      <w:szCs w:val="21"/>
                      <w:lang w:val="en-US" w:eastAsia="zh-CN"/>
                    </w:rPr>
                    <w:t>23</w:t>
                  </w:r>
                </w:p>
              </w:tc>
              <w:tc>
                <w:tcPr>
                  <w:tcW w:w="382" w:type="pct"/>
                  <w:vAlign w:val="center"/>
                </w:tcPr>
                <w:p w14:paraId="288F4C73">
                  <w:pPr>
                    <w:jc w:val="center"/>
                    <w:rPr>
                      <w:rFonts w:hint="default"/>
                      <w:color w:val="auto"/>
                      <w:kern w:val="0"/>
                      <w:szCs w:val="21"/>
                      <w:lang w:val="en-US" w:eastAsia="zh-CN"/>
                    </w:rPr>
                  </w:pPr>
                  <w:r>
                    <w:rPr>
                      <w:rFonts w:hint="eastAsia"/>
                      <w:color w:val="auto"/>
                      <w:kern w:val="0"/>
                      <w:szCs w:val="21"/>
                      <w:lang w:val="en-US" w:eastAsia="zh-CN"/>
                    </w:rPr>
                    <w:t>61</w:t>
                  </w:r>
                </w:p>
              </w:tc>
              <w:tc>
                <w:tcPr>
                  <w:tcW w:w="400" w:type="pct"/>
                  <w:vAlign w:val="center"/>
                </w:tcPr>
                <w:p w14:paraId="09AFDA83">
                  <w:pPr>
                    <w:widowControl/>
                    <w:adjustRightInd w:val="0"/>
                    <w:snapToGrid w:val="0"/>
                    <w:jc w:val="center"/>
                    <w:rPr>
                      <w:rFonts w:hint="eastAsia" w:eastAsia="宋体"/>
                      <w:color w:val="auto"/>
                      <w:kern w:val="0"/>
                      <w:szCs w:val="21"/>
                      <w:lang w:val="en-US" w:eastAsia="zh-CN"/>
                    </w:rPr>
                  </w:pPr>
                  <w:r>
                    <w:rPr>
                      <w:rFonts w:hint="eastAsia"/>
                      <w:color w:val="auto"/>
                      <w:kern w:val="0"/>
                      <w:szCs w:val="21"/>
                      <w:lang w:val="en-US" w:eastAsia="zh-CN"/>
                    </w:rPr>
                    <w:t>1</w:t>
                  </w:r>
                </w:p>
              </w:tc>
            </w:tr>
            <w:tr w14:paraId="6684C9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20" w:type="pct"/>
                  <w:vMerge w:val="continue"/>
                  <w:vAlign w:val="center"/>
                </w:tcPr>
                <w:p w14:paraId="32AB48E8">
                  <w:pPr>
                    <w:jc w:val="center"/>
                    <w:rPr>
                      <w:color w:val="auto"/>
                      <w:szCs w:val="21"/>
                    </w:rPr>
                  </w:pPr>
                </w:p>
              </w:tc>
              <w:tc>
                <w:tcPr>
                  <w:tcW w:w="249" w:type="pct"/>
                  <w:vMerge w:val="continue"/>
                  <w:vAlign w:val="center"/>
                </w:tcPr>
                <w:p w14:paraId="33D13908">
                  <w:pPr>
                    <w:jc w:val="center"/>
                    <w:rPr>
                      <w:color w:val="auto"/>
                      <w:szCs w:val="21"/>
                    </w:rPr>
                  </w:pPr>
                </w:p>
              </w:tc>
              <w:tc>
                <w:tcPr>
                  <w:tcW w:w="488" w:type="pct"/>
                  <w:vAlign w:val="center"/>
                </w:tcPr>
                <w:p w14:paraId="068E0A81">
                  <w:pPr>
                    <w:keepNext w:val="0"/>
                    <w:keepLines w:val="0"/>
                    <w:pageBreakBefore w:val="0"/>
                    <w:widowControl/>
                    <w:kinsoku/>
                    <w:wordWrap/>
                    <w:overflowPunct/>
                    <w:topLinePunct w:val="0"/>
                    <w:autoSpaceDE/>
                    <w:autoSpaceDN/>
                    <w:bidi w:val="0"/>
                    <w:adjustRightInd w:val="0"/>
                    <w:snapToGrid w:val="0"/>
                    <w:ind w:firstLine="0" w:firstLineChars="0"/>
                    <w:jc w:val="center"/>
                    <w:textAlignment w:val="auto"/>
                    <w:rPr>
                      <w:rFonts w:hint="eastAsia" w:cs="Times New Roman"/>
                      <w:b w:val="0"/>
                      <w:bCs w:val="0"/>
                      <w:color w:val="auto"/>
                      <w:sz w:val="21"/>
                      <w:szCs w:val="21"/>
                      <w:lang w:val="en-US" w:eastAsia="zh-CN"/>
                    </w:rPr>
                  </w:pPr>
                  <w:r>
                    <w:rPr>
                      <w:rFonts w:hint="eastAsia"/>
                      <w:color w:val="auto"/>
                      <w:sz w:val="21"/>
                      <w:szCs w:val="21"/>
                      <w:lang w:val="en-US" w:eastAsia="zh-CN"/>
                    </w:rPr>
                    <w:t>风机</w:t>
                  </w:r>
                </w:p>
              </w:tc>
              <w:tc>
                <w:tcPr>
                  <w:tcW w:w="251" w:type="pct"/>
                  <w:vAlign w:val="center"/>
                </w:tcPr>
                <w:p w14:paraId="2CA22067">
                  <w:pPr>
                    <w:keepNext w:val="0"/>
                    <w:keepLines w:val="0"/>
                    <w:pageBreakBefore w:val="0"/>
                    <w:widowControl/>
                    <w:kinsoku/>
                    <w:wordWrap/>
                    <w:overflowPunct/>
                    <w:topLinePunct w:val="0"/>
                    <w:autoSpaceDE/>
                    <w:autoSpaceDN/>
                    <w:bidi w:val="0"/>
                    <w:adjustRightInd w:val="0"/>
                    <w:snapToGrid w:val="0"/>
                    <w:ind w:firstLine="0" w:firstLineChars="0"/>
                    <w:jc w:val="center"/>
                    <w:textAlignment w:val="auto"/>
                    <w:rPr>
                      <w:rFonts w:hint="eastAsia"/>
                      <w:color w:val="auto"/>
                      <w:kern w:val="0"/>
                      <w:szCs w:val="21"/>
                      <w:lang w:val="en-US" w:eastAsia="zh-CN"/>
                    </w:rPr>
                  </w:pPr>
                  <w:r>
                    <w:rPr>
                      <w:rFonts w:hint="eastAsia"/>
                      <w:color w:val="auto"/>
                      <w:sz w:val="21"/>
                      <w:szCs w:val="21"/>
                      <w:lang w:val="en-US" w:eastAsia="zh-CN"/>
                    </w:rPr>
                    <w:t>3</w:t>
                  </w:r>
                </w:p>
              </w:tc>
              <w:tc>
                <w:tcPr>
                  <w:tcW w:w="608" w:type="pct"/>
                  <w:vAlign w:val="center"/>
                </w:tcPr>
                <w:p w14:paraId="494776B3">
                  <w:pPr>
                    <w:keepNext w:val="0"/>
                    <w:keepLines w:val="0"/>
                    <w:pageBreakBefore w:val="0"/>
                    <w:widowControl w:val="0"/>
                    <w:kinsoku/>
                    <w:wordWrap/>
                    <w:overflowPunct/>
                    <w:topLinePunct w:val="0"/>
                    <w:autoSpaceDE/>
                    <w:autoSpaceDN/>
                    <w:bidi w:val="0"/>
                    <w:adjustRightInd w:val="0"/>
                    <w:snapToGrid w:val="0"/>
                    <w:spacing w:line="240" w:lineRule="auto"/>
                    <w:jc w:val="center"/>
                    <w:rPr>
                      <w:rFonts w:hint="default"/>
                      <w:color w:val="auto"/>
                      <w:kern w:val="0"/>
                      <w:szCs w:val="21"/>
                      <w:lang w:val="en-US" w:eastAsia="zh-CN"/>
                    </w:rPr>
                  </w:pPr>
                  <w:r>
                    <w:rPr>
                      <w:rFonts w:hint="eastAsia"/>
                      <w:color w:val="auto"/>
                      <w:kern w:val="0"/>
                      <w:szCs w:val="21"/>
                      <w:lang w:val="en-US" w:eastAsia="zh-CN"/>
                    </w:rPr>
                    <w:t>84</w:t>
                  </w:r>
                </w:p>
              </w:tc>
              <w:tc>
                <w:tcPr>
                  <w:tcW w:w="500" w:type="pct"/>
                  <w:vMerge w:val="continue"/>
                  <w:vAlign w:val="center"/>
                </w:tcPr>
                <w:p w14:paraId="385B44F6">
                  <w:pPr>
                    <w:jc w:val="center"/>
                    <w:rPr>
                      <w:color w:val="auto"/>
                      <w:szCs w:val="21"/>
                    </w:rPr>
                  </w:pPr>
                </w:p>
              </w:tc>
              <w:tc>
                <w:tcPr>
                  <w:tcW w:w="247" w:type="pct"/>
                  <w:vAlign w:val="center"/>
                </w:tcPr>
                <w:p w14:paraId="33788588">
                  <w:pPr>
                    <w:keepNext w:val="0"/>
                    <w:keepLines w:val="0"/>
                    <w:widowControl/>
                    <w:suppressLineNumbers w:val="0"/>
                    <w:jc w:val="center"/>
                    <w:textAlignment w:val="center"/>
                    <w:rPr>
                      <w:rFonts w:hint="default"/>
                      <w:color w:val="auto"/>
                      <w:kern w:val="0"/>
                      <w:szCs w:val="21"/>
                      <w:lang w:val="en-US" w:eastAsia="zh-CN"/>
                    </w:rPr>
                  </w:pPr>
                  <w:r>
                    <w:rPr>
                      <w:rFonts w:hint="eastAsia"/>
                      <w:color w:val="auto"/>
                      <w:kern w:val="0"/>
                      <w:szCs w:val="21"/>
                      <w:lang w:val="en-US" w:eastAsia="zh-CN"/>
                    </w:rPr>
                    <w:t>3</w:t>
                  </w:r>
                </w:p>
              </w:tc>
              <w:tc>
                <w:tcPr>
                  <w:tcW w:w="225" w:type="pct"/>
                  <w:vAlign w:val="center"/>
                </w:tcPr>
                <w:p w14:paraId="3E62983A">
                  <w:pPr>
                    <w:widowControl/>
                    <w:jc w:val="center"/>
                    <w:textAlignment w:val="center"/>
                    <w:rPr>
                      <w:rFonts w:hint="default"/>
                      <w:color w:val="auto"/>
                      <w:kern w:val="0"/>
                      <w:szCs w:val="21"/>
                      <w:lang w:val="en-US" w:eastAsia="zh-CN"/>
                    </w:rPr>
                  </w:pPr>
                  <w:r>
                    <w:rPr>
                      <w:rFonts w:hint="eastAsia"/>
                      <w:color w:val="auto"/>
                      <w:kern w:val="0"/>
                      <w:szCs w:val="21"/>
                      <w:lang w:val="en-US" w:eastAsia="zh-CN"/>
                    </w:rPr>
                    <w:t>3</w:t>
                  </w:r>
                </w:p>
              </w:tc>
              <w:tc>
                <w:tcPr>
                  <w:tcW w:w="220" w:type="pct"/>
                  <w:vAlign w:val="center"/>
                </w:tcPr>
                <w:p w14:paraId="60597C03">
                  <w:pPr>
                    <w:jc w:val="center"/>
                    <w:rPr>
                      <w:rFonts w:hint="default"/>
                      <w:color w:val="auto"/>
                      <w:kern w:val="0"/>
                      <w:szCs w:val="21"/>
                      <w:lang w:val="en-US" w:eastAsia="zh-CN"/>
                    </w:rPr>
                  </w:pPr>
                  <w:r>
                    <w:rPr>
                      <w:rFonts w:hint="eastAsia"/>
                      <w:color w:val="auto"/>
                      <w:kern w:val="0"/>
                      <w:szCs w:val="21"/>
                      <w:lang w:val="en-US" w:eastAsia="zh-CN"/>
                    </w:rPr>
                    <w:t>1</w:t>
                  </w:r>
                </w:p>
              </w:tc>
              <w:tc>
                <w:tcPr>
                  <w:tcW w:w="322" w:type="pct"/>
                  <w:vAlign w:val="center"/>
                </w:tcPr>
                <w:p w14:paraId="1D060C63">
                  <w:pPr>
                    <w:jc w:val="center"/>
                    <w:rPr>
                      <w:rFonts w:hint="default"/>
                      <w:color w:val="auto"/>
                      <w:szCs w:val="21"/>
                      <w:lang w:val="en-US" w:eastAsia="zh-CN"/>
                    </w:rPr>
                  </w:pPr>
                  <w:r>
                    <w:rPr>
                      <w:rFonts w:hint="eastAsia"/>
                      <w:color w:val="auto"/>
                      <w:szCs w:val="21"/>
                      <w:lang w:val="en-US" w:eastAsia="zh-CN"/>
                    </w:rPr>
                    <w:t>2</w:t>
                  </w:r>
                </w:p>
              </w:tc>
              <w:tc>
                <w:tcPr>
                  <w:tcW w:w="349" w:type="pct"/>
                  <w:vAlign w:val="center"/>
                </w:tcPr>
                <w:p w14:paraId="6CE67448">
                  <w:pPr>
                    <w:keepNext w:val="0"/>
                    <w:keepLines w:val="0"/>
                    <w:pageBreakBefore w:val="0"/>
                    <w:widowControl w:val="0"/>
                    <w:kinsoku/>
                    <w:wordWrap/>
                    <w:overflowPunct/>
                    <w:topLinePunct w:val="0"/>
                    <w:autoSpaceDE/>
                    <w:autoSpaceDN/>
                    <w:bidi w:val="0"/>
                    <w:adjustRightInd w:val="0"/>
                    <w:snapToGrid w:val="0"/>
                    <w:spacing w:line="240" w:lineRule="auto"/>
                    <w:jc w:val="center"/>
                    <w:rPr>
                      <w:rFonts w:hint="default"/>
                      <w:color w:val="auto"/>
                      <w:kern w:val="0"/>
                      <w:szCs w:val="21"/>
                      <w:highlight w:val="none"/>
                      <w:lang w:val="en-US" w:eastAsia="zh-CN"/>
                    </w:rPr>
                  </w:pPr>
                  <w:r>
                    <w:rPr>
                      <w:rFonts w:hint="eastAsia"/>
                      <w:color w:val="auto"/>
                      <w:kern w:val="0"/>
                      <w:szCs w:val="21"/>
                      <w:highlight w:val="none"/>
                      <w:lang w:val="en-US" w:eastAsia="zh-CN"/>
                    </w:rPr>
                    <w:t>78</w:t>
                  </w:r>
                </w:p>
              </w:tc>
              <w:tc>
                <w:tcPr>
                  <w:tcW w:w="251" w:type="pct"/>
                  <w:vMerge w:val="continue"/>
                  <w:vAlign w:val="center"/>
                </w:tcPr>
                <w:p w14:paraId="13F3C4CD">
                  <w:pPr>
                    <w:jc w:val="center"/>
                    <w:rPr>
                      <w:color w:val="auto"/>
                      <w:szCs w:val="21"/>
                    </w:rPr>
                  </w:pPr>
                </w:p>
              </w:tc>
              <w:tc>
                <w:tcPr>
                  <w:tcW w:w="381" w:type="pct"/>
                  <w:vAlign w:val="center"/>
                </w:tcPr>
                <w:p w14:paraId="6ADF6393">
                  <w:pPr>
                    <w:jc w:val="center"/>
                    <w:rPr>
                      <w:rFonts w:hint="eastAsia"/>
                      <w:color w:val="auto"/>
                      <w:szCs w:val="21"/>
                      <w:lang w:val="en-US" w:eastAsia="zh-CN"/>
                    </w:rPr>
                  </w:pPr>
                  <w:r>
                    <w:rPr>
                      <w:rFonts w:hint="eastAsia"/>
                      <w:color w:val="auto"/>
                      <w:szCs w:val="21"/>
                      <w:lang w:val="en-US" w:eastAsia="zh-CN"/>
                    </w:rPr>
                    <w:t>23</w:t>
                  </w:r>
                </w:p>
              </w:tc>
              <w:tc>
                <w:tcPr>
                  <w:tcW w:w="382" w:type="pct"/>
                  <w:vAlign w:val="center"/>
                </w:tcPr>
                <w:p w14:paraId="7A0E981D">
                  <w:pPr>
                    <w:jc w:val="center"/>
                    <w:rPr>
                      <w:rFonts w:hint="default"/>
                      <w:color w:val="auto"/>
                      <w:kern w:val="0"/>
                      <w:szCs w:val="21"/>
                      <w:lang w:val="en-US" w:eastAsia="zh-CN"/>
                    </w:rPr>
                  </w:pPr>
                  <w:r>
                    <w:rPr>
                      <w:rFonts w:hint="eastAsia"/>
                      <w:color w:val="auto"/>
                      <w:kern w:val="0"/>
                      <w:szCs w:val="21"/>
                      <w:lang w:val="en-US" w:eastAsia="zh-CN"/>
                    </w:rPr>
                    <w:t>55</w:t>
                  </w:r>
                </w:p>
              </w:tc>
              <w:tc>
                <w:tcPr>
                  <w:tcW w:w="400" w:type="pct"/>
                  <w:vAlign w:val="center"/>
                </w:tcPr>
                <w:p w14:paraId="5C3B9A3B">
                  <w:pPr>
                    <w:widowControl/>
                    <w:adjustRightInd w:val="0"/>
                    <w:snapToGrid w:val="0"/>
                    <w:jc w:val="center"/>
                    <w:rPr>
                      <w:rFonts w:hint="eastAsia" w:eastAsia="宋体"/>
                      <w:color w:val="auto"/>
                      <w:kern w:val="0"/>
                      <w:szCs w:val="21"/>
                      <w:lang w:val="en-US" w:eastAsia="zh-CN"/>
                    </w:rPr>
                  </w:pPr>
                  <w:r>
                    <w:rPr>
                      <w:rFonts w:hint="eastAsia"/>
                      <w:color w:val="auto"/>
                      <w:kern w:val="0"/>
                      <w:szCs w:val="21"/>
                      <w:lang w:val="en-US" w:eastAsia="zh-CN"/>
                    </w:rPr>
                    <w:t>1</w:t>
                  </w:r>
                </w:p>
              </w:tc>
            </w:tr>
          </w:tbl>
          <w:p w14:paraId="11C05B68">
            <w:pPr>
              <w:spacing w:line="240" w:lineRule="auto"/>
              <w:jc w:val="left"/>
              <w:rPr>
                <w:b/>
                <w:color w:val="auto"/>
                <w:kern w:val="0"/>
                <w:szCs w:val="21"/>
              </w:rPr>
            </w:pPr>
            <w:r>
              <w:rPr>
                <w:b/>
                <w:color w:val="auto"/>
                <w:kern w:val="0"/>
                <w:szCs w:val="21"/>
              </w:rPr>
              <w:t>备注：以项目所在地</w:t>
            </w:r>
            <w:r>
              <w:rPr>
                <w:rFonts w:hint="eastAsia"/>
                <w:b/>
                <w:color w:val="auto"/>
                <w:kern w:val="0"/>
                <w:szCs w:val="21"/>
                <w:lang w:val="en-US" w:eastAsia="zh-CN"/>
              </w:rPr>
              <w:t>西南角</w:t>
            </w:r>
            <w:r>
              <w:rPr>
                <w:b/>
                <w:color w:val="auto"/>
                <w:kern w:val="0"/>
                <w:szCs w:val="21"/>
              </w:rPr>
              <w:t>为</w:t>
            </w:r>
            <w:r>
              <w:rPr>
                <w:rFonts w:hint="default" w:ascii="Times New Roman" w:hAnsi="Times New Roman" w:cs="Times New Roman"/>
                <w:b/>
                <w:color w:val="auto"/>
                <w:kern w:val="0"/>
                <w:szCs w:val="21"/>
              </w:rPr>
              <w:t>（0，0，0）</w:t>
            </w:r>
            <w:r>
              <w:rPr>
                <w:b/>
                <w:color w:val="auto"/>
                <w:kern w:val="0"/>
                <w:szCs w:val="21"/>
              </w:rPr>
              <w:t>，</w:t>
            </w:r>
            <w:r>
              <w:rPr>
                <w:rFonts w:hint="eastAsia"/>
                <w:b/>
                <w:color w:val="auto"/>
                <w:kern w:val="0"/>
                <w:szCs w:val="21"/>
              </w:rPr>
              <w:t>距室内边界距离按最近距离计</w:t>
            </w:r>
            <w:r>
              <w:rPr>
                <w:b/>
                <w:color w:val="auto"/>
                <w:kern w:val="0"/>
                <w:szCs w:val="21"/>
              </w:rPr>
              <w:t>。</w:t>
            </w:r>
          </w:p>
          <w:p w14:paraId="4B255688">
            <w:pPr>
              <w:spacing w:line="360" w:lineRule="auto"/>
              <w:jc w:val="left"/>
              <w:rPr>
                <w:color w:val="auto"/>
              </w:rPr>
            </w:pPr>
          </w:p>
        </w:tc>
      </w:tr>
    </w:tbl>
    <w:p w14:paraId="118F9422">
      <w:pPr>
        <w:rPr>
          <w:color w:val="auto"/>
        </w:rPr>
        <w:sectPr>
          <w:pgSz w:w="16838" w:h="11906" w:orient="landscape"/>
          <w:pgMar w:top="1553" w:right="1553" w:bottom="1553" w:left="1553" w:header="851" w:footer="851" w:gutter="0"/>
          <w:pgNumType w:fmt="numberInDash"/>
          <w:cols w:space="720" w:num="1"/>
          <w:docGrid w:linePitch="312" w:charSpace="0"/>
        </w:sectPr>
      </w:pPr>
    </w:p>
    <w:tbl>
      <w:tblPr>
        <w:tblStyle w:val="18"/>
        <w:tblW w:w="903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62"/>
        <w:gridCol w:w="8577"/>
      </w:tblGrid>
      <w:tr w14:paraId="1E61A6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455" w:hRule="atLeast"/>
        </w:trPr>
        <w:tc>
          <w:tcPr>
            <w:tcW w:w="462" w:type="dxa"/>
            <w:vAlign w:val="center"/>
          </w:tcPr>
          <w:p w14:paraId="752E8AFB">
            <w:pPr>
              <w:spacing w:line="360" w:lineRule="auto"/>
              <w:jc w:val="center"/>
              <w:rPr>
                <w:color w:val="auto"/>
              </w:rPr>
            </w:pPr>
          </w:p>
        </w:tc>
        <w:tc>
          <w:tcPr>
            <w:tcW w:w="8577" w:type="dxa"/>
          </w:tcPr>
          <w:p w14:paraId="3824AE18">
            <w:pPr>
              <w:widowControl/>
              <w:spacing w:line="360" w:lineRule="auto"/>
              <w:ind w:firstLine="480" w:firstLineChars="200"/>
              <w:rPr>
                <w:color w:val="auto"/>
                <w:sz w:val="24"/>
              </w:rPr>
            </w:pPr>
            <w:r>
              <w:rPr>
                <w:color w:val="auto"/>
                <w:sz w:val="24"/>
              </w:rPr>
              <w:t>（2）预测模型</w:t>
            </w:r>
          </w:p>
          <w:p w14:paraId="36017716">
            <w:pPr>
              <w:keepNext w:val="0"/>
              <w:keepLines w:val="0"/>
              <w:suppressLineNumbers w:val="0"/>
              <w:spacing w:before="0" w:beforeAutospacing="0" w:after="0" w:afterAutospacing="0" w:line="360" w:lineRule="auto"/>
              <w:ind w:left="0" w:right="0" w:firstLine="480"/>
              <w:rPr>
                <w:rFonts w:hint="default" w:ascii="Times New Roman" w:hAnsi="Times New Roman" w:cs="Times New Roman"/>
                <w:color w:val="auto"/>
                <w:sz w:val="24"/>
                <w:szCs w:val="24"/>
              </w:rPr>
            </w:pPr>
            <w:r>
              <w:rPr>
                <w:rFonts w:hint="default" w:ascii="Times New Roman" w:hAnsi="Times New Roman" w:cs="Times New Roman"/>
                <w:color w:val="auto"/>
                <w:sz w:val="24"/>
                <w:szCs w:val="24"/>
              </w:rPr>
              <w:t>①噪声预测按照《环境影响评价技术导则·声环境》（HJ2.4-2021）中推荐的模式进行预测。</w:t>
            </w:r>
          </w:p>
          <w:p w14:paraId="0FB2DBCD">
            <w:pPr>
              <w:keepNext w:val="0"/>
              <w:keepLines w:val="0"/>
              <w:suppressLineNumbers w:val="0"/>
              <w:bidi w:val="0"/>
              <w:spacing w:before="0" w:beforeAutospacing="0" w:after="0" w:afterAutospacing="0" w:line="360" w:lineRule="auto"/>
              <w:ind w:right="0"/>
              <w:jc w:val="center"/>
              <w:rPr>
                <w:rFonts w:hint="default" w:ascii="Times New Roman" w:hAnsi="Times New Roman" w:cs="Times New Roman"/>
                <w:color w:val="auto"/>
                <w:sz w:val="24"/>
                <w:szCs w:val="24"/>
              </w:rPr>
            </w:pPr>
            <w:r>
              <w:rPr>
                <w:rFonts w:hint="default" w:ascii="Times New Roman" w:hAnsi="Times New Roman" w:cs="Times New Roman"/>
                <w:color w:val="auto"/>
                <w:sz w:val="24"/>
                <w:szCs w:val="24"/>
              </w:rPr>
              <w:t>L</w:t>
            </w:r>
            <w:r>
              <w:rPr>
                <w:rFonts w:hint="default" w:ascii="Times New Roman" w:hAnsi="Times New Roman" w:cs="Times New Roman"/>
                <w:color w:val="auto"/>
                <w:sz w:val="24"/>
                <w:szCs w:val="24"/>
                <w:vertAlign w:val="subscript"/>
              </w:rPr>
              <w:t>p2</w:t>
            </w:r>
            <w:r>
              <w:rPr>
                <w:rFonts w:hint="default" w:ascii="Times New Roman" w:hAnsi="Times New Roman" w:cs="Times New Roman"/>
                <w:color w:val="auto"/>
                <w:sz w:val="24"/>
                <w:szCs w:val="24"/>
              </w:rPr>
              <w:t>=L</w:t>
            </w:r>
            <w:r>
              <w:rPr>
                <w:rFonts w:hint="default" w:ascii="Times New Roman" w:hAnsi="Times New Roman" w:cs="Times New Roman"/>
                <w:color w:val="auto"/>
                <w:sz w:val="24"/>
                <w:szCs w:val="24"/>
                <w:vertAlign w:val="subscript"/>
              </w:rPr>
              <w:t>p1</w:t>
            </w:r>
            <w:r>
              <w:rPr>
                <w:rFonts w:hint="default" w:ascii="Times New Roman" w:hAnsi="Times New Roman" w:cs="Times New Roman"/>
                <w:color w:val="auto"/>
                <w:sz w:val="24"/>
                <w:szCs w:val="24"/>
              </w:rPr>
              <w:t>-（TL+6）</w:t>
            </w:r>
          </w:p>
          <w:p w14:paraId="13807291">
            <w:pPr>
              <w:keepNext w:val="0"/>
              <w:keepLines w:val="0"/>
              <w:suppressLineNumbers w:val="0"/>
              <w:adjustRightInd w:val="0"/>
              <w:snapToGrid w:val="0"/>
              <w:spacing w:before="0" w:beforeAutospacing="0" w:after="0" w:afterAutospacing="0" w:line="360" w:lineRule="auto"/>
              <w:ind w:left="0" w:right="0" w:firstLine="480"/>
              <w:rPr>
                <w:rFonts w:hint="default" w:ascii="Times New Roman" w:hAnsi="Times New Roman" w:cs="Times New Roman"/>
                <w:color w:val="auto"/>
                <w:sz w:val="24"/>
                <w:szCs w:val="24"/>
              </w:rPr>
            </w:pPr>
            <w:r>
              <w:rPr>
                <w:rFonts w:hint="default" w:ascii="Times New Roman" w:hAnsi="Times New Roman" w:cs="Times New Roman"/>
                <w:color w:val="auto"/>
                <w:sz w:val="24"/>
                <w:szCs w:val="24"/>
              </w:rPr>
              <w:t>式中：L</w:t>
            </w:r>
            <w:r>
              <w:rPr>
                <w:rFonts w:hint="default" w:ascii="Times New Roman" w:hAnsi="Times New Roman" w:cs="Times New Roman"/>
                <w:color w:val="auto"/>
                <w:sz w:val="24"/>
                <w:szCs w:val="24"/>
                <w:vertAlign w:val="subscript"/>
              </w:rPr>
              <w:t>p1</w:t>
            </w:r>
            <w:r>
              <w:rPr>
                <w:rFonts w:hint="default" w:ascii="Times New Roman" w:hAnsi="Times New Roman" w:cs="Times New Roman"/>
                <w:color w:val="auto"/>
                <w:sz w:val="24"/>
                <w:szCs w:val="24"/>
              </w:rPr>
              <w:t>—靠近开口处（或窗户）室内某倍频带的声压级或A声级，dB；</w:t>
            </w:r>
          </w:p>
          <w:p w14:paraId="047DCA53">
            <w:pPr>
              <w:keepNext w:val="0"/>
              <w:keepLines w:val="0"/>
              <w:suppressLineNumbers w:val="0"/>
              <w:adjustRightInd w:val="0"/>
              <w:snapToGrid w:val="0"/>
              <w:spacing w:before="0" w:beforeAutospacing="0" w:after="0" w:afterAutospacing="0" w:line="360" w:lineRule="auto"/>
              <w:ind w:right="0" w:firstLine="960" w:firstLineChars="400"/>
              <w:rPr>
                <w:rFonts w:hint="default" w:ascii="Times New Roman" w:hAnsi="Times New Roman" w:cs="Times New Roman"/>
                <w:color w:val="auto"/>
                <w:sz w:val="24"/>
                <w:szCs w:val="24"/>
              </w:rPr>
            </w:pPr>
            <w:r>
              <w:rPr>
                <w:rFonts w:hint="default" w:ascii="Times New Roman" w:hAnsi="Times New Roman" w:cs="Times New Roman"/>
                <w:color w:val="auto"/>
                <w:sz w:val="24"/>
                <w:szCs w:val="24"/>
              </w:rPr>
              <w:t>L</w:t>
            </w:r>
            <w:r>
              <w:rPr>
                <w:rFonts w:hint="default" w:ascii="Times New Roman" w:hAnsi="Times New Roman" w:cs="Times New Roman"/>
                <w:color w:val="auto"/>
                <w:sz w:val="24"/>
                <w:szCs w:val="24"/>
                <w:vertAlign w:val="subscript"/>
              </w:rPr>
              <w:t>p2</w:t>
            </w:r>
            <w:r>
              <w:rPr>
                <w:rFonts w:hint="default" w:ascii="Times New Roman" w:hAnsi="Times New Roman" w:cs="Times New Roman"/>
                <w:color w:val="auto"/>
                <w:sz w:val="24"/>
                <w:szCs w:val="24"/>
              </w:rPr>
              <w:t>—靠近开口处（或窗户）室外某倍频带的声压级或A声级，dB；</w:t>
            </w:r>
          </w:p>
          <w:p w14:paraId="16720FB4">
            <w:pPr>
              <w:keepNext w:val="0"/>
              <w:keepLines w:val="0"/>
              <w:suppressLineNumbers w:val="0"/>
              <w:adjustRightInd w:val="0"/>
              <w:snapToGrid w:val="0"/>
              <w:spacing w:before="0" w:beforeAutospacing="0" w:after="0" w:afterAutospacing="0" w:line="360" w:lineRule="auto"/>
              <w:ind w:right="0" w:firstLine="960" w:firstLineChars="400"/>
              <w:rPr>
                <w:rFonts w:hint="default" w:ascii="Times New Roman" w:hAnsi="Times New Roman" w:cs="Times New Roman"/>
                <w:color w:val="auto"/>
                <w:sz w:val="24"/>
                <w:szCs w:val="24"/>
              </w:rPr>
            </w:pPr>
            <w:r>
              <w:rPr>
                <w:rFonts w:hint="default" w:ascii="Times New Roman" w:hAnsi="Times New Roman" w:cs="Times New Roman"/>
                <w:color w:val="auto"/>
                <w:sz w:val="24"/>
                <w:szCs w:val="24"/>
              </w:rPr>
              <w:t>TL—隔墙（或窗户）倍频带或A声级的隔声量，dB。</w:t>
            </w:r>
          </w:p>
          <w:p w14:paraId="5396D51E">
            <w:pPr>
              <w:keepNext w:val="0"/>
              <w:keepLines w:val="0"/>
              <w:suppressLineNumbers w:val="0"/>
              <w:adjustRightInd w:val="0"/>
              <w:snapToGrid w:val="0"/>
              <w:spacing w:before="0" w:beforeAutospacing="0" w:after="0" w:afterAutospacing="0" w:line="360" w:lineRule="auto"/>
              <w:ind w:left="0" w:right="0" w:firstLine="480"/>
              <w:jc w:val="center"/>
              <w:rPr>
                <w:rFonts w:hint="default" w:ascii="Times New Roman" w:hAnsi="Times New Roman" w:cs="Times New Roman"/>
                <w:color w:val="auto"/>
                <w:sz w:val="24"/>
                <w:szCs w:val="24"/>
              </w:rPr>
            </w:pPr>
            <w:r>
              <w:rPr>
                <w:rFonts w:hint="default" w:ascii="Times New Roman" w:hAnsi="Times New Roman" w:cs="Times New Roman"/>
                <w:color w:val="auto"/>
                <w:sz w:val="24"/>
                <w:szCs w:val="24"/>
              </w:rPr>
              <w:t>L</w:t>
            </w:r>
            <w:r>
              <w:rPr>
                <w:rFonts w:hint="default" w:ascii="Times New Roman" w:hAnsi="Times New Roman" w:cs="Times New Roman"/>
                <w:color w:val="auto"/>
                <w:sz w:val="24"/>
                <w:szCs w:val="24"/>
                <w:vertAlign w:val="subscript"/>
              </w:rPr>
              <w:t>p(r)</w:t>
            </w:r>
            <w:r>
              <w:rPr>
                <w:rFonts w:hint="default" w:ascii="Times New Roman" w:hAnsi="Times New Roman" w:cs="Times New Roman"/>
                <w:color w:val="auto"/>
                <w:sz w:val="24"/>
                <w:szCs w:val="24"/>
              </w:rPr>
              <w:t>=L</w:t>
            </w:r>
            <w:r>
              <w:rPr>
                <w:rFonts w:hint="default" w:ascii="Times New Roman" w:hAnsi="Times New Roman" w:cs="Times New Roman"/>
                <w:color w:val="auto"/>
                <w:sz w:val="24"/>
                <w:szCs w:val="24"/>
                <w:vertAlign w:val="subscript"/>
              </w:rPr>
              <w:t>p(r0)</w:t>
            </w:r>
            <w:r>
              <w:rPr>
                <w:rFonts w:hint="default" w:ascii="Times New Roman" w:hAnsi="Times New Roman" w:cs="Times New Roman"/>
                <w:color w:val="auto"/>
                <w:sz w:val="24"/>
                <w:szCs w:val="24"/>
              </w:rPr>
              <w:t>-20lg（r/r</w:t>
            </w:r>
            <w:r>
              <w:rPr>
                <w:rFonts w:hint="default" w:ascii="Times New Roman" w:hAnsi="Times New Roman" w:cs="Times New Roman"/>
                <w:color w:val="auto"/>
                <w:sz w:val="24"/>
                <w:szCs w:val="24"/>
                <w:vertAlign w:val="subscript"/>
              </w:rPr>
              <w:t>0</w:t>
            </w:r>
            <w:r>
              <w:rPr>
                <w:rFonts w:hint="default" w:ascii="Times New Roman" w:hAnsi="Times New Roman" w:cs="Times New Roman"/>
                <w:color w:val="auto"/>
                <w:sz w:val="24"/>
                <w:szCs w:val="24"/>
              </w:rPr>
              <w:t>）</w:t>
            </w:r>
          </w:p>
          <w:p w14:paraId="7C462974">
            <w:pPr>
              <w:keepNext w:val="0"/>
              <w:keepLines w:val="0"/>
              <w:suppressLineNumbers w:val="0"/>
              <w:adjustRightInd w:val="0"/>
              <w:snapToGrid w:val="0"/>
              <w:spacing w:before="0" w:beforeAutospacing="0" w:after="0" w:afterAutospacing="0" w:line="360" w:lineRule="auto"/>
              <w:ind w:left="0" w:right="0" w:firstLine="480"/>
              <w:jc w:val="left"/>
              <w:rPr>
                <w:rFonts w:hint="default" w:ascii="Times New Roman" w:hAnsi="Times New Roman" w:cs="Times New Roman"/>
                <w:color w:val="auto"/>
                <w:sz w:val="24"/>
                <w:szCs w:val="24"/>
              </w:rPr>
            </w:pPr>
            <w:r>
              <w:rPr>
                <w:rFonts w:hint="default" w:ascii="Times New Roman" w:hAnsi="Times New Roman" w:cs="Times New Roman"/>
                <w:color w:val="auto"/>
                <w:sz w:val="24"/>
                <w:szCs w:val="24"/>
              </w:rPr>
              <w:t>式中：L</w:t>
            </w:r>
            <w:r>
              <w:rPr>
                <w:rFonts w:hint="default" w:ascii="Times New Roman" w:hAnsi="Times New Roman" w:cs="Times New Roman"/>
                <w:color w:val="auto"/>
                <w:sz w:val="24"/>
                <w:szCs w:val="24"/>
                <w:vertAlign w:val="subscript"/>
              </w:rPr>
              <w:t>p(r)</w:t>
            </w:r>
            <w:r>
              <w:rPr>
                <w:rFonts w:hint="default" w:ascii="Times New Roman" w:hAnsi="Times New Roman" w:cs="Times New Roman"/>
                <w:color w:val="auto"/>
                <w:sz w:val="24"/>
                <w:szCs w:val="24"/>
              </w:rPr>
              <w:t>—预测点处声压级，dB；</w:t>
            </w:r>
          </w:p>
          <w:p w14:paraId="3B7D54FB">
            <w:pPr>
              <w:keepNext w:val="0"/>
              <w:keepLines w:val="0"/>
              <w:suppressLineNumbers w:val="0"/>
              <w:adjustRightInd w:val="0"/>
              <w:snapToGrid w:val="0"/>
              <w:spacing w:before="0" w:beforeAutospacing="0" w:after="0" w:afterAutospacing="0" w:line="360" w:lineRule="auto"/>
              <w:ind w:left="0" w:right="0" w:firstLine="1024" w:firstLineChars="427"/>
              <w:jc w:val="left"/>
              <w:rPr>
                <w:rFonts w:hint="default" w:ascii="Times New Roman" w:hAnsi="Times New Roman" w:cs="Times New Roman"/>
                <w:color w:val="auto"/>
                <w:sz w:val="24"/>
                <w:szCs w:val="24"/>
              </w:rPr>
            </w:pPr>
            <w:r>
              <w:rPr>
                <w:rFonts w:hint="default" w:ascii="Times New Roman" w:hAnsi="Times New Roman" w:cs="Times New Roman"/>
                <w:color w:val="auto"/>
                <w:sz w:val="24"/>
                <w:szCs w:val="24"/>
              </w:rPr>
              <w:t>L</w:t>
            </w:r>
            <w:r>
              <w:rPr>
                <w:rFonts w:hint="default" w:ascii="Times New Roman" w:hAnsi="Times New Roman" w:cs="Times New Roman"/>
                <w:color w:val="auto"/>
                <w:sz w:val="24"/>
                <w:szCs w:val="24"/>
                <w:vertAlign w:val="subscript"/>
              </w:rPr>
              <w:t>p(r0)</w:t>
            </w:r>
            <w:r>
              <w:rPr>
                <w:rFonts w:hint="default" w:ascii="Times New Roman" w:hAnsi="Times New Roman" w:cs="Times New Roman"/>
                <w:color w:val="auto"/>
                <w:sz w:val="24"/>
                <w:szCs w:val="24"/>
              </w:rPr>
              <w:t>—参考位置r</w:t>
            </w:r>
            <w:r>
              <w:rPr>
                <w:rFonts w:hint="default" w:ascii="Times New Roman" w:hAnsi="Times New Roman" w:cs="Times New Roman"/>
                <w:color w:val="auto"/>
                <w:sz w:val="24"/>
                <w:szCs w:val="24"/>
                <w:vertAlign w:val="subscript"/>
              </w:rPr>
              <w:t>0</w:t>
            </w:r>
            <w:r>
              <w:rPr>
                <w:rFonts w:hint="default" w:ascii="Times New Roman" w:hAnsi="Times New Roman" w:cs="Times New Roman"/>
                <w:color w:val="auto"/>
                <w:sz w:val="24"/>
                <w:szCs w:val="24"/>
              </w:rPr>
              <w:t>处的声压级，dB；</w:t>
            </w:r>
          </w:p>
          <w:p w14:paraId="14260D44">
            <w:pPr>
              <w:keepNext w:val="0"/>
              <w:keepLines w:val="0"/>
              <w:suppressLineNumbers w:val="0"/>
              <w:adjustRightInd w:val="0"/>
              <w:snapToGrid w:val="0"/>
              <w:spacing w:before="0" w:beforeAutospacing="0" w:after="0" w:afterAutospacing="0" w:line="360" w:lineRule="auto"/>
              <w:ind w:left="0" w:right="0" w:firstLine="1024" w:firstLineChars="427"/>
              <w:jc w:val="left"/>
              <w:rPr>
                <w:rFonts w:hint="default" w:ascii="Times New Roman" w:hAnsi="Times New Roman" w:cs="Times New Roman"/>
                <w:color w:val="auto"/>
                <w:sz w:val="24"/>
                <w:szCs w:val="24"/>
              </w:rPr>
            </w:pPr>
            <w:r>
              <w:rPr>
                <w:rFonts w:hint="default" w:ascii="Times New Roman" w:hAnsi="Times New Roman" w:cs="Times New Roman"/>
                <w:color w:val="auto"/>
                <w:sz w:val="24"/>
                <w:szCs w:val="24"/>
              </w:rPr>
              <w:t>r—预测点距声源的距离；</w:t>
            </w:r>
          </w:p>
          <w:p w14:paraId="3865D035">
            <w:pPr>
              <w:keepNext w:val="0"/>
              <w:keepLines w:val="0"/>
              <w:suppressLineNumbers w:val="0"/>
              <w:adjustRightInd w:val="0"/>
              <w:snapToGrid w:val="0"/>
              <w:spacing w:before="0" w:beforeAutospacing="0" w:after="0" w:afterAutospacing="0" w:line="360" w:lineRule="auto"/>
              <w:ind w:left="0" w:right="0" w:firstLine="1024" w:firstLineChars="427"/>
              <w:jc w:val="left"/>
              <w:rPr>
                <w:rFonts w:hint="default" w:ascii="Times New Roman" w:hAnsi="Times New Roman" w:cs="Times New Roman"/>
                <w:bCs/>
                <w:color w:val="auto"/>
                <w:sz w:val="24"/>
                <w:szCs w:val="24"/>
              </w:rPr>
            </w:pPr>
            <w:r>
              <w:rPr>
                <w:rFonts w:hint="default" w:ascii="Times New Roman" w:hAnsi="Times New Roman" w:cs="Times New Roman"/>
                <w:color w:val="auto"/>
                <w:sz w:val="24"/>
                <w:szCs w:val="24"/>
              </w:rPr>
              <w:t>r</w:t>
            </w:r>
            <w:r>
              <w:rPr>
                <w:rFonts w:hint="default" w:ascii="Times New Roman" w:hAnsi="Times New Roman" w:cs="Times New Roman"/>
                <w:color w:val="auto"/>
                <w:sz w:val="24"/>
                <w:szCs w:val="24"/>
                <w:vertAlign w:val="subscript"/>
              </w:rPr>
              <w:t>0</w:t>
            </w:r>
            <w:r>
              <w:rPr>
                <w:rFonts w:hint="default" w:ascii="Times New Roman" w:hAnsi="Times New Roman" w:cs="Times New Roman"/>
                <w:color w:val="auto"/>
                <w:sz w:val="24"/>
                <w:szCs w:val="24"/>
              </w:rPr>
              <w:t>—参考位置距声源的距离。</w:t>
            </w:r>
          </w:p>
          <w:p w14:paraId="61015FB9">
            <w:pPr>
              <w:keepNext w:val="0"/>
              <w:keepLines w:val="0"/>
              <w:suppressLineNumbers w:val="0"/>
              <w:adjustRightInd w:val="0"/>
              <w:snapToGrid w:val="0"/>
              <w:spacing w:before="0" w:beforeAutospacing="0" w:after="0" w:afterAutospacing="0" w:line="360" w:lineRule="auto"/>
              <w:ind w:left="0" w:right="0" w:firstLine="480"/>
              <w:jc w:val="left"/>
              <w:rPr>
                <w:rFonts w:hint="default" w:ascii="Times New Roman" w:hAnsi="Times New Roman" w:cs="Times New Roman"/>
                <w:color w:val="auto"/>
                <w:sz w:val="24"/>
                <w:szCs w:val="24"/>
              </w:rPr>
            </w:pPr>
            <w:r>
              <w:rPr>
                <w:rFonts w:hint="default" w:ascii="Times New Roman" w:hAnsi="Times New Roman" w:cs="Times New Roman"/>
                <w:color w:val="auto"/>
                <w:sz w:val="24"/>
                <w:szCs w:val="24"/>
              </w:rPr>
              <w:t>②噪声贡献值计算公式：</w:t>
            </w:r>
          </w:p>
          <w:p w14:paraId="34C80DA2">
            <w:pPr>
              <w:keepNext w:val="0"/>
              <w:keepLines w:val="0"/>
              <w:suppressLineNumbers w:val="0"/>
              <w:adjustRightInd w:val="0"/>
              <w:snapToGrid w:val="0"/>
              <w:spacing w:before="0" w:beforeAutospacing="0" w:after="0" w:afterAutospacing="0" w:line="360" w:lineRule="auto"/>
              <w:ind w:right="0"/>
              <w:jc w:val="center"/>
              <w:rPr>
                <w:rFonts w:hint="default" w:ascii="Times New Roman" w:hAnsi="Times New Roman" w:cs="Times New Roman"/>
                <w:color w:val="auto"/>
                <w:sz w:val="24"/>
                <w:szCs w:val="24"/>
              </w:rPr>
            </w:pPr>
            <w:r>
              <w:rPr>
                <w:rFonts w:hint="default" w:ascii="Times New Roman" w:hAnsi="Times New Roman" w:cs="Times New Roman"/>
                <w:color w:val="auto"/>
                <w:sz w:val="24"/>
                <w:szCs w:val="24"/>
              </w:rPr>
              <w:t>L</w:t>
            </w:r>
            <w:r>
              <w:rPr>
                <w:rFonts w:hint="default" w:ascii="Times New Roman" w:hAnsi="Times New Roman" w:cs="Times New Roman"/>
                <w:color w:val="auto"/>
                <w:sz w:val="24"/>
                <w:szCs w:val="24"/>
                <w:vertAlign w:val="subscript"/>
              </w:rPr>
              <w:t>eqg</w:t>
            </w:r>
            <w:r>
              <w:rPr>
                <w:rFonts w:hint="default" w:ascii="Times New Roman" w:hAnsi="Times New Roman" w:cs="Times New Roman"/>
                <w:color w:val="auto"/>
                <w:sz w:val="24"/>
                <w:szCs w:val="24"/>
              </w:rPr>
              <w:t>=10lg（</w:t>
            </w:r>
            <w:r>
              <w:rPr>
                <w:rFonts w:hint="default" w:ascii="Times New Roman" w:hAnsi="Times New Roman" w:cs="Times New Roman"/>
                <w:color w:val="auto"/>
                <w:position w:val="-28"/>
                <w:sz w:val="24"/>
                <w:szCs w:val="24"/>
              </w:rPr>
              <w:object>
                <v:shape id="_x0000_i1025" o:spt="75" type="#_x0000_t75" style="height:33pt;width:33.75pt;" o:ole="t" filled="f" o:preferrelative="t" stroked="f" coordsize="21600,21600">
                  <v:path/>
                  <v:fill on="f" focussize="0,0"/>
                  <v:stroke on="f"/>
                  <v:imagedata r:id="rId14" o:title=""/>
                  <o:lock v:ext="edit" aspectratio="t"/>
                  <w10:wrap type="none"/>
                  <w10:anchorlock/>
                </v:shape>
                <o:OLEObject Type="Embed" ProgID="Equation.3" ShapeID="_x0000_i1025" DrawAspect="Content" ObjectID="_1468075725" r:id="rId13">
                  <o:LockedField>false</o:LockedField>
                </o:OLEObject>
              </w:object>
            </w:r>
            <w:r>
              <w:rPr>
                <w:rFonts w:hint="default" w:ascii="Times New Roman" w:hAnsi="Times New Roman" w:cs="Times New Roman"/>
                <w:color w:val="auto"/>
                <w:sz w:val="24"/>
                <w:szCs w:val="24"/>
              </w:rPr>
              <w:t>10</w:t>
            </w:r>
            <w:r>
              <w:rPr>
                <w:rFonts w:hint="default" w:ascii="Times New Roman" w:hAnsi="Times New Roman" w:cs="Times New Roman"/>
                <w:color w:val="auto"/>
                <w:sz w:val="24"/>
                <w:szCs w:val="24"/>
                <w:vertAlign w:val="superscript"/>
              </w:rPr>
              <w:t>0.1LAi</w:t>
            </w:r>
            <w:r>
              <w:rPr>
                <w:rFonts w:hint="default" w:ascii="Times New Roman" w:hAnsi="Times New Roman" w:cs="Times New Roman"/>
                <w:color w:val="auto"/>
                <w:sz w:val="24"/>
                <w:szCs w:val="24"/>
              </w:rPr>
              <w:t>）</w:t>
            </w:r>
          </w:p>
          <w:p w14:paraId="0B921851">
            <w:pPr>
              <w:keepNext w:val="0"/>
              <w:keepLines w:val="0"/>
              <w:suppressLineNumbers w:val="0"/>
              <w:adjustRightInd w:val="0"/>
              <w:snapToGrid w:val="0"/>
              <w:spacing w:before="0" w:beforeAutospacing="0" w:after="0" w:afterAutospacing="0" w:line="360" w:lineRule="auto"/>
              <w:ind w:left="0" w:right="0" w:firstLine="480"/>
              <w:rPr>
                <w:rFonts w:hint="default" w:ascii="Times New Roman" w:hAnsi="Times New Roman" w:cs="Times New Roman"/>
                <w:color w:val="auto"/>
                <w:sz w:val="24"/>
                <w:szCs w:val="24"/>
              </w:rPr>
            </w:pPr>
            <w:r>
              <w:rPr>
                <w:rFonts w:hint="default" w:ascii="Times New Roman" w:hAnsi="Times New Roman" w:cs="Times New Roman"/>
                <w:color w:val="auto"/>
                <w:sz w:val="24"/>
                <w:szCs w:val="24"/>
              </w:rPr>
              <w:t>式中：L</w:t>
            </w:r>
            <w:r>
              <w:rPr>
                <w:rFonts w:hint="default" w:ascii="Times New Roman" w:hAnsi="Times New Roman" w:cs="Times New Roman"/>
                <w:color w:val="auto"/>
                <w:sz w:val="24"/>
                <w:szCs w:val="24"/>
                <w:vertAlign w:val="subscript"/>
              </w:rPr>
              <w:t>eqg</w:t>
            </w:r>
            <w:r>
              <w:rPr>
                <w:rFonts w:hint="default" w:ascii="Times New Roman" w:hAnsi="Times New Roman" w:cs="Times New Roman"/>
                <w:color w:val="auto"/>
                <w:sz w:val="24"/>
                <w:szCs w:val="24"/>
              </w:rPr>
              <w:t>—噪声贡献值，dB；</w:t>
            </w:r>
          </w:p>
          <w:p w14:paraId="09958A71">
            <w:pPr>
              <w:keepNext w:val="0"/>
              <w:keepLines w:val="0"/>
              <w:suppressLineNumbers w:val="0"/>
              <w:adjustRightInd w:val="0"/>
              <w:snapToGrid w:val="0"/>
              <w:spacing w:before="0" w:beforeAutospacing="0" w:after="0" w:afterAutospacing="0" w:line="360" w:lineRule="auto"/>
              <w:ind w:left="0" w:right="0" w:firstLine="480"/>
              <w:rPr>
                <w:rFonts w:hint="default" w:ascii="Times New Roman" w:hAnsi="Times New Roman" w:cs="Times New Roman"/>
                <w:color w:val="auto"/>
                <w:sz w:val="24"/>
                <w:szCs w:val="24"/>
              </w:rPr>
            </w:pPr>
            <w:r>
              <w:rPr>
                <w:rFonts w:hint="default" w:ascii="Times New Roman" w:hAnsi="Times New Roman" w:cs="Times New Roman"/>
                <w:color w:val="auto"/>
                <w:sz w:val="24"/>
                <w:szCs w:val="24"/>
              </w:rPr>
              <w:t>T——预测计算的时间段，s；</w:t>
            </w:r>
          </w:p>
          <w:p w14:paraId="535ABEA6">
            <w:pPr>
              <w:keepNext w:val="0"/>
              <w:keepLines w:val="0"/>
              <w:suppressLineNumbers w:val="0"/>
              <w:spacing w:before="0" w:beforeAutospacing="0" w:after="0" w:afterAutospacing="0" w:line="360" w:lineRule="auto"/>
              <w:ind w:left="0" w:right="0" w:firstLine="480"/>
              <w:rPr>
                <w:rFonts w:hint="default" w:ascii="Times New Roman" w:hAnsi="Times New Roman" w:cs="Times New Roman"/>
                <w:color w:val="auto"/>
                <w:sz w:val="24"/>
                <w:szCs w:val="24"/>
              </w:rPr>
            </w:pPr>
            <w:r>
              <w:rPr>
                <w:rFonts w:hint="default" w:ascii="Times New Roman" w:hAnsi="Times New Roman" w:cs="Times New Roman"/>
                <w:color w:val="auto"/>
                <w:sz w:val="24"/>
                <w:szCs w:val="24"/>
              </w:rPr>
              <w:t>t</w:t>
            </w:r>
            <w:r>
              <w:rPr>
                <w:rFonts w:hint="default" w:ascii="Times New Roman" w:hAnsi="Times New Roman" w:cs="Times New Roman"/>
                <w:color w:val="auto"/>
                <w:sz w:val="24"/>
                <w:szCs w:val="24"/>
                <w:vertAlign w:val="subscript"/>
              </w:rPr>
              <w:t>i</w:t>
            </w:r>
            <w:r>
              <w:rPr>
                <w:rFonts w:hint="default" w:ascii="Times New Roman" w:hAnsi="Times New Roman" w:cs="Times New Roman"/>
                <w:color w:val="auto"/>
                <w:sz w:val="24"/>
                <w:szCs w:val="24"/>
              </w:rPr>
              <w:t>—— i 声源在 T 时段内的运行时间，s;</w:t>
            </w:r>
          </w:p>
          <w:p w14:paraId="44724A85">
            <w:pPr>
              <w:keepNext w:val="0"/>
              <w:keepLines w:val="0"/>
              <w:suppressLineNumbers w:val="0"/>
              <w:adjustRightInd w:val="0"/>
              <w:snapToGrid w:val="0"/>
              <w:spacing w:before="0" w:beforeAutospacing="0" w:after="0" w:afterAutospacing="0" w:line="360" w:lineRule="auto"/>
              <w:ind w:left="0" w:right="0" w:firstLine="480"/>
              <w:rPr>
                <w:rFonts w:hint="default" w:ascii="Times New Roman" w:hAnsi="Times New Roman" w:cs="Times New Roman"/>
                <w:color w:val="auto"/>
                <w:sz w:val="24"/>
                <w:szCs w:val="24"/>
              </w:rPr>
            </w:pPr>
            <w:r>
              <w:rPr>
                <w:rFonts w:hint="default" w:ascii="Times New Roman" w:hAnsi="Times New Roman" w:cs="Times New Roman"/>
                <w:color w:val="auto"/>
                <w:sz w:val="24"/>
                <w:szCs w:val="24"/>
              </w:rPr>
              <w:t>L</w:t>
            </w:r>
            <w:r>
              <w:rPr>
                <w:rFonts w:hint="default" w:ascii="Times New Roman" w:hAnsi="Times New Roman" w:cs="Times New Roman"/>
                <w:color w:val="auto"/>
                <w:sz w:val="24"/>
                <w:szCs w:val="24"/>
                <w:vertAlign w:val="subscript"/>
              </w:rPr>
              <w:t>Ai</w:t>
            </w:r>
            <w:r>
              <w:rPr>
                <w:rFonts w:hint="default" w:ascii="Times New Roman" w:hAnsi="Times New Roman" w:cs="Times New Roman"/>
                <w:color w:val="auto"/>
                <w:sz w:val="24"/>
                <w:szCs w:val="24"/>
              </w:rPr>
              <w:t>—i 声源在预测点产生的等效连续 A 声级，dB。</w:t>
            </w:r>
          </w:p>
          <w:p w14:paraId="53CF060B">
            <w:pPr>
              <w:keepNext w:val="0"/>
              <w:keepLines w:val="0"/>
              <w:suppressLineNumbers w:val="0"/>
              <w:adjustRightInd w:val="0"/>
              <w:snapToGrid w:val="0"/>
              <w:spacing w:before="0" w:beforeAutospacing="0" w:after="0" w:afterAutospacing="0" w:line="360" w:lineRule="auto"/>
              <w:ind w:left="0" w:right="0" w:firstLine="480"/>
              <w:jc w:val="left"/>
              <w:rPr>
                <w:rFonts w:hint="default" w:ascii="Times New Roman" w:hAnsi="Times New Roman" w:cs="Times New Roman"/>
                <w:color w:val="auto"/>
                <w:sz w:val="24"/>
                <w:szCs w:val="24"/>
              </w:rPr>
            </w:pPr>
            <w:r>
              <w:rPr>
                <w:rFonts w:hint="default" w:ascii="Times New Roman" w:hAnsi="Times New Roman" w:cs="Times New Roman"/>
                <w:color w:val="auto"/>
                <w:sz w:val="24"/>
                <w:szCs w:val="24"/>
              </w:rPr>
              <w:t>③噪声预测计算公式：</w:t>
            </w:r>
          </w:p>
          <w:p w14:paraId="3280EEAC">
            <w:pPr>
              <w:keepNext w:val="0"/>
              <w:keepLines w:val="0"/>
              <w:suppressLineNumbers w:val="0"/>
              <w:adjustRightInd w:val="0"/>
              <w:snapToGrid w:val="0"/>
              <w:spacing w:before="0" w:beforeAutospacing="0" w:after="0" w:afterAutospacing="0" w:line="360" w:lineRule="auto"/>
              <w:ind w:left="0" w:right="0" w:firstLine="480"/>
              <w:jc w:val="center"/>
              <w:rPr>
                <w:rFonts w:hint="default" w:ascii="Times New Roman" w:hAnsi="Times New Roman" w:cs="Times New Roman"/>
                <w:color w:val="auto"/>
                <w:sz w:val="24"/>
                <w:szCs w:val="24"/>
              </w:rPr>
            </w:pPr>
            <w:r>
              <w:rPr>
                <w:rFonts w:hint="default" w:ascii="Times New Roman" w:hAnsi="Times New Roman" w:cs="Times New Roman"/>
                <w:color w:val="auto"/>
                <w:sz w:val="24"/>
                <w:szCs w:val="24"/>
              </w:rPr>
              <w:t>L</w:t>
            </w:r>
            <w:r>
              <w:rPr>
                <w:rFonts w:hint="default" w:ascii="Times New Roman" w:hAnsi="Times New Roman" w:cs="Times New Roman"/>
                <w:color w:val="auto"/>
                <w:sz w:val="24"/>
                <w:szCs w:val="24"/>
                <w:vertAlign w:val="subscript"/>
              </w:rPr>
              <w:t>ep</w:t>
            </w:r>
            <w:r>
              <w:rPr>
                <w:rFonts w:hint="default" w:ascii="Times New Roman" w:hAnsi="Times New Roman" w:cs="Times New Roman"/>
                <w:color w:val="auto"/>
                <w:sz w:val="24"/>
                <w:szCs w:val="24"/>
              </w:rPr>
              <w:t>=10lg（10</w:t>
            </w:r>
            <w:r>
              <w:rPr>
                <w:rFonts w:hint="default" w:ascii="Times New Roman" w:hAnsi="Times New Roman" w:cs="Times New Roman"/>
                <w:color w:val="auto"/>
                <w:sz w:val="24"/>
                <w:szCs w:val="24"/>
                <w:vertAlign w:val="superscript"/>
              </w:rPr>
              <w:t>0.1Leqg</w:t>
            </w:r>
            <w:r>
              <w:rPr>
                <w:rFonts w:hint="default" w:ascii="Times New Roman" w:hAnsi="Times New Roman" w:cs="Times New Roman"/>
                <w:color w:val="auto"/>
                <w:sz w:val="24"/>
                <w:szCs w:val="24"/>
              </w:rPr>
              <w:t>+10</w:t>
            </w:r>
            <w:r>
              <w:rPr>
                <w:rFonts w:hint="default" w:ascii="Times New Roman" w:hAnsi="Times New Roman" w:cs="Times New Roman"/>
                <w:color w:val="auto"/>
                <w:sz w:val="24"/>
                <w:szCs w:val="24"/>
                <w:vertAlign w:val="superscript"/>
              </w:rPr>
              <w:t>0.1Leqb</w:t>
            </w:r>
            <w:r>
              <w:rPr>
                <w:rFonts w:hint="default" w:ascii="Times New Roman" w:hAnsi="Times New Roman" w:cs="Times New Roman"/>
                <w:color w:val="auto"/>
                <w:sz w:val="24"/>
                <w:szCs w:val="24"/>
              </w:rPr>
              <w:t>）</w:t>
            </w:r>
            <w:r>
              <w:rPr>
                <w:rFonts w:hint="default" w:ascii="Times New Roman" w:hAnsi="Times New Roman" w:cs="Times New Roman"/>
                <w:color w:val="auto"/>
                <w:sz w:val="24"/>
                <w:szCs w:val="24"/>
              </w:rPr>
              <w:sym w:font="Times New Roman" w:char="F02B"/>
            </w:r>
            <w:r>
              <w:rPr>
                <w:rFonts w:hint="default" w:ascii="Times New Roman" w:hAnsi="Times New Roman" w:cs="Times New Roman"/>
                <w:color w:val="auto"/>
                <w:sz w:val="24"/>
                <w:szCs w:val="24"/>
              </w:rPr>
              <w:sym w:font="Times New Roman" w:char="F02D"/>
            </w:r>
            <w:r>
              <w:rPr>
                <w:rFonts w:hint="default" w:ascii="Times New Roman" w:hAnsi="Times New Roman" w:cs="Times New Roman"/>
                <w:color w:val="auto"/>
                <w:sz w:val="24"/>
                <w:szCs w:val="24"/>
              </w:rPr>
              <w:sym w:font="Times New Roman" w:char="F03D"/>
            </w:r>
          </w:p>
          <w:p w14:paraId="013A71CE">
            <w:pPr>
              <w:keepNext w:val="0"/>
              <w:keepLines w:val="0"/>
              <w:suppressLineNumbers w:val="0"/>
              <w:adjustRightInd w:val="0"/>
              <w:snapToGrid w:val="0"/>
              <w:spacing w:before="0" w:beforeAutospacing="0" w:after="0" w:afterAutospacing="0" w:line="360" w:lineRule="auto"/>
              <w:ind w:left="0" w:right="0" w:firstLine="480"/>
              <w:rPr>
                <w:rFonts w:hint="default" w:ascii="Times New Roman" w:hAnsi="Times New Roman" w:cs="Times New Roman"/>
                <w:color w:val="auto"/>
                <w:sz w:val="24"/>
                <w:szCs w:val="24"/>
              </w:rPr>
            </w:pPr>
            <w:r>
              <w:rPr>
                <w:rFonts w:hint="default" w:ascii="Times New Roman" w:hAnsi="Times New Roman" w:cs="Times New Roman"/>
                <w:color w:val="auto"/>
                <w:sz w:val="24"/>
                <w:szCs w:val="24"/>
              </w:rPr>
              <w:t>式中：L</w:t>
            </w:r>
            <w:r>
              <w:rPr>
                <w:rFonts w:hint="default" w:ascii="Times New Roman" w:hAnsi="Times New Roman" w:cs="Times New Roman"/>
                <w:color w:val="auto"/>
                <w:sz w:val="24"/>
                <w:szCs w:val="24"/>
                <w:vertAlign w:val="subscript"/>
              </w:rPr>
              <w:t>ep</w:t>
            </w:r>
            <w:r>
              <w:rPr>
                <w:rFonts w:hint="default" w:ascii="Times New Roman" w:hAnsi="Times New Roman" w:cs="Times New Roman"/>
                <w:color w:val="auto"/>
                <w:sz w:val="24"/>
                <w:szCs w:val="24"/>
              </w:rPr>
              <w:t>—预测点的噪声预测值，dB；</w:t>
            </w:r>
          </w:p>
          <w:p w14:paraId="02DFC1A4">
            <w:pPr>
              <w:keepNext w:val="0"/>
              <w:keepLines w:val="0"/>
              <w:suppressLineNumbers w:val="0"/>
              <w:adjustRightInd w:val="0"/>
              <w:snapToGrid w:val="0"/>
              <w:spacing w:before="0" w:beforeAutospacing="0" w:after="0" w:afterAutospacing="0" w:line="360" w:lineRule="auto"/>
              <w:ind w:left="0" w:right="0" w:firstLine="480"/>
              <w:rPr>
                <w:rFonts w:hint="default" w:ascii="Times New Roman" w:hAnsi="Times New Roman" w:cs="Times New Roman"/>
                <w:color w:val="auto"/>
                <w:sz w:val="24"/>
                <w:szCs w:val="24"/>
              </w:rPr>
            </w:pPr>
            <w:r>
              <w:rPr>
                <w:rFonts w:hint="default" w:ascii="Times New Roman" w:hAnsi="Times New Roman" w:cs="Times New Roman"/>
                <w:color w:val="auto"/>
                <w:sz w:val="24"/>
                <w:szCs w:val="24"/>
              </w:rPr>
              <w:t>L</w:t>
            </w:r>
            <w:r>
              <w:rPr>
                <w:rFonts w:hint="default" w:ascii="Times New Roman" w:hAnsi="Times New Roman" w:cs="Times New Roman"/>
                <w:color w:val="auto"/>
                <w:sz w:val="24"/>
                <w:szCs w:val="24"/>
                <w:vertAlign w:val="subscript"/>
              </w:rPr>
              <w:t>eqg</w:t>
            </w:r>
            <w:r>
              <w:rPr>
                <w:rFonts w:hint="default" w:ascii="Times New Roman" w:hAnsi="Times New Roman" w:cs="Times New Roman"/>
                <w:color w:val="auto"/>
                <w:sz w:val="24"/>
                <w:szCs w:val="24"/>
              </w:rPr>
              <w:t>——建设项目声源在预测点产生的噪声贡献值，dB；</w:t>
            </w:r>
          </w:p>
          <w:p w14:paraId="1253ED0B">
            <w:pPr>
              <w:widowControl/>
              <w:spacing w:line="360" w:lineRule="auto"/>
              <w:ind w:firstLine="480" w:firstLineChars="200"/>
              <w:rPr>
                <w:color w:val="auto"/>
                <w:sz w:val="24"/>
              </w:rPr>
            </w:pPr>
            <w:r>
              <w:rPr>
                <w:rFonts w:hint="default" w:ascii="Times New Roman" w:hAnsi="Times New Roman" w:cs="Times New Roman"/>
                <w:color w:val="auto"/>
                <w:sz w:val="24"/>
                <w:szCs w:val="24"/>
              </w:rPr>
              <w:t>L</w:t>
            </w:r>
            <w:r>
              <w:rPr>
                <w:rFonts w:hint="default" w:ascii="Times New Roman" w:hAnsi="Times New Roman" w:cs="Times New Roman"/>
                <w:color w:val="auto"/>
                <w:sz w:val="24"/>
                <w:szCs w:val="24"/>
                <w:vertAlign w:val="subscript"/>
              </w:rPr>
              <w:t>eqb</w:t>
            </w:r>
            <w:r>
              <w:rPr>
                <w:rFonts w:hint="default" w:ascii="Times New Roman" w:hAnsi="Times New Roman" w:cs="Times New Roman"/>
                <w:color w:val="auto"/>
                <w:sz w:val="24"/>
                <w:szCs w:val="24"/>
              </w:rPr>
              <w:t>—预测点的背景噪声值，dB。</w:t>
            </w:r>
          </w:p>
          <w:p w14:paraId="69B310AA">
            <w:pPr>
              <w:numPr>
                <w:ilvl w:val="0"/>
                <w:numId w:val="5"/>
              </w:numPr>
              <w:spacing w:line="360" w:lineRule="auto"/>
              <w:ind w:left="0" w:leftChars="0" w:firstLine="480" w:firstLineChars="200"/>
              <w:rPr>
                <w:color w:val="auto"/>
                <w:sz w:val="24"/>
              </w:rPr>
            </w:pPr>
            <w:r>
              <w:rPr>
                <w:color w:val="auto"/>
                <w:sz w:val="24"/>
              </w:rPr>
              <w:t>噪声预测结果</w:t>
            </w:r>
          </w:p>
          <w:p w14:paraId="04B675FC">
            <w:pPr>
              <w:numPr>
                <w:ilvl w:val="0"/>
                <w:numId w:val="0"/>
              </w:numPr>
              <w:spacing w:line="360" w:lineRule="auto"/>
              <w:ind w:firstLine="480" w:firstLineChars="200"/>
              <w:rPr>
                <w:b/>
                <w:color w:val="auto"/>
                <w:szCs w:val="21"/>
              </w:rPr>
            </w:pPr>
            <w:r>
              <w:rPr>
                <w:color w:val="auto"/>
                <w:sz w:val="24"/>
              </w:rPr>
              <w:t>厂界噪声影响预测结果见表</w:t>
            </w:r>
            <w:r>
              <w:rPr>
                <w:rFonts w:hint="eastAsia"/>
                <w:color w:val="auto"/>
                <w:sz w:val="24"/>
              </w:rPr>
              <w:t>4</w:t>
            </w:r>
            <w:r>
              <w:rPr>
                <w:rFonts w:hint="eastAsia"/>
                <w:color w:val="auto"/>
                <w:sz w:val="24"/>
                <w:lang w:val="en-US" w:eastAsia="zh-CN"/>
              </w:rPr>
              <w:t>-8</w:t>
            </w:r>
            <w:r>
              <w:rPr>
                <w:color w:val="auto"/>
                <w:sz w:val="24"/>
              </w:rPr>
              <w:t>。</w:t>
            </w:r>
          </w:p>
          <w:p w14:paraId="4DADF7E5">
            <w:pPr>
              <w:jc w:val="center"/>
              <w:rPr>
                <w:b/>
                <w:color w:val="auto"/>
                <w:kern w:val="0"/>
                <w:szCs w:val="21"/>
              </w:rPr>
            </w:pPr>
            <w:r>
              <w:rPr>
                <w:b/>
                <w:color w:val="auto"/>
                <w:kern w:val="0"/>
                <w:szCs w:val="21"/>
              </w:rPr>
              <w:t>表</w:t>
            </w:r>
            <w:r>
              <w:rPr>
                <w:rFonts w:hint="eastAsia"/>
                <w:b/>
                <w:color w:val="auto"/>
                <w:kern w:val="0"/>
                <w:szCs w:val="21"/>
              </w:rPr>
              <w:t>4-</w:t>
            </w:r>
            <w:r>
              <w:rPr>
                <w:rFonts w:hint="eastAsia"/>
                <w:b/>
                <w:color w:val="auto"/>
                <w:kern w:val="0"/>
                <w:szCs w:val="21"/>
                <w:lang w:val="en-US" w:eastAsia="zh-CN"/>
              </w:rPr>
              <w:t>8</w:t>
            </w:r>
            <w:r>
              <w:rPr>
                <w:rFonts w:hint="eastAsia"/>
                <w:b/>
                <w:color w:val="auto"/>
                <w:kern w:val="0"/>
                <w:szCs w:val="21"/>
              </w:rPr>
              <w:t xml:space="preserve">   </w:t>
            </w:r>
            <w:r>
              <w:rPr>
                <w:b/>
                <w:color w:val="auto"/>
                <w:kern w:val="0"/>
                <w:szCs w:val="21"/>
              </w:rPr>
              <w:t>环境噪声影响预测结果表单位：dB（A）</w:t>
            </w:r>
          </w:p>
          <w:tbl>
            <w:tblPr>
              <w:tblStyle w:val="17"/>
              <w:tblW w:w="4998" w:type="pct"/>
              <w:tblInd w:w="0" w:type="dxa"/>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autofit"/>
              <w:tblCellMar>
                <w:top w:w="0" w:type="dxa"/>
                <w:left w:w="108" w:type="dxa"/>
                <w:bottom w:w="0" w:type="dxa"/>
                <w:right w:w="108" w:type="dxa"/>
              </w:tblCellMar>
            </w:tblPr>
            <w:tblGrid>
              <w:gridCol w:w="1622"/>
              <w:gridCol w:w="1745"/>
              <w:gridCol w:w="2449"/>
              <w:gridCol w:w="1216"/>
              <w:gridCol w:w="1316"/>
            </w:tblGrid>
            <w:tr w14:paraId="6231F748">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128" w:hRule="atLeast"/>
              </w:trPr>
              <w:tc>
                <w:tcPr>
                  <w:tcW w:w="971" w:type="pct"/>
                  <w:vMerge w:val="restart"/>
                  <w:tcBorders>
                    <w:tl2br w:val="nil"/>
                    <w:tr2bl w:val="nil"/>
                  </w:tcBorders>
                  <w:vAlign w:val="center"/>
                </w:tcPr>
                <w:p w14:paraId="2981E88A">
                  <w:pPr>
                    <w:jc w:val="center"/>
                    <w:rPr>
                      <w:rFonts w:hint="eastAsia" w:eastAsia="宋体"/>
                      <w:color w:val="auto"/>
                      <w:kern w:val="0"/>
                      <w:szCs w:val="21"/>
                      <w:lang w:eastAsia="zh-CN"/>
                    </w:rPr>
                  </w:pPr>
                  <w:r>
                    <w:rPr>
                      <w:rFonts w:hint="eastAsia"/>
                      <w:color w:val="auto"/>
                      <w:kern w:val="0"/>
                      <w:szCs w:val="21"/>
                      <w:highlight w:val="none"/>
                      <w:lang w:val="en-US" w:eastAsia="zh-CN"/>
                    </w:rPr>
                    <w:t>预测点位</w:t>
                  </w:r>
                </w:p>
              </w:tc>
              <w:tc>
                <w:tcPr>
                  <w:tcW w:w="1045" w:type="pct"/>
                  <w:vMerge w:val="restart"/>
                  <w:tcBorders>
                    <w:tl2br w:val="nil"/>
                    <w:tr2bl w:val="nil"/>
                  </w:tcBorders>
                  <w:vAlign w:val="center"/>
                </w:tcPr>
                <w:p w14:paraId="6B0DAD51">
                  <w:pPr>
                    <w:jc w:val="center"/>
                    <w:rPr>
                      <w:color w:val="auto"/>
                      <w:kern w:val="0"/>
                      <w:szCs w:val="21"/>
                    </w:rPr>
                  </w:pPr>
                  <w:r>
                    <w:rPr>
                      <w:color w:val="auto"/>
                      <w:kern w:val="0"/>
                      <w:szCs w:val="21"/>
                    </w:rPr>
                    <w:t>声源位置</w:t>
                  </w:r>
                </w:p>
              </w:tc>
              <w:tc>
                <w:tcPr>
                  <w:tcW w:w="1466" w:type="pct"/>
                  <w:vMerge w:val="restart"/>
                  <w:tcBorders>
                    <w:tl2br w:val="nil"/>
                    <w:tr2bl w:val="nil"/>
                  </w:tcBorders>
                  <w:vAlign w:val="center"/>
                </w:tcPr>
                <w:p w14:paraId="22769650">
                  <w:pPr>
                    <w:jc w:val="center"/>
                    <w:rPr>
                      <w:color w:val="auto"/>
                      <w:kern w:val="0"/>
                      <w:szCs w:val="21"/>
                    </w:rPr>
                  </w:pPr>
                  <w:r>
                    <w:rPr>
                      <w:color w:val="auto"/>
                      <w:kern w:val="0"/>
                      <w:szCs w:val="21"/>
                    </w:rPr>
                    <w:t>降噪措施</w:t>
                  </w:r>
                </w:p>
              </w:tc>
              <w:tc>
                <w:tcPr>
                  <w:tcW w:w="728" w:type="pct"/>
                  <w:tcBorders>
                    <w:tl2br w:val="nil"/>
                    <w:tr2bl w:val="nil"/>
                  </w:tcBorders>
                  <w:vAlign w:val="center"/>
                </w:tcPr>
                <w:p w14:paraId="2748AC28">
                  <w:pPr>
                    <w:jc w:val="center"/>
                    <w:rPr>
                      <w:rFonts w:hint="default" w:eastAsia="宋体"/>
                      <w:color w:val="auto"/>
                      <w:kern w:val="0"/>
                      <w:szCs w:val="21"/>
                      <w:lang w:val="en-US" w:eastAsia="zh-CN"/>
                    </w:rPr>
                  </w:pPr>
                  <w:r>
                    <w:rPr>
                      <w:rFonts w:hint="eastAsia"/>
                      <w:color w:val="auto"/>
                      <w:kern w:val="0"/>
                      <w:szCs w:val="21"/>
                      <w:lang w:val="en-US" w:eastAsia="zh-CN"/>
                    </w:rPr>
                    <w:t>昼间</w:t>
                  </w:r>
                </w:p>
              </w:tc>
              <w:tc>
                <w:tcPr>
                  <w:tcW w:w="788" w:type="pct"/>
                  <w:vMerge w:val="restart"/>
                  <w:tcBorders>
                    <w:tl2br w:val="nil"/>
                    <w:tr2bl w:val="nil"/>
                  </w:tcBorders>
                  <w:vAlign w:val="center"/>
                </w:tcPr>
                <w:p w14:paraId="1F4357AB">
                  <w:pPr>
                    <w:jc w:val="center"/>
                    <w:rPr>
                      <w:color w:val="auto"/>
                      <w:kern w:val="0"/>
                      <w:szCs w:val="21"/>
                    </w:rPr>
                  </w:pPr>
                  <w:r>
                    <w:rPr>
                      <w:color w:val="auto"/>
                      <w:kern w:val="0"/>
                      <w:szCs w:val="21"/>
                    </w:rPr>
                    <w:t>标准值</w:t>
                  </w:r>
                </w:p>
              </w:tc>
            </w:tr>
            <w:tr w14:paraId="2523858F">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128" w:hRule="atLeast"/>
              </w:trPr>
              <w:tc>
                <w:tcPr>
                  <w:tcW w:w="971" w:type="pct"/>
                  <w:vMerge w:val="continue"/>
                  <w:tcBorders>
                    <w:tl2br w:val="nil"/>
                    <w:tr2bl w:val="nil"/>
                  </w:tcBorders>
                  <w:vAlign w:val="center"/>
                </w:tcPr>
                <w:p w14:paraId="2071E360">
                  <w:pPr>
                    <w:jc w:val="center"/>
                    <w:rPr>
                      <w:color w:val="auto"/>
                    </w:rPr>
                  </w:pPr>
                </w:p>
              </w:tc>
              <w:tc>
                <w:tcPr>
                  <w:tcW w:w="1045" w:type="pct"/>
                  <w:vMerge w:val="continue"/>
                  <w:tcBorders>
                    <w:tl2br w:val="nil"/>
                    <w:tr2bl w:val="nil"/>
                  </w:tcBorders>
                  <w:vAlign w:val="center"/>
                </w:tcPr>
                <w:p w14:paraId="621DBC35">
                  <w:pPr>
                    <w:jc w:val="center"/>
                    <w:rPr>
                      <w:color w:val="auto"/>
                    </w:rPr>
                  </w:pPr>
                </w:p>
              </w:tc>
              <w:tc>
                <w:tcPr>
                  <w:tcW w:w="1466" w:type="pct"/>
                  <w:vMerge w:val="continue"/>
                  <w:tcBorders>
                    <w:tl2br w:val="nil"/>
                    <w:tr2bl w:val="nil"/>
                  </w:tcBorders>
                  <w:vAlign w:val="center"/>
                </w:tcPr>
                <w:p w14:paraId="519241A2">
                  <w:pPr>
                    <w:jc w:val="center"/>
                    <w:rPr>
                      <w:color w:val="auto"/>
                    </w:rPr>
                  </w:pPr>
                </w:p>
              </w:tc>
              <w:tc>
                <w:tcPr>
                  <w:tcW w:w="728" w:type="pct"/>
                  <w:tcBorders>
                    <w:tl2br w:val="nil"/>
                    <w:tr2bl w:val="nil"/>
                  </w:tcBorders>
                  <w:shd w:val="clear" w:color="auto" w:fill="auto"/>
                  <w:vAlign w:val="center"/>
                </w:tcPr>
                <w:p w14:paraId="1CFB8236">
                  <w:pPr>
                    <w:jc w:val="center"/>
                    <w:rPr>
                      <w:rFonts w:ascii="Times New Roman" w:hAnsi="Times New Roman" w:eastAsia="宋体" w:cs="Times New Roman"/>
                      <w:color w:val="auto"/>
                      <w:kern w:val="0"/>
                      <w:sz w:val="21"/>
                      <w:szCs w:val="21"/>
                      <w:lang w:val="en-US" w:eastAsia="zh-CN" w:bidi="ar-SA"/>
                    </w:rPr>
                  </w:pPr>
                  <w:r>
                    <w:rPr>
                      <w:color w:val="auto"/>
                      <w:kern w:val="0"/>
                      <w:szCs w:val="21"/>
                    </w:rPr>
                    <w:t>贡献值</w:t>
                  </w:r>
                </w:p>
              </w:tc>
              <w:tc>
                <w:tcPr>
                  <w:tcW w:w="788" w:type="pct"/>
                  <w:vMerge w:val="continue"/>
                  <w:tcBorders>
                    <w:tl2br w:val="nil"/>
                    <w:tr2bl w:val="nil"/>
                  </w:tcBorders>
                  <w:vAlign w:val="center"/>
                </w:tcPr>
                <w:p w14:paraId="35CB26CC">
                  <w:pPr>
                    <w:jc w:val="center"/>
                    <w:rPr>
                      <w:color w:val="auto"/>
                      <w:kern w:val="0"/>
                      <w:szCs w:val="21"/>
                    </w:rPr>
                  </w:pPr>
                </w:p>
              </w:tc>
            </w:tr>
            <w:tr w14:paraId="62658F25">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c>
                <w:tcPr>
                  <w:tcW w:w="971" w:type="pct"/>
                  <w:tcBorders>
                    <w:tl2br w:val="nil"/>
                    <w:tr2bl w:val="nil"/>
                  </w:tcBorders>
                  <w:vAlign w:val="center"/>
                </w:tcPr>
                <w:p w14:paraId="1B6EDF63">
                  <w:pPr>
                    <w:jc w:val="center"/>
                    <w:rPr>
                      <w:color w:val="auto"/>
                      <w:kern w:val="0"/>
                      <w:szCs w:val="21"/>
                    </w:rPr>
                  </w:pPr>
                  <w:r>
                    <w:rPr>
                      <w:color w:val="auto"/>
                      <w:kern w:val="0"/>
                      <w:szCs w:val="21"/>
                    </w:rPr>
                    <w:t>东厂界</w:t>
                  </w:r>
                </w:p>
              </w:tc>
              <w:tc>
                <w:tcPr>
                  <w:tcW w:w="1045" w:type="pct"/>
                  <w:tcBorders>
                    <w:tl2br w:val="nil"/>
                    <w:tr2bl w:val="nil"/>
                  </w:tcBorders>
                  <w:vAlign w:val="center"/>
                </w:tcPr>
                <w:p w14:paraId="54052341">
                  <w:pPr>
                    <w:jc w:val="center"/>
                    <w:rPr>
                      <w:color w:val="auto"/>
                      <w:kern w:val="0"/>
                      <w:szCs w:val="21"/>
                    </w:rPr>
                  </w:pPr>
                  <w:r>
                    <w:rPr>
                      <w:color w:val="auto"/>
                      <w:kern w:val="0"/>
                      <w:szCs w:val="21"/>
                    </w:rPr>
                    <w:t>车间</w:t>
                  </w:r>
                </w:p>
              </w:tc>
              <w:tc>
                <w:tcPr>
                  <w:tcW w:w="1466" w:type="pct"/>
                  <w:vMerge w:val="restart"/>
                  <w:tcBorders>
                    <w:tl2br w:val="nil"/>
                    <w:tr2bl w:val="nil"/>
                  </w:tcBorders>
                  <w:vAlign w:val="center"/>
                </w:tcPr>
                <w:p w14:paraId="089F47E9">
                  <w:pPr>
                    <w:jc w:val="center"/>
                    <w:rPr>
                      <w:color w:val="auto"/>
                      <w:kern w:val="0"/>
                      <w:szCs w:val="21"/>
                    </w:rPr>
                  </w:pPr>
                  <w:r>
                    <w:rPr>
                      <w:color w:val="auto"/>
                      <w:szCs w:val="21"/>
                    </w:rPr>
                    <w:t>选择低噪设备，基础减振，厂房隔声等，</w:t>
                  </w:r>
                  <w:r>
                    <w:rPr>
                      <w:rFonts w:hint="eastAsia"/>
                      <w:color w:val="auto"/>
                      <w:szCs w:val="21"/>
                      <w:lang w:val="en-US" w:eastAsia="zh-CN"/>
                    </w:rPr>
                    <w:t>风机采用减振垫、软连接等，</w:t>
                  </w:r>
                  <w:r>
                    <w:rPr>
                      <w:color w:val="auto"/>
                      <w:szCs w:val="21"/>
                    </w:rPr>
                    <w:t>距离衰减</w:t>
                  </w:r>
                </w:p>
              </w:tc>
              <w:tc>
                <w:tcPr>
                  <w:tcW w:w="728" w:type="pct"/>
                  <w:tcBorders>
                    <w:tl2br w:val="nil"/>
                    <w:tr2bl w:val="nil"/>
                  </w:tcBorders>
                  <w:vAlign w:val="center"/>
                </w:tcPr>
                <w:p w14:paraId="5AF895B7">
                  <w:pPr>
                    <w:jc w:val="center"/>
                    <w:rPr>
                      <w:rFonts w:hint="default" w:eastAsia="宋体"/>
                      <w:color w:val="auto"/>
                      <w:kern w:val="0"/>
                      <w:szCs w:val="21"/>
                      <w:lang w:val="en-US" w:eastAsia="zh-CN"/>
                    </w:rPr>
                  </w:pPr>
                  <w:r>
                    <w:rPr>
                      <w:rFonts w:hint="eastAsia"/>
                      <w:color w:val="auto"/>
                      <w:kern w:val="0"/>
                      <w:szCs w:val="21"/>
                      <w:lang w:val="en-US" w:eastAsia="zh-CN"/>
                    </w:rPr>
                    <w:t>60</w:t>
                  </w:r>
                </w:p>
              </w:tc>
              <w:tc>
                <w:tcPr>
                  <w:tcW w:w="788" w:type="pct"/>
                  <w:vMerge w:val="restart"/>
                  <w:tcBorders>
                    <w:tl2br w:val="nil"/>
                    <w:tr2bl w:val="nil"/>
                  </w:tcBorders>
                  <w:vAlign w:val="center"/>
                </w:tcPr>
                <w:p w14:paraId="3B155C40">
                  <w:pPr>
                    <w:jc w:val="center"/>
                    <w:rPr>
                      <w:color w:val="auto"/>
                      <w:kern w:val="0"/>
                      <w:szCs w:val="21"/>
                    </w:rPr>
                  </w:pPr>
                  <w:r>
                    <w:rPr>
                      <w:color w:val="auto"/>
                      <w:kern w:val="0"/>
                      <w:szCs w:val="21"/>
                    </w:rPr>
                    <w:t>昼间</w:t>
                  </w:r>
                  <w:r>
                    <w:rPr>
                      <w:rFonts w:hint="eastAsia"/>
                      <w:color w:val="auto"/>
                      <w:kern w:val="0"/>
                      <w:szCs w:val="21"/>
                      <w:lang w:val="en-US" w:eastAsia="zh-CN"/>
                    </w:rPr>
                    <w:t>65</w:t>
                  </w:r>
                </w:p>
              </w:tc>
            </w:tr>
            <w:tr w14:paraId="74A155CE">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c>
                <w:tcPr>
                  <w:tcW w:w="971" w:type="pct"/>
                  <w:tcBorders>
                    <w:tl2br w:val="nil"/>
                    <w:tr2bl w:val="nil"/>
                  </w:tcBorders>
                  <w:vAlign w:val="center"/>
                </w:tcPr>
                <w:p w14:paraId="78C118D0">
                  <w:pPr>
                    <w:jc w:val="center"/>
                    <w:rPr>
                      <w:color w:val="auto"/>
                      <w:kern w:val="0"/>
                      <w:szCs w:val="21"/>
                    </w:rPr>
                  </w:pPr>
                  <w:r>
                    <w:rPr>
                      <w:color w:val="auto"/>
                      <w:kern w:val="0"/>
                      <w:szCs w:val="21"/>
                    </w:rPr>
                    <w:t>南厂界</w:t>
                  </w:r>
                </w:p>
              </w:tc>
              <w:tc>
                <w:tcPr>
                  <w:tcW w:w="1045" w:type="pct"/>
                  <w:tcBorders>
                    <w:tl2br w:val="nil"/>
                    <w:tr2bl w:val="nil"/>
                  </w:tcBorders>
                  <w:vAlign w:val="center"/>
                </w:tcPr>
                <w:p w14:paraId="2A4778B2">
                  <w:pPr>
                    <w:jc w:val="center"/>
                    <w:rPr>
                      <w:color w:val="auto"/>
                      <w:kern w:val="0"/>
                      <w:szCs w:val="21"/>
                    </w:rPr>
                  </w:pPr>
                  <w:r>
                    <w:rPr>
                      <w:color w:val="auto"/>
                      <w:kern w:val="0"/>
                      <w:szCs w:val="21"/>
                    </w:rPr>
                    <w:t>车间</w:t>
                  </w:r>
                </w:p>
              </w:tc>
              <w:tc>
                <w:tcPr>
                  <w:tcW w:w="1466" w:type="pct"/>
                  <w:vMerge w:val="continue"/>
                  <w:tcBorders>
                    <w:tl2br w:val="nil"/>
                    <w:tr2bl w:val="nil"/>
                  </w:tcBorders>
                  <w:vAlign w:val="center"/>
                </w:tcPr>
                <w:p w14:paraId="305BB3A6">
                  <w:pPr>
                    <w:jc w:val="center"/>
                    <w:rPr>
                      <w:color w:val="auto"/>
                      <w:kern w:val="0"/>
                      <w:szCs w:val="21"/>
                    </w:rPr>
                  </w:pPr>
                </w:p>
              </w:tc>
              <w:tc>
                <w:tcPr>
                  <w:tcW w:w="728" w:type="pct"/>
                  <w:tcBorders>
                    <w:tl2br w:val="nil"/>
                    <w:tr2bl w:val="nil"/>
                  </w:tcBorders>
                  <w:vAlign w:val="center"/>
                </w:tcPr>
                <w:p w14:paraId="52E84213">
                  <w:pPr>
                    <w:jc w:val="center"/>
                    <w:rPr>
                      <w:rFonts w:hint="default" w:eastAsia="宋体"/>
                      <w:color w:val="auto"/>
                      <w:kern w:val="0"/>
                      <w:szCs w:val="21"/>
                      <w:lang w:val="en-US" w:eastAsia="zh-CN"/>
                    </w:rPr>
                  </w:pPr>
                  <w:r>
                    <w:rPr>
                      <w:rFonts w:hint="eastAsia"/>
                      <w:color w:val="auto"/>
                      <w:kern w:val="0"/>
                      <w:szCs w:val="21"/>
                      <w:lang w:val="en-US" w:eastAsia="zh-CN"/>
                    </w:rPr>
                    <w:t>63</w:t>
                  </w:r>
                </w:p>
              </w:tc>
              <w:tc>
                <w:tcPr>
                  <w:tcW w:w="788" w:type="pct"/>
                  <w:vMerge w:val="continue"/>
                  <w:tcBorders>
                    <w:tl2br w:val="nil"/>
                    <w:tr2bl w:val="nil"/>
                  </w:tcBorders>
                  <w:vAlign w:val="center"/>
                </w:tcPr>
                <w:p w14:paraId="51F3BFCC">
                  <w:pPr>
                    <w:jc w:val="center"/>
                    <w:rPr>
                      <w:color w:val="auto"/>
                      <w:kern w:val="0"/>
                      <w:szCs w:val="21"/>
                    </w:rPr>
                  </w:pPr>
                </w:p>
              </w:tc>
            </w:tr>
            <w:tr w14:paraId="1DE24853">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c>
                <w:tcPr>
                  <w:tcW w:w="971" w:type="pct"/>
                  <w:tcBorders>
                    <w:tl2br w:val="nil"/>
                    <w:tr2bl w:val="nil"/>
                  </w:tcBorders>
                  <w:vAlign w:val="center"/>
                </w:tcPr>
                <w:p w14:paraId="25CAE525">
                  <w:pPr>
                    <w:jc w:val="center"/>
                    <w:rPr>
                      <w:color w:val="auto"/>
                      <w:kern w:val="0"/>
                      <w:szCs w:val="21"/>
                    </w:rPr>
                  </w:pPr>
                  <w:r>
                    <w:rPr>
                      <w:color w:val="auto"/>
                      <w:kern w:val="0"/>
                      <w:szCs w:val="21"/>
                    </w:rPr>
                    <w:t>西厂界</w:t>
                  </w:r>
                </w:p>
              </w:tc>
              <w:tc>
                <w:tcPr>
                  <w:tcW w:w="1045" w:type="pct"/>
                  <w:tcBorders>
                    <w:tl2br w:val="nil"/>
                    <w:tr2bl w:val="nil"/>
                  </w:tcBorders>
                  <w:vAlign w:val="center"/>
                </w:tcPr>
                <w:p w14:paraId="2DEC7397">
                  <w:pPr>
                    <w:jc w:val="center"/>
                    <w:rPr>
                      <w:color w:val="auto"/>
                      <w:kern w:val="0"/>
                      <w:szCs w:val="21"/>
                    </w:rPr>
                  </w:pPr>
                  <w:r>
                    <w:rPr>
                      <w:color w:val="auto"/>
                      <w:kern w:val="0"/>
                      <w:szCs w:val="21"/>
                    </w:rPr>
                    <w:t>车间</w:t>
                  </w:r>
                </w:p>
              </w:tc>
              <w:tc>
                <w:tcPr>
                  <w:tcW w:w="1466" w:type="pct"/>
                  <w:vMerge w:val="continue"/>
                  <w:tcBorders>
                    <w:tl2br w:val="nil"/>
                    <w:tr2bl w:val="nil"/>
                  </w:tcBorders>
                  <w:vAlign w:val="center"/>
                </w:tcPr>
                <w:p w14:paraId="3AD9BBFB">
                  <w:pPr>
                    <w:jc w:val="center"/>
                    <w:rPr>
                      <w:color w:val="auto"/>
                      <w:kern w:val="0"/>
                      <w:szCs w:val="21"/>
                    </w:rPr>
                  </w:pPr>
                </w:p>
              </w:tc>
              <w:tc>
                <w:tcPr>
                  <w:tcW w:w="728" w:type="pct"/>
                  <w:tcBorders>
                    <w:tl2br w:val="nil"/>
                    <w:tr2bl w:val="nil"/>
                  </w:tcBorders>
                  <w:vAlign w:val="center"/>
                </w:tcPr>
                <w:p w14:paraId="3C4A9B45">
                  <w:pPr>
                    <w:jc w:val="center"/>
                    <w:rPr>
                      <w:rFonts w:hint="default" w:eastAsia="宋体"/>
                      <w:color w:val="auto"/>
                      <w:kern w:val="0"/>
                      <w:szCs w:val="21"/>
                      <w:lang w:val="en-US" w:eastAsia="zh-CN"/>
                    </w:rPr>
                  </w:pPr>
                  <w:r>
                    <w:rPr>
                      <w:rFonts w:hint="eastAsia"/>
                      <w:color w:val="auto"/>
                      <w:kern w:val="0"/>
                      <w:szCs w:val="21"/>
                      <w:lang w:val="en-US" w:eastAsia="zh-CN"/>
                    </w:rPr>
                    <w:t>64</w:t>
                  </w:r>
                </w:p>
              </w:tc>
              <w:tc>
                <w:tcPr>
                  <w:tcW w:w="788" w:type="pct"/>
                  <w:vMerge w:val="continue"/>
                  <w:tcBorders>
                    <w:tl2br w:val="nil"/>
                    <w:tr2bl w:val="nil"/>
                  </w:tcBorders>
                  <w:vAlign w:val="center"/>
                </w:tcPr>
                <w:p w14:paraId="0CE7C925">
                  <w:pPr>
                    <w:jc w:val="center"/>
                    <w:rPr>
                      <w:color w:val="auto"/>
                      <w:kern w:val="0"/>
                      <w:szCs w:val="21"/>
                    </w:rPr>
                  </w:pPr>
                </w:p>
              </w:tc>
            </w:tr>
            <w:tr w14:paraId="2E0B6E82">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c>
                <w:tcPr>
                  <w:tcW w:w="971" w:type="pct"/>
                  <w:tcBorders>
                    <w:tl2br w:val="nil"/>
                    <w:tr2bl w:val="nil"/>
                  </w:tcBorders>
                  <w:vAlign w:val="center"/>
                </w:tcPr>
                <w:p w14:paraId="44299E0B">
                  <w:pPr>
                    <w:jc w:val="center"/>
                    <w:rPr>
                      <w:color w:val="auto"/>
                      <w:kern w:val="0"/>
                      <w:szCs w:val="21"/>
                    </w:rPr>
                  </w:pPr>
                  <w:r>
                    <w:rPr>
                      <w:color w:val="auto"/>
                      <w:kern w:val="0"/>
                      <w:szCs w:val="21"/>
                    </w:rPr>
                    <w:t>北厂界</w:t>
                  </w:r>
                </w:p>
              </w:tc>
              <w:tc>
                <w:tcPr>
                  <w:tcW w:w="1045" w:type="pct"/>
                  <w:tcBorders>
                    <w:tl2br w:val="nil"/>
                    <w:tr2bl w:val="nil"/>
                  </w:tcBorders>
                  <w:vAlign w:val="center"/>
                </w:tcPr>
                <w:p w14:paraId="33B37163">
                  <w:pPr>
                    <w:jc w:val="center"/>
                    <w:rPr>
                      <w:color w:val="auto"/>
                      <w:kern w:val="0"/>
                      <w:szCs w:val="21"/>
                    </w:rPr>
                  </w:pPr>
                  <w:r>
                    <w:rPr>
                      <w:color w:val="auto"/>
                      <w:kern w:val="0"/>
                      <w:szCs w:val="21"/>
                    </w:rPr>
                    <w:t>车间</w:t>
                  </w:r>
                </w:p>
              </w:tc>
              <w:tc>
                <w:tcPr>
                  <w:tcW w:w="1466" w:type="pct"/>
                  <w:vMerge w:val="continue"/>
                  <w:tcBorders>
                    <w:tl2br w:val="nil"/>
                    <w:tr2bl w:val="nil"/>
                  </w:tcBorders>
                  <w:vAlign w:val="center"/>
                </w:tcPr>
                <w:p w14:paraId="7679FFCD">
                  <w:pPr>
                    <w:jc w:val="center"/>
                    <w:rPr>
                      <w:color w:val="auto"/>
                      <w:kern w:val="0"/>
                      <w:szCs w:val="21"/>
                    </w:rPr>
                  </w:pPr>
                </w:p>
              </w:tc>
              <w:tc>
                <w:tcPr>
                  <w:tcW w:w="728" w:type="pct"/>
                  <w:tcBorders>
                    <w:tl2br w:val="nil"/>
                    <w:tr2bl w:val="nil"/>
                  </w:tcBorders>
                  <w:vAlign w:val="center"/>
                </w:tcPr>
                <w:p w14:paraId="42DE8B12">
                  <w:pPr>
                    <w:jc w:val="center"/>
                    <w:rPr>
                      <w:rFonts w:hint="default" w:eastAsia="宋体"/>
                      <w:color w:val="auto"/>
                      <w:kern w:val="0"/>
                      <w:szCs w:val="21"/>
                      <w:lang w:val="en-US" w:eastAsia="zh-CN"/>
                    </w:rPr>
                  </w:pPr>
                  <w:r>
                    <w:rPr>
                      <w:rFonts w:hint="eastAsia"/>
                      <w:color w:val="auto"/>
                      <w:kern w:val="0"/>
                      <w:szCs w:val="21"/>
                      <w:lang w:val="en-US" w:eastAsia="zh-CN"/>
                    </w:rPr>
                    <w:t>63</w:t>
                  </w:r>
                </w:p>
              </w:tc>
              <w:tc>
                <w:tcPr>
                  <w:tcW w:w="788" w:type="pct"/>
                  <w:vMerge w:val="continue"/>
                  <w:tcBorders>
                    <w:tl2br w:val="nil"/>
                    <w:tr2bl w:val="nil"/>
                  </w:tcBorders>
                  <w:vAlign w:val="center"/>
                </w:tcPr>
                <w:p w14:paraId="54691213">
                  <w:pPr>
                    <w:jc w:val="center"/>
                    <w:rPr>
                      <w:color w:val="auto"/>
                      <w:kern w:val="0"/>
                      <w:szCs w:val="21"/>
                    </w:rPr>
                  </w:pPr>
                </w:p>
              </w:tc>
            </w:tr>
          </w:tbl>
          <w:p w14:paraId="7848CA58">
            <w:pPr>
              <w:spacing w:line="360" w:lineRule="auto"/>
              <w:ind w:firstLine="480" w:firstLineChars="200"/>
              <w:rPr>
                <w:color w:val="auto"/>
                <w:kern w:val="0"/>
                <w:sz w:val="24"/>
                <w:szCs w:val="20"/>
              </w:rPr>
            </w:pPr>
            <w:r>
              <w:rPr>
                <w:color w:val="auto"/>
                <w:kern w:val="0"/>
                <w:sz w:val="24"/>
                <w:szCs w:val="20"/>
              </w:rPr>
              <w:t>项目运营后，</w:t>
            </w:r>
            <w:r>
              <w:rPr>
                <w:rFonts w:hint="eastAsia"/>
                <w:color w:val="auto"/>
                <w:kern w:val="0"/>
                <w:sz w:val="24"/>
                <w:szCs w:val="20"/>
                <w:lang w:val="en-US" w:eastAsia="zh-CN"/>
              </w:rPr>
              <w:t>夜间不生产，</w:t>
            </w:r>
            <w:r>
              <w:rPr>
                <w:color w:val="auto"/>
                <w:kern w:val="0"/>
                <w:sz w:val="24"/>
                <w:szCs w:val="20"/>
              </w:rPr>
              <w:t>选用低噪声设备的同时，加设减振垫等处理措施后，经过厂房隔声、距离衰减后厂界噪声贡献值可以达到《工业企业厂界环境噪声排放标准》（GB12348-2008）中的</w:t>
            </w:r>
            <w:r>
              <w:rPr>
                <w:rFonts w:hint="eastAsia"/>
                <w:color w:val="auto"/>
                <w:kern w:val="0"/>
                <w:sz w:val="24"/>
                <w:szCs w:val="20"/>
                <w:lang w:val="en-US" w:eastAsia="zh-CN"/>
              </w:rPr>
              <w:t>3</w:t>
            </w:r>
            <w:r>
              <w:rPr>
                <w:color w:val="auto"/>
                <w:kern w:val="0"/>
                <w:sz w:val="24"/>
                <w:szCs w:val="20"/>
              </w:rPr>
              <w:t>类标准要求。</w:t>
            </w:r>
          </w:p>
          <w:p w14:paraId="523FAA60">
            <w:pPr>
              <w:spacing w:line="360" w:lineRule="auto"/>
              <w:ind w:firstLine="480" w:firstLineChars="200"/>
              <w:rPr>
                <w:rFonts w:hint="default" w:eastAsia="宋体"/>
                <w:bCs/>
                <w:color w:val="auto"/>
                <w:spacing w:val="0"/>
                <w:sz w:val="24"/>
                <w:lang w:val="en-US" w:eastAsia="zh-CN"/>
              </w:rPr>
            </w:pPr>
            <w:r>
              <w:rPr>
                <w:bCs/>
                <w:color w:val="auto"/>
                <w:spacing w:val="0"/>
                <w:sz w:val="24"/>
              </w:rPr>
              <w:t>（4）</w:t>
            </w:r>
            <w:r>
              <w:rPr>
                <w:rFonts w:hint="eastAsia"/>
                <w:bCs/>
                <w:color w:val="auto"/>
                <w:spacing w:val="0"/>
                <w:sz w:val="24"/>
                <w:lang w:val="en-US" w:eastAsia="zh-CN"/>
              </w:rPr>
              <w:t>噪声治理措施</w:t>
            </w:r>
          </w:p>
          <w:p w14:paraId="408DA7B8">
            <w:pPr>
              <w:spacing w:line="360" w:lineRule="auto"/>
              <w:ind w:firstLine="480" w:firstLineChars="200"/>
              <w:rPr>
                <w:color w:val="auto"/>
                <w:spacing w:val="0"/>
                <w:kern w:val="0"/>
                <w:sz w:val="24"/>
                <w:szCs w:val="20"/>
              </w:rPr>
            </w:pPr>
            <w:r>
              <w:rPr>
                <w:color w:val="auto"/>
                <w:spacing w:val="0"/>
                <w:kern w:val="0"/>
                <w:sz w:val="24"/>
                <w:szCs w:val="20"/>
              </w:rPr>
              <w:t>建设单位拟采取以下措施降低噪声影响：</w:t>
            </w:r>
          </w:p>
          <w:p w14:paraId="5FFA3FE3">
            <w:pPr>
              <w:spacing w:line="360" w:lineRule="auto"/>
              <w:ind w:firstLine="480" w:firstLineChars="200"/>
              <w:rPr>
                <w:color w:val="auto"/>
                <w:spacing w:val="0"/>
                <w:sz w:val="24"/>
              </w:rPr>
            </w:pPr>
            <w:r>
              <w:rPr>
                <w:color w:val="auto"/>
                <w:spacing w:val="0"/>
                <w:sz w:val="24"/>
              </w:rPr>
              <w:t>①选用低噪声设备：在满足项目生产工艺的前提下，尽可能选择先进、噪声低的生产设备</w:t>
            </w:r>
            <w:r>
              <w:rPr>
                <w:rFonts w:hint="eastAsia"/>
                <w:color w:val="auto"/>
                <w:spacing w:val="0"/>
                <w:sz w:val="24"/>
                <w:lang w:eastAsia="zh-CN"/>
              </w:rPr>
              <w:t>、</w:t>
            </w:r>
            <w:r>
              <w:rPr>
                <w:rFonts w:hint="eastAsia"/>
                <w:color w:val="auto"/>
                <w:spacing w:val="0"/>
                <w:sz w:val="24"/>
                <w:lang w:val="en-US" w:eastAsia="zh-CN"/>
              </w:rPr>
              <w:t>除尘风机等</w:t>
            </w:r>
            <w:r>
              <w:rPr>
                <w:color w:val="auto"/>
                <w:spacing w:val="0"/>
                <w:sz w:val="24"/>
              </w:rPr>
              <w:t>，从源头降低噪声。</w:t>
            </w:r>
          </w:p>
          <w:p w14:paraId="0E6047BF">
            <w:pPr>
              <w:spacing w:line="360" w:lineRule="auto"/>
              <w:ind w:firstLine="480" w:firstLineChars="200"/>
              <w:rPr>
                <w:color w:val="auto"/>
                <w:spacing w:val="0"/>
                <w:sz w:val="24"/>
              </w:rPr>
            </w:pPr>
            <w:r>
              <w:rPr>
                <w:color w:val="auto"/>
                <w:spacing w:val="0"/>
                <w:sz w:val="24"/>
              </w:rPr>
              <w:t>②厂区内合理布局：在满足生产的前提下综合考虑，在厂区设备布置是考虑地形、声源方向性和设备噪声强弱等因素，进行合理布局以求进一步降低厂界噪声，将设备安置在远离</w:t>
            </w:r>
            <w:r>
              <w:rPr>
                <w:rFonts w:hint="eastAsia"/>
                <w:color w:val="auto"/>
                <w:spacing w:val="0"/>
                <w:sz w:val="24"/>
                <w:lang w:val="en-US" w:eastAsia="zh-CN"/>
              </w:rPr>
              <w:t>敏感点</w:t>
            </w:r>
            <w:r>
              <w:rPr>
                <w:color w:val="auto"/>
                <w:spacing w:val="0"/>
                <w:sz w:val="24"/>
              </w:rPr>
              <w:t>的位置，充分利用建筑物、墙壁的隔声作用，以减轻各类声源对周围环境的影响。</w:t>
            </w:r>
          </w:p>
          <w:p w14:paraId="7B56673B">
            <w:pPr>
              <w:spacing w:line="360" w:lineRule="auto"/>
              <w:ind w:firstLine="480" w:firstLineChars="200"/>
              <w:rPr>
                <w:color w:val="auto"/>
                <w:spacing w:val="0"/>
                <w:sz w:val="24"/>
              </w:rPr>
            </w:pPr>
            <w:r>
              <w:rPr>
                <w:color w:val="auto"/>
                <w:spacing w:val="0"/>
                <w:sz w:val="24"/>
              </w:rPr>
              <w:t>③设备基础减振：设备在安装时，根据设备的自重及振动特性采用合适的隔振垫，以减轻由于设备自身振动引起的结构传声对周围环境产生的影响。</w:t>
            </w:r>
          </w:p>
          <w:p w14:paraId="7F777AC8">
            <w:pPr>
              <w:spacing w:line="360" w:lineRule="auto"/>
              <w:ind w:firstLine="480" w:firstLineChars="200"/>
              <w:rPr>
                <w:color w:val="auto"/>
                <w:spacing w:val="0"/>
                <w:sz w:val="24"/>
              </w:rPr>
            </w:pPr>
            <w:r>
              <w:rPr>
                <w:color w:val="auto"/>
                <w:spacing w:val="0"/>
                <w:sz w:val="24"/>
              </w:rPr>
              <w:t>④加强设备管理：加强设备的维护，确保设备处于良好的运转状态，杜绝因设备不正常运转时产生的高噪声现象；同时，规范生产过程中设备操作，避免操作设备不当产生的高噪声现象。</w:t>
            </w:r>
          </w:p>
          <w:p w14:paraId="07823871">
            <w:pPr>
              <w:spacing w:line="360" w:lineRule="auto"/>
              <w:ind w:firstLine="480" w:firstLineChars="200"/>
              <w:rPr>
                <w:bCs/>
                <w:color w:val="auto"/>
                <w:spacing w:val="0"/>
                <w:sz w:val="24"/>
              </w:rPr>
            </w:pPr>
            <w:r>
              <w:rPr>
                <w:rFonts w:hint="eastAsia"/>
                <w:bCs/>
                <w:color w:val="auto"/>
                <w:spacing w:val="0"/>
                <w:sz w:val="24"/>
                <w:lang w:eastAsia="zh-CN"/>
              </w:rPr>
              <w:t>（</w:t>
            </w:r>
            <w:r>
              <w:rPr>
                <w:rFonts w:hint="eastAsia"/>
                <w:bCs/>
                <w:color w:val="auto"/>
                <w:spacing w:val="0"/>
                <w:sz w:val="24"/>
                <w:lang w:val="en-US" w:eastAsia="zh-CN"/>
              </w:rPr>
              <w:t>5</w:t>
            </w:r>
            <w:r>
              <w:rPr>
                <w:rFonts w:hint="eastAsia"/>
                <w:bCs/>
                <w:color w:val="auto"/>
                <w:spacing w:val="0"/>
                <w:sz w:val="24"/>
                <w:lang w:eastAsia="zh-CN"/>
              </w:rPr>
              <w:t>）</w:t>
            </w:r>
            <w:r>
              <w:rPr>
                <w:bCs/>
                <w:color w:val="auto"/>
                <w:spacing w:val="0"/>
                <w:sz w:val="24"/>
              </w:rPr>
              <w:t>运营期噪声监测计划</w:t>
            </w:r>
          </w:p>
          <w:p w14:paraId="759BAE43">
            <w:pPr>
              <w:spacing w:line="360" w:lineRule="auto"/>
              <w:ind w:firstLine="480" w:firstLineChars="200"/>
              <w:rPr>
                <w:color w:val="auto"/>
                <w:spacing w:val="0"/>
                <w:sz w:val="24"/>
              </w:rPr>
            </w:pPr>
            <w:r>
              <w:rPr>
                <w:rFonts w:hint="default" w:ascii="Times New Roman" w:hAnsi="Times New Roman" w:eastAsia="宋体" w:cs="Times New Roman"/>
                <w:bCs/>
                <w:color w:val="auto"/>
                <w:spacing w:val="0"/>
                <w:sz w:val="24"/>
                <w:szCs w:val="22"/>
                <w:lang w:val="en-US" w:eastAsia="zh-CN"/>
              </w:rPr>
              <w:t>根据《排污单位自行监测技术指南</w:t>
            </w:r>
            <w:r>
              <w:rPr>
                <w:rFonts w:hint="eastAsia" w:cs="Times New Roman"/>
                <w:bCs/>
                <w:color w:val="auto"/>
                <w:spacing w:val="0"/>
                <w:sz w:val="24"/>
                <w:szCs w:val="22"/>
                <w:lang w:val="en-US" w:eastAsia="zh-CN"/>
              </w:rPr>
              <w:t xml:space="preserve"> </w:t>
            </w:r>
            <w:r>
              <w:rPr>
                <w:rFonts w:hint="default" w:ascii="Times New Roman" w:hAnsi="Times New Roman" w:eastAsia="宋体" w:cs="Times New Roman"/>
                <w:bCs/>
                <w:color w:val="auto"/>
                <w:spacing w:val="0"/>
                <w:sz w:val="24"/>
                <w:szCs w:val="22"/>
                <w:lang w:val="en-US" w:eastAsia="zh-CN"/>
              </w:rPr>
              <w:t>总则》（HJ819-2017）中的相关监测要求，制定了本项目运营期</w:t>
            </w:r>
            <w:r>
              <w:rPr>
                <w:rFonts w:hint="eastAsia" w:ascii="Times New Roman" w:hAnsi="Times New Roman" w:eastAsia="宋体" w:cs="Times New Roman"/>
                <w:bCs/>
                <w:color w:val="auto"/>
                <w:spacing w:val="0"/>
                <w:sz w:val="24"/>
                <w:szCs w:val="22"/>
                <w:lang w:val="en-US" w:eastAsia="zh-CN"/>
              </w:rPr>
              <w:t>噪声</w:t>
            </w:r>
            <w:r>
              <w:rPr>
                <w:rFonts w:hint="default" w:ascii="Times New Roman" w:hAnsi="Times New Roman" w:eastAsia="宋体" w:cs="Times New Roman"/>
                <w:bCs/>
                <w:color w:val="auto"/>
                <w:spacing w:val="0"/>
                <w:sz w:val="24"/>
                <w:szCs w:val="22"/>
                <w:lang w:val="en-US" w:eastAsia="zh-CN"/>
              </w:rPr>
              <w:t>环境监测计划表，见下表。</w:t>
            </w:r>
          </w:p>
          <w:p w14:paraId="0F32DF51">
            <w:pPr>
              <w:jc w:val="center"/>
              <w:rPr>
                <w:rFonts w:hint="eastAsia" w:eastAsia="宋体"/>
                <w:b/>
                <w:color w:val="auto"/>
                <w:szCs w:val="21"/>
                <w:lang w:val="en-US" w:eastAsia="zh-CN"/>
              </w:rPr>
            </w:pPr>
            <w:r>
              <w:rPr>
                <w:b/>
                <w:color w:val="auto"/>
                <w:szCs w:val="21"/>
              </w:rPr>
              <w:t>表</w:t>
            </w:r>
            <w:r>
              <w:rPr>
                <w:rFonts w:hint="eastAsia"/>
                <w:b/>
                <w:color w:val="auto"/>
                <w:szCs w:val="21"/>
              </w:rPr>
              <w:t>4-</w:t>
            </w:r>
            <w:r>
              <w:rPr>
                <w:rFonts w:hint="eastAsia"/>
                <w:b/>
                <w:color w:val="auto"/>
                <w:szCs w:val="21"/>
                <w:lang w:val="en-US" w:eastAsia="zh-CN"/>
              </w:rPr>
              <w:t>9</w:t>
            </w:r>
            <w:r>
              <w:rPr>
                <w:rFonts w:hint="eastAsia"/>
                <w:b/>
                <w:color w:val="auto"/>
                <w:szCs w:val="21"/>
              </w:rPr>
              <w:t xml:space="preserve">   </w:t>
            </w:r>
            <w:r>
              <w:rPr>
                <w:b/>
                <w:color w:val="auto"/>
                <w:szCs w:val="21"/>
              </w:rPr>
              <w:t>运营期</w:t>
            </w:r>
            <w:r>
              <w:rPr>
                <w:rFonts w:hint="eastAsia"/>
                <w:b/>
                <w:color w:val="auto"/>
                <w:szCs w:val="21"/>
                <w:lang w:val="en-US" w:eastAsia="zh-CN"/>
              </w:rPr>
              <w:t>全厂噪声</w:t>
            </w:r>
            <w:r>
              <w:rPr>
                <w:b/>
                <w:color w:val="auto"/>
                <w:szCs w:val="21"/>
              </w:rPr>
              <w:t>监测计划</w:t>
            </w:r>
            <w:r>
              <w:rPr>
                <w:rFonts w:hint="eastAsia"/>
                <w:b/>
                <w:color w:val="auto"/>
                <w:szCs w:val="21"/>
                <w:lang w:val="en-US" w:eastAsia="zh-CN"/>
              </w:rPr>
              <w:t>一览表</w:t>
            </w:r>
          </w:p>
          <w:tbl>
            <w:tblPr>
              <w:tblStyle w:val="17"/>
              <w:tblW w:w="5000" w:type="pct"/>
              <w:tblInd w:w="11" w:type="dxa"/>
              <w:tblBorders>
                <w:top w:val="single" w:color="auto" w:sz="4" w:space="0"/>
                <w:left w:val="single" w:color="auto" w:sz="4" w:space="0"/>
                <w:bottom w:val="single" w:color="auto" w:sz="4" w:space="0"/>
                <w:right w:val="single" w:color="auto" w:sz="4" w:space="0"/>
                <w:insideH w:val="single" w:color="auto" w:sz="4" w:space="0"/>
                <w:insideV w:val="single" w:color="auto" w:sz="6" w:space="0"/>
              </w:tblBorders>
              <w:tblLayout w:type="autofit"/>
              <w:tblCellMar>
                <w:top w:w="0" w:type="dxa"/>
                <w:left w:w="108" w:type="dxa"/>
                <w:bottom w:w="0" w:type="dxa"/>
                <w:right w:w="108" w:type="dxa"/>
              </w:tblCellMar>
            </w:tblPr>
            <w:tblGrid>
              <w:gridCol w:w="862"/>
              <w:gridCol w:w="800"/>
              <w:gridCol w:w="1101"/>
              <w:gridCol w:w="939"/>
              <w:gridCol w:w="1054"/>
              <w:gridCol w:w="3595"/>
            </w:tblGrid>
            <w:tr w14:paraId="5BC4B104">
              <w:tblPrEx>
                <w:tblBorders>
                  <w:top w:val="single" w:color="auto" w:sz="4" w:space="0"/>
                  <w:left w:val="single" w:color="auto" w:sz="4" w:space="0"/>
                  <w:bottom w:val="single" w:color="auto" w:sz="4" w:space="0"/>
                  <w:right w:val="single" w:color="auto" w:sz="4" w:space="0"/>
                  <w:insideH w:val="single" w:color="auto" w:sz="4" w:space="0"/>
                  <w:insideV w:val="single" w:color="auto" w:sz="6" w:space="0"/>
                </w:tblBorders>
                <w:tblCellMar>
                  <w:top w:w="0" w:type="dxa"/>
                  <w:left w:w="108" w:type="dxa"/>
                  <w:bottom w:w="0" w:type="dxa"/>
                  <w:right w:w="108" w:type="dxa"/>
                </w:tblCellMar>
              </w:tblPrEx>
              <w:trPr>
                <w:trHeight w:val="510" w:hRule="atLeast"/>
              </w:trPr>
              <w:tc>
                <w:tcPr>
                  <w:tcW w:w="516" w:type="pct"/>
                  <w:vAlign w:val="center"/>
                </w:tcPr>
                <w:p w14:paraId="235C8C13">
                  <w:pPr>
                    <w:spacing w:line="240" w:lineRule="exact"/>
                    <w:jc w:val="center"/>
                    <w:rPr>
                      <w:color w:val="auto"/>
                      <w:szCs w:val="21"/>
                    </w:rPr>
                  </w:pPr>
                  <w:r>
                    <w:rPr>
                      <w:color w:val="auto"/>
                      <w:szCs w:val="21"/>
                    </w:rPr>
                    <w:t>污染源名称</w:t>
                  </w:r>
                </w:p>
              </w:tc>
              <w:tc>
                <w:tcPr>
                  <w:tcW w:w="479" w:type="pct"/>
                  <w:vAlign w:val="center"/>
                </w:tcPr>
                <w:p w14:paraId="420BBCD6">
                  <w:pPr>
                    <w:spacing w:line="240" w:lineRule="exact"/>
                    <w:jc w:val="center"/>
                    <w:rPr>
                      <w:color w:val="auto"/>
                      <w:szCs w:val="21"/>
                    </w:rPr>
                  </w:pPr>
                  <w:r>
                    <w:rPr>
                      <w:color w:val="auto"/>
                      <w:szCs w:val="21"/>
                    </w:rPr>
                    <w:t>监测项目</w:t>
                  </w:r>
                </w:p>
              </w:tc>
              <w:tc>
                <w:tcPr>
                  <w:tcW w:w="659" w:type="pct"/>
                  <w:vAlign w:val="center"/>
                </w:tcPr>
                <w:p w14:paraId="50B58043">
                  <w:pPr>
                    <w:spacing w:line="240" w:lineRule="exact"/>
                    <w:jc w:val="center"/>
                    <w:rPr>
                      <w:color w:val="auto"/>
                      <w:szCs w:val="21"/>
                    </w:rPr>
                  </w:pPr>
                  <w:r>
                    <w:rPr>
                      <w:color w:val="auto"/>
                      <w:szCs w:val="21"/>
                    </w:rPr>
                    <w:t>监测点位置</w:t>
                  </w:r>
                </w:p>
              </w:tc>
              <w:tc>
                <w:tcPr>
                  <w:tcW w:w="562" w:type="pct"/>
                  <w:vAlign w:val="center"/>
                </w:tcPr>
                <w:p w14:paraId="4C3A158A">
                  <w:pPr>
                    <w:spacing w:line="240" w:lineRule="exact"/>
                    <w:jc w:val="center"/>
                    <w:rPr>
                      <w:color w:val="auto"/>
                      <w:szCs w:val="21"/>
                    </w:rPr>
                  </w:pPr>
                  <w:r>
                    <w:rPr>
                      <w:color w:val="auto"/>
                      <w:szCs w:val="21"/>
                    </w:rPr>
                    <w:t>监测</w:t>
                  </w:r>
                </w:p>
                <w:p w14:paraId="6B02C783">
                  <w:pPr>
                    <w:spacing w:line="240" w:lineRule="exact"/>
                    <w:jc w:val="center"/>
                    <w:rPr>
                      <w:color w:val="auto"/>
                      <w:szCs w:val="21"/>
                    </w:rPr>
                  </w:pPr>
                  <w:r>
                    <w:rPr>
                      <w:color w:val="auto"/>
                      <w:szCs w:val="21"/>
                    </w:rPr>
                    <w:t>点数</w:t>
                  </w:r>
                </w:p>
              </w:tc>
              <w:tc>
                <w:tcPr>
                  <w:tcW w:w="631" w:type="pct"/>
                  <w:vAlign w:val="center"/>
                </w:tcPr>
                <w:p w14:paraId="5F48ABC2">
                  <w:pPr>
                    <w:spacing w:line="240" w:lineRule="exact"/>
                    <w:jc w:val="center"/>
                    <w:rPr>
                      <w:color w:val="auto"/>
                      <w:szCs w:val="21"/>
                    </w:rPr>
                  </w:pPr>
                  <w:r>
                    <w:rPr>
                      <w:color w:val="auto"/>
                      <w:szCs w:val="21"/>
                    </w:rPr>
                    <w:t>监测</w:t>
                  </w:r>
                </w:p>
                <w:p w14:paraId="443991FF">
                  <w:pPr>
                    <w:spacing w:line="240" w:lineRule="exact"/>
                    <w:jc w:val="center"/>
                    <w:rPr>
                      <w:color w:val="auto"/>
                      <w:szCs w:val="21"/>
                    </w:rPr>
                  </w:pPr>
                  <w:r>
                    <w:rPr>
                      <w:color w:val="auto"/>
                      <w:szCs w:val="21"/>
                    </w:rPr>
                    <w:t>频率</w:t>
                  </w:r>
                </w:p>
              </w:tc>
              <w:tc>
                <w:tcPr>
                  <w:tcW w:w="2152" w:type="pct"/>
                  <w:vAlign w:val="center"/>
                </w:tcPr>
                <w:p w14:paraId="26D1FE21">
                  <w:pPr>
                    <w:spacing w:line="240" w:lineRule="exact"/>
                    <w:jc w:val="center"/>
                    <w:rPr>
                      <w:color w:val="auto"/>
                      <w:szCs w:val="21"/>
                    </w:rPr>
                  </w:pPr>
                  <w:r>
                    <w:rPr>
                      <w:color w:val="auto"/>
                      <w:szCs w:val="21"/>
                    </w:rPr>
                    <w:t>控制指标</w:t>
                  </w:r>
                </w:p>
              </w:tc>
            </w:tr>
            <w:tr w14:paraId="62F208E6">
              <w:tblPrEx>
                <w:tblBorders>
                  <w:top w:val="single" w:color="auto" w:sz="4" w:space="0"/>
                  <w:left w:val="single" w:color="auto" w:sz="4" w:space="0"/>
                  <w:bottom w:val="single" w:color="auto" w:sz="4" w:space="0"/>
                  <w:right w:val="single" w:color="auto" w:sz="4" w:space="0"/>
                  <w:insideH w:val="single" w:color="auto" w:sz="4" w:space="0"/>
                  <w:insideV w:val="single" w:color="auto" w:sz="6" w:space="0"/>
                </w:tblBorders>
                <w:tblCellMar>
                  <w:top w:w="0" w:type="dxa"/>
                  <w:left w:w="108" w:type="dxa"/>
                  <w:bottom w:w="0" w:type="dxa"/>
                  <w:right w:w="108" w:type="dxa"/>
                </w:tblCellMar>
              </w:tblPrEx>
              <w:trPr>
                <w:trHeight w:val="510" w:hRule="atLeast"/>
              </w:trPr>
              <w:tc>
                <w:tcPr>
                  <w:tcW w:w="516" w:type="pct"/>
                  <w:vAlign w:val="center"/>
                </w:tcPr>
                <w:p w14:paraId="6505750C">
                  <w:pPr>
                    <w:spacing w:line="240" w:lineRule="exact"/>
                    <w:jc w:val="center"/>
                    <w:rPr>
                      <w:color w:val="auto"/>
                      <w:szCs w:val="21"/>
                    </w:rPr>
                  </w:pPr>
                  <w:r>
                    <w:rPr>
                      <w:color w:val="auto"/>
                      <w:szCs w:val="21"/>
                    </w:rPr>
                    <w:t>生产设备</w:t>
                  </w:r>
                </w:p>
              </w:tc>
              <w:tc>
                <w:tcPr>
                  <w:tcW w:w="479" w:type="pct"/>
                  <w:vAlign w:val="center"/>
                </w:tcPr>
                <w:p w14:paraId="6355FEE8">
                  <w:pPr>
                    <w:spacing w:line="240" w:lineRule="exact"/>
                    <w:jc w:val="center"/>
                    <w:rPr>
                      <w:color w:val="auto"/>
                      <w:szCs w:val="21"/>
                    </w:rPr>
                  </w:pPr>
                  <w:r>
                    <w:rPr>
                      <w:color w:val="auto"/>
                      <w:szCs w:val="21"/>
                    </w:rPr>
                    <w:t>厂界噪声</w:t>
                  </w:r>
                </w:p>
              </w:tc>
              <w:tc>
                <w:tcPr>
                  <w:tcW w:w="659" w:type="pct"/>
                  <w:vAlign w:val="center"/>
                </w:tcPr>
                <w:p w14:paraId="0B659025">
                  <w:pPr>
                    <w:spacing w:line="240" w:lineRule="exact"/>
                    <w:jc w:val="center"/>
                    <w:rPr>
                      <w:color w:val="auto"/>
                      <w:szCs w:val="21"/>
                    </w:rPr>
                  </w:pPr>
                  <w:r>
                    <w:rPr>
                      <w:color w:val="auto"/>
                      <w:szCs w:val="21"/>
                    </w:rPr>
                    <w:t>厂界四周外1m</w:t>
                  </w:r>
                </w:p>
              </w:tc>
              <w:tc>
                <w:tcPr>
                  <w:tcW w:w="562" w:type="pct"/>
                  <w:vAlign w:val="center"/>
                </w:tcPr>
                <w:p w14:paraId="528DF72A">
                  <w:pPr>
                    <w:spacing w:line="240" w:lineRule="exact"/>
                    <w:jc w:val="center"/>
                    <w:rPr>
                      <w:color w:val="auto"/>
                      <w:szCs w:val="21"/>
                    </w:rPr>
                  </w:pPr>
                  <w:r>
                    <w:rPr>
                      <w:color w:val="auto"/>
                      <w:szCs w:val="21"/>
                    </w:rPr>
                    <w:t>4个点</w:t>
                  </w:r>
                </w:p>
              </w:tc>
              <w:tc>
                <w:tcPr>
                  <w:tcW w:w="631" w:type="pct"/>
                  <w:vAlign w:val="center"/>
                </w:tcPr>
                <w:p w14:paraId="10EA79D4">
                  <w:pPr>
                    <w:spacing w:line="240" w:lineRule="exact"/>
                    <w:jc w:val="center"/>
                    <w:rPr>
                      <w:color w:val="auto"/>
                      <w:szCs w:val="21"/>
                    </w:rPr>
                  </w:pPr>
                  <w:r>
                    <w:rPr>
                      <w:color w:val="auto"/>
                      <w:szCs w:val="21"/>
                    </w:rPr>
                    <w:t>1次/</w:t>
                  </w:r>
                  <w:r>
                    <w:rPr>
                      <w:rFonts w:hint="eastAsia"/>
                      <w:color w:val="auto"/>
                      <w:szCs w:val="21"/>
                    </w:rPr>
                    <w:t>季度</w:t>
                  </w:r>
                </w:p>
              </w:tc>
              <w:tc>
                <w:tcPr>
                  <w:tcW w:w="2152" w:type="pct"/>
                  <w:vAlign w:val="center"/>
                </w:tcPr>
                <w:p w14:paraId="29F3FB6F">
                  <w:pPr>
                    <w:spacing w:line="240" w:lineRule="exact"/>
                    <w:jc w:val="center"/>
                    <w:rPr>
                      <w:color w:val="auto"/>
                      <w:szCs w:val="21"/>
                    </w:rPr>
                  </w:pPr>
                  <w:r>
                    <w:rPr>
                      <w:color w:val="auto"/>
                      <w:szCs w:val="21"/>
                    </w:rPr>
                    <w:t>《工业企业厂界环境噪声排放标准》（GB12348-2008）中</w:t>
                  </w:r>
                  <w:r>
                    <w:rPr>
                      <w:rFonts w:hint="eastAsia"/>
                      <w:color w:val="auto"/>
                      <w:szCs w:val="21"/>
                      <w:lang w:val="en-US" w:eastAsia="zh-CN"/>
                    </w:rPr>
                    <w:t>3类</w:t>
                  </w:r>
                  <w:r>
                    <w:rPr>
                      <w:color w:val="auto"/>
                      <w:szCs w:val="21"/>
                    </w:rPr>
                    <w:t>标准</w:t>
                  </w:r>
                </w:p>
              </w:tc>
            </w:tr>
          </w:tbl>
          <w:p w14:paraId="093FE247">
            <w:pPr>
              <w:spacing w:line="360" w:lineRule="auto"/>
              <w:ind w:firstLine="482"/>
              <w:rPr>
                <w:b/>
                <w:bCs/>
                <w:color w:val="auto"/>
                <w:kern w:val="0"/>
                <w:sz w:val="24"/>
                <w:szCs w:val="20"/>
              </w:rPr>
            </w:pPr>
            <w:r>
              <w:rPr>
                <w:b/>
                <w:bCs/>
                <w:color w:val="auto"/>
                <w:kern w:val="0"/>
                <w:sz w:val="24"/>
                <w:szCs w:val="20"/>
              </w:rPr>
              <w:t>4、固体废弃物</w:t>
            </w:r>
          </w:p>
          <w:p w14:paraId="384795A0">
            <w:pPr>
              <w:spacing w:line="360" w:lineRule="auto"/>
              <w:ind w:firstLine="480" w:firstLineChars="200"/>
              <w:rPr>
                <w:bCs/>
                <w:color w:val="auto"/>
                <w:kern w:val="0"/>
                <w:sz w:val="24"/>
                <w:szCs w:val="20"/>
              </w:rPr>
            </w:pPr>
            <w:r>
              <w:rPr>
                <w:rFonts w:hint="eastAsia"/>
                <w:bCs/>
                <w:color w:val="auto"/>
                <w:kern w:val="0"/>
                <w:sz w:val="24"/>
                <w:szCs w:val="20"/>
                <w:lang w:eastAsia="zh-CN"/>
              </w:rPr>
              <w:t>（</w:t>
            </w:r>
            <w:r>
              <w:rPr>
                <w:rFonts w:hint="eastAsia"/>
                <w:bCs/>
                <w:color w:val="auto"/>
                <w:kern w:val="0"/>
                <w:sz w:val="24"/>
                <w:szCs w:val="20"/>
                <w:lang w:val="en-US" w:eastAsia="zh-CN"/>
              </w:rPr>
              <w:t>1</w:t>
            </w:r>
            <w:r>
              <w:rPr>
                <w:rFonts w:hint="eastAsia"/>
                <w:bCs/>
                <w:color w:val="auto"/>
                <w:kern w:val="0"/>
                <w:sz w:val="24"/>
                <w:szCs w:val="20"/>
                <w:lang w:eastAsia="zh-CN"/>
              </w:rPr>
              <w:t>）</w:t>
            </w:r>
            <w:r>
              <w:rPr>
                <w:rFonts w:hint="eastAsia"/>
                <w:bCs/>
                <w:color w:val="auto"/>
                <w:kern w:val="0"/>
                <w:sz w:val="24"/>
                <w:szCs w:val="20"/>
              </w:rPr>
              <w:t>固体废弃物</w:t>
            </w:r>
            <w:r>
              <w:rPr>
                <w:rFonts w:hint="eastAsia"/>
                <w:bCs/>
                <w:color w:val="auto"/>
                <w:kern w:val="0"/>
                <w:sz w:val="24"/>
                <w:szCs w:val="20"/>
                <w:lang w:val="en-US" w:eastAsia="zh-CN"/>
              </w:rPr>
              <w:t>产排</w:t>
            </w:r>
            <w:r>
              <w:rPr>
                <w:rFonts w:hint="eastAsia"/>
                <w:bCs/>
                <w:color w:val="auto"/>
                <w:kern w:val="0"/>
                <w:sz w:val="24"/>
                <w:szCs w:val="20"/>
              </w:rPr>
              <w:t>情况</w:t>
            </w:r>
          </w:p>
          <w:p w14:paraId="2C3D6B2F">
            <w:pPr>
              <w:spacing w:line="360" w:lineRule="auto"/>
              <w:ind w:firstLine="480" w:firstLineChars="200"/>
              <w:rPr>
                <w:bCs/>
                <w:color w:val="auto"/>
                <w:kern w:val="0"/>
                <w:sz w:val="24"/>
                <w:szCs w:val="20"/>
              </w:rPr>
            </w:pPr>
            <w:r>
              <w:rPr>
                <w:bCs/>
                <w:color w:val="auto"/>
                <w:kern w:val="0"/>
                <w:sz w:val="24"/>
                <w:szCs w:val="20"/>
              </w:rPr>
              <w:t>本项目产生固废主要分为生产固废及生活垃圾。</w:t>
            </w:r>
          </w:p>
          <w:p w14:paraId="010F5940">
            <w:pPr>
              <w:spacing w:line="360" w:lineRule="auto"/>
              <w:ind w:firstLine="480" w:firstLineChars="200"/>
              <w:contextualSpacing/>
              <w:rPr>
                <w:bCs/>
                <w:color w:val="auto"/>
                <w:kern w:val="0"/>
                <w:sz w:val="24"/>
                <w:szCs w:val="20"/>
              </w:rPr>
            </w:pPr>
            <w:r>
              <w:rPr>
                <w:bCs/>
                <w:color w:val="auto"/>
                <w:kern w:val="0"/>
                <w:sz w:val="24"/>
                <w:szCs w:val="20"/>
              </w:rPr>
              <w:t>①生产固废</w:t>
            </w:r>
          </w:p>
          <w:p w14:paraId="441819FA">
            <w:pPr>
              <w:spacing w:line="360" w:lineRule="auto"/>
              <w:ind w:firstLine="480" w:firstLineChars="200"/>
              <w:contextualSpacing/>
              <w:rPr>
                <w:rFonts w:hint="default" w:ascii="Times New Roman" w:hAnsi="Times New Roman" w:cs="Times New Roman"/>
                <w:bCs/>
                <w:color w:val="auto"/>
                <w:kern w:val="0"/>
                <w:sz w:val="24"/>
                <w:szCs w:val="20"/>
              </w:rPr>
            </w:pPr>
            <w:r>
              <w:rPr>
                <w:bCs/>
                <w:color w:val="auto"/>
                <w:kern w:val="0"/>
                <w:sz w:val="24"/>
                <w:szCs w:val="20"/>
              </w:rPr>
              <w:t>本项目生产固废主要包括一般固废：</w:t>
            </w:r>
            <w:r>
              <w:rPr>
                <w:rFonts w:hint="eastAsia"/>
                <w:bCs/>
                <w:color w:val="auto"/>
                <w:kern w:val="0"/>
                <w:sz w:val="24"/>
                <w:szCs w:val="20"/>
                <w:lang w:val="en-US" w:eastAsia="zh-CN"/>
              </w:rPr>
              <w:t>废砂轮、废陶瓷壳、除尘灰、废布袋和废沉渣</w:t>
            </w:r>
            <w:r>
              <w:rPr>
                <w:bCs/>
                <w:color w:val="auto"/>
                <w:kern w:val="0"/>
                <w:sz w:val="24"/>
                <w:szCs w:val="20"/>
                <w:highlight w:val="none"/>
              </w:rPr>
              <w:t>。</w:t>
            </w:r>
          </w:p>
          <w:p w14:paraId="3498B65E">
            <w:pPr>
              <w:spacing w:line="360" w:lineRule="auto"/>
              <w:ind w:firstLine="480" w:firstLineChars="200"/>
              <w:contextualSpacing/>
              <w:rPr>
                <w:rFonts w:hint="default" w:eastAsia="宋体"/>
                <w:bCs/>
                <w:color w:val="auto"/>
                <w:sz w:val="24"/>
                <w:lang w:val="en-US" w:eastAsia="zh-CN"/>
              </w:rPr>
            </w:pPr>
            <w:r>
              <w:rPr>
                <w:rFonts w:hint="eastAsia"/>
                <w:bCs/>
                <w:color w:val="auto"/>
                <w:sz w:val="24"/>
                <w:lang w:val="en-US" w:eastAsia="zh-CN"/>
              </w:rPr>
              <w:t>根据建设单位提供资料，废砂轮片产生量为1.5t/a，暂存于一般固废暂存区后外售处理。</w:t>
            </w:r>
            <w:r>
              <w:rPr>
                <w:rFonts w:hint="default" w:ascii="Times New Roman" w:hAnsi="Times New Roman" w:eastAsia="宋体" w:cs="Times New Roman"/>
                <w:bCs/>
                <w:color w:val="auto"/>
                <w:kern w:val="0"/>
                <w:sz w:val="24"/>
                <w:szCs w:val="20"/>
              </w:rPr>
              <w:t>根据</w:t>
            </w:r>
            <w:r>
              <w:rPr>
                <w:rFonts w:hint="eastAsia" w:cs="Times New Roman"/>
                <w:bCs/>
                <w:color w:val="auto"/>
                <w:kern w:val="0"/>
                <w:sz w:val="24"/>
                <w:szCs w:val="20"/>
                <w:lang w:eastAsia="zh-CN"/>
              </w:rPr>
              <w:t>《</w:t>
            </w:r>
            <w:r>
              <w:rPr>
                <w:rFonts w:hint="eastAsia"/>
                <w:bCs/>
                <w:color w:val="auto"/>
                <w:kern w:val="0"/>
                <w:sz w:val="24"/>
                <w:lang w:eastAsia="zh-CN"/>
              </w:rPr>
              <w:t>固体废物分类与代码目录</w:t>
            </w:r>
            <w:r>
              <w:rPr>
                <w:bCs/>
                <w:color w:val="auto"/>
                <w:kern w:val="0"/>
                <w:sz w:val="24"/>
              </w:rPr>
              <w:t>》（</w:t>
            </w:r>
            <w:r>
              <w:rPr>
                <w:rFonts w:hint="eastAsia" w:ascii="Times New Roman" w:hAnsi="Times New Roman" w:eastAsia="宋体" w:cs="Times New Roman"/>
                <w:bCs/>
                <w:color w:val="auto"/>
                <w:kern w:val="0"/>
                <w:sz w:val="24"/>
                <w:highlight w:val="none"/>
                <w:lang w:val="en-US" w:eastAsia="zh-CN"/>
              </w:rPr>
              <w:t>生态环境部公告2024年第4号</w:t>
            </w:r>
            <w:r>
              <w:rPr>
                <w:bCs/>
                <w:color w:val="auto"/>
                <w:kern w:val="0"/>
                <w:sz w:val="24"/>
              </w:rPr>
              <w:t>），</w:t>
            </w:r>
            <w:r>
              <w:rPr>
                <w:rFonts w:hint="eastAsia" w:ascii="Times New Roman" w:hAnsi="Times New Roman" w:eastAsia="宋体" w:cs="Times New Roman"/>
                <w:bCs/>
                <w:color w:val="auto"/>
                <w:kern w:val="0"/>
                <w:sz w:val="24"/>
              </w:rPr>
              <w:t>属于</w:t>
            </w:r>
            <w:r>
              <w:rPr>
                <w:rFonts w:hint="eastAsia" w:ascii="Times New Roman" w:hAnsi="Times New Roman" w:eastAsia="宋体" w:cs="Times New Roman"/>
                <w:bCs/>
                <w:color w:val="auto"/>
                <w:kern w:val="0"/>
                <w:sz w:val="24"/>
                <w:lang w:val="en-US" w:eastAsia="zh-CN"/>
              </w:rPr>
              <w:t>SW17可再生类废物中的废钢铁</w:t>
            </w:r>
            <w:r>
              <w:rPr>
                <w:rFonts w:hint="eastAsia" w:ascii="Times New Roman" w:hAnsi="Times New Roman" w:eastAsia="宋体" w:cs="Times New Roman"/>
                <w:bCs/>
                <w:color w:val="auto"/>
                <w:kern w:val="0"/>
                <w:sz w:val="24"/>
              </w:rPr>
              <w:t>，代码为</w:t>
            </w:r>
            <w:r>
              <w:rPr>
                <w:rFonts w:hint="eastAsia" w:ascii="Times New Roman" w:hAnsi="Times New Roman" w:eastAsia="宋体" w:cs="Times New Roman"/>
                <w:bCs/>
                <w:color w:val="auto"/>
                <w:kern w:val="0"/>
                <w:sz w:val="24"/>
                <w:lang w:val="en-US" w:eastAsia="zh-CN"/>
              </w:rPr>
              <w:t>900-001-S17</w:t>
            </w:r>
            <w:r>
              <w:rPr>
                <w:rFonts w:hint="default" w:ascii="Times New Roman" w:hAnsi="Times New Roman" w:eastAsia="宋体" w:cs="Times New Roman"/>
                <w:bCs/>
                <w:color w:val="auto"/>
                <w:kern w:val="0"/>
                <w:sz w:val="24"/>
                <w:szCs w:val="20"/>
              </w:rPr>
              <w:t>。</w:t>
            </w:r>
          </w:p>
          <w:p w14:paraId="682229FA">
            <w:pPr>
              <w:spacing w:line="360" w:lineRule="auto"/>
              <w:ind w:firstLine="480" w:firstLineChars="200"/>
              <w:rPr>
                <w:rFonts w:hint="default" w:cs="Times New Roman"/>
                <w:bCs/>
                <w:color w:val="auto"/>
                <w:kern w:val="0"/>
                <w:sz w:val="24"/>
                <w:szCs w:val="20"/>
                <w:lang w:val="en-US" w:eastAsia="zh-CN"/>
              </w:rPr>
            </w:pPr>
            <w:r>
              <w:rPr>
                <w:rFonts w:hint="eastAsia" w:cs="Times New Roman"/>
                <w:bCs/>
                <w:color w:val="auto"/>
                <w:kern w:val="0"/>
                <w:sz w:val="24"/>
                <w:szCs w:val="20"/>
                <w:lang w:val="en-US" w:eastAsia="zh-CN"/>
              </w:rPr>
              <w:t>根据建设单位提供资料，钛铸件振壳过程中会产生废陶瓷壳，产生量为0.5t/a，</w:t>
            </w:r>
            <w:r>
              <w:rPr>
                <w:rFonts w:hint="eastAsia"/>
                <w:bCs/>
                <w:color w:val="auto"/>
                <w:sz w:val="24"/>
                <w:lang w:val="en-US" w:eastAsia="zh-CN"/>
              </w:rPr>
              <w:t>暂存于一般固废暂存区后外售处理。</w:t>
            </w:r>
            <w:r>
              <w:rPr>
                <w:rFonts w:hint="default" w:ascii="Times New Roman" w:hAnsi="Times New Roman" w:eastAsia="宋体" w:cs="Times New Roman"/>
                <w:bCs/>
                <w:color w:val="auto"/>
                <w:kern w:val="0"/>
                <w:sz w:val="24"/>
                <w:szCs w:val="20"/>
              </w:rPr>
              <w:t>根据</w:t>
            </w:r>
            <w:r>
              <w:rPr>
                <w:rFonts w:hint="eastAsia" w:cs="Times New Roman"/>
                <w:bCs/>
                <w:color w:val="auto"/>
                <w:kern w:val="0"/>
                <w:sz w:val="24"/>
                <w:szCs w:val="20"/>
                <w:lang w:eastAsia="zh-CN"/>
              </w:rPr>
              <w:t>《</w:t>
            </w:r>
            <w:r>
              <w:rPr>
                <w:rFonts w:hint="eastAsia"/>
                <w:bCs/>
                <w:color w:val="auto"/>
                <w:kern w:val="0"/>
                <w:sz w:val="24"/>
                <w:lang w:eastAsia="zh-CN"/>
              </w:rPr>
              <w:t>固体废物分类与代码目录</w:t>
            </w:r>
            <w:r>
              <w:rPr>
                <w:bCs/>
                <w:color w:val="auto"/>
                <w:kern w:val="0"/>
                <w:sz w:val="24"/>
              </w:rPr>
              <w:t>》（</w:t>
            </w:r>
            <w:r>
              <w:rPr>
                <w:rFonts w:hint="eastAsia" w:ascii="Times New Roman" w:hAnsi="Times New Roman" w:eastAsia="宋体" w:cs="Times New Roman"/>
                <w:bCs/>
                <w:color w:val="auto"/>
                <w:kern w:val="0"/>
                <w:sz w:val="24"/>
                <w:highlight w:val="none"/>
                <w:lang w:val="en-US" w:eastAsia="zh-CN"/>
              </w:rPr>
              <w:t>生态环境部公告2024年第4号</w:t>
            </w:r>
            <w:r>
              <w:rPr>
                <w:bCs/>
                <w:color w:val="auto"/>
                <w:kern w:val="0"/>
                <w:sz w:val="24"/>
              </w:rPr>
              <w:t>），</w:t>
            </w:r>
            <w:r>
              <w:rPr>
                <w:rFonts w:hint="eastAsia" w:ascii="Times New Roman" w:hAnsi="Times New Roman" w:eastAsia="宋体" w:cs="Times New Roman"/>
                <w:bCs/>
                <w:color w:val="auto"/>
                <w:kern w:val="0"/>
                <w:sz w:val="24"/>
              </w:rPr>
              <w:t>属于</w:t>
            </w:r>
            <w:r>
              <w:rPr>
                <w:rFonts w:hint="eastAsia" w:ascii="Times New Roman" w:hAnsi="Times New Roman" w:eastAsia="宋体" w:cs="Times New Roman"/>
                <w:bCs/>
                <w:color w:val="auto"/>
                <w:kern w:val="0"/>
                <w:sz w:val="24"/>
                <w:lang w:val="en-US" w:eastAsia="zh-CN"/>
              </w:rPr>
              <w:t>SW</w:t>
            </w:r>
            <w:r>
              <w:rPr>
                <w:rFonts w:hint="eastAsia" w:cs="Times New Roman"/>
                <w:bCs/>
                <w:color w:val="auto"/>
                <w:kern w:val="0"/>
                <w:sz w:val="24"/>
                <w:lang w:val="en-US" w:eastAsia="zh-CN"/>
              </w:rPr>
              <w:t>59其他工业固体废物</w:t>
            </w:r>
            <w:r>
              <w:rPr>
                <w:rFonts w:hint="eastAsia" w:ascii="Times New Roman" w:hAnsi="Times New Roman" w:eastAsia="宋体" w:cs="Times New Roman"/>
                <w:bCs/>
                <w:color w:val="auto"/>
                <w:kern w:val="0"/>
                <w:sz w:val="24"/>
              </w:rPr>
              <w:t>，代码为</w:t>
            </w:r>
            <w:r>
              <w:rPr>
                <w:rFonts w:hint="eastAsia" w:ascii="Times New Roman" w:hAnsi="Times New Roman" w:eastAsia="宋体" w:cs="Times New Roman"/>
                <w:bCs/>
                <w:color w:val="auto"/>
                <w:kern w:val="0"/>
                <w:sz w:val="24"/>
                <w:lang w:val="en-US" w:eastAsia="zh-CN"/>
              </w:rPr>
              <w:t>900-</w:t>
            </w:r>
            <w:r>
              <w:rPr>
                <w:rFonts w:hint="eastAsia" w:cs="Times New Roman"/>
                <w:bCs/>
                <w:color w:val="auto"/>
                <w:kern w:val="0"/>
                <w:sz w:val="24"/>
                <w:lang w:val="en-US" w:eastAsia="zh-CN"/>
              </w:rPr>
              <w:t>099-S59</w:t>
            </w:r>
            <w:r>
              <w:rPr>
                <w:rFonts w:hint="default" w:ascii="Times New Roman" w:hAnsi="Times New Roman" w:eastAsia="宋体" w:cs="Times New Roman"/>
                <w:bCs/>
                <w:color w:val="auto"/>
                <w:kern w:val="0"/>
                <w:sz w:val="24"/>
                <w:szCs w:val="20"/>
              </w:rPr>
              <w:t>。</w:t>
            </w:r>
          </w:p>
          <w:p w14:paraId="6789961F">
            <w:pPr>
              <w:spacing w:line="360" w:lineRule="auto"/>
              <w:ind w:firstLine="480" w:firstLineChars="200"/>
              <w:rPr>
                <w:bCs/>
                <w:color w:val="auto"/>
                <w:kern w:val="0"/>
                <w:sz w:val="24"/>
                <w:szCs w:val="20"/>
                <w:highlight w:val="none"/>
              </w:rPr>
            </w:pPr>
            <w:r>
              <w:rPr>
                <w:rFonts w:hint="eastAsia" w:cs="Times New Roman"/>
                <w:bCs/>
                <w:color w:val="auto"/>
                <w:kern w:val="0"/>
                <w:sz w:val="24"/>
                <w:szCs w:val="20"/>
                <w:lang w:val="en-US" w:eastAsia="zh-CN"/>
              </w:rPr>
              <w:t>喷砂工序废气处理过程中会产生除尘灰，产生量为</w:t>
            </w:r>
            <w:r>
              <w:rPr>
                <w:rFonts w:hint="eastAsia" w:cs="Times New Roman"/>
                <w:bCs/>
                <w:color w:val="auto"/>
                <w:kern w:val="0"/>
                <w:sz w:val="24"/>
                <w:szCs w:val="20"/>
                <w:highlight w:val="none"/>
                <w:lang w:val="en-US" w:eastAsia="zh-CN"/>
              </w:rPr>
              <w:t>0.0849t/a，收集后统一外售处理。</w:t>
            </w:r>
            <w:r>
              <w:rPr>
                <w:rFonts w:hint="default" w:ascii="Times New Roman" w:hAnsi="Times New Roman" w:eastAsia="宋体" w:cs="Times New Roman"/>
                <w:bCs/>
                <w:color w:val="auto"/>
                <w:kern w:val="0"/>
                <w:sz w:val="24"/>
                <w:szCs w:val="20"/>
              </w:rPr>
              <w:t>根据</w:t>
            </w:r>
            <w:r>
              <w:rPr>
                <w:rFonts w:hint="eastAsia" w:cs="Times New Roman"/>
                <w:bCs/>
                <w:color w:val="auto"/>
                <w:kern w:val="0"/>
                <w:sz w:val="24"/>
                <w:szCs w:val="20"/>
                <w:lang w:eastAsia="zh-CN"/>
              </w:rPr>
              <w:t>《</w:t>
            </w:r>
            <w:r>
              <w:rPr>
                <w:rFonts w:hint="eastAsia"/>
                <w:bCs/>
                <w:color w:val="auto"/>
                <w:kern w:val="0"/>
                <w:sz w:val="24"/>
                <w:lang w:eastAsia="zh-CN"/>
              </w:rPr>
              <w:t>固体废物分类与代码目录</w:t>
            </w:r>
            <w:r>
              <w:rPr>
                <w:bCs/>
                <w:color w:val="auto"/>
                <w:kern w:val="0"/>
                <w:sz w:val="24"/>
              </w:rPr>
              <w:t>》（</w:t>
            </w:r>
            <w:r>
              <w:rPr>
                <w:rFonts w:hint="eastAsia" w:ascii="Times New Roman" w:hAnsi="Times New Roman" w:eastAsia="宋体" w:cs="Times New Roman"/>
                <w:bCs/>
                <w:color w:val="auto"/>
                <w:kern w:val="0"/>
                <w:sz w:val="24"/>
                <w:highlight w:val="none"/>
                <w:lang w:val="en-US" w:eastAsia="zh-CN"/>
              </w:rPr>
              <w:t>生态环境部公告2024年第4号</w:t>
            </w:r>
            <w:r>
              <w:rPr>
                <w:bCs/>
                <w:color w:val="auto"/>
                <w:kern w:val="0"/>
                <w:sz w:val="24"/>
              </w:rPr>
              <w:t>），</w:t>
            </w:r>
            <w:r>
              <w:rPr>
                <w:rFonts w:hint="eastAsia" w:ascii="Times New Roman" w:hAnsi="Times New Roman" w:eastAsia="宋体" w:cs="Times New Roman"/>
                <w:bCs/>
                <w:color w:val="auto"/>
                <w:kern w:val="0"/>
                <w:sz w:val="24"/>
              </w:rPr>
              <w:t>属于</w:t>
            </w:r>
            <w:r>
              <w:rPr>
                <w:rFonts w:hint="eastAsia" w:ascii="Times New Roman" w:hAnsi="Times New Roman" w:eastAsia="宋体" w:cs="Times New Roman"/>
                <w:bCs/>
                <w:color w:val="auto"/>
                <w:kern w:val="0"/>
                <w:sz w:val="24"/>
                <w:lang w:val="en-US" w:eastAsia="zh-CN"/>
              </w:rPr>
              <w:t>SW17可再生类废物中的废钢铁</w:t>
            </w:r>
            <w:r>
              <w:rPr>
                <w:rFonts w:hint="eastAsia" w:ascii="Times New Roman" w:hAnsi="Times New Roman" w:eastAsia="宋体" w:cs="Times New Roman"/>
                <w:bCs/>
                <w:color w:val="auto"/>
                <w:kern w:val="0"/>
                <w:sz w:val="24"/>
              </w:rPr>
              <w:t>，代码为</w:t>
            </w:r>
            <w:r>
              <w:rPr>
                <w:rFonts w:hint="eastAsia" w:ascii="Times New Roman" w:hAnsi="Times New Roman" w:eastAsia="宋体" w:cs="Times New Roman"/>
                <w:bCs/>
                <w:color w:val="auto"/>
                <w:kern w:val="0"/>
                <w:sz w:val="24"/>
                <w:lang w:val="en-US" w:eastAsia="zh-CN"/>
              </w:rPr>
              <w:t>900-001-S17</w:t>
            </w:r>
            <w:r>
              <w:rPr>
                <w:rFonts w:hint="default" w:ascii="Times New Roman" w:hAnsi="Times New Roman" w:eastAsia="宋体" w:cs="Times New Roman"/>
                <w:bCs/>
                <w:color w:val="auto"/>
                <w:kern w:val="0"/>
                <w:sz w:val="24"/>
                <w:szCs w:val="20"/>
              </w:rPr>
              <w:t>。</w:t>
            </w:r>
          </w:p>
          <w:p w14:paraId="1BCAA643">
            <w:pPr>
              <w:spacing w:line="360" w:lineRule="auto"/>
              <w:ind w:firstLine="480" w:firstLineChars="200"/>
              <w:rPr>
                <w:rFonts w:hint="default" w:eastAsia="宋体"/>
                <w:bCs/>
                <w:color w:val="auto"/>
                <w:kern w:val="0"/>
                <w:sz w:val="24"/>
                <w:szCs w:val="20"/>
                <w:lang w:val="en-US" w:eastAsia="zh-CN"/>
              </w:rPr>
            </w:pPr>
            <w:r>
              <w:rPr>
                <w:rFonts w:hint="eastAsia"/>
                <w:bCs/>
                <w:color w:val="auto"/>
                <w:kern w:val="0"/>
                <w:sz w:val="24"/>
                <w:szCs w:val="20"/>
                <w:lang w:val="en-US" w:eastAsia="zh-CN"/>
              </w:rPr>
              <w:t>水雾式除尘配套的循环水池需定期清理沉渣，产生量为0.491t/a，</w:t>
            </w:r>
            <w:r>
              <w:rPr>
                <w:rFonts w:hint="eastAsia" w:cs="Times New Roman"/>
                <w:bCs/>
                <w:color w:val="auto"/>
                <w:kern w:val="0"/>
                <w:sz w:val="24"/>
                <w:szCs w:val="20"/>
                <w:highlight w:val="none"/>
                <w:lang w:val="en-US" w:eastAsia="zh-CN"/>
              </w:rPr>
              <w:t>收集后统一外售处理。</w:t>
            </w:r>
            <w:r>
              <w:rPr>
                <w:rFonts w:hint="default" w:ascii="Times New Roman" w:hAnsi="Times New Roman" w:eastAsia="宋体" w:cs="Times New Roman"/>
                <w:bCs/>
                <w:color w:val="auto"/>
                <w:kern w:val="0"/>
                <w:sz w:val="24"/>
                <w:szCs w:val="20"/>
              </w:rPr>
              <w:t>根据</w:t>
            </w:r>
            <w:r>
              <w:rPr>
                <w:rFonts w:hint="eastAsia" w:cs="Times New Roman"/>
                <w:bCs/>
                <w:color w:val="auto"/>
                <w:kern w:val="0"/>
                <w:sz w:val="24"/>
                <w:szCs w:val="20"/>
                <w:lang w:eastAsia="zh-CN"/>
              </w:rPr>
              <w:t>《</w:t>
            </w:r>
            <w:r>
              <w:rPr>
                <w:rFonts w:hint="eastAsia"/>
                <w:bCs/>
                <w:color w:val="auto"/>
                <w:kern w:val="0"/>
                <w:sz w:val="24"/>
                <w:lang w:eastAsia="zh-CN"/>
              </w:rPr>
              <w:t>固体废物分类与代码目录</w:t>
            </w:r>
            <w:r>
              <w:rPr>
                <w:bCs/>
                <w:color w:val="auto"/>
                <w:kern w:val="0"/>
                <w:sz w:val="24"/>
              </w:rPr>
              <w:t>》（</w:t>
            </w:r>
            <w:r>
              <w:rPr>
                <w:rFonts w:hint="eastAsia" w:ascii="Times New Roman" w:hAnsi="Times New Roman" w:eastAsia="宋体" w:cs="Times New Roman"/>
                <w:bCs/>
                <w:color w:val="auto"/>
                <w:kern w:val="0"/>
                <w:sz w:val="24"/>
                <w:highlight w:val="none"/>
                <w:lang w:val="en-US" w:eastAsia="zh-CN"/>
              </w:rPr>
              <w:t>生态环境部公告2024年第4号</w:t>
            </w:r>
            <w:r>
              <w:rPr>
                <w:bCs/>
                <w:color w:val="auto"/>
                <w:kern w:val="0"/>
                <w:sz w:val="24"/>
              </w:rPr>
              <w:t>），</w:t>
            </w:r>
            <w:r>
              <w:rPr>
                <w:rFonts w:hint="eastAsia" w:ascii="Times New Roman" w:hAnsi="Times New Roman" w:eastAsia="宋体" w:cs="Times New Roman"/>
                <w:bCs/>
                <w:color w:val="auto"/>
                <w:kern w:val="0"/>
                <w:sz w:val="24"/>
              </w:rPr>
              <w:t>属于</w:t>
            </w:r>
            <w:r>
              <w:rPr>
                <w:rFonts w:hint="eastAsia" w:ascii="Times New Roman" w:hAnsi="Times New Roman" w:eastAsia="宋体" w:cs="Times New Roman"/>
                <w:bCs/>
                <w:color w:val="auto"/>
                <w:kern w:val="0"/>
                <w:sz w:val="24"/>
                <w:lang w:val="en-US" w:eastAsia="zh-CN"/>
              </w:rPr>
              <w:t>SW17可再生类废物中的废钢铁</w:t>
            </w:r>
            <w:r>
              <w:rPr>
                <w:rFonts w:hint="eastAsia" w:ascii="Times New Roman" w:hAnsi="Times New Roman" w:eastAsia="宋体" w:cs="Times New Roman"/>
                <w:bCs/>
                <w:color w:val="auto"/>
                <w:kern w:val="0"/>
                <w:sz w:val="24"/>
              </w:rPr>
              <w:t>，代码为</w:t>
            </w:r>
            <w:r>
              <w:rPr>
                <w:rFonts w:hint="eastAsia" w:ascii="Times New Roman" w:hAnsi="Times New Roman" w:eastAsia="宋体" w:cs="Times New Roman"/>
                <w:bCs/>
                <w:color w:val="auto"/>
                <w:kern w:val="0"/>
                <w:sz w:val="24"/>
                <w:lang w:val="en-US" w:eastAsia="zh-CN"/>
              </w:rPr>
              <w:t>900-001-S17</w:t>
            </w:r>
            <w:r>
              <w:rPr>
                <w:rFonts w:hint="default" w:ascii="Times New Roman" w:hAnsi="Times New Roman" w:eastAsia="宋体" w:cs="Times New Roman"/>
                <w:bCs/>
                <w:color w:val="auto"/>
                <w:kern w:val="0"/>
                <w:sz w:val="24"/>
                <w:szCs w:val="20"/>
              </w:rPr>
              <w:t>。</w:t>
            </w:r>
          </w:p>
          <w:p w14:paraId="16B4BEB5">
            <w:pPr>
              <w:spacing w:line="360" w:lineRule="auto"/>
              <w:ind w:firstLine="480" w:firstLineChars="200"/>
              <w:rPr>
                <w:rFonts w:hint="default" w:eastAsia="宋体"/>
                <w:bCs/>
                <w:color w:val="auto"/>
                <w:kern w:val="0"/>
                <w:sz w:val="24"/>
                <w:szCs w:val="20"/>
                <w:lang w:val="en-US" w:eastAsia="zh-CN"/>
              </w:rPr>
            </w:pPr>
            <w:r>
              <w:rPr>
                <w:rFonts w:hint="eastAsia"/>
                <w:bCs/>
                <w:color w:val="auto"/>
                <w:kern w:val="0"/>
                <w:sz w:val="24"/>
                <w:szCs w:val="20"/>
                <w:lang w:val="en-US" w:eastAsia="zh-CN"/>
              </w:rPr>
              <w:t>袋式除尘器中的布袋需定期更换，产生量为0.1t/a，</w:t>
            </w:r>
            <w:r>
              <w:rPr>
                <w:rFonts w:hint="eastAsia"/>
                <w:bCs/>
                <w:color w:val="auto"/>
                <w:sz w:val="24"/>
                <w:lang w:val="en-US" w:eastAsia="zh-CN"/>
              </w:rPr>
              <w:t>暂存于一般固废暂存区后外售处理。</w:t>
            </w:r>
            <w:r>
              <w:rPr>
                <w:rFonts w:hint="default" w:ascii="Times New Roman" w:hAnsi="Times New Roman" w:eastAsia="宋体" w:cs="Times New Roman"/>
                <w:bCs/>
                <w:color w:val="auto"/>
                <w:kern w:val="0"/>
                <w:sz w:val="24"/>
                <w:szCs w:val="20"/>
              </w:rPr>
              <w:t>根据</w:t>
            </w:r>
            <w:r>
              <w:rPr>
                <w:rFonts w:hint="eastAsia" w:cs="Times New Roman"/>
                <w:bCs/>
                <w:color w:val="auto"/>
                <w:kern w:val="0"/>
                <w:sz w:val="24"/>
                <w:szCs w:val="20"/>
                <w:lang w:eastAsia="zh-CN"/>
              </w:rPr>
              <w:t>《</w:t>
            </w:r>
            <w:r>
              <w:rPr>
                <w:rFonts w:hint="eastAsia"/>
                <w:bCs/>
                <w:color w:val="auto"/>
                <w:kern w:val="0"/>
                <w:sz w:val="24"/>
                <w:lang w:eastAsia="zh-CN"/>
              </w:rPr>
              <w:t>固体废物分类与代码目录</w:t>
            </w:r>
            <w:r>
              <w:rPr>
                <w:bCs/>
                <w:color w:val="auto"/>
                <w:kern w:val="0"/>
                <w:sz w:val="24"/>
              </w:rPr>
              <w:t>》（</w:t>
            </w:r>
            <w:r>
              <w:rPr>
                <w:rFonts w:hint="eastAsia" w:ascii="Times New Roman" w:hAnsi="Times New Roman" w:eastAsia="宋体" w:cs="Times New Roman"/>
                <w:bCs/>
                <w:color w:val="auto"/>
                <w:kern w:val="0"/>
                <w:sz w:val="24"/>
                <w:highlight w:val="none"/>
                <w:lang w:val="en-US" w:eastAsia="zh-CN"/>
              </w:rPr>
              <w:t>生态环境部公告2024年第4号</w:t>
            </w:r>
            <w:r>
              <w:rPr>
                <w:bCs/>
                <w:color w:val="auto"/>
                <w:kern w:val="0"/>
                <w:sz w:val="24"/>
              </w:rPr>
              <w:t>），</w:t>
            </w:r>
            <w:r>
              <w:rPr>
                <w:rFonts w:hint="eastAsia" w:ascii="Times New Roman" w:hAnsi="Times New Roman" w:eastAsia="宋体" w:cs="Times New Roman"/>
                <w:bCs/>
                <w:color w:val="auto"/>
                <w:kern w:val="0"/>
                <w:sz w:val="24"/>
              </w:rPr>
              <w:t>属于</w:t>
            </w:r>
            <w:r>
              <w:rPr>
                <w:rFonts w:hint="eastAsia" w:ascii="Times New Roman" w:hAnsi="Times New Roman" w:eastAsia="宋体" w:cs="Times New Roman"/>
                <w:bCs/>
                <w:color w:val="auto"/>
                <w:kern w:val="0"/>
                <w:sz w:val="24"/>
                <w:lang w:val="en-US" w:eastAsia="zh-CN"/>
              </w:rPr>
              <w:t>SW</w:t>
            </w:r>
            <w:r>
              <w:rPr>
                <w:rFonts w:hint="eastAsia" w:cs="Times New Roman"/>
                <w:bCs/>
                <w:color w:val="auto"/>
                <w:kern w:val="0"/>
                <w:sz w:val="24"/>
                <w:lang w:val="en-US" w:eastAsia="zh-CN"/>
              </w:rPr>
              <w:t>59其他工业固体废物</w:t>
            </w:r>
            <w:r>
              <w:rPr>
                <w:rFonts w:hint="eastAsia" w:ascii="Times New Roman" w:hAnsi="Times New Roman" w:eastAsia="宋体" w:cs="Times New Roman"/>
                <w:bCs/>
                <w:color w:val="auto"/>
                <w:kern w:val="0"/>
                <w:sz w:val="24"/>
              </w:rPr>
              <w:t>，代码为</w:t>
            </w:r>
            <w:r>
              <w:rPr>
                <w:rFonts w:hint="eastAsia" w:ascii="Times New Roman" w:hAnsi="Times New Roman" w:eastAsia="宋体" w:cs="Times New Roman"/>
                <w:bCs/>
                <w:color w:val="auto"/>
                <w:kern w:val="0"/>
                <w:sz w:val="24"/>
                <w:lang w:val="en-US" w:eastAsia="zh-CN"/>
              </w:rPr>
              <w:t>900-</w:t>
            </w:r>
            <w:r>
              <w:rPr>
                <w:rFonts w:hint="eastAsia" w:cs="Times New Roman"/>
                <w:bCs/>
                <w:color w:val="auto"/>
                <w:kern w:val="0"/>
                <w:sz w:val="24"/>
                <w:lang w:val="en-US" w:eastAsia="zh-CN"/>
              </w:rPr>
              <w:t>099-S59</w:t>
            </w:r>
            <w:r>
              <w:rPr>
                <w:rFonts w:hint="default" w:ascii="Times New Roman" w:hAnsi="Times New Roman" w:eastAsia="宋体" w:cs="Times New Roman"/>
                <w:bCs/>
                <w:color w:val="auto"/>
                <w:kern w:val="0"/>
                <w:sz w:val="24"/>
                <w:szCs w:val="20"/>
              </w:rPr>
              <w:t>。</w:t>
            </w:r>
          </w:p>
          <w:p w14:paraId="3400D789">
            <w:pPr>
              <w:spacing w:line="360" w:lineRule="auto"/>
              <w:ind w:firstLine="480" w:firstLineChars="200"/>
              <w:rPr>
                <w:bCs/>
                <w:color w:val="auto"/>
                <w:kern w:val="0"/>
                <w:sz w:val="24"/>
                <w:szCs w:val="20"/>
              </w:rPr>
            </w:pPr>
            <w:r>
              <w:rPr>
                <w:bCs/>
                <w:color w:val="auto"/>
                <w:kern w:val="0"/>
                <w:sz w:val="24"/>
                <w:szCs w:val="20"/>
              </w:rPr>
              <w:t>②生活垃圾</w:t>
            </w:r>
          </w:p>
          <w:p w14:paraId="37D373D2">
            <w:pPr>
              <w:spacing w:line="360" w:lineRule="auto"/>
              <w:ind w:firstLine="480" w:firstLineChars="200"/>
              <w:rPr>
                <w:bCs/>
                <w:color w:val="auto"/>
                <w:kern w:val="0"/>
                <w:sz w:val="24"/>
                <w:szCs w:val="20"/>
              </w:rPr>
            </w:pPr>
            <w:r>
              <w:rPr>
                <w:bCs/>
                <w:color w:val="auto"/>
                <w:kern w:val="0"/>
                <w:sz w:val="24"/>
                <w:szCs w:val="20"/>
              </w:rPr>
              <w:t>本项目生活固废即生活垃圾。</w:t>
            </w:r>
          </w:p>
          <w:p w14:paraId="551051DB">
            <w:pPr>
              <w:spacing w:line="360" w:lineRule="auto"/>
              <w:ind w:firstLine="480" w:firstLineChars="200"/>
              <w:rPr>
                <w:bCs/>
                <w:color w:val="auto"/>
                <w:kern w:val="0"/>
                <w:sz w:val="24"/>
                <w:szCs w:val="20"/>
              </w:rPr>
            </w:pPr>
            <w:r>
              <w:rPr>
                <w:bCs/>
                <w:color w:val="auto"/>
                <w:kern w:val="0"/>
                <w:sz w:val="24"/>
                <w:szCs w:val="20"/>
              </w:rPr>
              <w:t>项目</w:t>
            </w:r>
            <w:r>
              <w:rPr>
                <w:rFonts w:hint="eastAsia"/>
                <w:bCs/>
                <w:color w:val="auto"/>
                <w:kern w:val="0"/>
                <w:sz w:val="24"/>
                <w:szCs w:val="20"/>
                <w:lang w:val="en-US" w:eastAsia="zh-CN"/>
              </w:rPr>
              <w:t>建成后</w:t>
            </w:r>
            <w:r>
              <w:rPr>
                <w:bCs/>
                <w:color w:val="auto"/>
                <w:kern w:val="0"/>
                <w:sz w:val="24"/>
                <w:szCs w:val="20"/>
              </w:rPr>
              <w:t>劳动定员</w:t>
            </w:r>
            <w:r>
              <w:rPr>
                <w:rFonts w:hint="eastAsia"/>
                <w:bCs/>
                <w:color w:val="auto"/>
                <w:kern w:val="0"/>
                <w:sz w:val="24"/>
                <w:szCs w:val="20"/>
                <w:lang w:val="en-US" w:eastAsia="zh-CN"/>
              </w:rPr>
              <w:t>20</w:t>
            </w:r>
            <w:r>
              <w:rPr>
                <w:bCs/>
                <w:color w:val="auto"/>
                <w:kern w:val="0"/>
                <w:sz w:val="24"/>
                <w:szCs w:val="20"/>
              </w:rPr>
              <w:t>人，按每人每天产生生活垃圾0.5kg计，则生活垃圾产生量</w:t>
            </w:r>
            <w:r>
              <w:rPr>
                <w:rFonts w:hint="eastAsia"/>
                <w:bCs/>
                <w:color w:val="auto"/>
                <w:kern w:val="0"/>
                <w:sz w:val="24"/>
                <w:szCs w:val="20"/>
                <w:lang w:val="en-US" w:eastAsia="zh-CN"/>
              </w:rPr>
              <w:t>3</w:t>
            </w:r>
            <w:r>
              <w:rPr>
                <w:bCs/>
                <w:color w:val="auto"/>
                <w:kern w:val="0"/>
                <w:sz w:val="24"/>
                <w:szCs w:val="20"/>
              </w:rPr>
              <w:t>t/a</w:t>
            </w:r>
            <w:r>
              <w:rPr>
                <w:rFonts w:hint="eastAsia"/>
                <w:bCs/>
                <w:color w:val="auto"/>
                <w:kern w:val="0"/>
                <w:sz w:val="24"/>
                <w:szCs w:val="20"/>
                <w:lang w:eastAsia="zh-CN"/>
              </w:rPr>
              <w:t>，</w:t>
            </w:r>
            <w:r>
              <w:rPr>
                <w:bCs/>
                <w:color w:val="auto"/>
                <w:kern w:val="0"/>
                <w:sz w:val="24"/>
                <w:szCs w:val="20"/>
              </w:rPr>
              <w:t>统一收集后，由环卫部门定期清运。</w:t>
            </w:r>
          </w:p>
          <w:p w14:paraId="088195A0">
            <w:pPr>
              <w:spacing w:line="360" w:lineRule="auto"/>
              <w:ind w:firstLine="480" w:firstLineChars="200"/>
              <w:rPr>
                <w:color w:val="auto"/>
                <w:kern w:val="0"/>
                <w:sz w:val="24"/>
                <w:szCs w:val="20"/>
              </w:rPr>
            </w:pPr>
            <w:r>
              <w:rPr>
                <w:bCs/>
                <w:color w:val="auto"/>
                <w:kern w:val="0"/>
                <w:sz w:val="24"/>
                <w:szCs w:val="20"/>
              </w:rPr>
              <w:t>本项目各类固废产生量及利用处置方式见表</w:t>
            </w:r>
            <w:r>
              <w:rPr>
                <w:rFonts w:hint="eastAsia"/>
                <w:bCs/>
                <w:color w:val="auto"/>
                <w:kern w:val="0"/>
                <w:sz w:val="24"/>
                <w:szCs w:val="20"/>
              </w:rPr>
              <w:t>4-</w:t>
            </w:r>
            <w:r>
              <w:rPr>
                <w:rFonts w:hint="eastAsia"/>
                <w:bCs/>
                <w:color w:val="auto"/>
                <w:kern w:val="0"/>
                <w:sz w:val="24"/>
                <w:szCs w:val="20"/>
                <w:lang w:val="en-US" w:eastAsia="zh-CN"/>
              </w:rPr>
              <w:t>10</w:t>
            </w:r>
            <w:r>
              <w:rPr>
                <w:bCs/>
                <w:color w:val="auto"/>
                <w:kern w:val="0"/>
                <w:sz w:val="24"/>
                <w:szCs w:val="20"/>
              </w:rPr>
              <w:t>。</w:t>
            </w:r>
          </w:p>
          <w:p w14:paraId="124A78FA">
            <w:pPr>
              <w:jc w:val="center"/>
              <w:rPr>
                <w:b/>
                <w:bCs/>
                <w:color w:val="auto"/>
                <w:kern w:val="0"/>
                <w:szCs w:val="21"/>
              </w:rPr>
            </w:pPr>
            <w:r>
              <w:rPr>
                <w:b/>
                <w:bCs/>
                <w:color w:val="auto"/>
                <w:kern w:val="0"/>
                <w:szCs w:val="21"/>
              </w:rPr>
              <w:t>表</w:t>
            </w:r>
            <w:r>
              <w:rPr>
                <w:rFonts w:hint="eastAsia"/>
                <w:b/>
                <w:bCs/>
                <w:color w:val="auto"/>
                <w:kern w:val="0"/>
                <w:szCs w:val="21"/>
              </w:rPr>
              <w:t>4-</w:t>
            </w:r>
            <w:r>
              <w:rPr>
                <w:rFonts w:hint="eastAsia"/>
                <w:b/>
                <w:bCs/>
                <w:color w:val="auto"/>
                <w:kern w:val="0"/>
                <w:szCs w:val="21"/>
                <w:lang w:val="en-US" w:eastAsia="zh-CN"/>
              </w:rPr>
              <w:t>10</w:t>
            </w:r>
            <w:r>
              <w:rPr>
                <w:rFonts w:hint="eastAsia"/>
                <w:b/>
                <w:bCs/>
                <w:color w:val="auto"/>
                <w:kern w:val="0"/>
                <w:szCs w:val="21"/>
              </w:rPr>
              <w:t xml:space="preserve">   </w:t>
            </w:r>
            <w:r>
              <w:rPr>
                <w:b/>
                <w:bCs/>
                <w:color w:val="auto"/>
                <w:kern w:val="0"/>
                <w:szCs w:val="21"/>
              </w:rPr>
              <w:t>固体废物产生量及利用处置方式</w:t>
            </w:r>
          </w:p>
          <w:tbl>
            <w:tblPr>
              <w:tblStyle w:val="17"/>
              <w:tblW w:w="831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28" w:type="dxa"/>
                <w:bottom w:w="0" w:type="dxa"/>
                <w:right w:w="28" w:type="dxa"/>
              </w:tblCellMar>
            </w:tblPr>
            <w:tblGrid>
              <w:gridCol w:w="356"/>
              <w:gridCol w:w="1214"/>
              <w:gridCol w:w="765"/>
              <w:gridCol w:w="660"/>
              <w:gridCol w:w="1944"/>
              <w:gridCol w:w="945"/>
              <w:gridCol w:w="1328"/>
              <w:gridCol w:w="1105"/>
            </w:tblGrid>
            <w:tr w14:paraId="4F2875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3" w:hRule="atLeast"/>
                <w:jc w:val="center"/>
              </w:trPr>
              <w:tc>
                <w:tcPr>
                  <w:tcW w:w="356" w:type="dxa"/>
                  <w:tcBorders>
                    <w:top w:val="single" w:color="auto" w:sz="4" w:space="0"/>
                    <w:left w:val="single" w:color="auto" w:sz="4" w:space="0"/>
                    <w:bottom w:val="single" w:color="auto" w:sz="4" w:space="0"/>
                    <w:right w:val="single" w:color="auto" w:sz="4" w:space="0"/>
                  </w:tcBorders>
                  <w:vAlign w:val="center"/>
                </w:tcPr>
                <w:p w14:paraId="7B7A8CFC">
                  <w:pPr>
                    <w:jc w:val="center"/>
                    <w:rPr>
                      <w:bCs/>
                      <w:color w:val="auto"/>
                      <w:kern w:val="0"/>
                      <w:szCs w:val="21"/>
                    </w:rPr>
                  </w:pPr>
                  <w:r>
                    <w:rPr>
                      <w:bCs/>
                      <w:color w:val="auto"/>
                      <w:kern w:val="0"/>
                      <w:szCs w:val="21"/>
                    </w:rPr>
                    <w:t>序号</w:t>
                  </w:r>
                </w:p>
              </w:tc>
              <w:tc>
                <w:tcPr>
                  <w:tcW w:w="1214" w:type="dxa"/>
                  <w:tcBorders>
                    <w:top w:val="single" w:color="auto" w:sz="4" w:space="0"/>
                    <w:left w:val="single" w:color="auto" w:sz="4" w:space="0"/>
                    <w:bottom w:val="single" w:color="auto" w:sz="4" w:space="0"/>
                    <w:right w:val="single" w:color="auto" w:sz="4" w:space="0"/>
                  </w:tcBorders>
                  <w:vAlign w:val="center"/>
                </w:tcPr>
                <w:p w14:paraId="5AAF8F1C">
                  <w:pPr>
                    <w:jc w:val="center"/>
                    <w:rPr>
                      <w:bCs/>
                      <w:color w:val="auto"/>
                      <w:kern w:val="0"/>
                      <w:szCs w:val="21"/>
                    </w:rPr>
                  </w:pPr>
                  <w:r>
                    <w:rPr>
                      <w:bCs/>
                      <w:color w:val="auto"/>
                      <w:kern w:val="0"/>
                      <w:szCs w:val="21"/>
                    </w:rPr>
                    <w:t>固废名称</w:t>
                  </w:r>
                </w:p>
              </w:tc>
              <w:tc>
                <w:tcPr>
                  <w:tcW w:w="765" w:type="dxa"/>
                  <w:tcBorders>
                    <w:top w:val="single" w:color="auto" w:sz="4" w:space="0"/>
                    <w:left w:val="single" w:color="auto" w:sz="4" w:space="0"/>
                    <w:bottom w:val="single" w:color="auto" w:sz="4" w:space="0"/>
                    <w:right w:val="single" w:color="auto" w:sz="4" w:space="0"/>
                  </w:tcBorders>
                  <w:vAlign w:val="center"/>
                </w:tcPr>
                <w:p w14:paraId="36F1FC01">
                  <w:pPr>
                    <w:jc w:val="center"/>
                    <w:rPr>
                      <w:bCs/>
                      <w:color w:val="auto"/>
                      <w:kern w:val="0"/>
                      <w:szCs w:val="21"/>
                    </w:rPr>
                  </w:pPr>
                  <w:r>
                    <w:rPr>
                      <w:bCs/>
                      <w:color w:val="auto"/>
                      <w:kern w:val="0"/>
                      <w:szCs w:val="21"/>
                    </w:rPr>
                    <w:t>产生环节</w:t>
                  </w:r>
                </w:p>
              </w:tc>
              <w:tc>
                <w:tcPr>
                  <w:tcW w:w="660" w:type="dxa"/>
                  <w:tcBorders>
                    <w:top w:val="single" w:color="auto" w:sz="4" w:space="0"/>
                    <w:left w:val="single" w:color="auto" w:sz="4" w:space="0"/>
                    <w:bottom w:val="single" w:color="auto" w:sz="4" w:space="0"/>
                    <w:right w:val="single" w:color="auto" w:sz="4" w:space="0"/>
                  </w:tcBorders>
                  <w:vAlign w:val="center"/>
                </w:tcPr>
                <w:p w14:paraId="67F46053">
                  <w:pPr>
                    <w:jc w:val="center"/>
                    <w:rPr>
                      <w:bCs/>
                      <w:color w:val="auto"/>
                      <w:kern w:val="0"/>
                      <w:szCs w:val="21"/>
                    </w:rPr>
                  </w:pPr>
                  <w:r>
                    <w:rPr>
                      <w:bCs/>
                      <w:color w:val="auto"/>
                      <w:kern w:val="0"/>
                      <w:szCs w:val="21"/>
                    </w:rPr>
                    <w:t>物理性状</w:t>
                  </w:r>
                </w:p>
              </w:tc>
              <w:tc>
                <w:tcPr>
                  <w:tcW w:w="1944" w:type="dxa"/>
                  <w:tcBorders>
                    <w:top w:val="single" w:color="auto" w:sz="4" w:space="0"/>
                    <w:left w:val="single" w:color="auto" w:sz="4" w:space="0"/>
                    <w:bottom w:val="single" w:color="auto" w:sz="4" w:space="0"/>
                    <w:right w:val="single" w:color="auto" w:sz="4" w:space="0"/>
                  </w:tcBorders>
                  <w:vAlign w:val="center"/>
                </w:tcPr>
                <w:p w14:paraId="19C3B1A4">
                  <w:pPr>
                    <w:jc w:val="center"/>
                    <w:rPr>
                      <w:bCs/>
                      <w:color w:val="auto"/>
                      <w:kern w:val="0"/>
                      <w:szCs w:val="21"/>
                    </w:rPr>
                  </w:pPr>
                  <w:r>
                    <w:rPr>
                      <w:bCs/>
                      <w:color w:val="auto"/>
                      <w:kern w:val="0"/>
                      <w:szCs w:val="21"/>
                    </w:rPr>
                    <w:t>属性</w:t>
                  </w:r>
                </w:p>
              </w:tc>
              <w:tc>
                <w:tcPr>
                  <w:tcW w:w="945" w:type="dxa"/>
                  <w:tcBorders>
                    <w:top w:val="single" w:color="auto" w:sz="4" w:space="0"/>
                    <w:left w:val="single" w:color="auto" w:sz="4" w:space="0"/>
                    <w:bottom w:val="single" w:color="auto" w:sz="4" w:space="0"/>
                    <w:right w:val="single" w:color="auto" w:sz="4" w:space="0"/>
                  </w:tcBorders>
                  <w:vAlign w:val="center"/>
                </w:tcPr>
                <w:p w14:paraId="653E420A">
                  <w:pPr>
                    <w:jc w:val="center"/>
                    <w:rPr>
                      <w:bCs/>
                      <w:color w:val="auto"/>
                      <w:kern w:val="0"/>
                      <w:szCs w:val="21"/>
                    </w:rPr>
                  </w:pPr>
                  <w:r>
                    <w:rPr>
                      <w:bCs/>
                      <w:color w:val="auto"/>
                      <w:kern w:val="0"/>
                      <w:szCs w:val="21"/>
                    </w:rPr>
                    <w:t>产生量</w:t>
                  </w:r>
                </w:p>
                <w:p w14:paraId="36DB5D57">
                  <w:pPr>
                    <w:jc w:val="center"/>
                    <w:rPr>
                      <w:bCs/>
                      <w:color w:val="auto"/>
                      <w:kern w:val="0"/>
                      <w:szCs w:val="21"/>
                    </w:rPr>
                  </w:pPr>
                  <w:r>
                    <w:rPr>
                      <w:bCs/>
                      <w:color w:val="auto"/>
                      <w:kern w:val="0"/>
                      <w:szCs w:val="21"/>
                    </w:rPr>
                    <w:t>（t/a）</w:t>
                  </w:r>
                </w:p>
              </w:tc>
              <w:tc>
                <w:tcPr>
                  <w:tcW w:w="1328" w:type="dxa"/>
                  <w:tcBorders>
                    <w:top w:val="single" w:color="auto" w:sz="4" w:space="0"/>
                    <w:left w:val="single" w:color="auto" w:sz="4" w:space="0"/>
                    <w:bottom w:val="single" w:color="auto" w:sz="4" w:space="0"/>
                    <w:right w:val="single" w:color="auto" w:sz="4" w:space="0"/>
                  </w:tcBorders>
                  <w:vAlign w:val="center"/>
                </w:tcPr>
                <w:p w14:paraId="6ADFBEC6">
                  <w:pPr>
                    <w:jc w:val="center"/>
                    <w:rPr>
                      <w:bCs/>
                      <w:color w:val="auto"/>
                      <w:kern w:val="0"/>
                      <w:szCs w:val="21"/>
                    </w:rPr>
                  </w:pPr>
                  <w:r>
                    <w:rPr>
                      <w:bCs/>
                      <w:color w:val="auto"/>
                      <w:kern w:val="0"/>
                      <w:szCs w:val="21"/>
                    </w:rPr>
                    <w:t>利用处置方式</w:t>
                  </w:r>
                </w:p>
              </w:tc>
              <w:tc>
                <w:tcPr>
                  <w:tcW w:w="1105" w:type="dxa"/>
                  <w:tcBorders>
                    <w:top w:val="single" w:color="auto" w:sz="4" w:space="0"/>
                    <w:left w:val="single" w:color="auto" w:sz="4" w:space="0"/>
                    <w:bottom w:val="single" w:color="auto" w:sz="4" w:space="0"/>
                    <w:right w:val="single" w:color="auto" w:sz="4" w:space="0"/>
                  </w:tcBorders>
                  <w:vAlign w:val="center"/>
                </w:tcPr>
                <w:p w14:paraId="51546F60">
                  <w:pPr>
                    <w:jc w:val="center"/>
                    <w:rPr>
                      <w:bCs/>
                      <w:color w:val="auto"/>
                      <w:kern w:val="0"/>
                      <w:szCs w:val="21"/>
                    </w:rPr>
                  </w:pPr>
                  <w:r>
                    <w:rPr>
                      <w:bCs/>
                      <w:color w:val="auto"/>
                      <w:kern w:val="0"/>
                      <w:szCs w:val="21"/>
                    </w:rPr>
                    <w:t>是否符合</w:t>
                  </w:r>
                </w:p>
                <w:p w14:paraId="7BD85FFB">
                  <w:pPr>
                    <w:jc w:val="center"/>
                    <w:rPr>
                      <w:bCs/>
                      <w:color w:val="auto"/>
                      <w:kern w:val="0"/>
                      <w:szCs w:val="21"/>
                    </w:rPr>
                  </w:pPr>
                  <w:r>
                    <w:rPr>
                      <w:bCs/>
                      <w:color w:val="auto"/>
                      <w:kern w:val="0"/>
                      <w:szCs w:val="21"/>
                    </w:rPr>
                    <w:t>环保要求</w:t>
                  </w:r>
                </w:p>
              </w:tc>
            </w:tr>
            <w:tr w14:paraId="13BA26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3" w:hRule="atLeast"/>
                <w:jc w:val="center"/>
              </w:trPr>
              <w:tc>
                <w:tcPr>
                  <w:tcW w:w="356" w:type="dxa"/>
                  <w:tcBorders>
                    <w:top w:val="single" w:color="auto" w:sz="4" w:space="0"/>
                    <w:left w:val="single" w:color="auto" w:sz="4" w:space="0"/>
                    <w:bottom w:val="single" w:color="auto" w:sz="4" w:space="0"/>
                    <w:right w:val="single" w:color="auto" w:sz="4" w:space="0"/>
                  </w:tcBorders>
                  <w:vAlign w:val="center"/>
                </w:tcPr>
                <w:p w14:paraId="0726A1E2">
                  <w:pPr>
                    <w:jc w:val="center"/>
                    <w:rPr>
                      <w:rFonts w:hint="eastAsia" w:eastAsia="宋体"/>
                      <w:bCs/>
                      <w:color w:val="auto"/>
                      <w:kern w:val="0"/>
                      <w:szCs w:val="21"/>
                      <w:lang w:val="en-US" w:eastAsia="zh-CN"/>
                    </w:rPr>
                  </w:pPr>
                  <w:r>
                    <w:rPr>
                      <w:rFonts w:hint="eastAsia"/>
                      <w:bCs/>
                      <w:color w:val="auto"/>
                      <w:kern w:val="0"/>
                      <w:szCs w:val="21"/>
                      <w:lang w:val="en-US" w:eastAsia="zh-CN"/>
                    </w:rPr>
                    <w:t>1</w:t>
                  </w:r>
                </w:p>
              </w:tc>
              <w:tc>
                <w:tcPr>
                  <w:tcW w:w="1214" w:type="dxa"/>
                  <w:tcBorders>
                    <w:top w:val="single" w:color="auto" w:sz="4" w:space="0"/>
                    <w:left w:val="single" w:color="auto" w:sz="4" w:space="0"/>
                    <w:bottom w:val="single" w:color="auto" w:sz="4" w:space="0"/>
                    <w:right w:val="single" w:color="auto" w:sz="4" w:space="0"/>
                  </w:tcBorders>
                  <w:shd w:val="clear" w:color="auto" w:fill="auto"/>
                  <w:vAlign w:val="center"/>
                </w:tcPr>
                <w:p w14:paraId="19150355">
                  <w:pPr>
                    <w:jc w:val="center"/>
                    <w:rPr>
                      <w:rFonts w:hint="default" w:ascii="Times New Roman" w:hAnsi="Times New Roman" w:eastAsia="宋体" w:cs="Times New Roman"/>
                      <w:color w:val="auto"/>
                      <w:kern w:val="0"/>
                      <w:sz w:val="21"/>
                      <w:szCs w:val="21"/>
                      <w:lang w:val="en-US" w:eastAsia="zh-CN" w:bidi="ar-SA"/>
                    </w:rPr>
                  </w:pPr>
                  <w:r>
                    <w:rPr>
                      <w:rFonts w:hint="eastAsia"/>
                      <w:color w:val="auto"/>
                      <w:kern w:val="0"/>
                      <w:szCs w:val="21"/>
                      <w:lang w:val="en-US" w:eastAsia="zh-CN"/>
                    </w:rPr>
                    <w:t>废砂轮</w:t>
                  </w:r>
                </w:p>
              </w:tc>
              <w:tc>
                <w:tcPr>
                  <w:tcW w:w="765" w:type="dxa"/>
                  <w:tcBorders>
                    <w:top w:val="single" w:color="auto" w:sz="4" w:space="0"/>
                    <w:left w:val="single" w:color="auto" w:sz="4" w:space="0"/>
                    <w:right w:val="single" w:color="auto" w:sz="4" w:space="0"/>
                  </w:tcBorders>
                  <w:shd w:val="clear" w:color="auto" w:fill="auto"/>
                  <w:vAlign w:val="center"/>
                </w:tcPr>
                <w:p w14:paraId="21CC3AEB">
                  <w:pPr>
                    <w:jc w:val="center"/>
                    <w:rPr>
                      <w:rFonts w:hint="default" w:ascii="Times New Roman" w:hAnsi="Times New Roman" w:eastAsia="宋体" w:cs="Times New Roman"/>
                      <w:color w:val="auto"/>
                      <w:kern w:val="0"/>
                      <w:sz w:val="21"/>
                      <w:szCs w:val="21"/>
                      <w:lang w:val="en-US" w:eastAsia="zh-CN" w:bidi="ar-SA"/>
                    </w:rPr>
                  </w:pPr>
                  <w:r>
                    <w:rPr>
                      <w:rFonts w:hint="eastAsia"/>
                      <w:color w:val="auto"/>
                      <w:kern w:val="0"/>
                      <w:szCs w:val="21"/>
                      <w:lang w:val="en-US" w:eastAsia="zh-CN"/>
                    </w:rPr>
                    <w:t>打磨</w:t>
                  </w:r>
                </w:p>
              </w:tc>
              <w:tc>
                <w:tcPr>
                  <w:tcW w:w="660" w:type="dxa"/>
                  <w:tcBorders>
                    <w:top w:val="single" w:color="auto" w:sz="4" w:space="0"/>
                    <w:left w:val="single" w:color="auto" w:sz="4" w:space="0"/>
                    <w:bottom w:val="single" w:color="auto" w:sz="4" w:space="0"/>
                    <w:right w:val="single" w:color="auto" w:sz="4" w:space="0"/>
                  </w:tcBorders>
                  <w:shd w:val="clear" w:color="auto" w:fill="auto"/>
                  <w:vAlign w:val="center"/>
                </w:tcPr>
                <w:p w14:paraId="7F09F024">
                  <w:pPr>
                    <w:jc w:val="center"/>
                    <w:rPr>
                      <w:rFonts w:ascii="Times New Roman" w:hAnsi="Times New Roman" w:eastAsia="宋体" w:cs="Times New Roman"/>
                      <w:color w:val="auto"/>
                      <w:kern w:val="0"/>
                      <w:sz w:val="21"/>
                      <w:szCs w:val="21"/>
                      <w:lang w:val="en-US" w:eastAsia="zh-CN" w:bidi="ar-SA"/>
                    </w:rPr>
                  </w:pPr>
                  <w:r>
                    <w:rPr>
                      <w:rFonts w:hint="eastAsia"/>
                      <w:color w:val="auto"/>
                      <w:kern w:val="0"/>
                      <w:szCs w:val="21"/>
                      <w:lang w:val="en-US" w:eastAsia="zh-CN"/>
                    </w:rPr>
                    <w:t>固态</w:t>
                  </w:r>
                </w:p>
              </w:tc>
              <w:tc>
                <w:tcPr>
                  <w:tcW w:w="1944" w:type="dxa"/>
                  <w:tcBorders>
                    <w:top w:val="single" w:color="auto" w:sz="4" w:space="0"/>
                    <w:left w:val="single" w:color="auto" w:sz="4" w:space="0"/>
                    <w:bottom w:val="single" w:color="auto" w:sz="4" w:space="0"/>
                    <w:right w:val="single" w:color="auto" w:sz="4" w:space="0"/>
                  </w:tcBorders>
                  <w:shd w:val="clear" w:color="auto" w:fill="auto"/>
                  <w:vAlign w:val="center"/>
                </w:tcPr>
                <w:p w14:paraId="47719B60">
                  <w:pPr>
                    <w:tabs>
                      <w:tab w:val="right" w:leader="dot" w:pos="8834"/>
                    </w:tabs>
                    <w:jc w:val="center"/>
                    <w:rPr>
                      <w:rFonts w:ascii="Times New Roman" w:hAnsi="Times New Roman" w:eastAsia="宋体" w:cs="Times New Roman"/>
                      <w:color w:val="auto"/>
                      <w:kern w:val="0"/>
                      <w:sz w:val="21"/>
                      <w:szCs w:val="21"/>
                      <w:lang w:val="en-US" w:eastAsia="zh-CN" w:bidi="ar-SA"/>
                    </w:rPr>
                  </w:pPr>
                  <w:r>
                    <w:rPr>
                      <w:rFonts w:hint="default" w:ascii="Times New Roman" w:hAnsi="Times New Roman" w:cs="Times New Roman"/>
                      <w:color w:val="auto"/>
                      <w:kern w:val="0"/>
                      <w:sz w:val="21"/>
                      <w:szCs w:val="21"/>
                    </w:rPr>
                    <w:t>一般固废</w:t>
                  </w:r>
                  <w:r>
                    <w:rPr>
                      <w:rFonts w:hint="eastAsia" w:ascii="Times New Roman" w:hAnsi="Times New Roman" w:cs="Times New Roman"/>
                      <w:color w:val="auto"/>
                      <w:kern w:val="0"/>
                      <w:sz w:val="21"/>
                      <w:szCs w:val="21"/>
                      <w:lang w:val="en-US" w:eastAsia="zh-CN"/>
                    </w:rPr>
                    <w:t>SW17-</w:t>
                  </w:r>
                  <w:r>
                    <w:rPr>
                      <w:rFonts w:hint="eastAsia" w:ascii="Times New Roman" w:hAnsi="Times New Roman" w:eastAsia="宋体" w:cs="Times New Roman"/>
                      <w:color w:val="auto"/>
                      <w:kern w:val="0"/>
                      <w:szCs w:val="21"/>
                      <w:lang w:val="en-US" w:eastAsia="zh-CN"/>
                    </w:rPr>
                    <w:t>900-00</w:t>
                  </w:r>
                  <w:r>
                    <w:rPr>
                      <w:rFonts w:hint="eastAsia" w:cs="Times New Roman"/>
                      <w:color w:val="auto"/>
                      <w:kern w:val="0"/>
                      <w:szCs w:val="21"/>
                      <w:lang w:val="en-US" w:eastAsia="zh-CN"/>
                    </w:rPr>
                    <w:t>1</w:t>
                  </w:r>
                  <w:r>
                    <w:rPr>
                      <w:rFonts w:hint="eastAsia" w:ascii="Times New Roman" w:hAnsi="Times New Roman" w:eastAsia="宋体" w:cs="Times New Roman"/>
                      <w:color w:val="auto"/>
                      <w:kern w:val="0"/>
                      <w:szCs w:val="21"/>
                      <w:lang w:val="en-US" w:eastAsia="zh-CN"/>
                    </w:rPr>
                    <w:t>-S17</w:t>
                  </w:r>
                </w:p>
              </w:tc>
              <w:tc>
                <w:tcPr>
                  <w:tcW w:w="945" w:type="dxa"/>
                  <w:tcBorders>
                    <w:top w:val="single" w:color="auto" w:sz="4" w:space="0"/>
                    <w:left w:val="single" w:color="auto" w:sz="4" w:space="0"/>
                    <w:bottom w:val="single" w:color="auto" w:sz="4" w:space="0"/>
                    <w:right w:val="single" w:color="auto" w:sz="4" w:space="0"/>
                  </w:tcBorders>
                  <w:shd w:val="clear" w:color="auto" w:fill="auto"/>
                  <w:vAlign w:val="center"/>
                </w:tcPr>
                <w:p w14:paraId="78A6D777">
                  <w:pPr>
                    <w:jc w:val="center"/>
                    <w:rPr>
                      <w:rFonts w:hint="default" w:ascii="Times New Roman" w:hAnsi="Times New Roman" w:eastAsia="宋体" w:cs="Times New Roman"/>
                      <w:color w:val="auto"/>
                      <w:kern w:val="0"/>
                      <w:sz w:val="21"/>
                      <w:szCs w:val="21"/>
                      <w:lang w:val="en-US" w:eastAsia="zh-CN" w:bidi="ar-SA"/>
                    </w:rPr>
                  </w:pPr>
                  <w:r>
                    <w:rPr>
                      <w:rFonts w:hint="eastAsia"/>
                      <w:color w:val="auto"/>
                      <w:kern w:val="0"/>
                      <w:szCs w:val="21"/>
                      <w:lang w:val="en-US" w:eastAsia="zh-CN"/>
                    </w:rPr>
                    <w:t>1.5</w:t>
                  </w:r>
                </w:p>
              </w:tc>
              <w:tc>
                <w:tcPr>
                  <w:tcW w:w="1328" w:type="dxa"/>
                  <w:vMerge w:val="restart"/>
                  <w:tcBorders>
                    <w:top w:val="single" w:color="auto" w:sz="4" w:space="0"/>
                    <w:left w:val="single" w:color="auto" w:sz="4" w:space="0"/>
                    <w:right w:val="single" w:color="auto" w:sz="4" w:space="0"/>
                  </w:tcBorders>
                  <w:vAlign w:val="center"/>
                </w:tcPr>
                <w:p w14:paraId="5B2F41CD">
                  <w:pPr>
                    <w:jc w:val="center"/>
                    <w:rPr>
                      <w:bCs/>
                      <w:color w:val="auto"/>
                      <w:kern w:val="0"/>
                      <w:szCs w:val="21"/>
                    </w:rPr>
                  </w:pPr>
                  <w:r>
                    <w:rPr>
                      <w:bCs/>
                      <w:color w:val="auto"/>
                      <w:kern w:val="0"/>
                      <w:szCs w:val="21"/>
                    </w:rPr>
                    <w:t>收集后统一外售处理</w:t>
                  </w:r>
                </w:p>
              </w:tc>
              <w:tc>
                <w:tcPr>
                  <w:tcW w:w="1105" w:type="dxa"/>
                  <w:tcBorders>
                    <w:top w:val="single" w:color="auto" w:sz="4" w:space="0"/>
                    <w:left w:val="single" w:color="auto" w:sz="4" w:space="0"/>
                    <w:bottom w:val="single" w:color="auto" w:sz="4" w:space="0"/>
                    <w:right w:val="single" w:color="auto" w:sz="4" w:space="0"/>
                  </w:tcBorders>
                  <w:vAlign w:val="center"/>
                </w:tcPr>
                <w:p w14:paraId="27B488D6">
                  <w:pPr>
                    <w:jc w:val="center"/>
                    <w:rPr>
                      <w:bCs/>
                      <w:color w:val="auto"/>
                      <w:kern w:val="0"/>
                      <w:szCs w:val="21"/>
                    </w:rPr>
                  </w:pPr>
                  <w:r>
                    <w:rPr>
                      <w:bCs/>
                      <w:color w:val="auto"/>
                      <w:kern w:val="0"/>
                      <w:szCs w:val="21"/>
                    </w:rPr>
                    <w:t>是</w:t>
                  </w:r>
                </w:p>
              </w:tc>
            </w:tr>
            <w:tr w14:paraId="5711F5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3" w:hRule="atLeast"/>
                <w:jc w:val="center"/>
              </w:trPr>
              <w:tc>
                <w:tcPr>
                  <w:tcW w:w="356" w:type="dxa"/>
                  <w:tcBorders>
                    <w:top w:val="single" w:color="auto" w:sz="4" w:space="0"/>
                    <w:left w:val="single" w:color="auto" w:sz="4" w:space="0"/>
                    <w:bottom w:val="single" w:color="auto" w:sz="4" w:space="0"/>
                    <w:right w:val="single" w:color="auto" w:sz="4" w:space="0"/>
                  </w:tcBorders>
                  <w:vAlign w:val="center"/>
                </w:tcPr>
                <w:p w14:paraId="1EFF288C">
                  <w:pPr>
                    <w:jc w:val="center"/>
                    <w:rPr>
                      <w:rFonts w:hint="eastAsia"/>
                      <w:bCs/>
                      <w:color w:val="auto"/>
                      <w:kern w:val="0"/>
                      <w:szCs w:val="21"/>
                      <w:lang w:val="en-US" w:eastAsia="zh-CN"/>
                    </w:rPr>
                  </w:pPr>
                  <w:r>
                    <w:rPr>
                      <w:rFonts w:hint="eastAsia"/>
                      <w:bCs/>
                      <w:color w:val="auto"/>
                      <w:kern w:val="0"/>
                      <w:szCs w:val="21"/>
                      <w:lang w:val="en-US" w:eastAsia="zh-CN"/>
                    </w:rPr>
                    <w:t>2</w:t>
                  </w:r>
                </w:p>
              </w:tc>
              <w:tc>
                <w:tcPr>
                  <w:tcW w:w="1214" w:type="dxa"/>
                  <w:tcBorders>
                    <w:top w:val="single" w:color="auto" w:sz="4" w:space="0"/>
                    <w:left w:val="single" w:color="auto" w:sz="4" w:space="0"/>
                    <w:bottom w:val="single" w:color="auto" w:sz="4" w:space="0"/>
                    <w:right w:val="single" w:color="auto" w:sz="4" w:space="0"/>
                  </w:tcBorders>
                  <w:shd w:val="clear" w:color="auto" w:fill="auto"/>
                  <w:vAlign w:val="center"/>
                </w:tcPr>
                <w:p w14:paraId="04B9AD8A">
                  <w:pPr>
                    <w:jc w:val="center"/>
                    <w:rPr>
                      <w:rFonts w:hint="default"/>
                      <w:color w:val="auto"/>
                      <w:kern w:val="0"/>
                      <w:szCs w:val="21"/>
                      <w:lang w:val="en-US" w:eastAsia="zh-CN"/>
                    </w:rPr>
                  </w:pPr>
                  <w:r>
                    <w:rPr>
                      <w:rFonts w:hint="eastAsia"/>
                      <w:color w:val="auto"/>
                      <w:kern w:val="0"/>
                      <w:szCs w:val="21"/>
                      <w:lang w:val="en-US" w:eastAsia="zh-CN"/>
                    </w:rPr>
                    <w:t>废陶瓷壳</w:t>
                  </w:r>
                </w:p>
              </w:tc>
              <w:tc>
                <w:tcPr>
                  <w:tcW w:w="765" w:type="dxa"/>
                  <w:tcBorders>
                    <w:top w:val="single" w:color="auto" w:sz="4" w:space="0"/>
                    <w:left w:val="single" w:color="auto" w:sz="4" w:space="0"/>
                    <w:right w:val="single" w:color="auto" w:sz="4" w:space="0"/>
                  </w:tcBorders>
                  <w:shd w:val="clear" w:color="auto" w:fill="auto"/>
                  <w:vAlign w:val="center"/>
                </w:tcPr>
                <w:p w14:paraId="3808F65E">
                  <w:pPr>
                    <w:jc w:val="center"/>
                    <w:rPr>
                      <w:rFonts w:hint="default"/>
                      <w:color w:val="auto"/>
                      <w:kern w:val="0"/>
                      <w:szCs w:val="21"/>
                      <w:lang w:val="en-US" w:eastAsia="zh-CN"/>
                    </w:rPr>
                  </w:pPr>
                  <w:r>
                    <w:rPr>
                      <w:rFonts w:hint="eastAsia"/>
                      <w:color w:val="auto"/>
                      <w:kern w:val="0"/>
                      <w:szCs w:val="21"/>
                      <w:lang w:val="en-US" w:eastAsia="zh-CN"/>
                    </w:rPr>
                    <w:t>振壳</w:t>
                  </w:r>
                </w:p>
              </w:tc>
              <w:tc>
                <w:tcPr>
                  <w:tcW w:w="660" w:type="dxa"/>
                  <w:tcBorders>
                    <w:top w:val="single" w:color="auto" w:sz="4" w:space="0"/>
                    <w:left w:val="single" w:color="auto" w:sz="4" w:space="0"/>
                    <w:bottom w:val="single" w:color="auto" w:sz="4" w:space="0"/>
                    <w:right w:val="single" w:color="auto" w:sz="4" w:space="0"/>
                  </w:tcBorders>
                  <w:shd w:val="clear" w:color="auto" w:fill="auto"/>
                  <w:vAlign w:val="center"/>
                </w:tcPr>
                <w:p w14:paraId="1369211D">
                  <w:pPr>
                    <w:jc w:val="center"/>
                    <w:rPr>
                      <w:rFonts w:hint="eastAsia"/>
                      <w:color w:val="auto"/>
                      <w:kern w:val="0"/>
                      <w:szCs w:val="21"/>
                      <w:lang w:val="en-US" w:eastAsia="zh-CN"/>
                    </w:rPr>
                  </w:pPr>
                  <w:r>
                    <w:rPr>
                      <w:rFonts w:hint="eastAsia"/>
                      <w:color w:val="auto"/>
                      <w:kern w:val="0"/>
                      <w:szCs w:val="21"/>
                      <w:lang w:val="en-US" w:eastAsia="zh-CN"/>
                    </w:rPr>
                    <w:t>固态</w:t>
                  </w:r>
                </w:p>
              </w:tc>
              <w:tc>
                <w:tcPr>
                  <w:tcW w:w="1944" w:type="dxa"/>
                  <w:tcBorders>
                    <w:top w:val="single" w:color="auto" w:sz="4" w:space="0"/>
                    <w:left w:val="single" w:color="auto" w:sz="4" w:space="0"/>
                    <w:bottom w:val="single" w:color="auto" w:sz="4" w:space="0"/>
                    <w:right w:val="single" w:color="auto" w:sz="4" w:space="0"/>
                  </w:tcBorders>
                  <w:shd w:val="clear" w:color="auto" w:fill="auto"/>
                  <w:vAlign w:val="center"/>
                </w:tcPr>
                <w:p w14:paraId="716E4841">
                  <w:pPr>
                    <w:tabs>
                      <w:tab w:val="right" w:leader="dot" w:pos="8834"/>
                    </w:tabs>
                    <w:jc w:val="center"/>
                    <w:rPr>
                      <w:rFonts w:hint="default" w:ascii="Times New Roman" w:hAnsi="Times New Roman" w:cs="Times New Roman"/>
                      <w:color w:val="auto"/>
                      <w:kern w:val="0"/>
                      <w:sz w:val="21"/>
                      <w:szCs w:val="21"/>
                      <w:lang w:val="en-US"/>
                    </w:rPr>
                  </w:pPr>
                  <w:r>
                    <w:rPr>
                      <w:rFonts w:hint="default" w:ascii="Times New Roman" w:hAnsi="Times New Roman" w:cs="Times New Roman"/>
                      <w:color w:val="auto"/>
                      <w:kern w:val="0"/>
                      <w:sz w:val="21"/>
                      <w:szCs w:val="21"/>
                    </w:rPr>
                    <w:t>一般固废</w:t>
                  </w:r>
                  <w:r>
                    <w:rPr>
                      <w:rFonts w:hint="eastAsia" w:ascii="Times New Roman" w:hAnsi="Times New Roman" w:cs="Times New Roman"/>
                      <w:color w:val="auto"/>
                      <w:kern w:val="0"/>
                      <w:sz w:val="21"/>
                      <w:szCs w:val="21"/>
                      <w:lang w:val="en-US" w:eastAsia="zh-CN"/>
                    </w:rPr>
                    <w:t>SW</w:t>
                  </w:r>
                  <w:r>
                    <w:rPr>
                      <w:rFonts w:hint="eastAsia" w:cs="Times New Roman"/>
                      <w:color w:val="auto"/>
                      <w:kern w:val="0"/>
                      <w:sz w:val="21"/>
                      <w:szCs w:val="21"/>
                      <w:lang w:val="en-US" w:eastAsia="zh-CN"/>
                    </w:rPr>
                    <w:t>59</w:t>
                  </w:r>
                  <w:r>
                    <w:rPr>
                      <w:rFonts w:hint="eastAsia" w:ascii="Times New Roman" w:hAnsi="Times New Roman" w:cs="Times New Roman"/>
                      <w:color w:val="auto"/>
                      <w:kern w:val="0"/>
                      <w:sz w:val="21"/>
                      <w:szCs w:val="21"/>
                      <w:lang w:val="en-US" w:eastAsia="zh-CN"/>
                    </w:rPr>
                    <w:t>-</w:t>
                  </w:r>
                  <w:r>
                    <w:rPr>
                      <w:rFonts w:hint="eastAsia" w:ascii="Times New Roman" w:hAnsi="Times New Roman" w:eastAsia="宋体" w:cs="Times New Roman"/>
                      <w:color w:val="auto"/>
                      <w:kern w:val="0"/>
                      <w:szCs w:val="21"/>
                      <w:lang w:val="en-US" w:eastAsia="zh-CN"/>
                    </w:rPr>
                    <w:t>900-0</w:t>
                  </w:r>
                  <w:r>
                    <w:rPr>
                      <w:rFonts w:hint="eastAsia" w:cs="Times New Roman"/>
                      <w:color w:val="auto"/>
                      <w:kern w:val="0"/>
                      <w:szCs w:val="21"/>
                      <w:lang w:val="en-US" w:eastAsia="zh-CN"/>
                    </w:rPr>
                    <w:t>99-S59</w:t>
                  </w:r>
                </w:p>
              </w:tc>
              <w:tc>
                <w:tcPr>
                  <w:tcW w:w="945" w:type="dxa"/>
                  <w:tcBorders>
                    <w:top w:val="single" w:color="auto" w:sz="4" w:space="0"/>
                    <w:left w:val="single" w:color="auto" w:sz="4" w:space="0"/>
                    <w:bottom w:val="single" w:color="auto" w:sz="4" w:space="0"/>
                    <w:right w:val="single" w:color="auto" w:sz="4" w:space="0"/>
                  </w:tcBorders>
                  <w:shd w:val="clear" w:color="auto" w:fill="auto"/>
                  <w:vAlign w:val="center"/>
                </w:tcPr>
                <w:p w14:paraId="3BC83AA3">
                  <w:pPr>
                    <w:jc w:val="center"/>
                    <w:rPr>
                      <w:rFonts w:hint="default"/>
                      <w:color w:val="auto"/>
                      <w:kern w:val="0"/>
                      <w:szCs w:val="21"/>
                      <w:lang w:val="en-US" w:eastAsia="zh-CN"/>
                    </w:rPr>
                  </w:pPr>
                  <w:r>
                    <w:rPr>
                      <w:rFonts w:hint="eastAsia"/>
                      <w:color w:val="auto"/>
                      <w:kern w:val="0"/>
                      <w:szCs w:val="21"/>
                      <w:lang w:val="en-US" w:eastAsia="zh-CN"/>
                    </w:rPr>
                    <w:t>0.5</w:t>
                  </w:r>
                </w:p>
              </w:tc>
              <w:tc>
                <w:tcPr>
                  <w:tcW w:w="1328" w:type="dxa"/>
                  <w:vMerge w:val="continue"/>
                  <w:tcBorders>
                    <w:left w:val="single" w:color="auto" w:sz="4" w:space="0"/>
                    <w:right w:val="single" w:color="auto" w:sz="4" w:space="0"/>
                  </w:tcBorders>
                  <w:vAlign w:val="center"/>
                </w:tcPr>
                <w:p w14:paraId="6AFFA0EF">
                  <w:pPr>
                    <w:jc w:val="center"/>
                    <w:rPr>
                      <w:bCs/>
                      <w:color w:val="auto"/>
                      <w:kern w:val="0"/>
                      <w:szCs w:val="21"/>
                    </w:rPr>
                  </w:pPr>
                </w:p>
              </w:tc>
              <w:tc>
                <w:tcPr>
                  <w:tcW w:w="1105" w:type="dxa"/>
                  <w:tcBorders>
                    <w:top w:val="single" w:color="auto" w:sz="4" w:space="0"/>
                    <w:left w:val="single" w:color="auto" w:sz="4" w:space="0"/>
                    <w:bottom w:val="single" w:color="auto" w:sz="4" w:space="0"/>
                    <w:right w:val="single" w:color="auto" w:sz="4" w:space="0"/>
                  </w:tcBorders>
                  <w:vAlign w:val="center"/>
                </w:tcPr>
                <w:p w14:paraId="3720F58C">
                  <w:pPr>
                    <w:jc w:val="center"/>
                    <w:rPr>
                      <w:rFonts w:hint="eastAsia" w:eastAsia="宋体"/>
                      <w:bCs/>
                      <w:color w:val="auto"/>
                      <w:kern w:val="0"/>
                      <w:szCs w:val="21"/>
                      <w:lang w:eastAsia="zh-CN"/>
                    </w:rPr>
                  </w:pPr>
                  <w:r>
                    <w:rPr>
                      <w:rFonts w:hint="eastAsia"/>
                      <w:bCs/>
                      <w:color w:val="auto"/>
                      <w:kern w:val="0"/>
                      <w:szCs w:val="21"/>
                      <w:lang w:eastAsia="zh-CN"/>
                    </w:rPr>
                    <w:t>是</w:t>
                  </w:r>
                </w:p>
              </w:tc>
            </w:tr>
            <w:tr w14:paraId="4A42BD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3" w:hRule="atLeast"/>
                <w:jc w:val="center"/>
              </w:trPr>
              <w:tc>
                <w:tcPr>
                  <w:tcW w:w="356" w:type="dxa"/>
                  <w:tcBorders>
                    <w:top w:val="single" w:color="auto" w:sz="4" w:space="0"/>
                    <w:left w:val="single" w:color="auto" w:sz="4" w:space="0"/>
                    <w:bottom w:val="single" w:color="auto" w:sz="4" w:space="0"/>
                    <w:right w:val="single" w:color="auto" w:sz="4" w:space="0"/>
                  </w:tcBorders>
                  <w:vAlign w:val="center"/>
                </w:tcPr>
                <w:p w14:paraId="43094960">
                  <w:pPr>
                    <w:jc w:val="center"/>
                    <w:rPr>
                      <w:rFonts w:hint="default" w:eastAsia="宋体"/>
                      <w:bCs/>
                      <w:color w:val="auto"/>
                      <w:kern w:val="0"/>
                      <w:szCs w:val="21"/>
                      <w:lang w:val="en-US" w:eastAsia="zh-CN"/>
                    </w:rPr>
                  </w:pPr>
                  <w:r>
                    <w:rPr>
                      <w:rFonts w:hint="eastAsia"/>
                      <w:bCs/>
                      <w:color w:val="auto"/>
                      <w:kern w:val="0"/>
                      <w:szCs w:val="21"/>
                      <w:lang w:val="en-US" w:eastAsia="zh-CN"/>
                    </w:rPr>
                    <w:t>3</w:t>
                  </w:r>
                </w:p>
              </w:tc>
              <w:tc>
                <w:tcPr>
                  <w:tcW w:w="1214" w:type="dxa"/>
                  <w:tcBorders>
                    <w:top w:val="single" w:color="auto" w:sz="4" w:space="0"/>
                    <w:left w:val="single" w:color="auto" w:sz="4" w:space="0"/>
                    <w:bottom w:val="single" w:color="auto" w:sz="4" w:space="0"/>
                    <w:right w:val="single" w:color="auto" w:sz="4" w:space="0"/>
                  </w:tcBorders>
                  <w:shd w:val="clear" w:color="auto" w:fill="auto"/>
                  <w:vAlign w:val="center"/>
                </w:tcPr>
                <w:p w14:paraId="5799E03A">
                  <w:pPr>
                    <w:jc w:val="center"/>
                    <w:rPr>
                      <w:rFonts w:ascii="Times New Roman" w:hAnsi="Times New Roman" w:eastAsia="宋体" w:cs="Times New Roman"/>
                      <w:color w:val="auto"/>
                      <w:kern w:val="0"/>
                      <w:sz w:val="21"/>
                      <w:szCs w:val="21"/>
                      <w:lang w:val="en-US" w:eastAsia="zh-CN" w:bidi="ar-SA"/>
                    </w:rPr>
                  </w:pPr>
                  <w:r>
                    <w:rPr>
                      <w:rFonts w:hint="eastAsia"/>
                      <w:color w:val="auto"/>
                      <w:kern w:val="0"/>
                      <w:szCs w:val="21"/>
                      <w:lang w:val="en-US" w:eastAsia="zh-CN"/>
                    </w:rPr>
                    <w:t>除尘灰</w:t>
                  </w:r>
                </w:p>
              </w:tc>
              <w:tc>
                <w:tcPr>
                  <w:tcW w:w="765" w:type="dxa"/>
                  <w:tcBorders>
                    <w:top w:val="single" w:color="auto" w:sz="4" w:space="0"/>
                    <w:left w:val="single" w:color="auto" w:sz="4" w:space="0"/>
                    <w:right w:val="single" w:color="auto" w:sz="4" w:space="0"/>
                  </w:tcBorders>
                  <w:shd w:val="clear" w:color="auto" w:fill="auto"/>
                  <w:vAlign w:val="center"/>
                </w:tcPr>
                <w:p w14:paraId="7DDAC78E">
                  <w:pPr>
                    <w:jc w:val="center"/>
                    <w:rPr>
                      <w:rFonts w:hint="default" w:ascii="Times New Roman" w:hAnsi="Times New Roman" w:eastAsia="宋体" w:cs="Times New Roman"/>
                      <w:color w:val="auto"/>
                      <w:kern w:val="0"/>
                      <w:sz w:val="21"/>
                      <w:szCs w:val="21"/>
                      <w:lang w:val="en-US" w:eastAsia="zh-CN" w:bidi="ar-SA"/>
                    </w:rPr>
                  </w:pPr>
                  <w:r>
                    <w:rPr>
                      <w:rFonts w:hint="eastAsia"/>
                      <w:color w:val="auto"/>
                      <w:kern w:val="0"/>
                      <w:szCs w:val="21"/>
                      <w:lang w:val="en-US" w:eastAsia="zh-CN"/>
                    </w:rPr>
                    <w:t>喷砂</w:t>
                  </w:r>
                </w:p>
              </w:tc>
              <w:tc>
                <w:tcPr>
                  <w:tcW w:w="660" w:type="dxa"/>
                  <w:tcBorders>
                    <w:top w:val="single" w:color="auto" w:sz="4" w:space="0"/>
                    <w:left w:val="single" w:color="auto" w:sz="4" w:space="0"/>
                    <w:bottom w:val="single" w:color="auto" w:sz="4" w:space="0"/>
                    <w:right w:val="single" w:color="auto" w:sz="4" w:space="0"/>
                  </w:tcBorders>
                  <w:shd w:val="clear" w:color="auto" w:fill="auto"/>
                  <w:vAlign w:val="center"/>
                </w:tcPr>
                <w:p w14:paraId="59790884">
                  <w:pPr>
                    <w:jc w:val="center"/>
                    <w:rPr>
                      <w:rFonts w:ascii="Times New Roman" w:hAnsi="Times New Roman" w:eastAsia="宋体" w:cs="Times New Roman"/>
                      <w:color w:val="auto"/>
                      <w:kern w:val="0"/>
                      <w:sz w:val="21"/>
                      <w:szCs w:val="21"/>
                      <w:lang w:val="en-US" w:eastAsia="zh-CN" w:bidi="ar-SA"/>
                    </w:rPr>
                  </w:pPr>
                  <w:r>
                    <w:rPr>
                      <w:rFonts w:hint="eastAsia"/>
                      <w:color w:val="auto"/>
                      <w:kern w:val="0"/>
                      <w:szCs w:val="21"/>
                      <w:lang w:val="en-US" w:eastAsia="zh-CN"/>
                    </w:rPr>
                    <w:t>固态</w:t>
                  </w:r>
                </w:p>
              </w:tc>
              <w:tc>
                <w:tcPr>
                  <w:tcW w:w="1944" w:type="dxa"/>
                  <w:tcBorders>
                    <w:top w:val="single" w:color="auto" w:sz="4" w:space="0"/>
                    <w:left w:val="single" w:color="auto" w:sz="4" w:space="0"/>
                    <w:bottom w:val="single" w:color="auto" w:sz="4" w:space="0"/>
                    <w:right w:val="single" w:color="auto" w:sz="4" w:space="0"/>
                  </w:tcBorders>
                  <w:shd w:val="clear" w:color="auto" w:fill="auto"/>
                  <w:vAlign w:val="center"/>
                </w:tcPr>
                <w:p w14:paraId="297722EF">
                  <w:pPr>
                    <w:tabs>
                      <w:tab w:val="right" w:leader="dot" w:pos="8834"/>
                    </w:tabs>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cs="Times New Roman"/>
                      <w:color w:val="auto"/>
                      <w:kern w:val="0"/>
                      <w:sz w:val="21"/>
                      <w:szCs w:val="21"/>
                    </w:rPr>
                    <w:t>一般固废</w:t>
                  </w:r>
                  <w:r>
                    <w:rPr>
                      <w:rFonts w:hint="eastAsia" w:ascii="Times New Roman" w:hAnsi="Times New Roman" w:cs="Times New Roman"/>
                      <w:color w:val="auto"/>
                      <w:kern w:val="0"/>
                      <w:sz w:val="21"/>
                      <w:szCs w:val="21"/>
                      <w:lang w:val="en-US" w:eastAsia="zh-CN"/>
                    </w:rPr>
                    <w:t>SW17-</w:t>
                  </w:r>
                  <w:r>
                    <w:rPr>
                      <w:rFonts w:hint="eastAsia" w:ascii="Times New Roman" w:hAnsi="Times New Roman" w:eastAsia="宋体" w:cs="Times New Roman"/>
                      <w:color w:val="auto"/>
                      <w:kern w:val="0"/>
                      <w:szCs w:val="21"/>
                      <w:lang w:val="en-US" w:eastAsia="zh-CN"/>
                    </w:rPr>
                    <w:t>900-00</w:t>
                  </w:r>
                  <w:r>
                    <w:rPr>
                      <w:rFonts w:hint="eastAsia" w:cs="Times New Roman"/>
                      <w:color w:val="auto"/>
                      <w:kern w:val="0"/>
                      <w:szCs w:val="21"/>
                      <w:lang w:val="en-US" w:eastAsia="zh-CN"/>
                    </w:rPr>
                    <w:t>1</w:t>
                  </w:r>
                  <w:r>
                    <w:rPr>
                      <w:rFonts w:hint="eastAsia" w:ascii="Times New Roman" w:hAnsi="Times New Roman" w:eastAsia="宋体" w:cs="Times New Roman"/>
                      <w:color w:val="auto"/>
                      <w:kern w:val="0"/>
                      <w:szCs w:val="21"/>
                      <w:lang w:val="en-US" w:eastAsia="zh-CN"/>
                    </w:rPr>
                    <w:t>-S17</w:t>
                  </w:r>
                </w:p>
              </w:tc>
              <w:tc>
                <w:tcPr>
                  <w:tcW w:w="945" w:type="dxa"/>
                  <w:tcBorders>
                    <w:top w:val="single" w:color="auto" w:sz="4" w:space="0"/>
                    <w:left w:val="single" w:color="auto" w:sz="4" w:space="0"/>
                    <w:bottom w:val="single" w:color="auto" w:sz="4" w:space="0"/>
                    <w:right w:val="single" w:color="auto" w:sz="4" w:space="0"/>
                  </w:tcBorders>
                  <w:shd w:val="clear" w:color="auto" w:fill="auto"/>
                  <w:vAlign w:val="center"/>
                </w:tcPr>
                <w:p w14:paraId="447EC9BE">
                  <w:pPr>
                    <w:jc w:val="center"/>
                    <w:rPr>
                      <w:rFonts w:hint="default" w:ascii="Times New Roman" w:hAnsi="Times New Roman" w:eastAsia="宋体" w:cs="Times New Roman"/>
                      <w:color w:val="auto"/>
                      <w:kern w:val="0"/>
                      <w:sz w:val="21"/>
                      <w:szCs w:val="21"/>
                      <w:lang w:val="en-US" w:eastAsia="zh-CN" w:bidi="ar-SA"/>
                    </w:rPr>
                  </w:pPr>
                  <w:r>
                    <w:rPr>
                      <w:rFonts w:hint="eastAsia" w:cs="Times New Roman"/>
                      <w:color w:val="auto"/>
                      <w:kern w:val="0"/>
                      <w:sz w:val="21"/>
                      <w:szCs w:val="21"/>
                      <w:lang w:val="en-US" w:eastAsia="zh-CN" w:bidi="ar-SA"/>
                    </w:rPr>
                    <w:t>0.0849</w:t>
                  </w:r>
                </w:p>
              </w:tc>
              <w:tc>
                <w:tcPr>
                  <w:tcW w:w="1328" w:type="dxa"/>
                  <w:vMerge w:val="continue"/>
                  <w:tcBorders>
                    <w:left w:val="single" w:color="auto" w:sz="4" w:space="0"/>
                    <w:right w:val="single" w:color="auto" w:sz="4" w:space="0"/>
                  </w:tcBorders>
                  <w:vAlign w:val="center"/>
                </w:tcPr>
                <w:p w14:paraId="42237F95">
                  <w:pPr>
                    <w:jc w:val="center"/>
                    <w:rPr>
                      <w:bCs/>
                      <w:color w:val="auto"/>
                      <w:kern w:val="0"/>
                      <w:szCs w:val="21"/>
                    </w:rPr>
                  </w:pPr>
                </w:p>
              </w:tc>
              <w:tc>
                <w:tcPr>
                  <w:tcW w:w="1105" w:type="dxa"/>
                  <w:tcBorders>
                    <w:top w:val="single" w:color="auto" w:sz="4" w:space="0"/>
                    <w:left w:val="single" w:color="auto" w:sz="4" w:space="0"/>
                    <w:bottom w:val="single" w:color="auto" w:sz="4" w:space="0"/>
                    <w:right w:val="single" w:color="auto" w:sz="4" w:space="0"/>
                  </w:tcBorders>
                  <w:vAlign w:val="center"/>
                </w:tcPr>
                <w:p w14:paraId="09200325">
                  <w:pPr>
                    <w:jc w:val="center"/>
                    <w:rPr>
                      <w:rFonts w:hint="eastAsia" w:eastAsia="宋体"/>
                      <w:bCs/>
                      <w:color w:val="auto"/>
                      <w:kern w:val="0"/>
                      <w:szCs w:val="21"/>
                      <w:lang w:eastAsia="zh-CN"/>
                    </w:rPr>
                  </w:pPr>
                  <w:r>
                    <w:rPr>
                      <w:rFonts w:hint="eastAsia"/>
                      <w:bCs/>
                      <w:color w:val="auto"/>
                      <w:kern w:val="0"/>
                      <w:szCs w:val="21"/>
                      <w:lang w:eastAsia="zh-CN"/>
                    </w:rPr>
                    <w:t>是</w:t>
                  </w:r>
                </w:p>
              </w:tc>
            </w:tr>
            <w:tr w14:paraId="789B13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3" w:hRule="atLeast"/>
                <w:jc w:val="center"/>
              </w:trPr>
              <w:tc>
                <w:tcPr>
                  <w:tcW w:w="356" w:type="dxa"/>
                  <w:tcBorders>
                    <w:top w:val="single" w:color="auto" w:sz="4" w:space="0"/>
                    <w:left w:val="single" w:color="auto" w:sz="4" w:space="0"/>
                    <w:bottom w:val="single" w:color="auto" w:sz="4" w:space="0"/>
                    <w:right w:val="single" w:color="auto" w:sz="4" w:space="0"/>
                  </w:tcBorders>
                  <w:vAlign w:val="center"/>
                </w:tcPr>
                <w:p w14:paraId="5279288D">
                  <w:pPr>
                    <w:jc w:val="center"/>
                    <w:rPr>
                      <w:rFonts w:hint="eastAsia"/>
                      <w:bCs/>
                      <w:color w:val="auto"/>
                      <w:kern w:val="0"/>
                      <w:szCs w:val="21"/>
                      <w:lang w:val="en-US" w:eastAsia="zh-CN"/>
                    </w:rPr>
                  </w:pPr>
                  <w:r>
                    <w:rPr>
                      <w:rFonts w:hint="eastAsia"/>
                      <w:bCs/>
                      <w:color w:val="auto"/>
                      <w:kern w:val="0"/>
                      <w:szCs w:val="21"/>
                      <w:lang w:val="en-US" w:eastAsia="zh-CN"/>
                    </w:rPr>
                    <w:t>4</w:t>
                  </w:r>
                </w:p>
              </w:tc>
              <w:tc>
                <w:tcPr>
                  <w:tcW w:w="1214" w:type="dxa"/>
                  <w:tcBorders>
                    <w:top w:val="single" w:color="auto" w:sz="4" w:space="0"/>
                    <w:left w:val="single" w:color="auto" w:sz="4" w:space="0"/>
                    <w:bottom w:val="single" w:color="auto" w:sz="4" w:space="0"/>
                    <w:right w:val="single" w:color="auto" w:sz="4" w:space="0"/>
                  </w:tcBorders>
                  <w:shd w:val="clear" w:color="auto" w:fill="auto"/>
                  <w:vAlign w:val="center"/>
                </w:tcPr>
                <w:p w14:paraId="4550B01E">
                  <w:pPr>
                    <w:jc w:val="center"/>
                    <w:rPr>
                      <w:rFonts w:hint="default"/>
                      <w:color w:val="auto"/>
                      <w:kern w:val="0"/>
                      <w:szCs w:val="21"/>
                      <w:lang w:val="en-US" w:eastAsia="zh-CN"/>
                    </w:rPr>
                  </w:pPr>
                  <w:r>
                    <w:rPr>
                      <w:rFonts w:hint="eastAsia"/>
                      <w:color w:val="auto"/>
                      <w:kern w:val="0"/>
                      <w:szCs w:val="21"/>
                      <w:lang w:val="en-US" w:eastAsia="zh-CN"/>
                    </w:rPr>
                    <w:t>废沉渣</w:t>
                  </w:r>
                </w:p>
              </w:tc>
              <w:tc>
                <w:tcPr>
                  <w:tcW w:w="765" w:type="dxa"/>
                  <w:tcBorders>
                    <w:top w:val="single" w:color="auto" w:sz="4" w:space="0"/>
                    <w:left w:val="single" w:color="auto" w:sz="4" w:space="0"/>
                    <w:right w:val="single" w:color="auto" w:sz="4" w:space="0"/>
                  </w:tcBorders>
                  <w:shd w:val="clear" w:color="auto" w:fill="auto"/>
                  <w:vAlign w:val="center"/>
                </w:tcPr>
                <w:p w14:paraId="449CB10F">
                  <w:pPr>
                    <w:jc w:val="center"/>
                    <w:rPr>
                      <w:rFonts w:hint="default"/>
                      <w:color w:val="auto"/>
                      <w:kern w:val="0"/>
                      <w:szCs w:val="21"/>
                      <w:lang w:val="en-US" w:eastAsia="zh-CN"/>
                    </w:rPr>
                  </w:pPr>
                  <w:r>
                    <w:rPr>
                      <w:rFonts w:hint="eastAsia"/>
                      <w:color w:val="auto"/>
                      <w:kern w:val="0"/>
                      <w:szCs w:val="21"/>
                      <w:lang w:val="en-US" w:eastAsia="zh-CN"/>
                    </w:rPr>
                    <w:t>打磨</w:t>
                  </w:r>
                </w:p>
              </w:tc>
              <w:tc>
                <w:tcPr>
                  <w:tcW w:w="660" w:type="dxa"/>
                  <w:tcBorders>
                    <w:top w:val="single" w:color="auto" w:sz="4" w:space="0"/>
                    <w:left w:val="single" w:color="auto" w:sz="4" w:space="0"/>
                    <w:bottom w:val="single" w:color="auto" w:sz="4" w:space="0"/>
                    <w:right w:val="single" w:color="auto" w:sz="4" w:space="0"/>
                  </w:tcBorders>
                  <w:shd w:val="clear" w:color="auto" w:fill="auto"/>
                  <w:vAlign w:val="center"/>
                </w:tcPr>
                <w:p w14:paraId="7822CDE7">
                  <w:pPr>
                    <w:jc w:val="center"/>
                    <w:rPr>
                      <w:rFonts w:hint="eastAsia"/>
                      <w:color w:val="auto"/>
                      <w:kern w:val="0"/>
                      <w:szCs w:val="21"/>
                      <w:lang w:val="en-US" w:eastAsia="zh-CN"/>
                    </w:rPr>
                  </w:pPr>
                  <w:r>
                    <w:rPr>
                      <w:rFonts w:hint="eastAsia"/>
                      <w:color w:val="auto"/>
                      <w:kern w:val="0"/>
                      <w:szCs w:val="21"/>
                      <w:lang w:val="en-US" w:eastAsia="zh-CN"/>
                    </w:rPr>
                    <w:t>固态</w:t>
                  </w:r>
                </w:p>
              </w:tc>
              <w:tc>
                <w:tcPr>
                  <w:tcW w:w="1944" w:type="dxa"/>
                  <w:tcBorders>
                    <w:top w:val="single" w:color="auto" w:sz="4" w:space="0"/>
                    <w:left w:val="single" w:color="auto" w:sz="4" w:space="0"/>
                    <w:bottom w:val="single" w:color="auto" w:sz="4" w:space="0"/>
                    <w:right w:val="single" w:color="auto" w:sz="4" w:space="0"/>
                  </w:tcBorders>
                  <w:shd w:val="clear" w:color="auto" w:fill="auto"/>
                  <w:vAlign w:val="center"/>
                </w:tcPr>
                <w:p w14:paraId="7EEB1291">
                  <w:pPr>
                    <w:tabs>
                      <w:tab w:val="right" w:leader="dot" w:pos="8834"/>
                    </w:tabs>
                    <w:jc w:val="center"/>
                    <w:rPr>
                      <w:rFonts w:hint="default" w:ascii="Times New Roman" w:hAnsi="Times New Roman" w:cs="Times New Roman"/>
                      <w:color w:val="auto"/>
                      <w:kern w:val="0"/>
                      <w:sz w:val="21"/>
                      <w:szCs w:val="21"/>
                    </w:rPr>
                  </w:pPr>
                  <w:r>
                    <w:rPr>
                      <w:rFonts w:hint="default" w:ascii="Times New Roman" w:hAnsi="Times New Roman" w:cs="Times New Roman"/>
                      <w:color w:val="auto"/>
                      <w:kern w:val="0"/>
                      <w:sz w:val="21"/>
                      <w:szCs w:val="21"/>
                    </w:rPr>
                    <w:t>一般固废</w:t>
                  </w:r>
                  <w:r>
                    <w:rPr>
                      <w:rFonts w:hint="eastAsia" w:ascii="Times New Roman" w:hAnsi="Times New Roman" w:cs="Times New Roman"/>
                      <w:color w:val="auto"/>
                      <w:kern w:val="0"/>
                      <w:sz w:val="21"/>
                      <w:szCs w:val="21"/>
                      <w:lang w:val="en-US" w:eastAsia="zh-CN"/>
                    </w:rPr>
                    <w:t>SW17-</w:t>
                  </w:r>
                  <w:r>
                    <w:rPr>
                      <w:rFonts w:hint="eastAsia" w:ascii="Times New Roman" w:hAnsi="Times New Roman" w:eastAsia="宋体" w:cs="Times New Roman"/>
                      <w:color w:val="auto"/>
                      <w:kern w:val="0"/>
                      <w:szCs w:val="21"/>
                      <w:lang w:val="en-US" w:eastAsia="zh-CN"/>
                    </w:rPr>
                    <w:t>900-00</w:t>
                  </w:r>
                  <w:r>
                    <w:rPr>
                      <w:rFonts w:hint="eastAsia" w:cs="Times New Roman"/>
                      <w:color w:val="auto"/>
                      <w:kern w:val="0"/>
                      <w:szCs w:val="21"/>
                      <w:lang w:val="en-US" w:eastAsia="zh-CN"/>
                    </w:rPr>
                    <w:t>1</w:t>
                  </w:r>
                  <w:r>
                    <w:rPr>
                      <w:rFonts w:hint="eastAsia" w:ascii="Times New Roman" w:hAnsi="Times New Roman" w:eastAsia="宋体" w:cs="Times New Roman"/>
                      <w:color w:val="auto"/>
                      <w:kern w:val="0"/>
                      <w:szCs w:val="21"/>
                      <w:lang w:val="en-US" w:eastAsia="zh-CN"/>
                    </w:rPr>
                    <w:t>-S17</w:t>
                  </w:r>
                </w:p>
              </w:tc>
              <w:tc>
                <w:tcPr>
                  <w:tcW w:w="945" w:type="dxa"/>
                  <w:tcBorders>
                    <w:top w:val="single" w:color="auto" w:sz="4" w:space="0"/>
                    <w:left w:val="single" w:color="auto" w:sz="4" w:space="0"/>
                    <w:bottom w:val="single" w:color="auto" w:sz="4" w:space="0"/>
                    <w:right w:val="single" w:color="auto" w:sz="4" w:space="0"/>
                  </w:tcBorders>
                  <w:shd w:val="clear" w:color="auto" w:fill="auto"/>
                  <w:vAlign w:val="center"/>
                </w:tcPr>
                <w:p w14:paraId="05017280">
                  <w:pPr>
                    <w:jc w:val="center"/>
                    <w:rPr>
                      <w:rFonts w:hint="default" w:ascii="Times New Roman" w:hAnsi="Times New Roman" w:eastAsia="宋体" w:cs="Times New Roman"/>
                      <w:color w:val="auto"/>
                      <w:kern w:val="0"/>
                      <w:sz w:val="21"/>
                      <w:szCs w:val="21"/>
                      <w:lang w:val="en-US" w:eastAsia="zh-CN" w:bidi="ar-SA"/>
                    </w:rPr>
                  </w:pPr>
                  <w:r>
                    <w:rPr>
                      <w:rFonts w:hint="eastAsia" w:cs="Times New Roman"/>
                      <w:color w:val="auto"/>
                      <w:kern w:val="0"/>
                      <w:sz w:val="21"/>
                      <w:szCs w:val="21"/>
                      <w:lang w:val="en-US" w:eastAsia="zh-CN" w:bidi="ar-SA"/>
                    </w:rPr>
                    <w:t>0.491</w:t>
                  </w:r>
                </w:p>
              </w:tc>
              <w:tc>
                <w:tcPr>
                  <w:tcW w:w="1328" w:type="dxa"/>
                  <w:vMerge w:val="continue"/>
                  <w:tcBorders>
                    <w:left w:val="single" w:color="auto" w:sz="4" w:space="0"/>
                    <w:right w:val="single" w:color="auto" w:sz="4" w:space="0"/>
                  </w:tcBorders>
                  <w:vAlign w:val="center"/>
                </w:tcPr>
                <w:p w14:paraId="12BB33E9">
                  <w:pPr>
                    <w:jc w:val="center"/>
                    <w:rPr>
                      <w:bCs/>
                      <w:color w:val="auto"/>
                      <w:kern w:val="0"/>
                      <w:szCs w:val="21"/>
                    </w:rPr>
                  </w:pPr>
                </w:p>
              </w:tc>
              <w:tc>
                <w:tcPr>
                  <w:tcW w:w="1105" w:type="dxa"/>
                  <w:tcBorders>
                    <w:top w:val="single" w:color="auto" w:sz="4" w:space="0"/>
                    <w:left w:val="single" w:color="auto" w:sz="4" w:space="0"/>
                    <w:bottom w:val="single" w:color="auto" w:sz="4" w:space="0"/>
                    <w:right w:val="single" w:color="auto" w:sz="4" w:space="0"/>
                  </w:tcBorders>
                  <w:vAlign w:val="center"/>
                </w:tcPr>
                <w:p w14:paraId="7264E500">
                  <w:pPr>
                    <w:jc w:val="center"/>
                    <w:rPr>
                      <w:rFonts w:hint="eastAsia"/>
                      <w:bCs/>
                      <w:color w:val="auto"/>
                      <w:kern w:val="0"/>
                      <w:szCs w:val="21"/>
                      <w:lang w:eastAsia="zh-CN"/>
                    </w:rPr>
                  </w:pPr>
                  <w:r>
                    <w:rPr>
                      <w:rFonts w:hint="eastAsia"/>
                      <w:bCs/>
                      <w:color w:val="auto"/>
                      <w:kern w:val="0"/>
                      <w:szCs w:val="21"/>
                      <w:lang w:eastAsia="zh-CN"/>
                    </w:rPr>
                    <w:t>是</w:t>
                  </w:r>
                </w:p>
              </w:tc>
            </w:tr>
            <w:tr w14:paraId="485863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3" w:hRule="atLeast"/>
                <w:jc w:val="center"/>
              </w:trPr>
              <w:tc>
                <w:tcPr>
                  <w:tcW w:w="356" w:type="dxa"/>
                  <w:tcBorders>
                    <w:top w:val="single" w:color="auto" w:sz="4" w:space="0"/>
                    <w:left w:val="single" w:color="auto" w:sz="4" w:space="0"/>
                    <w:bottom w:val="single" w:color="auto" w:sz="4" w:space="0"/>
                    <w:right w:val="single" w:color="auto" w:sz="4" w:space="0"/>
                  </w:tcBorders>
                  <w:vAlign w:val="center"/>
                </w:tcPr>
                <w:p w14:paraId="6B111676">
                  <w:pPr>
                    <w:jc w:val="center"/>
                    <w:rPr>
                      <w:rFonts w:hint="eastAsia"/>
                      <w:bCs/>
                      <w:color w:val="auto"/>
                      <w:kern w:val="0"/>
                      <w:szCs w:val="21"/>
                      <w:lang w:val="en-US" w:eastAsia="zh-CN"/>
                    </w:rPr>
                  </w:pPr>
                  <w:r>
                    <w:rPr>
                      <w:rFonts w:hint="eastAsia"/>
                      <w:bCs/>
                      <w:color w:val="auto"/>
                      <w:kern w:val="0"/>
                      <w:szCs w:val="21"/>
                      <w:lang w:val="en-US" w:eastAsia="zh-CN"/>
                    </w:rPr>
                    <w:t>5</w:t>
                  </w:r>
                </w:p>
              </w:tc>
              <w:tc>
                <w:tcPr>
                  <w:tcW w:w="1214" w:type="dxa"/>
                  <w:tcBorders>
                    <w:top w:val="single" w:color="auto" w:sz="4" w:space="0"/>
                    <w:left w:val="single" w:color="auto" w:sz="4" w:space="0"/>
                    <w:bottom w:val="single" w:color="auto" w:sz="4" w:space="0"/>
                    <w:right w:val="single" w:color="auto" w:sz="4" w:space="0"/>
                  </w:tcBorders>
                  <w:shd w:val="clear" w:color="auto" w:fill="auto"/>
                  <w:vAlign w:val="center"/>
                </w:tcPr>
                <w:p w14:paraId="0C164101">
                  <w:pPr>
                    <w:jc w:val="center"/>
                    <w:rPr>
                      <w:rFonts w:hint="default"/>
                      <w:color w:val="auto"/>
                      <w:kern w:val="0"/>
                      <w:szCs w:val="21"/>
                      <w:lang w:val="en-US" w:eastAsia="zh-CN"/>
                    </w:rPr>
                  </w:pPr>
                  <w:r>
                    <w:rPr>
                      <w:rFonts w:hint="eastAsia"/>
                      <w:color w:val="auto"/>
                      <w:kern w:val="0"/>
                      <w:szCs w:val="21"/>
                      <w:lang w:val="en-US" w:eastAsia="zh-CN"/>
                    </w:rPr>
                    <w:t>废布袋</w:t>
                  </w:r>
                </w:p>
              </w:tc>
              <w:tc>
                <w:tcPr>
                  <w:tcW w:w="765" w:type="dxa"/>
                  <w:tcBorders>
                    <w:top w:val="single" w:color="auto" w:sz="4" w:space="0"/>
                    <w:left w:val="single" w:color="auto" w:sz="4" w:space="0"/>
                    <w:right w:val="single" w:color="auto" w:sz="4" w:space="0"/>
                  </w:tcBorders>
                  <w:shd w:val="clear" w:color="auto" w:fill="auto"/>
                  <w:vAlign w:val="center"/>
                </w:tcPr>
                <w:p w14:paraId="5EC37EAB">
                  <w:pPr>
                    <w:jc w:val="center"/>
                    <w:rPr>
                      <w:rFonts w:hint="default"/>
                      <w:color w:val="auto"/>
                      <w:kern w:val="0"/>
                      <w:szCs w:val="21"/>
                      <w:lang w:val="en-US" w:eastAsia="zh-CN"/>
                    </w:rPr>
                  </w:pPr>
                  <w:r>
                    <w:rPr>
                      <w:rFonts w:hint="eastAsia"/>
                      <w:color w:val="auto"/>
                      <w:kern w:val="0"/>
                      <w:szCs w:val="21"/>
                      <w:lang w:val="en-US" w:eastAsia="zh-CN"/>
                    </w:rPr>
                    <w:t>废气处理</w:t>
                  </w:r>
                </w:p>
              </w:tc>
              <w:tc>
                <w:tcPr>
                  <w:tcW w:w="660" w:type="dxa"/>
                  <w:tcBorders>
                    <w:top w:val="single" w:color="auto" w:sz="4" w:space="0"/>
                    <w:left w:val="single" w:color="auto" w:sz="4" w:space="0"/>
                    <w:bottom w:val="single" w:color="auto" w:sz="4" w:space="0"/>
                    <w:right w:val="single" w:color="auto" w:sz="4" w:space="0"/>
                  </w:tcBorders>
                  <w:shd w:val="clear" w:color="auto" w:fill="auto"/>
                  <w:vAlign w:val="center"/>
                </w:tcPr>
                <w:p w14:paraId="609E4AC8">
                  <w:pPr>
                    <w:jc w:val="center"/>
                    <w:rPr>
                      <w:rFonts w:hint="default"/>
                      <w:color w:val="auto"/>
                      <w:kern w:val="0"/>
                      <w:szCs w:val="21"/>
                      <w:lang w:val="en-US" w:eastAsia="zh-CN"/>
                    </w:rPr>
                  </w:pPr>
                  <w:r>
                    <w:rPr>
                      <w:rFonts w:hint="eastAsia"/>
                      <w:color w:val="auto"/>
                      <w:kern w:val="0"/>
                      <w:szCs w:val="21"/>
                      <w:lang w:val="en-US" w:eastAsia="zh-CN"/>
                    </w:rPr>
                    <w:t>固态</w:t>
                  </w:r>
                </w:p>
              </w:tc>
              <w:tc>
                <w:tcPr>
                  <w:tcW w:w="1944" w:type="dxa"/>
                  <w:tcBorders>
                    <w:top w:val="single" w:color="auto" w:sz="4" w:space="0"/>
                    <w:left w:val="single" w:color="auto" w:sz="4" w:space="0"/>
                    <w:bottom w:val="single" w:color="auto" w:sz="4" w:space="0"/>
                    <w:right w:val="single" w:color="auto" w:sz="4" w:space="0"/>
                  </w:tcBorders>
                  <w:shd w:val="clear" w:color="auto" w:fill="auto"/>
                  <w:vAlign w:val="center"/>
                </w:tcPr>
                <w:p w14:paraId="29F0DCC6">
                  <w:pPr>
                    <w:tabs>
                      <w:tab w:val="right" w:leader="dot" w:pos="8834"/>
                    </w:tabs>
                    <w:jc w:val="center"/>
                    <w:rPr>
                      <w:rFonts w:hint="default" w:ascii="Times New Roman" w:hAnsi="Times New Roman" w:cs="Times New Roman"/>
                      <w:color w:val="auto"/>
                      <w:kern w:val="0"/>
                      <w:sz w:val="21"/>
                      <w:szCs w:val="21"/>
                    </w:rPr>
                  </w:pPr>
                  <w:r>
                    <w:rPr>
                      <w:rFonts w:hint="default" w:ascii="Times New Roman" w:hAnsi="Times New Roman" w:cs="Times New Roman"/>
                      <w:color w:val="auto"/>
                      <w:kern w:val="0"/>
                      <w:sz w:val="21"/>
                      <w:szCs w:val="21"/>
                    </w:rPr>
                    <w:t>一般固废</w:t>
                  </w:r>
                  <w:r>
                    <w:rPr>
                      <w:rFonts w:hint="eastAsia" w:ascii="Times New Roman" w:hAnsi="Times New Roman" w:cs="Times New Roman"/>
                      <w:color w:val="auto"/>
                      <w:kern w:val="0"/>
                      <w:sz w:val="21"/>
                      <w:szCs w:val="21"/>
                      <w:lang w:val="en-US" w:eastAsia="zh-CN"/>
                    </w:rPr>
                    <w:t>SW</w:t>
                  </w:r>
                  <w:r>
                    <w:rPr>
                      <w:rFonts w:hint="eastAsia" w:cs="Times New Roman"/>
                      <w:color w:val="auto"/>
                      <w:kern w:val="0"/>
                      <w:sz w:val="21"/>
                      <w:szCs w:val="21"/>
                      <w:lang w:val="en-US" w:eastAsia="zh-CN"/>
                    </w:rPr>
                    <w:t>59</w:t>
                  </w:r>
                  <w:r>
                    <w:rPr>
                      <w:rFonts w:hint="eastAsia" w:ascii="Times New Roman" w:hAnsi="Times New Roman" w:cs="Times New Roman"/>
                      <w:color w:val="auto"/>
                      <w:kern w:val="0"/>
                      <w:sz w:val="21"/>
                      <w:szCs w:val="21"/>
                      <w:lang w:val="en-US" w:eastAsia="zh-CN"/>
                    </w:rPr>
                    <w:t>-</w:t>
                  </w:r>
                  <w:r>
                    <w:rPr>
                      <w:rFonts w:hint="eastAsia" w:ascii="Times New Roman" w:hAnsi="Times New Roman" w:eastAsia="宋体" w:cs="Times New Roman"/>
                      <w:color w:val="auto"/>
                      <w:kern w:val="0"/>
                      <w:szCs w:val="21"/>
                      <w:lang w:val="en-US" w:eastAsia="zh-CN"/>
                    </w:rPr>
                    <w:t>900-0</w:t>
                  </w:r>
                  <w:r>
                    <w:rPr>
                      <w:rFonts w:hint="eastAsia" w:cs="Times New Roman"/>
                      <w:color w:val="auto"/>
                      <w:kern w:val="0"/>
                      <w:szCs w:val="21"/>
                      <w:lang w:val="en-US" w:eastAsia="zh-CN"/>
                    </w:rPr>
                    <w:t>99-S59</w:t>
                  </w:r>
                </w:p>
              </w:tc>
              <w:tc>
                <w:tcPr>
                  <w:tcW w:w="945" w:type="dxa"/>
                  <w:tcBorders>
                    <w:top w:val="single" w:color="auto" w:sz="4" w:space="0"/>
                    <w:left w:val="single" w:color="auto" w:sz="4" w:space="0"/>
                    <w:bottom w:val="single" w:color="auto" w:sz="4" w:space="0"/>
                    <w:right w:val="single" w:color="auto" w:sz="4" w:space="0"/>
                  </w:tcBorders>
                  <w:shd w:val="clear" w:color="auto" w:fill="auto"/>
                  <w:vAlign w:val="center"/>
                </w:tcPr>
                <w:p w14:paraId="1A9B8E39">
                  <w:pPr>
                    <w:jc w:val="center"/>
                    <w:rPr>
                      <w:rFonts w:hint="default" w:cs="Times New Roman"/>
                      <w:color w:val="auto"/>
                      <w:kern w:val="0"/>
                      <w:sz w:val="21"/>
                      <w:szCs w:val="21"/>
                      <w:lang w:val="en-US" w:eastAsia="zh-CN" w:bidi="ar-SA"/>
                    </w:rPr>
                  </w:pPr>
                  <w:r>
                    <w:rPr>
                      <w:rFonts w:hint="eastAsia" w:cs="Times New Roman"/>
                      <w:color w:val="auto"/>
                      <w:kern w:val="0"/>
                      <w:sz w:val="21"/>
                      <w:szCs w:val="21"/>
                      <w:lang w:val="en-US" w:eastAsia="zh-CN" w:bidi="ar-SA"/>
                    </w:rPr>
                    <w:t>0.1</w:t>
                  </w:r>
                </w:p>
              </w:tc>
              <w:tc>
                <w:tcPr>
                  <w:tcW w:w="1328" w:type="dxa"/>
                  <w:vMerge w:val="continue"/>
                  <w:tcBorders>
                    <w:left w:val="single" w:color="auto" w:sz="4" w:space="0"/>
                    <w:right w:val="single" w:color="auto" w:sz="4" w:space="0"/>
                  </w:tcBorders>
                  <w:vAlign w:val="center"/>
                </w:tcPr>
                <w:p w14:paraId="253E215A">
                  <w:pPr>
                    <w:jc w:val="center"/>
                    <w:rPr>
                      <w:bCs/>
                      <w:color w:val="auto"/>
                      <w:kern w:val="0"/>
                      <w:szCs w:val="21"/>
                    </w:rPr>
                  </w:pPr>
                </w:p>
              </w:tc>
              <w:tc>
                <w:tcPr>
                  <w:tcW w:w="1105" w:type="dxa"/>
                  <w:tcBorders>
                    <w:top w:val="single" w:color="auto" w:sz="4" w:space="0"/>
                    <w:left w:val="single" w:color="auto" w:sz="4" w:space="0"/>
                    <w:bottom w:val="single" w:color="auto" w:sz="4" w:space="0"/>
                    <w:right w:val="single" w:color="auto" w:sz="4" w:space="0"/>
                  </w:tcBorders>
                  <w:vAlign w:val="center"/>
                </w:tcPr>
                <w:p w14:paraId="65A9F038">
                  <w:pPr>
                    <w:jc w:val="center"/>
                    <w:rPr>
                      <w:rFonts w:hint="eastAsia"/>
                      <w:bCs/>
                      <w:color w:val="auto"/>
                      <w:kern w:val="0"/>
                      <w:szCs w:val="21"/>
                      <w:lang w:eastAsia="zh-CN"/>
                    </w:rPr>
                  </w:pPr>
                  <w:r>
                    <w:rPr>
                      <w:rFonts w:hint="eastAsia"/>
                      <w:bCs/>
                      <w:color w:val="auto"/>
                      <w:kern w:val="0"/>
                      <w:szCs w:val="21"/>
                      <w:lang w:eastAsia="zh-CN"/>
                    </w:rPr>
                    <w:t>是</w:t>
                  </w:r>
                </w:p>
              </w:tc>
            </w:tr>
            <w:tr w14:paraId="09D44B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3" w:hRule="atLeast"/>
                <w:jc w:val="center"/>
              </w:trPr>
              <w:tc>
                <w:tcPr>
                  <w:tcW w:w="356" w:type="dxa"/>
                  <w:tcBorders>
                    <w:top w:val="single" w:color="auto" w:sz="4" w:space="0"/>
                    <w:left w:val="single" w:color="auto" w:sz="4" w:space="0"/>
                    <w:bottom w:val="single" w:color="auto" w:sz="4" w:space="0"/>
                    <w:right w:val="single" w:color="auto" w:sz="4" w:space="0"/>
                  </w:tcBorders>
                  <w:vAlign w:val="center"/>
                </w:tcPr>
                <w:p w14:paraId="18E98499">
                  <w:pPr>
                    <w:jc w:val="center"/>
                    <w:rPr>
                      <w:rFonts w:hint="default" w:eastAsia="宋体"/>
                      <w:bCs/>
                      <w:color w:val="auto"/>
                      <w:kern w:val="0"/>
                      <w:szCs w:val="21"/>
                      <w:lang w:val="en-US" w:eastAsia="zh-CN"/>
                    </w:rPr>
                  </w:pPr>
                  <w:r>
                    <w:rPr>
                      <w:rFonts w:hint="eastAsia"/>
                      <w:bCs/>
                      <w:color w:val="auto"/>
                      <w:kern w:val="0"/>
                      <w:szCs w:val="21"/>
                      <w:lang w:val="en-US" w:eastAsia="zh-CN"/>
                    </w:rPr>
                    <w:t>6</w:t>
                  </w:r>
                </w:p>
              </w:tc>
              <w:tc>
                <w:tcPr>
                  <w:tcW w:w="1214" w:type="dxa"/>
                  <w:tcBorders>
                    <w:top w:val="single" w:color="auto" w:sz="4" w:space="0"/>
                    <w:left w:val="single" w:color="auto" w:sz="4" w:space="0"/>
                    <w:bottom w:val="single" w:color="auto" w:sz="4" w:space="0"/>
                    <w:right w:val="single" w:color="auto" w:sz="4" w:space="0"/>
                  </w:tcBorders>
                  <w:vAlign w:val="center"/>
                </w:tcPr>
                <w:p w14:paraId="6BF8E57E">
                  <w:pPr>
                    <w:jc w:val="center"/>
                    <w:rPr>
                      <w:color w:val="auto"/>
                      <w:kern w:val="0"/>
                      <w:szCs w:val="21"/>
                    </w:rPr>
                  </w:pPr>
                  <w:r>
                    <w:rPr>
                      <w:color w:val="auto"/>
                      <w:kern w:val="0"/>
                      <w:szCs w:val="21"/>
                    </w:rPr>
                    <w:t>生活垃圾</w:t>
                  </w:r>
                </w:p>
              </w:tc>
              <w:tc>
                <w:tcPr>
                  <w:tcW w:w="765" w:type="dxa"/>
                  <w:tcBorders>
                    <w:left w:val="single" w:color="auto" w:sz="4" w:space="0"/>
                    <w:right w:val="single" w:color="auto" w:sz="4" w:space="0"/>
                  </w:tcBorders>
                  <w:vAlign w:val="center"/>
                </w:tcPr>
                <w:p w14:paraId="0E0CEE88">
                  <w:pPr>
                    <w:jc w:val="center"/>
                    <w:rPr>
                      <w:color w:val="auto"/>
                      <w:kern w:val="0"/>
                      <w:szCs w:val="21"/>
                    </w:rPr>
                  </w:pPr>
                  <w:r>
                    <w:rPr>
                      <w:color w:val="auto"/>
                      <w:kern w:val="0"/>
                      <w:szCs w:val="21"/>
                    </w:rPr>
                    <w:t>生活办公</w:t>
                  </w:r>
                </w:p>
              </w:tc>
              <w:tc>
                <w:tcPr>
                  <w:tcW w:w="660" w:type="dxa"/>
                  <w:tcBorders>
                    <w:top w:val="single" w:color="auto" w:sz="4" w:space="0"/>
                    <w:left w:val="single" w:color="auto" w:sz="4" w:space="0"/>
                    <w:bottom w:val="single" w:color="auto" w:sz="4" w:space="0"/>
                    <w:right w:val="single" w:color="auto" w:sz="4" w:space="0"/>
                  </w:tcBorders>
                  <w:vAlign w:val="center"/>
                </w:tcPr>
                <w:p w14:paraId="2D07E3F0">
                  <w:pPr>
                    <w:jc w:val="center"/>
                    <w:rPr>
                      <w:color w:val="auto"/>
                      <w:kern w:val="0"/>
                      <w:szCs w:val="21"/>
                    </w:rPr>
                  </w:pPr>
                  <w:r>
                    <w:rPr>
                      <w:color w:val="auto"/>
                      <w:kern w:val="0"/>
                      <w:szCs w:val="21"/>
                    </w:rPr>
                    <w:t>固态</w:t>
                  </w:r>
                </w:p>
              </w:tc>
              <w:tc>
                <w:tcPr>
                  <w:tcW w:w="1944" w:type="dxa"/>
                  <w:tcBorders>
                    <w:top w:val="single" w:color="auto" w:sz="4" w:space="0"/>
                    <w:left w:val="single" w:color="auto" w:sz="4" w:space="0"/>
                    <w:bottom w:val="single" w:color="auto" w:sz="4" w:space="0"/>
                    <w:right w:val="single" w:color="auto" w:sz="4" w:space="0"/>
                  </w:tcBorders>
                  <w:vAlign w:val="center"/>
                </w:tcPr>
                <w:p w14:paraId="59C15A58">
                  <w:pPr>
                    <w:tabs>
                      <w:tab w:val="right" w:leader="dot" w:pos="8834"/>
                    </w:tabs>
                    <w:jc w:val="center"/>
                    <w:rPr>
                      <w:rFonts w:hint="default" w:eastAsia="宋体"/>
                      <w:color w:val="auto"/>
                      <w:kern w:val="0"/>
                      <w:szCs w:val="21"/>
                      <w:lang w:val="en-US" w:eastAsia="zh-CN"/>
                    </w:rPr>
                  </w:pPr>
                  <w:r>
                    <w:rPr>
                      <w:rFonts w:hint="eastAsia"/>
                      <w:color w:val="auto"/>
                      <w:kern w:val="0"/>
                      <w:szCs w:val="21"/>
                      <w:lang w:val="en-US" w:eastAsia="zh-CN"/>
                    </w:rPr>
                    <w:t>/</w:t>
                  </w:r>
                </w:p>
              </w:tc>
              <w:tc>
                <w:tcPr>
                  <w:tcW w:w="945" w:type="dxa"/>
                  <w:tcBorders>
                    <w:top w:val="single" w:color="auto" w:sz="4" w:space="0"/>
                    <w:left w:val="single" w:color="auto" w:sz="4" w:space="0"/>
                    <w:bottom w:val="single" w:color="auto" w:sz="4" w:space="0"/>
                    <w:right w:val="single" w:color="auto" w:sz="4" w:space="0"/>
                  </w:tcBorders>
                  <w:vAlign w:val="center"/>
                </w:tcPr>
                <w:p w14:paraId="6A561726">
                  <w:pPr>
                    <w:jc w:val="center"/>
                    <w:rPr>
                      <w:rFonts w:hint="default" w:eastAsia="宋体"/>
                      <w:color w:val="auto"/>
                      <w:kern w:val="0"/>
                      <w:szCs w:val="21"/>
                      <w:lang w:val="en-US" w:eastAsia="zh-CN"/>
                    </w:rPr>
                  </w:pPr>
                  <w:r>
                    <w:rPr>
                      <w:rFonts w:hint="eastAsia"/>
                      <w:color w:val="auto"/>
                      <w:kern w:val="0"/>
                      <w:szCs w:val="21"/>
                      <w:lang w:val="en-US" w:eastAsia="zh-CN"/>
                    </w:rPr>
                    <w:t>3</w:t>
                  </w:r>
                </w:p>
              </w:tc>
              <w:tc>
                <w:tcPr>
                  <w:tcW w:w="1328" w:type="dxa"/>
                  <w:tcBorders>
                    <w:left w:val="single" w:color="auto" w:sz="4" w:space="0"/>
                    <w:right w:val="single" w:color="auto" w:sz="4" w:space="0"/>
                  </w:tcBorders>
                  <w:vAlign w:val="center"/>
                </w:tcPr>
                <w:p w14:paraId="3853788D">
                  <w:pPr>
                    <w:jc w:val="center"/>
                    <w:rPr>
                      <w:bCs/>
                      <w:color w:val="auto"/>
                      <w:kern w:val="0"/>
                      <w:szCs w:val="21"/>
                    </w:rPr>
                  </w:pPr>
                  <w:r>
                    <w:rPr>
                      <w:bCs/>
                      <w:color w:val="auto"/>
                      <w:kern w:val="0"/>
                      <w:szCs w:val="21"/>
                    </w:rPr>
                    <w:t>环卫部门统一清运处理</w:t>
                  </w:r>
                </w:p>
              </w:tc>
              <w:tc>
                <w:tcPr>
                  <w:tcW w:w="1105" w:type="dxa"/>
                  <w:tcBorders>
                    <w:top w:val="single" w:color="auto" w:sz="4" w:space="0"/>
                    <w:left w:val="single" w:color="auto" w:sz="4" w:space="0"/>
                    <w:bottom w:val="single" w:color="auto" w:sz="4" w:space="0"/>
                    <w:right w:val="single" w:color="auto" w:sz="4" w:space="0"/>
                  </w:tcBorders>
                  <w:vAlign w:val="center"/>
                </w:tcPr>
                <w:p w14:paraId="7ACE4109">
                  <w:pPr>
                    <w:jc w:val="center"/>
                    <w:rPr>
                      <w:bCs/>
                      <w:color w:val="auto"/>
                      <w:kern w:val="0"/>
                      <w:szCs w:val="21"/>
                    </w:rPr>
                  </w:pPr>
                  <w:r>
                    <w:rPr>
                      <w:bCs/>
                      <w:color w:val="auto"/>
                      <w:kern w:val="0"/>
                      <w:szCs w:val="21"/>
                    </w:rPr>
                    <w:t>是</w:t>
                  </w:r>
                </w:p>
              </w:tc>
            </w:tr>
          </w:tbl>
          <w:p w14:paraId="38538915">
            <w:pPr>
              <w:spacing w:line="360" w:lineRule="auto"/>
              <w:ind w:firstLine="480" w:firstLineChars="200"/>
              <w:rPr>
                <w:color w:val="auto"/>
                <w:kern w:val="0"/>
                <w:sz w:val="24"/>
                <w:szCs w:val="20"/>
              </w:rPr>
            </w:pPr>
            <w:r>
              <w:rPr>
                <w:rFonts w:hint="eastAsia"/>
                <w:color w:val="auto"/>
                <w:kern w:val="0"/>
                <w:sz w:val="24"/>
                <w:szCs w:val="20"/>
                <w:lang w:eastAsia="zh-CN"/>
              </w:rPr>
              <w:t>（</w:t>
            </w:r>
            <w:r>
              <w:rPr>
                <w:rFonts w:hint="eastAsia"/>
                <w:color w:val="auto"/>
                <w:kern w:val="0"/>
                <w:sz w:val="24"/>
                <w:szCs w:val="20"/>
                <w:lang w:val="en-US" w:eastAsia="zh-CN"/>
              </w:rPr>
              <w:t>2</w:t>
            </w:r>
            <w:r>
              <w:rPr>
                <w:rFonts w:hint="eastAsia"/>
                <w:color w:val="auto"/>
                <w:kern w:val="0"/>
                <w:sz w:val="24"/>
                <w:szCs w:val="20"/>
                <w:lang w:eastAsia="zh-CN"/>
              </w:rPr>
              <w:t>）</w:t>
            </w:r>
            <w:r>
              <w:rPr>
                <w:color w:val="auto"/>
                <w:kern w:val="0"/>
                <w:sz w:val="24"/>
                <w:szCs w:val="20"/>
              </w:rPr>
              <w:t>一般固废</w:t>
            </w:r>
            <w:r>
              <w:rPr>
                <w:color w:val="auto"/>
                <w:sz w:val="24"/>
              </w:rPr>
              <w:t>暂存建设及管理要求</w:t>
            </w:r>
          </w:p>
          <w:p w14:paraId="2FE84BF0">
            <w:pPr>
              <w:spacing w:line="360" w:lineRule="auto"/>
              <w:ind w:firstLine="480" w:firstLineChars="200"/>
              <w:rPr>
                <w:color w:val="auto"/>
                <w:kern w:val="0"/>
                <w:sz w:val="24"/>
                <w:szCs w:val="20"/>
              </w:rPr>
            </w:pPr>
            <w:r>
              <w:rPr>
                <w:color w:val="auto"/>
                <w:kern w:val="0"/>
                <w:sz w:val="24"/>
                <w:szCs w:val="20"/>
              </w:rPr>
              <w:t>本项目一般固废主要为</w:t>
            </w:r>
            <w:r>
              <w:rPr>
                <w:rFonts w:hint="eastAsia"/>
                <w:color w:val="auto"/>
                <w:kern w:val="0"/>
                <w:sz w:val="24"/>
                <w:szCs w:val="20"/>
                <w:lang w:val="en-US" w:eastAsia="zh-CN"/>
              </w:rPr>
              <w:t>废砂轮、废陶瓷壳、除尘灰、废沉渣、废布袋</w:t>
            </w:r>
            <w:r>
              <w:rPr>
                <w:color w:val="auto"/>
                <w:kern w:val="0"/>
                <w:sz w:val="24"/>
                <w:szCs w:val="20"/>
              </w:rPr>
              <w:t>以及生活垃圾。</w:t>
            </w:r>
          </w:p>
          <w:p w14:paraId="65B911A2">
            <w:pPr>
              <w:spacing w:line="360" w:lineRule="auto"/>
              <w:ind w:firstLine="480" w:firstLineChars="200"/>
              <w:rPr>
                <w:color w:val="auto"/>
                <w:kern w:val="0"/>
                <w:sz w:val="24"/>
                <w:szCs w:val="20"/>
              </w:rPr>
            </w:pPr>
            <w:r>
              <w:rPr>
                <w:rFonts w:hint="eastAsia"/>
                <w:color w:val="auto"/>
                <w:kern w:val="0"/>
                <w:sz w:val="24"/>
                <w:szCs w:val="20"/>
                <w:lang w:val="en-US" w:eastAsia="zh-CN"/>
              </w:rPr>
              <w:t>废砂轮、废陶瓷壳、除尘灰、废沉渣</w:t>
            </w:r>
            <w:r>
              <w:rPr>
                <w:color w:val="auto"/>
                <w:kern w:val="0"/>
                <w:sz w:val="24"/>
                <w:szCs w:val="20"/>
              </w:rPr>
              <w:t>为生产固废，主要成分为金属、</w:t>
            </w:r>
            <w:r>
              <w:rPr>
                <w:rFonts w:hint="eastAsia"/>
                <w:color w:val="auto"/>
                <w:kern w:val="0"/>
                <w:sz w:val="24"/>
                <w:szCs w:val="20"/>
                <w:lang w:val="en-US" w:eastAsia="zh-CN"/>
              </w:rPr>
              <w:t>树脂、陶瓷</w:t>
            </w:r>
            <w:r>
              <w:rPr>
                <w:color w:val="auto"/>
                <w:kern w:val="0"/>
                <w:sz w:val="24"/>
                <w:szCs w:val="20"/>
              </w:rPr>
              <w:t>等，统一收集至一般固废暂存</w:t>
            </w:r>
            <w:r>
              <w:rPr>
                <w:rFonts w:hint="eastAsia"/>
                <w:color w:val="auto"/>
                <w:kern w:val="0"/>
                <w:sz w:val="24"/>
                <w:szCs w:val="20"/>
                <w:lang w:val="en-US" w:eastAsia="zh-CN"/>
              </w:rPr>
              <w:t>区定期外售</w:t>
            </w:r>
            <w:r>
              <w:rPr>
                <w:color w:val="auto"/>
                <w:kern w:val="0"/>
                <w:sz w:val="24"/>
                <w:szCs w:val="20"/>
              </w:rPr>
              <w:t>。</w:t>
            </w:r>
          </w:p>
          <w:p w14:paraId="39DF7074">
            <w:pPr>
              <w:spacing w:line="360" w:lineRule="auto"/>
              <w:ind w:firstLine="480" w:firstLineChars="200"/>
              <w:rPr>
                <w:color w:val="auto"/>
                <w:kern w:val="0"/>
                <w:sz w:val="24"/>
                <w:szCs w:val="20"/>
              </w:rPr>
            </w:pPr>
            <w:r>
              <w:rPr>
                <w:color w:val="auto"/>
                <w:kern w:val="0"/>
                <w:sz w:val="24"/>
                <w:szCs w:val="20"/>
              </w:rPr>
              <w:t>按《一般工业固体废物贮存与填埋控制标准》（GB18599-2020）要求在生产车间内设置</w:t>
            </w:r>
            <w:r>
              <w:rPr>
                <w:rFonts w:hint="eastAsia"/>
                <w:color w:val="auto"/>
                <w:kern w:val="0"/>
                <w:sz w:val="24"/>
                <w:szCs w:val="20"/>
                <w:lang w:val="en-US" w:eastAsia="zh-CN"/>
              </w:rPr>
              <w:t>一处</w:t>
            </w:r>
            <w:r>
              <w:rPr>
                <w:color w:val="auto"/>
                <w:kern w:val="0"/>
                <w:sz w:val="24"/>
                <w:szCs w:val="20"/>
              </w:rPr>
              <w:t>一般工业固废暂存</w:t>
            </w:r>
            <w:r>
              <w:rPr>
                <w:rFonts w:hint="eastAsia"/>
                <w:color w:val="auto"/>
                <w:kern w:val="0"/>
                <w:sz w:val="24"/>
                <w:szCs w:val="20"/>
                <w:lang w:val="en-US" w:eastAsia="zh-CN"/>
              </w:rPr>
              <w:t>区</w:t>
            </w:r>
            <w:r>
              <w:rPr>
                <w:color w:val="auto"/>
                <w:kern w:val="0"/>
                <w:sz w:val="24"/>
                <w:szCs w:val="20"/>
              </w:rPr>
              <w:t>，应有防渗漏、防火设施等。固废堆放期不应过长，并做好运输途中防泄漏、洒落措施。</w:t>
            </w:r>
          </w:p>
          <w:p w14:paraId="2D21BA5E">
            <w:pPr>
              <w:autoSpaceDN w:val="0"/>
              <w:spacing w:line="360" w:lineRule="auto"/>
              <w:ind w:firstLine="480" w:firstLineChars="200"/>
              <w:rPr>
                <w:color w:val="auto"/>
                <w:spacing w:val="0"/>
              </w:rPr>
            </w:pPr>
            <w:r>
              <w:rPr>
                <w:color w:val="auto"/>
                <w:spacing w:val="0"/>
                <w:kern w:val="0"/>
                <w:sz w:val="24"/>
                <w:szCs w:val="20"/>
              </w:rPr>
              <w:t>本项目一般固废暂存区选在</w:t>
            </w:r>
            <w:r>
              <w:rPr>
                <w:rFonts w:hint="eastAsia"/>
                <w:color w:val="auto"/>
                <w:spacing w:val="0"/>
                <w:kern w:val="0"/>
                <w:sz w:val="24"/>
                <w:szCs w:val="20"/>
                <w:lang w:val="en-US" w:eastAsia="zh-CN"/>
              </w:rPr>
              <w:t>车间东侧</w:t>
            </w:r>
            <w:r>
              <w:rPr>
                <w:color w:val="auto"/>
                <w:spacing w:val="0"/>
                <w:kern w:val="0"/>
                <w:sz w:val="24"/>
                <w:szCs w:val="20"/>
              </w:rPr>
              <w:t>，</w:t>
            </w:r>
            <w:r>
              <w:rPr>
                <w:snapToGrid w:val="0"/>
                <w:color w:val="auto"/>
                <w:spacing w:val="0"/>
                <w:sz w:val="24"/>
              </w:rPr>
              <w:t>建筑面积</w:t>
            </w:r>
            <w:r>
              <w:rPr>
                <w:rFonts w:hint="eastAsia"/>
                <w:snapToGrid w:val="0"/>
                <w:color w:val="auto"/>
                <w:spacing w:val="0"/>
                <w:sz w:val="24"/>
                <w:lang w:val="en-US" w:eastAsia="zh-CN"/>
              </w:rPr>
              <w:t>5</w:t>
            </w:r>
            <w:r>
              <w:rPr>
                <w:color w:val="auto"/>
                <w:spacing w:val="0"/>
                <w:sz w:val="24"/>
              </w:rPr>
              <w:t>m</w:t>
            </w:r>
            <w:r>
              <w:rPr>
                <w:color w:val="auto"/>
                <w:spacing w:val="0"/>
                <w:sz w:val="24"/>
                <w:vertAlign w:val="superscript"/>
              </w:rPr>
              <w:t>2</w:t>
            </w:r>
            <w:r>
              <w:rPr>
                <w:color w:val="auto"/>
                <w:spacing w:val="0"/>
                <w:kern w:val="0"/>
                <w:sz w:val="24"/>
                <w:szCs w:val="20"/>
              </w:rPr>
              <w:t>，地面后期全部进行硬化，建设符合相关要求。</w:t>
            </w:r>
          </w:p>
          <w:p w14:paraId="19DA0ACF">
            <w:pPr>
              <w:adjustRightInd w:val="0"/>
              <w:snapToGrid w:val="0"/>
              <w:spacing w:line="360" w:lineRule="auto"/>
              <w:ind w:left="442"/>
              <w:rPr>
                <w:b/>
                <w:color w:val="auto"/>
                <w:spacing w:val="0"/>
                <w:sz w:val="24"/>
              </w:rPr>
            </w:pPr>
            <w:r>
              <w:rPr>
                <w:b/>
                <w:color w:val="auto"/>
                <w:spacing w:val="0"/>
                <w:sz w:val="24"/>
              </w:rPr>
              <w:t>5、环境风险分析</w:t>
            </w:r>
          </w:p>
          <w:p w14:paraId="326D6F65">
            <w:pPr>
              <w:spacing w:line="360" w:lineRule="auto"/>
              <w:ind w:firstLine="480" w:firstLineChars="200"/>
              <w:rPr>
                <w:rFonts w:ascii="Times New Roman" w:hAnsi="Times New Roman" w:eastAsia="宋体" w:cs="Times New Roman"/>
                <w:color w:val="auto"/>
                <w:spacing w:val="0"/>
                <w:kern w:val="0"/>
                <w:sz w:val="24"/>
              </w:rPr>
            </w:pPr>
            <w:r>
              <w:rPr>
                <w:color w:val="auto"/>
                <w:spacing w:val="0"/>
                <w:kern w:val="32"/>
                <w:sz w:val="24"/>
                <w:szCs w:val="28"/>
              </w:rPr>
              <w:t>根据《建设项目环境风险评价技术导则》（HJ169-2018）附录B、GB3000.18、GB30000.28</w:t>
            </w:r>
            <w:r>
              <w:rPr>
                <w:rFonts w:hint="eastAsia"/>
                <w:color w:val="auto"/>
                <w:spacing w:val="0"/>
                <w:kern w:val="32"/>
                <w:sz w:val="24"/>
                <w:szCs w:val="28"/>
                <w:lang w:eastAsia="zh-CN"/>
              </w:rPr>
              <w:t>、</w:t>
            </w:r>
            <w:r>
              <w:rPr>
                <w:bCs/>
                <w:color w:val="auto"/>
                <w:spacing w:val="0"/>
                <w:kern w:val="0"/>
                <w:sz w:val="24"/>
                <w:szCs w:val="24"/>
              </w:rPr>
              <w:t>《危险化学品重大危险源辨识》（GB18218-2018）及《危险废物管理名录》（2021年版）表1</w:t>
            </w:r>
            <w:r>
              <w:rPr>
                <w:color w:val="auto"/>
                <w:spacing w:val="0"/>
                <w:kern w:val="32"/>
                <w:sz w:val="24"/>
                <w:szCs w:val="28"/>
              </w:rPr>
              <w:t>，</w:t>
            </w:r>
            <w:r>
              <w:rPr>
                <w:rFonts w:hint="eastAsia"/>
                <w:color w:val="auto"/>
                <w:spacing w:val="0"/>
                <w:kern w:val="32"/>
                <w:sz w:val="24"/>
                <w:szCs w:val="28"/>
                <w:lang w:val="en-US" w:eastAsia="zh-CN"/>
              </w:rPr>
              <w:t>本项目不存在风险物质。</w:t>
            </w:r>
          </w:p>
          <w:p w14:paraId="19AF8A03">
            <w:pPr>
              <w:spacing w:line="360" w:lineRule="auto"/>
              <w:ind w:firstLine="482" w:firstLineChars="200"/>
              <w:rPr>
                <w:rFonts w:hint="default" w:eastAsia="宋体"/>
                <w:b/>
                <w:color w:val="auto"/>
                <w:spacing w:val="0"/>
                <w:sz w:val="24"/>
                <w:lang w:val="en-US" w:eastAsia="zh-CN"/>
              </w:rPr>
            </w:pPr>
            <w:r>
              <w:rPr>
                <w:b/>
                <w:color w:val="auto"/>
                <w:spacing w:val="0"/>
                <w:sz w:val="24"/>
              </w:rPr>
              <w:t>6、地下水</w:t>
            </w:r>
            <w:r>
              <w:rPr>
                <w:rFonts w:hint="eastAsia"/>
                <w:b/>
                <w:color w:val="auto"/>
                <w:spacing w:val="0"/>
                <w:sz w:val="24"/>
                <w:lang w:eastAsia="zh-CN"/>
              </w:rPr>
              <w:t>、</w:t>
            </w:r>
            <w:r>
              <w:rPr>
                <w:rFonts w:hint="eastAsia"/>
                <w:b/>
                <w:color w:val="auto"/>
                <w:spacing w:val="0"/>
                <w:sz w:val="24"/>
                <w:lang w:val="en-US" w:eastAsia="zh-CN"/>
              </w:rPr>
              <w:t>土壤</w:t>
            </w:r>
          </w:p>
          <w:p w14:paraId="46430C4B">
            <w:pPr>
              <w:spacing w:line="360" w:lineRule="auto"/>
              <w:ind w:firstLine="480" w:firstLineChars="200"/>
              <w:rPr>
                <w:rFonts w:hint="eastAsia"/>
                <w:color w:val="auto"/>
                <w:sz w:val="24"/>
                <w:szCs w:val="32"/>
                <w:lang w:val="en-US" w:eastAsia="zh-CN"/>
              </w:rPr>
            </w:pPr>
            <w:r>
              <w:rPr>
                <w:rFonts w:hint="eastAsia" w:ascii="Times New Roman" w:cs="Times New Roman"/>
                <w:color w:val="auto"/>
                <w:kern w:val="0"/>
                <w:sz w:val="24"/>
                <w:szCs w:val="21"/>
                <w:lang w:val="en-US" w:eastAsia="zh-CN"/>
              </w:rPr>
              <w:t>为防止项目建设对地下水及土壤环境的影响，厂区采取分区防渗措施。</w:t>
            </w:r>
            <w:r>
              <w:rPr>
                <w:rFonts w:hint="eastAsia"/>
                <w:color w:val="auto"/>
                <w:sz w:val="24"/>
                <w:szCs w:val="32"/>
                <w:lang w:val="en-US" w:eastAsia="zh-CN"/>
              </w:rPr>
              <w:t>项目</w:t>
            </w:r>
            <w:r>
              <w:rPr>
                <w:color w:val="auto"/>
                <w:kern w:val="0"/>
                <w:sz w:val="24"/>
              </w:rPr>
              <w:t>生活污水</w:t>
            </w:r>
            <w:r>
              <w:rPr>
                <w:rFonts w:hint="eastAsia"/>
                <w:color w:val="auto"/>
                <w:kern w:val="0"/>
                <w:sz w:val="24"/>
                <w:lang w:val="en-US" w:eastAsia="zh-CN"/>
              </w:rPr>
              <w:t>依托陕西重型机械制造有限公司化粪池处理后经市政管网排入西安工业资产经营公司泾河产业基地污水处理站处理</w:t>
            </w:r>
            <w:r>
              <w:rPr>
                <w:rFonts w:hint="eastAsia"/>
                <w:color w:val="auto"/>
                <w:sz w:val="24"/>
                <w:szCs w:val="32"/>
                <w:lang w:val="en-US" w:eastAsia="zh-CN"/>
              </w:rPr>
              <w:t>，生产用水循环使用，排污管道及循环水池均已进行防渗处理。</w:t>
            </w:r>
          </w:p>
          <w:p w14:paraId="5AC2FE5C">
            <w:pPr>
              <w:numPr>
                <w:ilvl w:val="0"/>
                <w:numId w:val="0"/>
              </w:numPr>
              <w:spacing w:line="360" w:lineRule="auto"/>
              <w:ind w:firstLine="480" w:firstLineChars="200"/>
              <w:rPr>
                <w:rFonts w:hint="default" w:ascii="Times New Roman" w:hAnsi="Times New Roman" w:cs="Times New Roman"/>
                <w:b w:val="0"/>
                <w:bCs w:val="0"/>
                <w:color w:val="auto"/>
                <w:sz w:val="24"/>
                <w:szCs w:val="32"/>
                <w:lang w:val="en-US" w:eastAsia="zh-CN"/>
              </w:rPr>
            </w:pPr>
            <w:r>
              <w:rPr>
                <w:rFonts w:hint="eastAsia" w:ascii="Times New Roman" w:cs="Times New Roman"/>
                <w:color w:val="auto"/>
                <w:kern w:val="0"/>
                <w:sz w:val="24"/>
                <w:szCs w:val="21"/>
                <w:lang w:val="en-US" w:eastAsia="zh-CN"/>
              </w:rPr>
              <w:t>综上所述，采取上述措施后，项目不存在地下水和土壤污染途径，不会对厂区地下水、土壤环境造成影响。</w:t>
            </w:r>
          </w:p>
          <w:p w14:paraId="01CA1A9A">
            <w:pPr>
              <w:spacing w:line="360" w:lineRule="auto"/>
              <w:ind w:firstLine="420" w:firstLineChars="200"/>
              <w:rPr>
                <w:rFonts w:hint="default" w:eastAsia="宋体"/>
                <w:color w:val="auto"/>
                <w:lang w:val="en-US" w:eastAsia="zh-CN"/>
              </w:rPr>
            </w:pPr>
          </w:p>
        </w:tc>
      </w:tr>
    </w:tbl>
    <w:p w14:paraId="05BE0B69">
      <w:pPr>
        <w:pStyle w:val="16"/>
        <w:rPr>
          <w:color w:val="auto"/>
        </w:rPr>
        <w:sectPr>
          <w:pgSz w:w="11906" w:h="16838"/>
          <w:pgMar w:top="1553" w:right="1553" w:bottom="1553" w:left="1553" w:header="851" w:footer="851" w:gutter="0"/>
          <w:pgNumType w:fmt="numberInDash"/>
          <w:cols w:space="720" w:num="1"/>
          <w:docGrid w:linePitch="312" w:charSpace="0"/>
        </w:sectPr>
      </w:pPr>
    </w:p>
    <w:p w14:paraId="28996B15">
      <w:pPr>
        <w:rPr>
          <w:color w:val="auto"/>
        </w:rPr>
      </w:pPr>
    </w:p>
    <w:p w14:paraId="7B8BF337">
      <w:pPr>
        <w:widowControl/>
        <w:spacing w:before="100" w:beforeAutospacing="1" w:after="100" w:afterAutospacing="1"/>
        <w:jc w:val="center"/>
        <w:outlineLvl w:val="0"/>
        <w:rPr>
          <w:rFonts w:eastAsia="黑体"/>
          <w:snapToGrid w:val="0"/>
          <w:color w:val="auto"/>
          <w:kern w:val="0"/>
          <w:sz w:val="30"/>
          <w:szCs w:val="30"/>
        </w:rPr>
      </w:pPr>
      <w:r>
        <w:rPr>
          <w:rFonts w:eastAsia="黑体"/>
          <w:snapToGrid w:val="0"/>
          <w:color w:val="auto"/>
          <w:kern w:val="0"/>
          <w:sz w:val="30"/>
          <w:szCs w:val="30"/>
        </w:rPr>
        <w:t>五、</w:t>
      </w:r>
      <w:bookmarkStart w:id="9" w:name="_Hlk54167917"/>
      <w:r>
        <w:rPr>
          <w:rFonts w:eastAsia="黑体"/>
          <w:snapToGrid w:val="0"/>
          <w:color w:val="auto"/>
          <w:kern w:val="0"/>
          <w:sz w:val="30"/>
          <w:szCs w:val="30"/>
        </w:rPr>
        <w:t>环境保护措施监督检查清单</w:t>
      </w:r>
      <w:bookmarkEnd w:id="9"/>
    </w:p>
    <w:tbl>
      <w:tblPr>
        <w:tblStyle w:val="17"/>
        <w:tblW w:w="9049"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57" w:type="dxa"/>
          <w:bottom w:w="0" w:type="dxa"/>
          <w:right w:w="57" w:type="dxa"/>
        </w:tblCellMar>
      </w:tblPr>
      <w:tblGrid>
        <w:gridCol w:w="1079"/>
        <w:gridCol w:w="1515"/>
        <w:gridCol w:w="1410"/>
        <w:gridCol w:w="2305"/>
        <w:gridCol w:w="2740"/>
      </w:tblGrid>
      <w:tr w14:paraId="54BDD4B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425" w:hRule="atLeast"/>
          <w:jc w:val="center"/>
        </w:trPr>
        <w:tc>
          <w:tcPr>
            <w:tcW w:w="1079" w:type="dxa"/>
            <w:tcBorders>
              <w:tl2br w:val="single" w:color="auto" w:sz="4" w:space="0"/>
            </w:tcBorders>
          </w:tcPr>
          <w:p w14:paraId="2DD84F7F">
            <w:pPr>
              <w:jc w:val="right"/>
              <w:rPr>
                <w:color w:val="auto"/>
                <w:sz w:val="24"/>
                <w:szCs w:val="24"/>
              </w:rPr>
            </w:pPr>
            <w:r>
              <w:rPr>
                <w:color w:val="auto"/>
                <w:sz w:val="24"/>
                <w:szCs w:val="24"/>
              </w:rPr>
              <w:t>内容</w:t>
            </w:r>
          </w:p>
          <w:p w14:paraId="47BB2029">
            <w:pPr>
              <w:rPr>
                <w:color w:val="auto"/>
                <w:sz w:val="24"/>
                <w:szCs w:val="24"/>
              </w:rPr>
            </w:pPr>
            <w:r>
              <w:rPr>
                <w:color w:val="auto"/>
                <w:sz w:val="24"/>
                <w:szCs w:val="24"/>
              </w:rPr>
              <w:t>要素</w:t>
            </w:r>
          </w:p>
        </w:tc>
        <w:tc>
          <w:tcPr>
            <w:tcW w:w="1515" w:type="dxa"/>
            <w:vAlign w:val="center"/>
          </w:tcPr>
          <w:p w14:paraId="3A082AA5">
            <w:pPr>
              <w:jc w:val="center"/>
              <w:rPr>
                <w:color w:val="auto"/>
                <w:sz w:val="24"/>
                <w:szCs w:val="24"/>
              </w:rPr>
            </w:pPr>
            <w:r>
              <w:rPr>
                <w:color w:val="auto"/>
                <w:sz w:val="24"/>
                <w:szCs w:val="24"/>
              </w:rPr>
              <w:t>排放口(编号、名称)/污染源</w:t>
            </w:r>
          </w:p>
        </w:tc>
        <w:tc>
          <w:tcPr>
            <w:tcW w:w="1410" w:type="dxa"/>
            <w:vAlign w:val="center"/>
          </w:tcPr>
          <w:p w14:paraId="7B923889">
            <w:pPr>
              <w:jc w:val="center"/>
              <w:rPr>
                <w:color w:val="auto"/>
                <w:sz w:val="24"/>
                <w:szCs w:val="24"/>
              </w:rPr>
            </w:pPr>
            <w:r>
              <w:rPr>
                <w:color w:val="auto"/>
                <w:sz w:val="24"/>
                <w:szCs w:val="24"/>
              </w:rPr>
              <w:t>污染物项目</w:t>
            </w:r>
          </w:p>
        </w:tc>
        <w:tc>
          <w:tcPr>
            <w:tcW w:w="2305" w:type="dxa"/>
            <w:vAlign w:val="center"/>
          </w:tcPr>
          <w:p w14:paraId="6A92DE88">
            <w:pPr>
              <w:jc w:val="center"/>
              <w:rPr>
                <w:color w:val="auto"/>
                <w:sz w:val="24"/>
                <w:szCs w:val="24"/>
              </w:rPr>
            </w:pPr>
            <w:r>
              <w:rPr>
                <w:color w:val="auto"/>
                <w:sz w:val="24"/>
                <w:szCs w:val="24"/>
              </w:rPr>
              <w:t>环境保护措施</w:t>
            </w:r>
          </w:p>
        </w:tc>
        <w:tc>
          <w:tcPr>
            <w:tcW w:w="2740" w:type="dxa"/>
            <w:vAlign w:val="center"/>
          </w:tcPr>
          <w:p w14:paraId="4854BCE4">
            <w:pPr>
              <w:jc w:val="center"/>
              <w:rPr>
                <w:color w:val="auto"/>
                <w:sz w:val="24"/>
                <w:szCs w:val="24"/>
              </w:rPr>
            </w:pPr>
            <w:r>
              <w:rPr>
                <w:color w:val="auto"/>
                <w:sz w:val="24"/>
                <w:szCs w:val="24"/>
              </w:rPr>
              <w:t>执行标准</w:t>
            </w:r>
          </w:p>
        </w:tc>
      </w:tr>
      <w:tr w14:paraId="7ED470A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461" w:hRule="atLeast"/>
          <w:jc w:val="center"/>
        </w:trPr>
        <w:tc>
          <w:tcPr>
            <w:tcW w:w="1079" w:type="dxa"/>
            <w:vMerge w:val="restart"/>
            <w:vAlign w:val="center"/>
          </w:tcPr>
          <w:p w14:paraId="7CE33FF3">
            <w:pPr>
              <w:jc w:val="center"/>
              <w:rPr>
                <w:color w:val="auto"/>
                <w:sz w:val="24"/>
                <w:szCs w:val="24"/>
              </w:rPr>
            </w:pPr>
            <w:r>
              <w:rPr>
                <w:color w:val="auto"/>
                <w:sz w:val="24"/>
                <w:szCs w:val="24"/>
              </w:rPr>
              <w:t>大气环境</w:t>
            </w:r>
          </w:p>
        </w:tc>
        <w:tc>
          <w:tcPr>
            <w:tcW w:w="1515" w:type="dxa"/>
            <w:vAlign w:val="center"/>
          </w:tcPr>
          <w:p w14:paraId="4BFB014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eastAsia="宋体"/>
                <w:color w:val="auto"/>
                <w:sz w:val="24"/>
                <w:szCs w:val="24"/>
                <w:lang w:val="en-US" w:eastAsia="zh-CN"/>
              </w:rPr>
            </w:pPr>
            <w:r>
              <w:rPr>
                <w:rFonts w:hint="eastAsia" w:cs="Times New Roman" w:eastAsiaTheme="minorEastAsia"/>
                <w:color w:val="auto"/>
                <w:sz w:val="24"/>
                <w:szCs w:val="24"/>
                <w:lang w:val="en-US" w:eastAsia="zh-CN"/>
              </w:rPr>
              <w:t>DA001打磨粉尘</w:t>
            </w:r>
          </w:p>
        </w:tc>
        <w:tc>
          <w:tcPr>
            <w:tcW w:w="1410" w:type="dxa"/>
            <w:vAlign w:val="center"/>
          </w:tcPr>
          <w:p w14:paraId="17D4C8D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eastAsia="宋体"/>
                <w:color w:val="auto"/>
                <w:sz w:val="24"/>
                <w:szCs w:val="24"/>
                <w:lang w:val="en-US" w:eastAsia="zh-CN"/>
              </w:rPr>
            </w:pPr>
            <w:r>
              <w:rPr>
                <w:rFonts w:hint="eastAsia" w:cs="Times New Roman" w:eastAsiaTheme="minorEastAsia"/>
                <w:color w:val="auto"/>
                <w:sz w:val="24"/>
                <w:szCs w:val="24"/>
                <w:lang w:val="en-US" w:eastAsia="zh-CN"/>
              </w:rPr>
              <w:t>颗粒物</w:t>
            </w:r>
          </w:p>
        </w:tc>
        <w:tc>
          <w:tcPr>
            <w:tcW w:w="2305" w:type="dxa"/>
            <w:vAlign w:val="center"/>
          </w:tcPr>
          <w:p w14:paraId="2A93B999">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eastAsia="宋体"/>
                <w:color w:val="auto"/>
                <w:sz w:val="24"/>
                <w:szCs w:val="24"/>
                <w:lang w:val="en-US" w:eastAsia="zh-CN"/>
              </w:rPr>
            </w:pPr>
            <w:r>
              <w:rPr>
                <w:rFonts w:hint="eastAsia" w:cs="Times New Roman" w:eastAsiaTheme="minorEastAsia"/>
                <w:color w:val="auto"/>
                <w:sz w:val="24"/>
                <w:szCs w:val="24"/>
                <w:lang w:val="en-US" w:eastAsia="zh-CN"/>
              </w:rPr>
              <w:t>20套水雾式除尘+1套袋式除尘器</w:t>
            </w:r>
          </w:p>
        </w:tc>
        <w:tc>
          <w:tcPr>
            <w:tcW w:w="2740" w:type="dxa"/>
            <w:vMerge w:val="restart"/>
            <w:vAlign w:val="center"/>
          </w:tcPr>
          <w:p w14:paraId="746D7883">
            <w:pPr>
              <w:jc w:val="center"/>
              <w:rPr>
                <w:rFonts w:hint="eastAsia" w:eastAsia="宋体"/>
                <w:color w:val="auto"/>
                <w:sz w:val="24"/>
                <w:szCs w:val="24"/>
                <w:lang w:val="en-US" w:eastAsia="zh-CN"/>
              </w:rPr>
            </w:pPr>
            <w:r>
              <w:rPr>
                <w:rFonts w:hint="eastAsia"/>
                <w:color w:val="auto"/>
                <w:sz w:val="24"/>
                <w:szCs w:val="24"/>
              </w:rPr>
              <w:t>满足《大气污染物综合排放标准》（GB16297-1996）表2中排放标准</w:t>
            </w:r>
          </w:p>
        </w:tc>
      </w:tr>
      <w:tr w14:paraId="3DC2A42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461" w:hRule="atLeast"/>
          <w:jc w:val="center"/>
        </w:trPr>
        <w:tc>
          <w:tcPr>
            <w:tcW w:w="1079" w:type="dxa"/>
            <w:vMerge w:val="continue"/>
            <w:vAlign w:val="center"/>
          </w:tcPr>
          <w:p w14:paraId="72D50E46">
            <w:pPr>
              <w:jc w:val="center"/>
              <w:rPr>
                <w:color w:val="auto"/>
                <w:sz w:val="24"/>
                <w:szCs w:val="24"/>
              </w:rPr>
            </w:pPr>
          </w:p>
        </w:tc>
        <w:tc>
          <w:tcPr>
            <w:tcW w:w="1515" w:type="dxa"/>
            <w:vAlign w:val="center"/>
          </w:tcPr>
          <w:p w14:paraId="0C070E90">
            <w:pPr>
              <w:jc w:val="center"/>
              <w:rPr>
                <w:rFonts w:hint="default" w:cs="Times New Roman" w:eastAsiaTheme="minorEastAsia"/>
                <w:color w:val="auto"/>
                <w:sz w:val="24"/>
                <w:szCs w:val="24"/>
                <w:lang w:val="en-US" w:eastAsia="zh-CN"/>
              </w:rPr>
            </w:pPr>
            <w:r>
              <w:rPr>
                <w:rFonts w:hint="eastAsia" w:cs="Times New Roman" w:eastAsiaTheme="minorEastAsia"/>
                <w:color w:val="auto"/>
                <w:sz w:val="24"/>
                <w:szCs w:val="24"/>
                <w:lang w:val="en-US" w:eastAsia="zh-CN"/>
              </w:rPr>
              <w:t>喷砂粉尘</w:t>
            </w:r>
          </w:p>
        </w:tc>
        <w:tc>
          <w:tcPr>
            <w:tcW w:w="1410" w:type="dxa"/>
            <w:vAlign w:val="center"/>
          </w:tcPr>
          <w:p w14:paraId="43299E7C">
            <w:pPr>
              <w:jc w:val="center"/>
              <w:rPr>
                <w:rFonts w:hint="default" w:cs="Times New Roman" w:eastAsiaTheme="minorEastAsia"/>
                <w:color w:val="auto"/>
                <w:sz w:val="24"/>
                <w:szCs w:val="24"/>
                <w:lang w:val="en-US" w:eastAsia="zh-CN"/>
              </w:rPr>
            </w:pPr>
            <w:r>
              <w:rPr>
                <w:rFonts w:hint="eastAsia" w:cs="Times New Roman" w:eastAsiaTheme="minorEastAsia"/>
                <w:color w:val="auto"/>
                <w:sz w:val="24"/>
                <w:szCs w:val="24"/>
                <w:lang w:val="en-US" w:eastAsia="zh-CN"/>
              </w:rPr>
              <w:t>颗粒物</w:t>
            </w:r>
          </w:p>
        </w:tc>
        <w:tc>
          <w:tcPr>
            <w:tcW w:w="2305" w:type="dxa"/>
            <w:vAlign w:val="center"/>
          </w:tcPr>
          <w:p w14:paraId="3FEA0A46">
            <w:pPr>
              <w:jc w:val="center"/>
              <w:rPr>
                <w:rFonts w:hint="default" w:cs="Times New Roman" w:eastAsiaTheme="minorEastAsia"/>
                <w:color w:val="auto"/>
                <w:sz w:val="24"/>
                <w:szCs w:val="24"/>
                <w:lang w:val="en-US" w:eastAsia="zh-CN"/>
              </w:rPr>
            </w:pPr>
            <w:r>
              <w:rPr>
                <w:rFonts w:hint="eastAsia" w:cs="Times New Roman" w:eastAsiaTheme="minorEastAsia"/>
                <w:color w:val="auto"/>
                <w:sz w:val="24"/>
                <w:szCs w:val="24"/>
                <w:lang w:val="en-US" w:eastAsia="zh-CN"/>
              </w:rPr>
              <w:t>2套袋式除尘器</w:t>
            </w:r>
          </w:p>
        </w:tc>
        <w:tc>
          <w:tcPr>
            <w:tcW w:w="2740" w:type="dxa"/>
            <w:vMerge w:val="continue"/>
            <w:vAlign w:val="center"/>
          </w:tcPr>
          <w:p w14:paraId="0F6A2A41">
            <w:pPr>
              <w:jc w:val="center"/>
              <w:rPr>
                <w:rFonts w:hint="eastAsia" w:cs="Times New Roman" w:eastAsiaTheme="minorEastAsia"/>
                <w:color w:val="auto"/>
                <w:sz w:val="24"/>
                <w:szCs w:val="24"/>
                <w:lang w:val="en-US" w:eastAsia="zh-CN"/>
              </w:rPr>
            </w:pPr>
          </w:p>
        </w:tc>
      </w:tr>
      <w:tr w14:paraId="6502FAA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1370" w:hRule="atLeast"/>
          <w:jc w:val="center"/>
        </w:trPr>
        <w:tc>
          <w:tcPr>
            <w:tcW w:w="1079" w:type="dxa"/>
            <w:vAlign w:val="center"/>
          </w:tcPr>
          <w:p w14:paraId="7EA1F0E5">
            <w:pPr>
              <w:jc w:val="center"/>
              <w:rPr>
                <w:color w:val="auto"/>
                <w:sz w:val="24"/>
                <w:szCs w:val="24"/>
              </w:rPr>
            </w:pPr>
            <w:r>
              <w:rPr>
                <w:color w:val="auto"/>
                <w:sz w:val="24"/>
                <w:szCs w:val="24"/>
              </w:rPr>
              <w:t>地表水环境</w:t>
            </w:r>
          </w:p>
        </w:tc>
        <w:tc>
          <w:tcPr>
            <w:tcW w:w="1515" w:type="dxa"/>
            <w:vAlign w:val="center"/>
          </w:tcPr>
          <w:p w14:paraId="19E48849">
            <w:pPr>
              <w:jc w:val="center"/>
              <w:rPr>
                <w:rFonts w:hint="default" w:eastAsia="宋体"/>
                <w:color w:val="auto"/>
                <w:sz w:val="24"/>
                <w:szCs w:val="24"/>
                <w:lang w:val="en-US" w:eastAsia="zh-CN"/>
              </w:rPr>
            </w:pPr>
            <w:r>
              <w:rPr>
                <w:color w:val="auto"/>
                <w:sz w:val="24"/>
                <w:szCs w:val="24"/>
              </w:rPr>
              <w:t>生活污水</w:t>
            </w:r>
          </w:p>
        </w:tc>
        <w:tc>
          <w:tcPr>
            <w:tcW w:w="1410" w:type="dxa"/>
            <w:vAlign w:val="center"/>
          </w:tcPr>
          <w:p w14:paraId="0E841384">
            <w:pPr>
              <w:jc w:val="center"/>
              <w:rPr>
                <w:rFonts w:hint="default" w:eastAsia="宋体"/>
                <w:color w:val="auto"/>
                <w:sz w:val="24"/>
                <w:szCs w:val="24"/>
                <w:lang w:val="en-US" w:eastAsia="zh-CN"/>
              </w:rPr>
            </w:pPr>
            <w:r>
              <w:rPr>
                <w:color w:val="auto"/>
                <w:sz w:val="24"/>
                <w:szCs w:val="24"/>
              </w:rPr>
              <w:t>COD、BOD</w:t>
            </w:r>
            <w:r>
              <w:rPr>
                <w:color w:val="auto"/>
                <w:sz w:val="24"/>
                <w:szCs w:val="24"/>
                <w:vertAlign w:val="subscript"/>
              </w:rPr>
              <w:t>5</w:t>
            </w:r>
            <w:r>
              <w:rPr>
                <w:rFonts w:hint="eastAsia"/>
                <w:color w:val="auto"/>
                <w:sz w:val="24"/>
                <w:szCs w:val="24"/>
                <w:vertAlign w:val="baseline"/>
                <w:lang w:eastAsia="zh-CN"/>
              </w:rPr>
              <w:t>、</w:t>
            </w:r>
            <w:r>
              <w:rPr>
                <w:color w:val="auto"/>
                <w:sz w:val="24"/>
                <w:szCs w:val="24"/>
              </w:rPr>
              <w:t>NH</w:t>
            </w:r>
            <w:r>
              <w:rPr>
                <w:color w:val="auto"/>
                <w:sz w:val="24"/>
                <w:szCs w:val="24"/>
                <w:vertAlign w:val="subscript"/>
              </w:rPr>
              <w:t>3</w:t>
            </w:r>
            <w:r>
              <w:rPr>
                <w:color w:val="auto"/>
                <w:sz w:val="24"/>
                <w:szCs w:val="24"/>
              </w:rPr>
              <w:t>-N、SS</w:t>
            </w:r>
            <w:r>
              <w:rPr>
                <w:rFonts w:hint="eastAsia"/>
                <w:color w:val="auto"/>
                <w:sz w:val="24"/>
                <w:szCs w:val="24"/>
                <w:lang w:eastAsia="zh-CN"/>
              </w:rPr>
              <w:t>、</w:t>
            </w:r>
            <w:r>
              <w:rPr>
                <w:rFonts w:hint="eastAsia"/>
                <w:color w:val="auto"/>
                <w:sz w:val="24"/>
                <w:szCs w:val="24"/>
                <w:lang w:val="en-US" w:eastAsia="zh-CN"/>
              </w:rPr>
              <w:t>TP、TN</w:t>
            </w:r>
          </w:p>
        </w:tc>
        <w:tc>
          <w:tcPr>
            <w:tcW w:w="2305" w:type="dxa"/>
            <w:vAlign w:val="center"/>
          </w:tcPr>
          <w:p w14:paraId="661B9719">
            <w:pPr>
              <w:jc w:val="center"/>
              <w:rPr>
                <w:rFonts w:hint="default" w:eastAsia="宋体"/>
                <w:color w:val="auto"/>
                <w:sz w:val="24"/>
                <w:szCs w:val="24"/>
                <w:lang w:val="en-US" w:eastAsia="zh-CN"/>
              </w:rPr>
            </w:pPr>
            <w:r>
              <w:rPr>
                <w:rFonts w:hint="eastAsia"/>
                <w:color w:val="auto"/>
                <w:kern w:val="0"/>
                <w:sz w:val="24"/>
                <w:lang w:val="en-US" w:eastAsia="zh-CN"/>
              </w:rPr>
              <w:t>依托陕西重型机械制造有限公司化粪池处理后经市政管网排入西安工业资产经营公司泾河产业基地污水处理站处理</w:t>
            </w:r>
          </w:p>
        </w:tc>
        <w:tc>
          <w:tcPr>
            <w:tcW w:w="2740" w:type="dxa"/>
            <w:vAlign w:val="center"/>
          </w:tcPr>
          <w:p w14:paraId="5A00D5DE">
            <w:pPr>
              <w:jc w:val="center"/>
              <w:rPr>
                <w:rFonts w:hint="default" w:eastAsia="宋体"/>
                <w:color w:val="auto"/>
                <w:sz w:val="24"/>
                <w:szCs w:val="24"/>
                <w:lang w:val="en-US" w:eastAsia="zh-CN"/>
              </w:rPr>
            </w:pPr>
            <w:r>
              <w:rPr>
                <w:rFonts w:hint="eastAsia"/>
                <w:color w:val="auto"/>
                <w:sz w:val="24"/>
                <w:szCs w:val="24"/>
                <w:lang w:val="en-US" w:eastAsia="zh-CN"/>
              </w:rPr>
              <w:t>符合</w:t>
            </w:r>
            <w:r>
              <w:rPr>
                <w:color w:val="auto"/>
                <w:sz w:val="24"/>
                <w:szCs w:val="24"/>
              </w:rPr>
              <w:t>《污水综合排放标准》（GB8978-1996）三级标准及《污水排入城镇下水道水质标准》（GB/T31962-2015）</w:t>
            </w:r>
            <w:r>
              <w:rPr>
                <w:rFonts w:hint="eastAsia"/>
                <w:color w:val="auto"/>
                <w:sz w:val="24"/>
                <w:szCs w:val="24"/>
                <w:lang w:val="en-US" w:eastAsia="zh-CN"/>
              </w:rPr>
              <w:t>B类标准要求</w:t>
            </w:r>
          </w:p>
        </w:tc>
      </w:tr>
      <w:tr w14:paraId="7C7970A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1013" w:hRule="atLeast"/>
          <w:jc w:val="center"/>
        </w:trPr>
        <w:tc>
          <w:tcPr>
            <w:tcW w:w="1079" w:type="dxa"/>
            <w:vAlign w:val="center"/>
          </w:tcPr>
          <w:p w14:paraId="013011AF">
            <w:pPr>
              <w:jc w:val="center"/>
              <w:rPr>
                <w:color w:val="auto"/>
                <w:sz w:val="24"/>
                <w:szCs w:val="24"/>
              </w:rPr>
            </w:pPr>
            <w:r>
              <w:rPr>
                <w:color w:val="auto"/>
                <w:sz w:val="24"/>
                <w:szCs w:val="24"/>
              </w:rPr>
              <w:t>声环境</w:t>
            </w:r>
          </w:p>
        </w:tc>
        <w:tc>
          <w:tcPr>
            <w:tcW w:w="1515" w:type="dxa"/>
            <w:vAlign w:val="center"/>
          </w:tcPr>
          <w:p w14:paraId="24B69AA4">
            <w:pPr>
              <w:adjustRightInd w:val="0"/>
              <w:snapToGrid w:val="0"/>
              <w:jc w:val="center"/>
              <w:rPr>
                <w:color w:val="auto"/>
                <w:sz w:val="24"/>
                <w:szCs w:val="24"/>
              </w:rPr>
            </w:pPr>
            <w:r>
              <w:rPr>
                <w:color w:val="auto"/>
                <w:sz w:val="24"/>
                <w:szCs w:val="24"/>
              </w:rPr>
              <w:t>生产设备</w:t>
            </w:r>
          </w:p>
        </w:tc>
        <w:tc>
          <w:tcPr>
            <w:tcW w:w="1410" w:type="dxa"/>
            <w:vAlign w:val="center"/>
          </w:tcPr>
          <w:p w14:paraId="7E0DEA23">
            <w:pPr>
              <w:adjustRightInd w:val="0"/>
              <w:snapToGrid w:val="0"/>
              <w:jc w:val="center"/>
              <w:rPr>
                <w:color w:val="auto"/>
                <w:sz w:val="24"/>
                <w:szCs w:val="24"/>
              </w:rPr>
            </w:pPr>
            <w:r>
              <w:rPr>
                <w:color w:val="auto"/>
                <w:sz w:val="24"/>
                <w:szCs w:val="24"/>
              </w:rPr>
              <w:t>噪声</w:t>
            </w:r>
          </w:p>
        </w:tc>
        <w:tc>
          <w:tcPr>
            <w:tcW w:w="2305" w:type="dxa"/>
            <w:vAlign w:val="center"/>
          </w:tcPr>
          <w:p w14:paraId="1E041621">
            <w:pPr>
              <w:jc w:val="center"/>
              <w:rPr>
                <w:color w:val="auto"/>
                <w:sz w:val="24"/>
                <w:szCs w:val="24"/>
              </w:rPr>
            </w:pPr>
            <w:r>
              <w:rPr>
                <w:color w:val="auto"/>
                <w:sz w:val="24"/>
                <w:szCs w:val="24"/>
              </w:rPr>
              <w:t>选择低噪</w:t>
            </w:r>
            <w:r>
              <w:rPr>
                <w:rFonts w:hint="eastAsia"/>
                <w:color w:val="auto"/>
                <w:sz w:val="24"/>
                <w:szCs w:val="24"/>
                <w:lang w:val="en-US" w:eastAsia="zh-CN"/>
              </w:rPr>
              <w:t>声</w:t>
            </w:r>
            <w:r>
              <w:rPr>
                <w:color w:val="auto"/>
                <w:sz w:val="24"/>
                <w:szCs w:val="24"/>
              </w:rPr>
              <w:t>设备，基础减振，厂房隔声等，</w:t>
            </w:r>
            <w:r>
              <w:rPr>
                <w:rFonts w:hint="eastAsia"/>
                <w:color w:val="auto"/>
                <w:sz w:val="24"/>
                <w:szCs w:val="24"/>
                <w:lang w:val="en-US" w:eastAsia="zh-CN"/>
              </w:rPr>
              <w:t>风机采用减振垫、软连接等，</w:t>
            </w:r>
            <w:r>
              <w:rPr>
                <w:color w:val="auto"/>
                <w:sz w:val="24"/>
                <w:szCs w:val="24"/>
              </w:rPr>
              <w:t>距离衰减</w:t>
            </w:r>
          </w:p>
        </w:tc>
        <w:tc>
          <w:tcPr>
            <w:tcW w:w="2740" w:type="dxa"/>
            <w:vAlign w:val="center"/>
          </w:tcPr>
          <w:p w14:paraId="61FE18D8">
            <w:pPr>
              <w:jc w:val="center"/>
              <w:rPr>
                <w:color w:val="auto"/>
                <w:sz w:val="24"/>
                <w:szCs w:val="24"/>
              </w:rPr>
            </w:pPr>
            <w:r>
              <w:rPr>
                <w:color w:val="auto"/>
                <w:sz w:val="24"/>
                <w:szCs w:val="24"/>
              </w:rPr>
              <w:t>《工业企业厂界环境噪声排放标准》（GB12348-2008）</w:t>
            </w:r>
            <w:r>
              <w:rPr>
                <w:rFonts w:hint="eastAsia"/>
                <w:color w:val="auto"/>
                <w:sz w:val="24"/>
                <w:szCs w:val="24"/>
                <w:lang w:val="en-US" w:eastAsia="zh-CN"/>
              </w:rPr>
              <w:t>3</w:t>
            </w:r>
            <w:r>
              <w:rPr>
                <w:rFonts w:hint="eastAsia"/>
                <w:color w:val="auto"/>
                <w:sz w:val="24"/>
                <w:szCs w:val="24"/>
              </w:rPr>
              <w:t>类标准</w:t>
            </w:r>
          </w:p>
        </w:tc>
      </w:tr>
      <w:tr w14:paraId="3F58DFA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422" w:hRule="atLeast"/>
          <w:jc w:val="center"/>
        </w:trPr>
        <w:tc>
          <w:tcPr>
            <w:tcW w:w="1079" w:type="dxa"/>
            <w:vMerge w:val="restart"/>
            <w:vAlign w:val="center"/>
          </w:tcPr>
          <w:p w14:paraId="4A47A739">
            <w:pPr>
              <w:jc w:val="center"/>
              <w:rPr>
                <w:color w:val="auto"/>
                <w:sz w:val="24"/>
                <w:szCs w:val="24"/>
              </w:rPr>
            </w:pPr>
            <w:r>
              <w:rPr>
                <w:color w:val="auto"/>
                <w:sz w:val="24"/>
                <w:szCs w:val="24"/>
              </w:rPr>
              <w:t>固体废物</w:t>
            </w:r>
          </w:p>
        </w:tc>
        <w:tc>
          <w:tcPr>
            <w:tcW w:w="1515" w:type="dxa"/>
            <w:vAlign w:val="center"/>
          </w:tcPr>
          <w:p w14:paraId="0F584745">
            <w:pPr>
              <w:jc w:val="center"/>
              <w:rPr>
                <w:color w:val="auto"/>
                <w:sz w:val="24"/>
                <w:szCs w:val="24"/>
              </w:rPr>
            </w:pPr>
            <w:r>
              <w:rPr>
                <w:color w:val="auto"/>
                <w:sz w:val="24"/>
                <w:szCs w:val="24"/>
              </w:rPr>
              <w:t>生产车间</w:t>
            </w:r>
          </w:p>
        </w:tc>
        <w:tc>
          <w:tcPr>
            <w:tcW w:w="1410" w:type="dxa"/>
            <w:vAlign w:val="center"/>
          </w:tcPr>
          <w:p w14:paraId="2D692C09">
            <w:pPr>
              <w:jc w:val="center"/>
              <w:rPr>
                <w:rFonts w:hint="default" w:eastAsia="宋体"/>
                <w:color w:val="auto"/>
                <w:sz w:val="24"/>
                <w:szCs w:val="24"/>
                <w:lang w:val="en-US" w:eastAsia="zh-CN"/>
              </w:rPr>
            </w:pPr>
            <w:r>
              <w:rPr>
                <w:rFonts w:hint="eastAsia" w:cs="Times New Roman"/>
                <w:color w:val="auto"/>
                <w:sz w:val="24"/>
                <w:szCs w:val="24"/>
                <w:lang w:val="en-US" w:eastAsia="zh-CN" w:bidi="ar-SA"/>
              </w:rPr>
              <w:t>废砂轮、废陶瓷壳</w:t>
            </w:r>
            <w:r>
              <w:rPr>
                <w:rFonts w:hint="eastAsia" w:ascii="Times New Roman" w:hAnsi="Times New Roman" w:cs="Times New Roman"/>
                <w:color w:val="auto"/>
                <w:sz w:val="24"/>
                <w:szCs w:val="24"/>
                <w:lang w:val="en-US" w:eastAsia="zh-CN" w:bidi="ar-SA"/>
              </w:rPr>
              <w:t>、除尘灰</w:t>
            </w:r>
            <w:r>
              <w:rPr>
                <w:rFonts w:hint="eastAsia" w:cs="Times New Roman"/>
                <w:color w:val="auto"/>
                <w:sz w:val="24"/>
                <w:szCs w:val="24"/>
                <w:lang w:val="en-US" w:eastAsia="zh-CN" w:bidi="ar-SA"/>
              </w:rPr>
              <w:t>、废沉渣、废布袋</w:t>
            </w:r>
          </w:p>
        </w:tc>
        <w:tc>
          <w:tcPr>
            <w:tcW w:w="2305" w:type="dxa"/>
            <w:vAlign w:val="center"/>
          </w:tcPr>
          <w:p w14:paraId="09C6DA53">
            <w:pPr>
              <w:jc w:val="center"/>
              <w:rPr>
                <w:color w:val="auto"/>
                <w:sz w:val="24"/>
                <w:szCs w:val="24"/>
              </w:rPr>
            </w:pPr>
            <w:r>
              <w:rPr>
                <w:color w:val="auto"/>
                <w:kern w:val="0"/>
                <w:sz w:val="24"/>
                <w:szCs w:val="24"/>
              </w:rPr>
              <w:t>收集后统一外售处理</w:t>
            </w:r>
          </w:p>
        </w:tc>
        <w:tc>
          <w:tcPr>
            <w:tcW w:w="2740" w:type="dxa"/>
            <w:vAlign w:val="center"/>
          </w:tcPr>
          <w:p w14:paraId="3D0B6260">
            <w:pPr>
              <w:jc w:val="center"/>
              <w:rPr>
                <w:color w:val="auto"/>
                <w:sz w:val="24"/>
                <w:szCs w:val="24"/>
              </w:rPr>
            </w:pPr>
            <w:r>
              <w:rPr>
                <w:rFonts w:hint="eastAsia" w:cs="Times New Roman"/>
                <w:color w:val="auto"/>
                <w:sz w:val="24"/>
                <w:szCs w:val="24"/>
                <w:lang w:val="en-US" w:eastAsia="zh-CN"/>
              </w:rPr>
              <w:t>符合</w:t>
            </w:r>
            <w:r>
              <w:rPr>
                <w:color w:val="auto"/>
                <w:sz w:val="24"/>
                <w:szCs w:val="24"/>
              </w:rPr>
              <w:fldChar w:fldCharType="begin"/>
            </w:r>
            <w:r>
              <w:rPr>
                <w:color w:val="auto"/>
                <w:sz w:val="24"/>
                <w:szCs w:val="24"/>
              </w:rPr>
              <w:instrText xml:space="preserve"> HYPERLINK "http://www.mee.gov.cn/ywgz/fgbz/bz/bzwb/gthw/gtfwwrkzbz/202012/t20201218_813927.shtml" </w:instrText>
            </w:r>
            <w:r>
              <w:rPr>
                <w:color w:val="auto"/>
                <w:sz w:val="24"/>
                <w:szCs w:val="24"/>
              </w:rPr>
              <w:fldChar w:fldCharType="separate"/>
            </w:r>
            <w:r>
              <w:rPr>
                <w:color w:val="auto"/>
                <w:sz w:val="24"/>
                <w:szCs w:val="24"/>
              </w:rPr>
              <w:t>《一般工业固体废物贮存和填埋污染控制标准》（GB18599-2020）</w:t>
            </w:r>
            <w:r>
              <w:rPr>
                <w:color w:val="auto"/>
                <w:sz w:val="24"/>
                <w:szCs w:val="24"/>
              </w:rPr>
              <w:fldChar w:fldCharType="end"/>
            </w:r>
            <w:r>
              <w:rPr>
                <w:rFonts w:hint="eastAsia" w:cs="Times New Roman"/>
                <w:color w:val="auto"/>
                <w:sz w:val="24"/>
                <w:szCs w:val="24"/>
                <w:lang w:val="en-US" w:eastAsia="zh-CN"/>
              </w:rPr>
              <w:t>中有关规定</w:t>
            </w:r>
          </w:p>
        </w:tc>
      </w:tr>
      <w:tr w14:paraId="627C350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422" w:hRule="atLeast"/>
          <w:jc w:val="center"/>
        </w:trPr>
        <w:tc>
          <w:tcPr>
            <w:tcW w:w="1079" w:type="dxa"/>
            <w:vMerge w:val="continue"/>
            <w:vAlign w:val="center"/>
          </w:tcPr>
          <w:p w14:paraId="0F0EEF9D">
            <w:pPr>
              <w:jc w:val="center"/>
              <w:rPr>
                <w:color w:val="auto"/>
                <w:sz w:val="24"/>
                <w:szCs w:val="24"/>
              </w:rPr>
            </w:pPr>
          </w:p>
        </w:tc>
        <w:tc>
          <w:tcPr>
            <w:tcW w:w="1515" w:type="dxa"/>
            <w:vAlign w:val="center"/>
          </w:tcPr>
          <w:p w14:paraId="323C9D12">
            <w:pPr>
              <w:jc w:val="center"/>
              <w:rPr>
                <w:color w:val="auto"/>
                <w:sz w:val="24"/>
                <w:szCs w:val="24"/>
              </w:rPr>
            </w:pPr>
            <w:r>
              <w:rPr>
                <w:color w:val="auto"/>
                <w:sz w:val="24"/>
                <w:szCs w:val="24"/>
              </w:rPr>
              <w:t>办公生活区</w:t>
            </w:r>
          </w:p>
        </w:tc>
        <w:tc>
          <w:tcPr>
            <w:tcW w:w="1410" w:type="dxa"/>
            <w:vAlign w:val="center"/>
          </w:tcPr>
          <w:p w14:paraId="0D522CB9">
            <w:pPr>
              <w:jc w:val="center"/>
              <w:rPr>
                <w:color w:val="auto"/>
                <w:sz w:val="24"/>
                <w:szCs w:val="24"/>
              </w:rPr>
            </w:pPr>
            <w:r>
              <w:rPr>
                <w:color w:val="auto"/>
                <w:sz w:val="24"/>
                <w:szCs w:val="24"/>
              </w:rPr>
              <w:t>生活垃圾</w:t>
            </w:r>
          </w:p>
        </w:tc>
        <w:tc>
          <w:tcPr>
            <w:tcW w:w="2305" w:type="dxa"/>
            <w:vAlign w:val="center"/>
          </w:tcPr>
          <w:p w14:paraId="0A89FE8B">
            <w:pPr>
              <w:jc w:val="center"/>
              <w:rPr>
                <w:color w:val="auto"/>
                <w:kern w:val="0"/>
                <w:sz w:val="24"/>
                <w:szCs w:val="24"/>
              </w:rPr>
            </w:pPr>
            <w:r>
              <w:rPr>
                <w:color w:val="auto"/>
                <w:kern w:val="0"/>
                <w:sz w:val="24"/>
                <w:szCs w:val="24"/>
              </w:rPr>
              <w:t>环卫部门统一清运处理</w:t>
            </w:r>
          </w:p>
        </w:tc>
        <w:tc>
          <w:tcPr>
            <w:tcW w:w="2740" w:type="dxa"/>
            <w:vAlign w:val="center"/>
          </w:tcPr>
          <w:p w14:paraId="1C51602D">
            <w:pPr>
              <w:jc w:val="center"/>
              <w:rPr>
                <w:color w:val="auto"/>
                <w:sz w:val="24"/>
                <w:szCs w:val="24"/>
              </w:rPr>
            </w:pPr>
            <w:r>
              <w:rPr>
                <w:rFonts w:hint="eastAsia"/>
                <w:color w:val="auto"/>
                <w:sz w:val="24"/>
                <w:szCs w:val="24"/>
              </w:rPr>
              <w:t>/</w:t>
            </w:r>
          </w:p>
        </w:tc>
      </w:tr>
      <w:tr w14:paraId="27F51BB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1095" w:hRule="atLeast"/>
          <w:jc w:val="center"/>
        </w:trPr>
        <w:tc>
          <w:tcPr>
            <w:tcW w:w="1079" w:type="dxa"/>
            <w:vAlign w:val="center"/>
          </w:tcPr>
          <w:p w14:paraId="272BD521">
            <w:pPr>
              <w:jc w:val="center"/>
              <w:rPr>
                <w:color w:val="auto"/>
                <w:sz w:val="24"/>
                <w:szCs w:val="24"/>
              </w:rPr>
            </w:pPr>
            <w:r>
              <w:rPr>
                <w:color w:val="auto"/>
                <w:sz w:val="24"/>
                <w:szCs w:val="24"/>
              </w:rPr>
              <w:t>土壤及地下水污染防治措施</w:t>
            </w:r>
          </w:p>
        </w:tc>
        <w:tc>
          <w:tcPr>
            <w:tcW w:w="7970" w:type="dxa"/>
            <w:gridSpan w:val="4"/>
            <w:vAlign w:val="center"/>
          </w:tcPr>
          <w:p w14:paraId="09F970C2">
            <w:pPr>
              <w:rPr>
                <w:color w:val="auto"/>
                <w:sz w:val="24"/>
                <w:szCs w:val="24"/>
              </w:rPr>
            </w:pPr>
            <w:r>
              <w:rPr>
                <w:color w:val="auto"/>
                <w:kern w:val="0"/>
                <w:sz w:val="24"/>
              </w:rPr>
              <w:t>生活污水</w:t>
            </w:r>
            <w:r>
              <w:rPr>
                <w:rFonts w:hint="eastAsia"/>
                <w:color w:val="auto"/>
                <w:kern w:val="0"/>
                <w:sz w:val="24"/>
                <w:lang w:val="en-US" w:eastAsia="zh-CN"/>
              </w:rPr>
              <w:t>依托陕西重型机械制造有限公司化粪池处理后经市政管网排入西安工业资产经营公司泾河产业基地污水处理站处理</w:t>
            </w:r>
            <w:r>
              <w:rPr>
                <w:rFonts w:hint="eastAsia"/>
                <w:color w:val="auto"/>
                <w:sz w:val="24"/>
                <w:szCs w:val="32"/>
                <w:lang w:val="en-US" w:eastAsia="zh-CN"/>
              </w:rPr>
              <w:t>，生产用水循环使用，排污管道及循环水池均已进行防渗处理</w:t>
            </w:r>
            <w:r>
              <w:rPr>
                <w:rFonts w:hint="eastAsia" w:cs="Times New Roman"/>
                <w:b w:val="0"/>
                <w:bCs w:val="0"/>
                <w:color w:val="auto"/>
                <w:sz w:val="24"/>
                <w:szCs w:val="32"/>
                <w:lang w:val="en-US" w:eastAsia="zh-CN"/>
              </w:rPr>
              <w:t>。</w:t>
            </w:r>
          </w:p>
        </w:tc>
      </w:tr>
      <w:tr w14:paraId="23F4B70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662" w:hRule="atLeast"/>
          <w:jc w:val="center"/>
        </w:trPr>
        <w:tc>
          <w:tcPr>
            <w:tcW w:w="1079" w:type="dxa"/>
            <w:vAlign w:val="center"/>
          </w:tcPr>
          <w:p w14:paraId="07755B55">
            <w:pPr>
              <w:jc w:val="center"/>
              <w:rPr>
                <w:color w:val="auto"/>
                <w:sz w:val="24"/>
                <w:szCs w:val="24"/>
              </w:rPr>
            </w:pPr>
            <w:r>
              <w:rPr>
                <w:color w:val="auto"/>
                <w:sz w:val="24"/>
                <w:szCs w:val="24"/>
              </w:rPr>
              <w:t>生态保护措施</w:t>
            </w:r>
          </w:p>
        </w:tc>
        <w:tc>
          <w:tcPr>
            <w:tcW w:w="7970" w:type="dxa"/>
            <w:gridSpan w:val="4"/>
            <w:vAlign w:val="center"/>
          </w:tcPr>
          <w:p w14:paraId="027770D8">
            <w:pPr>
              <w:rPr>
                <w:color w:val="auto"/>
                <w:sz w:val="24"/>
                <w:szCs w:val="24"/>
              </w:rPr>
            </w:pPr>
            <w:r>
              <w:rPr>
                <w:color w:val="auto"/>
                <w:kern w:val="0"/>
                <w:sz w:val="24"/>
                <w:szCs w:val="24"/>
              </w:rPr>
              <w:t>本项目位于已建好的厂房内，只进行简单的设备安装及调试，对周围生态环境基本无影响。</w:t>
            </w:r>
          </w:p>
        </w:tc>
      </w:tr>
      <w:tr w14:paraId="476148B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0" w:hRule="atLeast"/>
          <w:jc w:val="center"/>
        </w:trPr>
        <w:tc>
          <w:tcPr>
            <w:tcW w:w="1079" w:type="dxa"/>
            <w:vAlign w:val="center"/>
          </w:tcPr>
          <w:p w14:paraId="1BEF3DE6">
            <w:pPr>
              <w:jc w:val="center"/>
              <w:rPr>
                <w:color w:val="auto"/>
                <w:spacing w:val="-8"/>
                <w:sz w:val="24"/>
                <w:szCs w:val="24"/>
              </w:rPr>
            </w:pPr>
            <w:r>
              <w:rPr>
                <w:color w:val="auto"/>
                <w:spacing w:val="-8"/>
                <w:sz w:val="24"/>
                <w:szCs w:val="24"/>
              </w:rPr>
              <w:t>环境风险防范措施</w:t>
            </w:r>
          </w:p>
        </w:tc>
        <w:tc>
          <w:tcPr>
            <w:tcW w:w="7970" w:type="dxa"/>
            <w:gridSpan w:val="4"/>
            <w:vAlign w:val="center"/>
          </w:tcPr>
          <w:p w14:paraId="49E675B2">
            <w:pPr>
              <w:rPr>
                <w:color w:val="auto"/>
                <w:sz w:val="24"/>
                <w:szCs w:val="24"/>
              </w:rPr>
            </w:pPr>
            <w:r>
              <w:rPr>
                <w:color w:val="auto"/>
                <w:kern w:val="32"/>
                <w:sz w:val="24"/>
                <w:szCs w:val="28"/>
              </w:rPr>
              <w:t>根据《建设项目环境风险评价技术导则》（HJ169-2018）附录B、GB3000.18、GB30000.28</w:t>
            </w:r>
            <w:r>
              <w:rPr>
                <w:rFonts w:hint="eastAsia"/>
                <w:color w:val="auto"/>
                <w:kern w:val="32"/>
                <w:sz w:val="24"/>
                <w:szCs w:val="28"/>
                <w:lang w:eastAsia="zh-CN"/>
              </w:rPr>
              <w:t>、</w:t>
            </w:r>
            <w:r>
              <w:rPr>
                <w:bCs/>
                <w:color w:val="auto"/>
                <w:kern w:val="0"/>
                <w:sz w:val="24"/>
                <w:szCs w:val="24"/>
              </w:rPr>
              <w:t>《危险化学品重大危险源辨识》（GB18218-2018）及《危险废物管理名录》（2021年版）表1</w:t>
            </w:r>
            <w:r>
              <w:rPr>
                <w:color w:val="auto"/>
                <w:kern w:val="32"/>
                <w:sz w:val="24"/>
                <w:szCs w:val="28"/>
              </w:rPr>
              <w:t>，</w:t>
            </w:r>
            <w:r>
              <w:rPr>
                <w:rFonts w:hint="eastAsia"/>
                <w:color w:val="auto"/>
                <w:kern w:val="32"/>
                <w:sz w:val="24"/>
                <w:szCs w:val="28"/>
                <w:lang w:val="en-US" w:eastAsia="zh-CN"/>
              </w:rPr>
              <w:t>本项目不存在风险物质。</w:t>
            </w:r>
          </w:p>
        </w:tc>
      </w:tr>
      <w:tr w14:paraId="470213A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1002" w:hRule="atLeast"/>
          <w:jc w:val="center"/>
        </w:trPr>
        <w:tc>
          <w:tcPr>
            <w:tcW w:w="1079" w:type="dxa"/>
            <w:vAlign w:val="center"/>
          </w:tcPr>
          <w:p w14:paraId="5C5C5748">
            <w:pPr>
              <w:keepNext w:val="0"/>
              <w:keepLines w:val="0"/>
              <w:pageBreakBefore w:val="0"/>
              <w:widowControl w:val="0"/>
              <w:kinsoku/>
              <w:wordWrap/>
              <w:overflowPunct/>
              <w:topLinePunct w:val="0"/>
              <w:autoSpaceDE/>
              <w:autoSpaceDN/>
              <w:bidi w:val="0"/>
              <w:adjustRightInd/>
              <w:jc w:val="center"/>
              <w:textAlignment w:val="auto"/>
              <w:rPr>
                <w:color w:val="auto"/>
                <w:spacing w:val="-8"/>
                <w:sz w:val="24"/>
                <w:szCs w:val="24"/>
              </w:rPr>
            </w:pPr>
            <w:r>
              <w:rPr>
                <w:color w:val="auto"/>
                <w:spacing w:val="-8"/>
                <w:sz w:val="24"/>
                <w:szCs w:val="24"/>
              </w:rPr>
              <w:t>其他环境</w:t>
            </w:r>
          </w:p>
          <w:p w14:paraId="4FED9CEA">
            <w:pPr>
              <w:keepNext w:val="0"/>
              <w:keepLines w:val="0"/>
              <w:pageBreakBefore w:val="0"/>
              <w:widowControl w:val="0"/>
              <w:kinsoku/>
              <w:wordWrap/>
              <w:overflowPunct/>
              <w:topLinePunct w:val="0"/>
              <w:autoSpaceDE/>
              <w:autoSpaceDN/>
              <w:bidi w:val="0"/>
              <w:adjustRightInd/>
              <w:jc w:val="center"/>
              <w:textAlignment w:val="auto"/>
              <w:rPr>
                <w:color w:val="auto"/>
                <w:spacing w:val="-8"/>
                <w:sz w:val="24"/>
                <w:szCs w:val="24"/>
              </w:rPr>
            </w:pPr>
            <w:r>
              <w:rPr>
                <w:color w:val="auto"/>
                <w:spacing w:val="-8"/>
                <w:sz w:val="24"/>
                <w:szCs w:val="24"/>
              </w:rPr>
              <w:t>管理要求</w:t>
            </w:r>
          </w:p>
        </w:tc>
        <w:tc>
          <w:tcPr>
            <w:tcW w:w="7970" w:type="dxa"/>
            <w:gridSpan w:val="4"/>
            <w:vAlign w:val="center"/>
          </w:tcPr>
          <w:p w14:paraId="09173060">
            <w:pPr>
              <w:spacing w:line="360" w:lineRule="auto"/>
              <w:ind w:firstLine="480" w:firstLineChars="200"/>
              <w:rPr>
                <w:color w:val="auto"/>
                <w:sz w:val="24"/>
                <w:szCs w:val="24"/>
              </w:rPr>
            </w:pPr>
            <w:r>
              <w:rPr>
                <w:color w:val="auto"/>
                <w:sz w:val="24"/>
                <w:szCs w:val="24"/>
              </w:rPr>
              <w:t>建设单位应成立专门的环境管理机构，并制定一系列的环境管理制度具体落实企业内部生产运行过程中的各项国家及地方环境管理要求。建设单位环境保护管理机构的主要职责主要包括以下几个方面：</w:t>
            </w:r>
          </w:p>
          <w:p w14:paraId="0DB5ADA3">
            <w:pPr>
              <w:numPr>
                <w:ilvl w:val="0"/>
                <w:numId w:val="6"/>
              </w:numPr>
              <w:spacing w:line="360" w:lineRule="auto"/>
              <w:ind w:firstLine="480" w:firstLineChars="200"/>
              <w:rPr>
                <w:rFonts w:hint="eastAsia"/>
                <w:color w:val="auto"/>
                <w:sz w:val="24"/>
                <w:szCs w:val="24"/>
                <w:lang w:val="en-US" w:eastAsia="zh-CN"/>
              </w:rPr>
            </w:pPr>
            <w:r>
              <w:rPr>
                <w:rFonts w:hint="eastAsia"/>
                <w:color w:val="auto"/>
                <w:sz w:val="24"/>
                <w:szCs w:val="24"/>
                <w:lang w:val="en-US" w:eastAsia="zh-CN"/>
              </w:rPr>
              <w:t>建设项目三同时制度</w:t>
            </w:r>
          </w:p>
          <w:p w14:paraId="443FA063">
            <w:pPr>
              <w:numPr>
                <w:ilvl w:val="0"/>
                <w:numId w:val="0"/>
              </w:numPr>
              <w:spacing w:line="360" w:lineRule="auto"/>
              <w:ind w:firstLine="480" w:firstLineChars="200"/>
              <w:rPr>
                <w:rFonts w:hint="eastAsia"/>
                <w:color w:val="auto"/>
                <w:sz w:val="24"/>
                <w:szCs w:val="24"/>
                <w:lang w:val="en-US" w:eastAsia="zh-CN"/>
              </w:rPr>
            </w:pPr>
            <w:r>
              <w:rPr>
                <w:rFonts w:hint="eastAsia"/>
                <w:color w:val="auto"/>
                <w:sz w:val="24"/>
                <w:szCs w:val="24"/>
                <w:lang w:val="en-US" w:eastAsia="zh-CN"/>
              </w:rPr>
              <w:t>根据《建设项目环境保护管理条例》及其修改决定（国务院令第682号），建设项目竣工后，建设单位应进行竣工验收，验收后本项目方可正式投产运行。</w:t>
            </w:r>
          </w:p>
          <w:p w14:paraId="506D0CF5">
            <w:pPr>
              <w:numPr>
                <w:ilvl w:val="0"/>
                <w:numId w:val="0"/>
              </w:numPr>
              <w:spacing w:line="360" w:lineRule="auto"/>
              <w:ind w:firstLine="480" w:firstLineChars="200"/>
              <w:rPr>
                <w:rFonts w:hint="eastAsia"/>
                <w:color w:val="auto"/>
                <w:sz w:val="24"/>
                <w:szCs w:val="24"/>
                <w:lang w:val="en-US" w:eastAsia="zh-CN"/>
              </w:rPr>
            </w:pPr>
            <w:r>
              <w:rPr>
                <w:rFonts w:hint="eastAsia"/>
                <w:color w:val="auto"/>
                <w:sz w:val="24"/>
                <w:szCs w:val="24"/>
                <w:lang w:val="en-US" w:eastAsia="zh-CN"/>
              </w:rPr>
              <w:t>（2）环境管理制度</w:t>
            </w:r>
          </w:p>
          <w:p w14:paraId="41BEB6E7">
            <w:pPr>
              <w:spacing w:line="360" w:lineRule="auto"/>
              <w:ind w:firstLine="480" w:firstLineChars="200"/>
              <w:rPr>
                <w:color w:val="auto"/>
                <w:sz w:val="24"/>
                <w:szCs w:val="24"/>
              </w:rPr>
            </w:pPr>
            <w:r>
              <w:rPr>
                <w:rFonts w:hint="eastAsia"/>
                <w:color w:val="auto"/>
                <w:sz w:val="24"/>
                <w:szCs w:val="24"/>
                <w:lang w:val="en-US" w:eastAsia="zh-CN"/>
              </w:rPr>
              <w:t>根据国家、地方政府对企业环境管理的基本要求，</w:t>
            </w:r>
            <w:r>
              <w:rPr>
                <w:color w:val="auto"/>
                <w:sz w:val="24"/>
                <w:szCs w:val="24"/>
              </w:rPr>
              <w:t>组织制定环保管理制度、年度实施计划和长远规划，并监督贯彻执行，具体环境保护管理制度应包括以下几个方面的工作内容：</w:t>
            </w:r>
          </w:p>
          <w:p w14:paraId="34EEF21C">
            <w:pPr>
              <w:spacing w:line="360" w:lineRule="auto"/>
              <w:ind w:firstLine="480" w:firstLineChars="200"/>
              <w:rPr>
                <w:color w:val="auto"/>
                <w:sz w:val="24"/>
                <w:szCs w:val="24"/>
              </w:rPr>
            </w:pPr>
            <w:r>
              <w:rPr>
                <w:color w:val="auto"/>
                <w:sz w:val="24"/>
                <w:szCs w:val="24"/>
              </w:rPr>
              <w:t>①</w:t>
            </w:r>
            <w:r>
              <w:rPr>
                <w:rFonts w:hint="eastAsia"/>
                <w:color w:val="auto"/>
                <w:sz w:val="24"/>
                <w:szCs w:val="24"/>
                <w:lang w:val="en-US" w:eastAsia="zh-CN"/>
              </w:rPr>
              <w:t>废气处理措施、</w:t>
            </w:r>
            <w:r>
              <w:rPr>
                <w:color w:val="auto"/>
                <w:sz w:val="24"/>
                <w:szCs w:val="24"/>
              </w:rPr>
              <w:t>固体废物收集处理处置设施、噪声防治设施及措施等的运行、维修、定期保养等工作制度；</w:t>
            </w:r>
          </w:p>
          <w:p w14:paraId="32379008">
            <w:pPr>
              <w:spacing w:line="360" w:lineRule="auto"/>
              <w:ind w:firstLine="480" w:firstLineChars="200"/>
              <w:rPr>
                <w:rFonts w:hint="eastAsia"/>
                <w:color w:val="auto"/>
                <w:sz w:val="24"/>
                <w:szCs w:val="24"/>
                <w:lang w:val="en-US" w:eastAsia="zh-CN"/>
              </w:rPr>
            </w:pPr>
            <w:r>
              <w:rPr>
                <w:color w:val="auto"/>
                <w:sz w:val="24"/>
                <w:szCs w:val="24"/>
              </w:rPr>
              <w:t>②环保台账管理制度，主要包括废气、噪声等监测数据台账。</w:t>
            </w:r>
          </w:p>
          <w:p w14:paraId="553DC49B">
            <w:pPr>
              <w:spacing w:line="360" w:lineRule="auto"/>
              <w:ind w:firstLine="480" w:firstLineChars="200"/>
              <w:rPr>
                <w:rFonts w:hint="eastAsia"/>
                <w:color w:val="auto"/>
                <w:sz w:val="24"/>
                <w:szCs w:val="24"/>
                <w:lang w:val="en-US" w:eastAsia="zh-CN"/>
              </w:rPr>
            </w:pPr>
            <w:r>
              <w:rPr>
                <w:rFonts w:hint="eastAsia"/>
                <w:color w:val="auto"/>
                <w:sz w:val="24"/>
                <w:szCs w:val="24"/>
                <w:lang w:val="en-US" w:eastAsia="zh-CN"/>
              </w:rPr>
              <w:t>（3）排污许可证制度</w:t>
            </w:r>
          </w:p>
          <w:p w14:paraId="3A7723B1">
            <w:pPr>
              <w:spacing w:line="360" w:lineRule="auto"/>
              <w:ind w:firstLine="480" w:firstLineChars="200"/>
              <w:rPr>
                <w:rFonts w:hint="eastAsia"/>
                <w:color w:val="auto"/>
                <w:sz w:val="24"/>
                <w:szCs w:val="24"/>
                <w:lang w:val="en-US" w:eastAsia="zh-CN"/>
              </w:rPr>
            </w:pPr>
            <w:r>
              <w:rPr>
                <w:rFonts w:hint="eastAsia"/>
                <w:color w:val="auto"/>
                <w:sz w:val="24"/>
                <w:szCs w:val="24"/>
                <w:lang w:val="en-US" w:eastAsia="zh-CN"/>
              </w:rPr>
              <w:t>建设单位在本项目排污前，根据《固定污染源排污许可分类管理名录（2019年版）》要求，由建设单位或委托第三方机构及时组织重新申领排污许可证，未取得排污许可手续前本项目不得排污。</w:t>
            </w:r>
          </w:p>
          <w:p w14:paraId="65A898C9">
            <w:pPr>
              <w:spacing w:line="360" w:lineRule="auto"/>
              <w:ind w:firstLine="480" w:firstLineChars="200"/>
              <w:rPr>
                <w:rFonts w:hint="eastAsia"/>
                <w:color w:val="auto"/>
                <w:sz w:val="24"/>
                <w:szCs w:val="24"/>
                <w:lang w:val="en-US" w:eastAsia="zh-CN"/>
              </w:rPr>
            </w:pPr>
            <w:r>
              <w:rPr>
                <w:rFonts w:hint="eastAsia"/>
                <w:color w:val="auto"/>
                <w:sz w:val="24"/>
                <w:szCs w:val="24"/>
                <w:lang w:val="en-US" w:eastAsia="zh-CN"/>
              </w:rPr>
              <w:t>（4）环境风险防范制度</w:t>
            </w:r>
          </w:p>
          <w:p w14:paraId="1A1DA75D">
            <w:pPr>
              <w:spacing w:line="360" w:lineRule="auto"/>
              <w:ind w:firstLine="480" w:firstLineChars="200"/>
              <w:rPr>
                <w:rFonts w:hint="eastAsia"/>
                <w:color w:val="auto"/>
                <w:sz w:val="24"/>
                <w:szCs w:val="24"/>
                <w:lang w:val="en-US" w:eastAsia="zh-CN"/>
              </w:rPr>
            </w:pPr>
            <w:r>
              <w:rPr>
                <w:rFonts w:hint="eastAsia"/>
                <w:color w:val="auto"/>
                <w:sz w:val="24"/>
                <w:szCs w:val="24"/>
                <w:lang w:val="en-US" w:eastAsia="zh-CN"/>
              </w:rPr>
              <w:t>建设单位建立健全突发环境事件应急制度，配置必要的应急救援设备，并加强人员培训、演练。</w:t>
            </w:r>
          </w:p>
          <w:p w14:paraId="4FE0FC8C">
            <w:pPr>
              <w:spacing w:line="360" w:lineRule="auto"/>
              <w:ind w:firstLine="480" w:firstLineChars="200"/>
              <w:rPr>
                <w:rFonts w:hint="eastAsia"/>
                <w:color w:val="auto"/>
                <w:sz w:val="24"/>
                <w:szCs w:val="24"/>
                <w:lang w:val="en-US" w:eastAsia="zh-CN"/>
              </w:rPr>
            </w:pPr>
            <w:r>
              <w:rPr>
                <w:rFonts w:hint="eastAsia"/>
                <w:color w:val="auto"/>
                <w:sz w:val="24"/>
                <w:szCs w:val="24"/>
                <w:lang w:val="en-US" w:eastAsia="zh-CN"/>
              </w:rPr>
              <w:t>（5）排污口技术规范要求</w:t>
            </w:r>
          </w:p>
          <w:p w14:paraId="018EF259">
            <w:pPr>
              <w:spacing w:line="360" w:lineRule="auto"/>
              <w:ind w:firstLine="480" w:firstLineChars="200"/>
              <w:rPr>
                <w:rFonts w:hint="eastAsia"/>
                <w:color w:val="auto"/>
                <w:sz w:val="24"/>
                <w:szCs w:val="24"/>
                <w:lang w:val="en-US" w:eastAsia="zh-CN"/>
              </w:rPr>
            </w:pPr>
            <w:r>
              <w:rPr>
                <w:rFonts w:hint="eastAsia"/>
                <w:color w:val="auto"/>
                <w:sz w:val="24"/>
                <w:szCs w:val="24"/>
                <w:lang w:val="en-US" w:eastAsia="zh-CN"/>
              </w:rPr>
              <w:t>企业应规范环保图形标志，固体废物堆放场所必须有防火、防腐蚀、防流失等措施，并按《环境保护图形标志-固体废物贮存（处置）场》（GB15562.2-1995）相关要求设置标志牌。</w:t>
            </w:r>
          </w:p>
          <w:p w14:paraId="78FB3BBB">
            <w:pPr>
              <w:spacing w:line="360" w:lineRule="auto"/>
              <w:ind w:firstLine="480" w:firstLineChars="200"/>
              <w:rPr>
                <w:rFonts w:hint="eastAsia"/>
                <w:color w:val="auto"/>
                <w:sz w:val="24"/>
                <w:szCs w:val="24"/>
                <w:lang w:val="en-US" w:eastAsia="zh-CN"/>
              </w:rPr>
            </w:pPr>
            <w:r>
              <w:rPr>
                <w:rFonts w:hint="eastAsia"/>
                <w:color w:val="auto"/>
                <w:sz w:val="24"/>
                <w:szCs w:val="24"/>
                <w:lang w:val="en-US" w:eastAsia="zh-CN"/>
              </w:rPr>
              <w:t>（6）竣工验收制度</w:t>
            </w:r>
          </w:p>
          <w:p w14:paraId="403F1C69">
            <w:pPr>
              <w:spacing w:line="360" w:lineRule="auto"/>
              <w:ind w:firstLine="480" w:firstLineChars="200"/>
              <w:rPr>
                <w:rFonts w:hint="eastAsia"/>
                <w:color w:val="auto"/>
                <w:sz w:val="24"/>
                <w:szCs w:val="24"/>
                <w:lang w:val="en-US" w:eastAsia="zh-CN"/>
              </w:rPr>
            </w:pPr>
            <w:r>
              <w:rPr>
                <w:rFonts w:hint="eastAsia"/>
                <w:color w:val="auto"/>
                <w:sz w:val="24"/>
                <w:szCs w:val="24"/>
                <w:lang w:val="en-US" w:eastAsia="zh-CN"/>
              </w:rPr>
              <w:t>根据《建设项目竣工环境保护验收暂行办法》（国环规环评[2017]4号），建设单位自行组织验收。验收合格后，方可投入生产或者使用。</w:t>
            </w:r>
          </w:p>
          <w:p w14:paraId="6C0ABDA0">
            <w:pPr>
              <w:spacing w:line="360" w:lineRule="auto"/>
              <w:ind w:firstLine="480" w:firstLineChars="200"/>
              <w:rPr>
                <w:rFonts w:hint="default"/>
                <w:color w:val="auto"/>
                <w:sz w:val="24"/>
                <w:szCs w:val="24"/>
                <w:lang w:val="en-US" w:eastAsia="zh-CN"/>
              </w:rPr>
            </w:pPr>
            <w:r>
              <w:rPr>
                <w:rFonts w:hint="eastAsia"/>
                <w:color w:val="auto"/>
                <w:sz w:val="24"/>
                <w:szCs w:val="24"/>
                <w:lang w:val="en-US" w:eastAsia="zh-CN"/>
              </w:rPr>
              <w:t>（7）例行监测制度</w:t>
            </w:r>
          </w:p>
          <w:p w14:paraId="4BF37F42">
            <w:pPr>
              <w:spacing w:line="360" w:lineRule="auto"/>
              <w:ind w:firstLine="480" w:firstLineChars="200"/>
              <w:rPr>
                <w:rFonts w:ascii="Times New Roman" w:hAnsi="Times New Roman" w:cs="Times New Roman"/>
                <w:color w:val="auto"/>
                <w:sz w:val="24"/>
              </w:rPr>
            </w:pPr>
            <w:r>
              <w:rPr>
                <w:rFonts w:hint="eastAsia"/>
                <w:color w:val="auto"/>
                <w:sz w:val="24"/>
                <w:szCs w:val="24"/>
                <w:lang w:val="en-US" w:eastAsia="zh-CN"/>
              </w:rPr>
              <w:t>根据表4-4、4-9的本项目监测计划，委托有资质的</w:t>
            </w:r>
            <w:r>
              <w:rPr>
                <w:rFonts w:ascii="Times New Roman" w:hAnsi="Times New Roman" w:cs="Times New Roman"/>
                <w:color w:val="auto"/>
                <w:sz w:val="24"/>
              </w:rPr>
              <w:t>检（监）测机构开展</w:t>
            </w:r>
            <w:r>
              <w:rPr>
                <w:rFonts w:hint="eastAsia" w:cs="Times New Roman"/>
                <w:color w:val="auto"/>
                <w:sz w:val="24"/>
                <w:lang w:val="en-US" w:eastAsia="zh-CN"/>
              </w:rPr>
              <w:t>企业</w:t>
            </w:r>
            <w:r>
              <w:rPr>
                <w:rFonts w:ascii="Times New Roman" w:hAnsi="Times New Roman" w:cs="Times New Roman"/>
                <w:color w:val="auto"/>
                <w:sz w:val="24"/>
              </w:rPr>
              <w:t>自行监测，对检（监）测机构的资质进行确认。</w:t>
            </w:r>
          </w:p>
          <w:p w14:paraId="41856EE4">
            <w:pPr>
              <w:spacing w:line="360" w:lineRule="auto"/>
              <w:ind w:firstLine="480" w:firstLineChars="200"/>
              <w:rPr>
                <w:color w:val="auto"/>
                <w:sz w:val="24"/>
                <w:szCs w:val="24"/>
              </w:rPr>
            </w:pPr>
            <w:r>
              <w:rPr>
                <w:rFonts w:hint="eastAsia"/>
                <w:color w:val="auto"/>
                <w:sz w:val="24"/>
                <w:szCs w:val="24"/>
                <w:lang w:val="en-US" w:eastAsia="zh-CN"/>
              </w:rPr>
              <w:t>（8）信息公开制度</w:t>
            </w:r>
          </w:p>
          <w:p w14:paraId="6599585E">
            <w:pPr>
              <w:keepNext w:val="0"/>
              <w:keepLines w:val="0"/>
              <w:pageBreakBefore w:val="0"/>
              <w:widowControl w:val="0"/>
              <w:kinsoku/>
              <w:wordWrap/>
              <w:overflowPunct/>
              <w:topLinePunct w:val="0"/>
              <w:autoSpaceDE/>
              <w:autoSpaceDN/>
              <w:bidi w:val="0"/>
              <w:adjustRightInd/>
              <w:spacing w:line="360" w:lineRule="auto"/>
              <w:ind w:firstLine="480" w:firstLineChars="200"/>
              <w:textAlignment w:val="auto"/>
              <w:rPr>
                <w:color w:val="auto"/>
                <w:sz w:val="24"/>
                <w:szCs w:val="24"/>
              </w:rPr>
            </w:pPr>
            <w:r>
              <w:rPr>
                <w:color w:val="auto"/>
                <w:sz w:val="24"/>
                <w:szCs w:val="24"/>
              </w:rPr>
              <w:t>根据《建设项目环境保护事中事后监督管理办法（试行）》要求，建设单位应当主动向社会公开建设项目环境影响评价文件、污染防治设施建设运行情况、污染物排放情况及应对情况等环境信息。</w:t>
            </w:r>
          </w:p>
        </w:tc>
      </w:tr>
    </w:tbl>
    <w:p w14:paraId="6208AE9F">
      <w:pPr>
        <w:widowControl/>
        <w:spacing w:before="100" w:beforeAutospacing="1" w:after="100" w:afterAutospacing="1"/>
        <w:jc w:val="center"/>
        <w:outlineLvl w:val="0"/>
        <w:rPr>
          <w:rFonts w:eastAsia="黑体"/>
          <w:snapToGrid w:val="0"/>
          <w:color w:val="auto"/>
          <w:kern w:val="0"/>
          <w:sz w:val="30"/>
          <w:szCs w:val="30"/>
        </w:rPr>
      </w:pPr>
      <w:r>
        <w:rPr>
          <w:snapToGrid w:val="0"/>
          <w:color w:val="auto"/>
          <w:kern w:val="0"/>
          <w:sz w:val="24"/>
          <w:szCs w:val="20"/>
        </w:rPr>
        <w:br w:type="page"/>
      </w:r>
      <w:r>
        <w:rPr>
          <w:rFonts w:eastAsia="黑体"/>
          <w:snapToGrid w:val="0"/>
          <w:color w:val="auto"/>
          <w:kern w:val="0"/>
          <w:sz w:val="30"/>
          <w:szCs w:val="30"/>
        </w:rPr>
        <w:t>六、结论</w:t>
      </w:r>
    </w:p>
    <w:tbl>
      <w:tblPr>
        <w:tblStyle w:val="17"/>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8865"/>
      </w:tblGrid>
      <w:tr w14:paraId="439F8A8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336" w:hRule="atLeast"/>
          <w:jc w:val="center"/>
        </w:trPr>
        <w:tc>
          <w:tcPr>
            <w:tcW w:w="8865" w:type="dxa"/>
            <w:vAlign w:val="center"/>
          </w:tcPr>
          <w:p w14:paraId="0A740938">
            <w:pPr>
              <w:autoSpaceDE w:val="0"/>
              <w:autoSpaceDN w:val="0"/>
              <w:adjustRightInd w:val="0"/>
              <w:spacing w:line="360" w:lineRule="auto"/>
              <w:ind w:firstLine="472" w:firstLineChars="196"/>
              <w:rPr>
                <w:b/>
                <w:color w:val="auto"/>
                <w:kern w:val="0"/>
                <w:sz w:val="24"/>
                <w:szCs w:val="20"/>
                <w:highlight w:val="none"/>
              </w:rPr>
            </w:pPr>
            <w:r>
              <w:rPr>
                <w:b/>
                <w:color w:val="auto"/>
                <w:kern w:val="0"/>
                <w:sz w:val="24"/>
                <w:szCs w:val="20"/>
                <w:highlight w:val="none"/>
              </w:rPr>
              <w:t>从环境保护角度，该建设项目环境影响可行。</w:t>
            </w:r>
          </w:p>
          <w:p w14:paraId="4610F86D">
            <w:pPr>
              <w:autoSpaceDE w:val="0"/>
              <w:autoSpaceDN w:val="0"/>
              <w:adjustRightInd w:val="0"/>
              <w:spacing w:line="360" w:lineRule="auto"/>
              <w:ind w:firstLine="470" w:firstLineChars="196"/>
              <w:rPr>
                <w:color w:val="auto"/>
                <w:sz w:val="24"/>
              </w:rPr>
            </w:pPr>
          </w:p>
        </w:tc>
      </w:tr>
    </w:tbl>
    <w:p w14:paraId="070D64ED">
      <w:pPr>
        <w:rPr>
          <w:color w:val="auto"/>
        </w:rPr>
        <w:sectPr>
          <w:pgSz w:w="11906" w:h="16838"/>
          <w:pgMar w:top="1553" w:right="1553" w:bottom="1553" w:left="1553" w:header="851" w:footer="851" w:gutter="0"/>
          <w:pgNumType w:fmt="numberInDash"/>
          <w:cols w:space="720" w:num="1"/>
          <w:docGrid w:linePitch="312" w:charSpace="0"/>
        </w:sectPr>
      </w:pPr>
    </w:p>
    <w:p w14:paraId="631775E4">
      <w:pPr>
        <w:keepNext w:val="0"/>
        <w:keepLines w:val="0"/>
        <w:pageBreakBefore w:val="0"/>
        <w:widowControl/>
        <w:kinsoku/>
        <w:wordWrap/>
        <w:overflowPunct/>
        <w:topLinePunct w:val="0"/>
        <w:autoSpaceDE/>
        <w:autoSpaceDN/>
        <w:bidi w:val="0"/>
        <w:adjustRightInd w:val="0"/>
        <w:snapToGrid w:val="0"/>
        <w:spacing w:line="240" w:lineRule="auto"/>
        <w:jc w:val="left"/>
        <w:textAlignment w:val="auto"/>
        <w:outlineLvl w:val="0"/>
        <w:rPr>
          <w:rFonts w:eastAsia="黑体"/>
          <w:snapToGrid w:val="0"/>
          <w:color w:val="auto"/>
          <w:kern w:val="0"/>
          <w:sz w:val="32"/>
          <w:szCs w:val="32"/>
        </w:rPr>
      </w:pPr>
      <w:r>
        <w:rPr>
          <w:rFonts w:eastAsia="黑体"/>
          <w:snapToGrid w:val="0"/>
          <w:color w:val="auto"/>
          <w:kern w:val="0"/>
          <w:sz w:val="32"/>
          <w:szCs w:val="32"/>
        </w:rPr>
        <w:t>附表</w:t>
      </w:r>
    </w:p>
    <w:p w14:paraId="50574A09">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0"/>
        <w:rPr>
          <w:rFonts w:eastAsia="方正小标宋_GBK"/>
          <w:snapToGrid w:val="0"/>
          <w:color w:val="auto"/>
          <w:kern w:val="0"/>
          <w:sz w:val="36"/>
          <w:szCs w:val="36"/>
        </w:rPr>
      </w:pPr>
      <w:r>
        <w:rPr>
          <w:rFonts w:eastAsia="方正小标宋_GBK"/>
          <w:snapToGrid w:val="0"/>
          <w:color w:val="auto"/>
          <w:kern w:val="0"/>
          <w:sz w:val="36"/>
          <w:szCs w:val="36"/>
        </w:rPr>
        <w:t>建设项目污染物排放量汇总表</w:t>
      </w:r>
    </w:p>
    <w:tbl>
      <w:tblPr>
        <w:tblStyle w:val="17"/>
        <w:tblW w:w="13788"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110"/>
        <w:gridCol w:w="3029"/>
        <w:gridCol w:w="1332"/>
        <w:gridCol w:w="1144"/>
        <w:gridCol w:w="1462"/>
        <w:gridCol w:w="1613"/>
        <w:gridCol w:w="1331"/>
        <w:gridCol w:w="1718"/>
        <w:gridCol w:w="1049"/>
      </w:tblGrid>
      <w:tr w14:paraId="7A773A6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37" w:hRule="atLeast"/>
          <w:jc w:val="center"/>
        </w:trPr>
        <w:tc>
          <w:tcPr>
            <w:tcW w:w="1110" w:type="dxa"/>
            <w:tcBorders>
              <w:tl2br w:val="single" w:color="auto" w:sz="4" w:space="0"/>
            </w:tcBorders>
            <w:tcMar>
              <w:left w:w="28" w:type="dxa"/>
              <w:right w:w="28" w:type="dxa"/>
            </w:tcMar>
            <w:vAlign w:val="center"/>
          </w:tcPr>
          <w:p w14:paraId="33735DD5">
            <w:pPr>
              <w:keepNext w:val="0"/>
              <w:keepLines w:val="0"/>
              <w:pageBreakBefore w:val="0"/>
              <w:widowControl w:val="0"/>
              <w:wordWrap/>
              <w:topLinePunct w:val="0"/>
              <w:autoSpaceDE/>
              <w:autoSpaceDN/>
              <w:bidi w:val="0"/>
              <w:adjustRightInd w:val="0"/>
              <w:snapToGrid w:val="0"/>
              <w:jc w:val="right"/>
              <w:rPr>
                <w:rFonts w:eastAsia="黑体"/>
                <w:snapToGrid w:val="0"/>
                <w:color w:val="auto"/>
                <w:spacing w:val="-6"/>
                <w:kern w:val="21"/>
                <w:szCs w:val="21"/>
              </w:rPr>
            </w:pPr>
            <w:r>
              <w:rPr>
                <w:rFonts w:eastAsia="黑体"/>
                <w:snapToGrid w:val="0"/>
                <w:color w:val="auto"/>
                <w:spacing w:val="-6"/>
                <w:kern w:val="21"/>
                <w:szCs w:val="21"/>
              </w:rPr>
              <w:t>项目</w:t>
            </w:r>
          </w:p>
          <w:p w14:paraId="0DDE61D8">
            <w:pPr>
              <w:keepNext w:val="0"/>
              <w:keepLines w:val="0"/>
              <w:pageBreakBefore w:val="0"/>
              <w:widowControl w:val="0"/>
              <w:wordWrap/>
              <w:topLinePunct w:val="0"/>
              <w:autoSpaceDE/>
              <w:autoSpaceDN/>
              <w:bidi w:val="0"/>
              <w:adjustRightInd w:val="0"/>
              <w:snapToGrid w:val="0"/>
              <w:jc w:val="left"/>
              <w:rPr>
                <w:rFonts w:eastAsia="黑体"/>
                <w:snapToGrid w:val="0"/>
                <w:color w:val="auto"/>
                <w:spacing w:val="-6"/>
                <w:kern w:val="21"/>
                <w:szCs w:val="21"/>
              </w:rPr>
            </w:pPr>
            <w:r>
              <w:rPr>
                <w:rFonts w:eastAsia="黑体"/>
                <w:snapToGrid w:val="0"/>
                <w:color w:val="auto"/>
                <w:spacing w:val="-6"/>
                <w:kern w:val="21"/>
                <w:szCs w:val="21"/>
              </w:rPr>
              <w:t>分类</w:t>
            </w:r>
          </w:p>
        </w:tc>
        <w:tc>
          <w:tcPr>
            <w:tcW w:w="3029" w:type="dxa"/>
            <w:tcMar>
              <w:left w:w="28" w:type="dxa"/>
              <w:right w:w="28" w:type="dxa"/>
            </w:tcMar>
            <w:vAlign w:val="center"/>
          </w:tcPr>
          <w:p w14:paraId="27C85C8C">
            <w:pPr>
              <w:keepNext w:val="0"/>
              <w:keepLines w:val="0"/>
              <w:pageBreakBefore w:val="0"/>
              <w:widowControl w:val="0"/>
              <w:wordWrap/>
              <w:topLinePunct w:val="0"/>
              <w:autoSpaceDE/>
              <w:autoSpaceDN/>
              <w:bidi w:val="0"/>
              <w:adjustRightInd w:val="0"/>
              <w:snapToGrid w:val="0"/>
              <w:jc w:val="center"/>
              <w:rPr>
                <w:rFonts w:eastAsia="黑体"/>
                <w:snapToGrid w:val="0"/>
                <w:color w:val="auto"/>
                <w:spacing w:val="-6"/>
                <w:kern w:val="21"/>
                <w:szCs w:val="21"/>
              </w:rPr>
            </w:pPr>
            <w:r>
              <w:rPr>
                <w:rFonts w:eastAsia="黑体"/>
                <w:snapToGrid w:val="0"/>
                <w:color w:val="auto"/>
                <w:spacing w:val="-6"/>
                <w:kern w:val="21"/>
                <w:szCs w:val="21"/>
              </w:rPr>
              <w:t>污染物名称</w:t>
            </w:r>
          </w:p>
        </w:tc>
        <w:tc>
          <w:tcPr>
            <w:tcW w:w="1332" w:type="dxa"/>
            <w:tcMar>
              <w:left w:w="28" w:type="dxa"/>
              <w:right w:w="28" w:type="dxa"/>
            </w:tcMar>
            <w:vAlign w:val="center"/>
          </w:tcPr>
          <w:p w14:paraId="4B3D2087">
            <w:pPr>
              <w:keepNext w:val="0"/>
              <w:keepLines w:val="0"/>
              <w:pageBreakBefore w:val="0"/>
              <w:widowControl w:val="0"/>
              <w:wordWrap/>
              <w:topLinePunct w:val="0"/>
              <w:autoSpaceDE/>
              <w:autoSpaceDN/>
              <w:bidi w:val="0"/>
              <w:adjustRightInd w:val="0"/>
              <w:snapToGrid w:val="0"/>
              <w:jc w:val="center"/>
              <w:rPr>
                <w:rFonts w:hint="default" w:ascii="Times New Roman" w:hAnsi="Times New Roman" w:eastAsia="黑体" w:cs="Times New Roman"/>
                <w:snapToGrid w:val="0"/>
                <w:color w:val="auto"/>
                <w:spacing w:val="-6"/>
                <w:kern w:val="21"/>
                <w:szCs w:val="21"/>
              </w:rPr>
            </w:pPr>
            <w:r>
              <w:rPr>
                <w:rFonts w:hint="default" w:ascii="Times New Roman" w:hAnsi="Times New Roman" w:eastAsia="黑体" w:cs="Times New Roman"/>
                <w:snapToGrid w:val="0"/>
                <w:color w:val="auto"/>
                <w:spacing w:val="-6"/>
                <w:kern w:val="21"/>
                <w:szCs w:val="21"/>
              </w:rPr>
              <w:t>现有工程排放量（固体废物产生量）</w:t>
            </w:r>
            <w:r>
              <w:rPr>
                <w:rFonts w:hint="default" w:ascii="Times New Roman" w:hAnsi="Times New Roman" w:eastAsia="黑体" w:cs="Times New Roman"/>
                <w:snapToGrid w:val="0"/>
                <w:color w:val="auto"/>
                <w:spacing w:val="-6"/>
                <w:kern w:val="21"/>
                <w:szCs w:val="21"/>
              </w:rPr>
              <w:fldChar w:fldCharType="begin"/>
            </w:r>
            <w:r>
              <w:rPr>
                <w:rFonts w:hint="default" w:ascii="Times New Roman" w:hAnsi="Times New Roman" w:eastAsia="黑体" w:cs="Times New Roman"/>
                <w:snapToGrid w:val="0"/>
                <w:color w:val="auto"/>
                <w:spacing w:val="-6"/>
                <w:kern w:val="21"/>
                <w:szCs w:val="21"/>
              </w:rPr>
              <w:instrText xml:space="preserve"> = 1 \* GB3 \* MERGEFORMAT </w:instrText>
            </w:r>
            <w:r>
              <w:rPr>
                <w:rFonts w:hint="default" w:ascii="Times New Roman" w:hAnsi="Times New Roman" w:eastAsia="黑体" w:cs="Times New Roman"/>
                <w:snapToGrid w:val="0"/>
                <w:color w:val="auto"/>
                <w:spacing w:val="-6"/>
                <w:kern w:val="21"/>
                <w:szCs w:val="21"/>
              </w:rPr>
              <w:fldChar w:fldCharType="separate"/>
            </w:r>
            <w:r>
              <w:rPr>
                <w:rFonts w:hint="default" w:ascii="Times New Roman" w:hAnsi="Times New Roman" w:eastAsia="黑体" w:cs="Times New Roman"/>
                <w:color w:val="auto"/>
                <w:szCs w:val="21"/>
              </w:rPr>
              <w:t>①</w:t>
            </w:r>
            <w:r>
              <w:rPr>
                <w:rFonts w:hint="default" w:ascii="Times New Roman" w:hAnsi="Times New Roman" w:eastAsia="黑体" w:cs="Times New Roman"/>
                <w:snapToGrid w:val="0"/>
                <w:color w:val="auto"/>
                <w:spacing w:val="-6"/>
                <w:kern w:val="21"/>
                <w:szCs w:val="21"/>
              </w:rPr>
              <w:fldChar w:fldCharType="end"/>
            </w:r>
          </w:p>
        </w:tc>
        <w:tc>
          <w:tcPr>
            <w:tcW w:w="1144" w:type="dxa"/>
            <w:tcMar>
              <w:left w:w="28" w:type="dxa"/>
              <w:right w:w="28" w:type="dxa"/>
            </w:tcMar>
            <w:vAlign w:val="center"/>
          </w:tcPr>
          <w:p w14:paraId="362C3B48">
            <w:pPr>
              <w:keepNext w:val="0"/>
              <w:keepLines w:val="0"/>
              <w:pageBreakBefore w:val="0"/>
              <w:widowControl w:val="0"/>
              <w:wordWrap/>
              <w:topLinePunct w:val="0"/>
              <w:autoSpaceDE/>
              <w:autoSpaceDN/>
              <w:bidi w:val="0"/>
              <w:adjustRightInd w:val="0"/>
              <w:snapToGrid w:val="0"/>
              <w:jc w:val="center"/>
              <w:rPr>
                <w:rFonts w:hint="default" w:ascii="Times New Roman" w:hAnsi="Times New Roman" w:eastAsia="黑体" w:cs="Times New Roman"/>
                <w:snapToGrid w:val="0"/>
                <w:color w:val="auto"/>
                <w:spacing w:val="-6"/>
                <w:kern w:val="21"/>
                <w:szCs w:val="21"/>
              </w:rPr>
            </w:pPr>
            <w:r>
              <w:rPr>
                <w:rFonts w:hint="default" w:ascii="Times New Roman" w:hAnsi="Times New Roman" w:eastAsia="黑体" w:cs="Times New Roman"/>
                <w:snapToGrid w:val="0"/>
                <w:color w:val="auto"/>
                <w:spacing w:val="-6"/>
                <w:kern w:val="21"/>
                <w:szCs w:val="21"/>
              </w:rPr>
              <w:t>现有工程</w:t>
            </w:r>
          </w:p>
          <w:p w14:paraId="60FB5EA9">
            <w:pPr>
              <w:keepNext w:val="0"/>
              <w:keepLines w:val="0"/>
              <w:pageBreakBefore w:val="0"/>
              <w:widowControl w:val="0"/>
              <w:wordWrap/>
              <w:topLinePunct w:val="0"/>
              <w:autoSpaceDE/>
              <w:autoSpaceDN/>
              <w:bidi w:val="0"/>
              <w:adjustRightInd w:val="0"/>
              <w:snapToGrid w:val="0"/>
              <w:jc w:val="center"/>
              <w:rPr>
                <w:rFonts w:hint="default" w:ascii="Times New Roman" w:hAnsi="Times New Roman" w:eastAsia="黑体" w:cs="Times New Roman"/>
                <w:snapToGrid w:val="0"/>
                <w:color w:val="auto"/>
                <w:spacing w:val="-6"/>
                <w:kern w:val="21"/>
                <w:szCs w:val="21"/>
              </w:rPr>
            </w:pPr>
            <w:r>
              <w:rPr>
                <w:rFonts w:hint="default" w:ascii="Times New Roman" w:hAnsi="Times New Roman" w:eastAsia="黑体" w:cs="Times New Roman"/>
                <w:snapToGrid w:val="0"/>
                <w:color w:val="auto"/>
                <w:spacing w:val="-6"/>
                <w:kern w:val="21"/>
                <w:szCs w:val="21"/>
              </w:rPr>
              <w:t>许可排放量</w:t>
            </w:r>
            <w:r>
              <w:rPr>
                <w:rFonts w:hint="default" w:ascii="Times New Roman" w:hAnsi="Times New Roman" w:eastAsia="黑体" w:cs="Times New Roman"/>
                <w:snapToGrid w:val="0"/>
                <w:color w:val="auto"/>
                <w:spacing w:val="-6"/>
                <w:kern w:val="21"/>
                <w:szCs w:val="21"/>
              </w:rPr>
              <w:fldChar w:fldCharType="begin"/>
            </w:r>
            <w:r>
              <w:rPr>
                <w:rFonts w:hint="default" w:ascii="Times New Roman" w:hAnsi="Times New Roman" w:eastAsia="黑体" w:cs="Times New Roman"/>
                <w:snapToGrid w:val="0"/>
                <w:color w:val="auto"/>
                <w:spacing w:val="-6"/>
                <w:kern w:val="21"/>
                <w:szCs w:val="21"/>
              </w:rPr>
              <w:instrText xml:space="preserve"> = 2 \* GB3 \* MERGEFORMAT </w:instrText>
            </w:r>
            <w:r>
              <w:rPr>
                <w:rFonts w:hint="default" w:ascii="Times New Roman" w:hAnsi="Times New Roman" w:eastAsia="黑体" w:cs="Times New Roman"/>
                <w:snapToGrid w:val="0"/>
                <w:color w:val="auto"/>
                <w:spacing w:val="-6"/>
                <w:kern w:val="21"/>
                <w:szCs w:val="21"/>
              </w:rPr>
              <w:fldChar w:fldCharType="separate"/>
            </w:r>
            <w:r>
              <w:rPr>
                <w:rFonts w:hint="default" w:ascii="Times New Roman" w:hAnsi="Times New Roman" w:eastAsia="黑体" w:cs="Times New Roman"/>
                <w:snapToGrid w:val="0"/>
                <w:color w:val="auto"/>
                <w:spacing w:val="-6"/>
                <w:kern w:val="21"/>
                <w:szCs w:val="21"/>
              </w:rPr>
              <w:t>②</w:t>
            </w:r>
            <w:r>
              <w:rPr>
                <w:rFonts w:hint="default" w:ascii="Times New Roman" w:hAnsi="Times New Roman" w:eastAsia="黑体" w:cs="Times New Roman"/>
                <w:snapToGrid w:val="0"/>
                <w:color w:val="auto"/>
                <w:spacing w:val="-6"/>
                <w:kern w:val="21"/>
                <w:szCs w:val="21"/>
              </w:rPr>
              <w:fldChar w:fldCharType="end"/>
            </w:r>
          </w:p>
        </w:tc>
        <w:tc>
          <w:tcPr>
            <w:tcW w:w="1462" w:type="dxa"/>
            <w:tcMar>
              <w:left w:w="28" w:type="dxa"/>
              <w:right w:w="28" w:type="dxa"/>
            </w:tcMar>
            <w:vAlign w:val="center"/>
          </w:tcPr>
          <w:p w14:paraId="3E79A146">
            <w:pPr>
              <w:keepNext w:val="0"/>
              <w:keepLines w:val="0"/>
              <w:pageBreakBefore w:val="0"/>
              <w:widowControl w:val="0"/>
              <w:wordWrap/>
              <w:topLinePunct w:val="0"/>
              <w:autoSpaceDE/>
              <w:autoSpaceDN/>
              <w:bidi w:val="0"/>
              <w:adjustRightInd w:val="0"/>
              <w:snapToGrid w:val="0"/>
              <w:jc w:val="center"/>
              <w:rPr>
                <w:rFonts w:hint="default" w:ascii="Times New Roman" w:hAnsi="Times New Roman" w:eastAsia="黑体" w:cs="Times New Roman"/>
                <w:snapToGrid w:val="0"/>
                <w:color w:val="auto"/>
                <w:spacing w:val="-6"/>
                <w:kern w:val="21"/>
                <w:szCs w:val="21"/>
              </w:rPr>
            </w:pPr>
            <w:r>
              <w:rPr>
                <w:rFonts w:hint="default" w:ascii="Times New Roman" w:hAnsi="Times New Roman" w:eastAsia="黑体" w:cs="Times New Roman"/>
                <w:snapToGrid w:val="0"/>
                <w:color w:val="auto"/>
                <w:spacing w:val="-6"/>
                <w:kern w:val="21"/>
                <w:szCs w:val="21"/>
              </w:rPr>
              <w:t>在建工程排放量（固体废物产生量）</w:t>
            </w:r>
            <w:r>
              <w:rPr>
                <w:rFonts w:hint="default" w:ascii="Times New Roman" w:hAnsi="Times New Roman" w:eastAsia="黑体" w:cs="Times New Roman"/>
                <w:snapToGrid w:val="0"/>
                <w:color w:val="auto"/>
                <w:spacing w:val="-6"/>
                <w:kern w:val="21"/>
                <w:szCs w:val="21"/>
              </w:rPr>
              <w:fldChar w:fldCharType="begin"/>
            </w:r>
            <w:r>
              <w:rPr>
                <w:rFonts w:hint="default" w:ascii="Times New Roman" w:hAnsi="Times New Roman" w:eastAsia="黑体" w:cs="Times New Roman"/>
                <w:snapToGrid w:val="0"/>
                <w:color w:val="auto"/>
                <w:spacing w:val="-6"/>
                <w:kern w:val="21"/>
                <w:szCs w:val="21"/>
              </w:rPr>
              <w:instrText xml:space="preserve"> = 3 \* GB3 \* MERGEFORMAT </w:instrText>
            </w:r>
            <w:r>
              <w:rPr>
                <w:rFonts w:hint="default" w:ascii="Times New Roman" w:hAnsi="Times New Roman" w:eastAsia="黑体" w:cs="Times New Roman"/>
                <w:snapToGrid w:val="0"/>
                <w:color w:val="auto"/>
                <w:spacing w:val="-6"/>
                <w:kern w:val="21"/>
                <w:szCs w:val="21"/>
              </w:rPr>
              <w:fldChar w:fldCharType="separate"/>
            </w:r>
            <w:r>
              <w:rPr>
                <w:rFonts w:hint="default" w:ascii="Times New Roman" w:hAnsi="Times New Roman" w:eastAsia="黑体" w:cs="Times New Roman"/>
                <w:color w:val="auto"/>
                <w:szCs w:val="21"/>
              </w:rPr>
              <w:t>③</w:t>
            </w:r>
            <w:r>
              <w:rPr>
                <w:rFonts w:hint="default" w:ascii="Times New Roman" w:hAnsi="Times New Roman" w:eastAsia="黑体" w:cs="Times New Roman"/>
                <w:snapToGrid w:val="0"/>
                <w:color w:val="auto"/>
                <w:spacing w:val="-6"/>
                <w:kern w:val="21"/>
                <w:szCs w:val="21"/>
              </w:rPr>
              <w:fldChar w:fldCharType="end"/>
            </w:r>
          </w:p>
        </w:tc>
        <w:tc>
          <w:tcPr>
            <w:tcW w:w="1613" w:type="dxa"/>
            <w:tcMar>
              <w:left w:w="28" w:type="dxa"/>
              <w:right w:w="28" w:type="dxa"/>
            </w:tcMar>
            <w:vAlign w:val="center"/>
          </w:tcPr>
          <w:p w14:paraId="31E67E05">
            <w:pPr>
              <w:keepNext w:val="0"/>
              <w:keepLines w:val="0"/>
              <w:pageBreakBefore w:val="0"/>
              <w:widowControl w:val="0"/>
              <w:wordWrap/>
              <w:topLinePunct w:val="0"/>
              <w:autoSpaceDE/>
              <w:autoSpaceDN/>
              <w:bidi w:val="0"/>
              <w:adjustRightInd w:val="0"/>
              <w:snapToGrid w:val="0"/>
              <w:jc w:val="center"/>
              <w:rPr>
                <w:rFonts w:hint="default" w:ascii="Times New Roman" w:hAnsi="Times New Roman" w:eastAsia="黑体" w:cs="Times New Roman"/>
                <w:snapToGrid w:val="0"/>
                <w:color w:val="auto"/>
                <w:spacing w:val="-6"/>
                <w:kern w:val="21"/>
                <w:szCs w:val="21"/>
              </w:rPr>
            </w:pPr>
            <w:r>
              <w:rPr>
                <w:rFonts w:hint="default" w:ascii="Times New Roman" w:hAnsi="Times New Roman" w:eastAsia="黑体" w:cs="Times New Roman"/>
                <w:snapToGrid w:val="0"/>
                <w:color w:val="auto"/>
                <w:spacing w:val="-6"/>
                <w:kern w:val="21"/>
                <w:szCs w:val="21"/>
              </w:rPr>
              <w:t>本项目</w:t>
            </w:r>
          </w:p>
          <w:p w14:paraId="4C5F3076">
            <w:pPr>
              <w:keepNext w:val="0"/>
              <w:keepLines w:val="0"/>
              <w:pageBreakBefore w:val="0"/>
              <w:widowControl w:val="0"/>
              <w:wordWrap/>
              <w:topLinePunct w:val="0"/>
              <w:autoSpaceDE/>
              <w:autoSpaceDN/>
              <w:bidi w:val="0"/>
              <w:adjustRightInd w:val="0"/>
              <w:snapToGrid w:val="0"/>
              <w:jc w:val="center"/>
              <w:rPr>
                <w:rFonts w:hint="default" w:ascii="Times New Roman" w:hAnsi="Times New Roman" w:eastAsia="黑体" w:cs="Times New Roman"/>
                <w:snapToGrid w:val="0"/>
                <w:color w:val="auto"/>
                <w:spacing w:val="-6"/>
                <w:kern w:val="21"/>
                <w:szCs w:val="21"/>
              </w:rPr>
            </w:pPr>
            <w:r>
              <w:rPr>
                <w:rFonts w:hint="default" w:ascii="Times New Roman" w:hAnsi="Times New Roman" w:eastAsia="黑体" w:cs="Times New Roman"/>
                <w:snapToGrid w:val="0"/>
                <w:color w:val="auto"/>
                <w:spacing w:val="-6"/>
                <w:kern w:val="21"/>
                <w:szCs w:val="21"/>
              </w:rPr>
              <w:t>排放量（固体废物产生量）</w:t>
            </w:r>
            <w:r>
              <w:rPr>
                <w:rFonts w:hint="default" w:ascii="Times New Roman" w:hAnsi="Times New Roman" w:eastAsia="黑体" w:cs="Times New Roman"/>
                <w:snapToGrid w:val="0"/>
                <w:color w:val="auto"/>
                <w:spacing w:val="-6"/>
                <w:kern w:val="21"/>
                <w:szCs w:val="21"/>
              </w:rPr>
              <w:fldChar w:fldCharType="begin"/>
            </w:r>
            <w:r>
              <w:rPr>
                <w:rFonts w:hint="default" w:ascii="Times New Roman" w:hAnsi="Times New Roman" w:eastAsia="黑体" w:cs="Times New Roman"/>
                <w:snapToGrid w:val="0"/>
                <w:color w:val="auto"/>
                <w:spacing w:val="-6"/>
                <w:kern w:val="21"/>
                <w:szCs w:val="21"/>
              </w:rPr>
              <w:instrText xml:space="preserve"> = 4 \* GB3 \* MERGEFORMAT </w:instrText>
            </w:r>
            <w:r>
              <w:rPr>
                <w:rFonts w:hint="default" w:ascii="Times New Roman" w:hAnsi="Times New Roman" w:eastAsia="黑体" w:cs="Times New Roman"/>
                <w:snapToGrid w:val="0"/>
                <w:color w:val="auto"/>
                <w:spacing w:val="-6"/>
                <w:kern w:val="21"/>
                <w:szCs w:val="21"/>
              </w:rPr>
              <w:fldChar w:fldCharType="separate"/>
            </w:r>
            <w:r>
              <w:rPr>
                <w:rFonts w:hint="default" w:ascii="Times New Roman" w:hAnsi="Times New Roman" w:eastAsia="黑体" w:cs="Times New Roman"/>
                <w:color w:val="auto"/>
                <w:szCs w:val="21"/>
              </w:rPr>
              <w:t>④</w:t>
            </w:r>
            <w:r>
              <w:rPr>
                <w:rFonts w:hint="default" w:ascii="Times New Roman" w:hAnsi="Times New Roman" w:eastAsia="黑体" w:cs="Times New Roman"/>
                <w:snapToGrid w:val="0"/>
                <w:color w:val="auto"/>
                <w:spacing w:val="-6"/>
                <w:kern w:val="21"/>
                <w:szCs w:val="21"/>
              </w:rPr>
              <w:fldChar w:fldCharType="end"/>
            </w:r>
          </w:p>
        </w:tc>
        <w:tc>
          <w:tcPr>
            <w:tcW w:w="1331" w:type="dxa"/>
            <w:tcMar>
              <w:left w:w="28" w:type="dxa"/>
              <w:right w:w="28" w:type="dxa"/>
            </w:tcMar>
            <w:vAlign w:val="center"/>
          </w:tcPr>
          <w:p w14:paraId="17E77534">
            <w:pPr>
              <w:keepNext w:val="0"/>
              <w:keepLines w:val="0"/>
              <w:pageBreakBefore w:val="0"/>
              <w:widowControl w:val="0"/>
              <w:wordWrap/>
              <w:topLinePunct w:val="0"/>
              <w:autoSpaceDE/>
              <w:autoSpaceDN/>
              <w:bidi w:val="0"/>
              <w:adjustRightInd w:val="0"/>
              <w:snapToGrid w:val="0"/>
              <w:jc w:val="center"/>
              <w:rPr>
                <w:rFonts w:hint="default" w:ascii="Times New Roman" w:hAnsi="Times New Roman" w:eastAsia="黑体" w:cs="Times New Roman"/>
                <w:snapToGrid w:val="0"/>
                <w:color w:val="auto"/>
                <w:spacing w:val="-16"/>
                <w:kern w:val="21"/>
                <w:szCs w:val="21"/>
              </w:rPr>
            </w:pPr>
            <w:r>
              <w:rPr>
                <w:rFonts w:hint="default" w:ascii="Times New Roman" w:hAnsi="Times New Roman" w:eastAsia="黑体" w:cs="Times New Roman"/>
                <w:snapToGrid w:val="0"/>
                <w:color w:val="auto"/>
                <w:spacing w:val="-16"/>
                <w:kern w:val="21"/>
                <w:szCs w:val="21"/>
              </w:rPr>
              <w:t>以新带老削减量（新建项目不填）</w:t>
            </w:r>
            <w:r>
              <w:rPr>
                <w:rFonts w:hint="default" w:ascii="Times New Roman" w:hAnsi="Times New Roman" w:eastAsia="黑体" w:cs="Times New Roman"/>
                <w:snapToGrid w:val="0"/>
                <w:color w:val="auto"/>
                <w:spacing w:val="-16"/>
                <w:kern w:val="21"/>
                <w:szCs w:val="21"/>
              </w:rPr>
              <w:fldChar w:fldCharType="begin"/>
            </w:r>
            <w:r>
              <w:rPr>
                <w:rFonts w:hint="default" w:ascii="Times New Roman" w:hAnsi="Times New Roman" w:eastAsia="黑体" w:cs="Times New Roman"/>
                <w:snapToGrid w:val="0"/>
                <w:color w:val="auto"/>
                <w:spacing w:val="-16"/>
                <w:kern w:val="21"/>
                <w:szCs w:val="21"/>
              </w:rPr>
              <w:instrText xml:space="preserve"> = 5 \* GB3 \* MERGEFORMAT </w:instrText>
            </w:r>
            <w:r>
              <w:rPr>
                <w:rFonts w:hint="default" w:ascii="Times New Roman" w:hAnsi="Times New Roman" w:eastAsia="黑体" w:cs="Times New Roman"/>
                <w:snapToGrid w:val="0"/>
                <w:color w:val="auto"/>
                <w:spacing w:val="-16"/>
                <w:kern w:val="21"/>
                <w:szCs w:val="21"/>
              </w:rPr>
              <w:fldChar w:fldCharType="separate"/>
            </w:r>
            <w:r>
              <w:rPr>
                <w:rFonts w:hint="default" w:ascii="Times New Roman" w:hAnsi="Times New Roman" w:eastAsia="黑体" w:cs="Times New Roman"/>
                <w:color w:val="auto"/>
                <w:szCs w:val="21"/>
              </w:rPr>
              <w:t>⑤</w:t>
            </w:r>
            <w:r>
              <w:rPr>
                <w:rFonts w:hint="default" w:ascii="Times New Roman" w:hAnsi="Times New Roman" w:eastAsia="黑体" w:cs="Times New Roman"/>
                <w:snapToGrid w:val="0"/>
                <w:color w:val="auto"/>
                <w:spacing w:val="-16"/>
                <w:kern w:val="21"/>
                <w:szCs w:val="21"/>
              </w:rPr>
              <w:fldChar w:fldCharType="end"/>
            </w:r>
          </w:p>
        </w:tc>
        <w:tc>
          <w:tcPr>
            <w:tcW w:w="1718" w:type="dxa"/>
            <w:tcMar>
              <w:left w:w="28" w:type="dxa"/>
              <w:right w:w="28" w:type="dxa"/>
            </w:tcMar>
            <w:vAlign w:val="center"/>
          </w:tcPr>
          <w:p w14:paraId="5D3B3CE6">
            <w:pPr>
              <w:keepNext w:val="0"/>
              <w:keepLines w:val="0"/>
              <w:pageBreakBefore w:val="0"/>
              <w:widowControl w:val="0"/>
              <w:wordWrap/>
              <w:topLinePunct w:val="0"/>
              <w:autoSpaceDE/>
              <w:autoSpaceDN/>
              <w:bidi w:val="0"/>
              <w:adjustRightInd w:val="0"/>
              <w:snapToGrid w:val="0"/>
              <w:jc w:val="center"/>
              <w:rPr>
                <w:rFonts w:hint="default" w:ascii="Times New Roman" w:hAnsi="Times New Roman" w:eastAsia="黑体" w:cs="Times New Roman"/>
                <w:snapToGrid w:val="0"/>
                <w:color w:val="auto"/>
                <w:spacing w:val="-16"/>
                <w:kern w:val="21"/>
                <w:szCs w:val="21"/>
              </w:rPr>
            </w:pPr>
            <w:r>
              <w:rPr>
                <w:rFonts w:hint="default" w:ascii="Times New Roman" w:hAnsi="Times New Roman" w:eastAsia="黑体" w:cs="Times New Roman"/>
                <w:snapToGrid w:val="0"/>
                <w:color w:val="auto"/>
                <w:spacing w:val="-16"/>
                <w:kern w:val="21"/>
                <w:szCs w:val="21"/>
              </w:rPr>
              <w:t>本项目建成后</w:t>
            </w:r>
          </w:p>
          <w:p w14:paraId="615837D4">
            <w:pPr>
              <w:keepNext w:val="0"/>
              <w:keepLines w:val="0"/>
              <w:pageBreakBefore w:val="0"/>
              <w:widowControl w:val="0"/>
              <w:wordWrap/>
              <w:topLinePunct w:val="0"/>
              <w:autoSpaceDE/>
              <w:autoSpaceDN/>
              <w:bidi w:val="0"/>
              <w:adjustRightInd w:val="0"/>
              <w:snapToGrid w:val="0"/>
              <w:jc w:val="center"/>
              <w:rPr>
                <w:rFonts w:hint="default" w:ascii="Times New Roman" w:hAnsi="Times New Roman" w:eastAsia="黑体" w:cs="Times New Roman"/>
                <w:snapToGrid w:val="0"/>
                <w:color w:val="auto"/>
                <w:spacing w:val="-16"/>
                <w:kern w:val="21"/>
                <w:szCs w:val="21"/>
              </w:rPr>
            </w:pPr>
            <w:r>
              <w:rPr>
                <w:rFonts w:hint="default" w:ascii="Times New Roman" w:hAnsi="Times New Roman" w:eastAsia="黑体" w:cs="Times New Roman"/>
                <w:snapToGrid w:val="0"/>
                <w:color w:val="auto"/>
                <w:spacing w:val="-16"/>
                <w:kern w:val="21"/>
                <w:szCs w:val="21"/>
              </w:rPr>
              <w:t>全厂排放量（固体废物产生量）</w:t>
            </w:r>
            <w:r>
              <w:rPr>
                <w:rFonts w:hint="default" w:ascii="Times New Roman" w:hAnsi="Times New Roman" w:eastAsia="黑体" w:cs="Times New Roman"/>
                <w:snapToGrid w:val="0"/>
                <w:color w:val="auto"/>
                <w:spacing w:val="-16"/>
                <w:kern w:val="21"/>
                <w:szCs w:val="21"/>
              </w:rPr>
              <w:fldChar w:fldCharType="begin"/>
            </w:r>
            <w:r>
              <w:rPr>
                <w:rFonts w:hint="default" w:ascii="Times New Roman" w:hAnsi="Times New Roman" w:eastAsia="黑体" w:cs="Times New Roman"/>
                <w:snapToGrid w:val="0"/>
                <w:color w:val="auto"/>
                <w:spacing w:val="-16"/>
                <w:kern w:val="21"/>
                <w:szCs w:val="21"/>
              </w:rPr>
              <w:instrText xml:space="preserve"> = 6 \* GB3 \* MERGEFORMAT </w:instrText>
            </w:r>
            <w:r>
              <w:rPr>
                <w:rFonts w:hint="default" w:ascii="Times New Roman" w:hAnsi="Times New Roman" w:eastAsia="黑体" w:cs="Times New Roman"/>
                <w:snapToGrid w:val="0"/>
                <w:color w:val="auto"/>
                <w:spacing w:val="-16"/>
                <w:kern w:val="21"/>
                <w:szCs w:val="21"/>
              </w:rPr>
              <w:fldChar w:fldCharType="separate"/>
            </w:r>
            <w:r>
              <w:rPr>
                <w:rFonts w:hint="default" w:ascii="Times New Roman" w:hAnsi="Times New Roman" w:eastAsia="黑体" w:cs="Times New Roman"/>
                <w:color w:val="auto"/>
                <w:szCs w:val="21"/>
              </w:rPr>
              <w:t>⑥</w:t>
            </w:r>
            <w:r>
              <w:rPr>
                <w:rFonts w:hint="default" w:ascii="Times New Roman" w:hAnsi="Times New Roman" w:eastAsia="黑体" w:cs="Times New Roman"/>
                <w:snapToGrid w:val="0"/>
                <w:color w:val="auto"/>
                <w:spacing w:val="-16"/>
                <w:kern w:val="21"/>
                <w:szCs w:val="21"/>
              </w:rPr>
              <w:fldChar w:fldCharType="end"/>
            </w:r>
          </w:p>
        </w:tc>
        <w:tc>
          <w:tcPr>
            <w:tcW w:w="1049" w:type="dxa"/>
            <w:tcMar>
              <w:left w:w="28" w:type="dxa"/>
              <w:right w:w="28" w:type="dxa"/>
            </w:tcMar>
            <w:vAlign w:val="center"/>
          </w:tcPr>
          <w:p w14:paraId="374842FC">
            <w:pPr>
              <w:keepNext w:val="0"/>
              <w:keepLines w:val="0"/>
              <w:pageBreakBefore w:val="0"/>
              <w:widowControl w:val="0"/>
              <w:wordWrap/>
              <w:topLinePunct w:val="0"/>
              <w:autoSpaceDE/>
              <w:autoSpaceDN/>
              <w:bidi w:val="0"/>
              <w:adjustRightInd w:val="0"/>
              <w:snapToGrid w:val="0"/>
              <w:jc w:val="center"/>
              <w:rPr>
                <w:rFonts w:hint="default" w:ascii="Times New Roman" w:hAnsi="Times New Roman" w:eastAsia="黑体" w:cs="Times New Roman"/>
                <w:snapToGrid w:val="0"/>
                <w:color w:val="auto"/>
                <w:spacing w:val="-6"/>
                <w:kern w:val="21"/>
                <w:szCs w:val="21"/>
              </w:rPr>
            </w:pPr>
            <w:r>
              <w:rPr>
                <w:rFonts w:hint="default" w:ascii="Times New Roman" w:hAnsi="Times New Roman" w:eastAsia="黑体" w:cs="Times New Roman"/>
                <w:snapToGrid w:val="0"/>
                <w:color w:val="auto"/>
                <w:spacing w:val="-6"/>
                <w:kern w:val="21"/>
                <w:szCs w:val="21"/>
              </w:rPr>
              <w:t>变化量</w:t>
            </w:r>
          </w:p>
          <w:p w14:paraId="56DA9C47">
            <w:pPr>
              <w:keepNext w:val="0"/>
              <w:keepLines w:val="0"/>
              <w:pageBreakBefore w:val="0"/>
              <w:widowControl w:val="0"/>
              <w:wordWrap/>
              <w:topLinePunct w:val="0"/>
              <w:autoSpaceDE/>
              <w:autoSpaceDN/>
              <w:bidi w:val="0"/>
              <w:adjustRightInd w:val="0"/>
              <w:snapToGrid w:val="0"/>
              <w:jc w:val="center"/>
              <w:rPr>
                <w:rFonts w:hint="default" w:ascii="Times New Roman" w:hAnsi="Times New Roman" w:eastAsia="黑体" w:cs="Times New Roman"/>
                <w:snapToGrid w:val="0"/>
                <w:color w:val="auto"/>
                <w:spacing w:val="-6"/>
                <w:kern w:val="21"/>
                <w:szCs w:val="21"/>
              </w:rPr>
            </w:pPr>
            <w:r>
              <w:rPr>
                <w:rFonts w:hint="default" w:ascii="Times New Roman" w:hAnsi="Times New Roman" w:eastAsia="黑体" w:cs="Times New Roman"/>
                <w:snapToGrid w:val="0"/>
                <w:color w:val="auto"/>
                <w:spacing w:val="-6"/>
                <w:kern w:val="21"/>
                <w:szCs w:val="21"/>
              </w:rPr>
              <w:fldChar w:fldCharType="begin"/>
            </w:r>
            <w:r>
              <w:rPr>
                <w:rFonts w:hint="default" w:ascii="Times New Roman" w:hAnsi="Times New Roman" w:eastAsia="黑体" w:cs="Times New Roman"/>
                <w:snapToGrid w:val="0"/>
                <w:color w:val="auto"/>
                <w:spacing w:val="-6"/>
                <w:kern w:val="21"/>
                <w:szCs w:val="21"/>
              </w:rPr>
              <w:instrText xml:space="preserve"> = 7 \* GB3 \* MERGEFORMAT </w:instrText>
            </w:r>
            <w:r>
              <w:rPr>
                <w:rFonts w:hint="default" w:ascii="Times New Roman" w:hAnsi="Times New Roman" w:eastAsia="黑体" w:cs="Times New Roman"/>
                <w:snapToGrid w:val="0"/>
                <w:color w:val="auto"/>
                <w:spacing w:val="-6"/>
                <w:kern w:val="21"/>
                <w:szCs w:val="21"/>
              </w:rPr>
              <w:fldChar w:fldCharType="separate"/>
            </w:r>
            <w:r>
              <w:rPr>
                <w:rFonts w:hint="default" w:ascii="Times New Roman" w:hAnsi="Times New Roman" w:eastAsia="黑体" w:cs="Times New Roman"/>
                <w:color w:val="auto"/>
                <w:szCs w:val="21"/>
              </w:rPr>
              <w:t>⑦</w:t>
            </w:r>
            <w:r>
              <w:rPr>
                <w:rFonts w:hint="default" w:ascii="Times New Roman" w:hAnsi="Times New Roman" w:eastAsia="黑体" w:cs="Times New Roman"/>
                <w:snapToGrid w:val="0"/>
                <w:color w:val="auto"/>
                <w:spacing w:val="-6"/>
                <w:kern w:val="21"/>
                <w:szCs w:val="21"/>
              </w:rPr>
              <w:fldChar w:fldCharType="end"/>
            </w:r>
          </w:p>
        </w:tc>
      </w:tr>
      <w:tr w14:paraId="3FEF2F3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10" w:type="dxa"/>
            <w:vAlign w:val="center"/>
          </w:tcPr>
          <w:p w14:paraId="1637B44A">
            <w:pPr>
              <w:keepNext w:val="0"/>
              <w:keepLines w:val="0"/>
              <w:pageBreakBefore w:val="0"/>
              <w:widowControl w:val="0"/>
              <w:wordWrap/>
              <w:topLinePunct w:val="0"/>
              <w:autoSpaceDE/>
              <w:autoSpaceDN/>
              <w:bidi w:val="0"/>
              <w:adjustRightInd w:val="0"/>
              <w:snapToGrid w:val="0"/>
              <w:jc w:val="center"/>
              <w:rPr>
                <w:snapToGrid w:val="0"/>
                <w:color w:val="auto"/>
                <w:kern w:val="21"/>
                <w:szCs w:val="21"/>
              </w:rPr>
            </w:pPr>
            <w:r>
              <w:rPr>
                <w:snapToGrid w:val="0"/>
                <w:color w:val="auto"/>
                <w:kern w:val="21"/>
                <w:szCs w:val="21"/>
              </w:rPr>
              <w:t>废气</w:t>
            </w:r>
          </w:p>
        </w:tc>
        <w:tc>
          <w:tcPr>
            <w:tcW w:w="3029" w:type="dxa"/>
            <w:vAlign w:val="center"/>
          </w:tcPr>
          <w:p w14:paraId="46108B38">
            <w:pPr>
              <w:keepNext w:val="0"/>
              <w:keepLines w:val="0"/>
              <w:pageBreakBefore w:val="0"/>
              <w:widowControl w:val="0"/>
              <w:wordWrap/>
              <w:topLinePunct w:val="0"/>
              <w:autoSpaceDE/>
              <w:autoSpaceDN/>
              <w:bidi w:val="0"/>
              <w:adjustRightInd w:val="0"/>
              <w:snapToGrid w:val="0"/>
              <w:jc w:val="center"/>
              <w:rPr>
                <w:rFonts w:hint="eastAsia" w:eastAsia="宋体"/>
                <w:snapToGrid w:val="0"/>
                <w:color w:val="auto"/>
                <w:kern w:val="21"/>
                <w:szCs w:val="21"/>
                <w:lang w:eastAsia="zh-CN"/>
              </w:rPr>
            </w:pPr>
            <w:r>
              <w:rPr>
                <w:rFonts w:hint="eastAsia"/>
                <w:snapToGrid w:val="0"/>
                <w:color w:val="auto"/>
                <w:kern w:val="21"/>
                <w:szCs w:val="21"/>
                <w:lang w:val="en-US" w:eastAsia="zh-CN"/>
              </w:rPr>
              <w:t>颗粒物</w:t>
            </w:r>
            <w:r>
              <w:rPr>
                <w:rFonts w:hint="eastAsia"/>
                <w:color w:val="auto"/>
                <w:kern w:val="0"/>
                <w:szCs w:val="21"/>
                <w:lang w:val="en-US" w:eastAsia="zh-CN"/>
              </w:rPr>
              <w:t>（t/a）</w:t>
            </w:r>
          </w:p>
        </w:tc>
        <w:tc>
          <w:tcPr>
            <w:tcW w:w="1332" w:type="dxa"/>
            <w:vAlign w:val="center"/>
          </w:tcPr>
          <w:p w14:paraId="0E88F656">
            <w:pPr>
              <w:keepNext w:val="0"/>
              <w:keepLines w:val="0"/>
              <w:pageBreakBefore w:val="0"/>
              <w:widowControl w:val="0"/>
              <w:wordWrap/>
              <w:topLinePunct w:val="0"/>
              <w:autoSpaceDE/>
              <w:autoSpaceDN/>
              <w:bidi w:val="0"/>
              <w:adjustRightInd w:val="0"/>
              <w:snapToGrid w:val="0"/>
              <w:jc w:val="center"/>
              <w:rPr>
                <w:rFonts w:hint="eastAsia" w:eastAsia="宋体"/>
                <w:snapToGrid w:val="0"/>
                <w:color w:val="auto"/>
                <w:kern w:val="21"/>
                <w:szCs w:val="21"/>
                <w:lang w:val="en-US" w:eastAsia="zh-CN"/>
              </w:rPr>
            </w:pPr>
            <w:r>
              <w:rPr>
                <w:rFonts w:hint="eastAsia"/>
                <w:snapToGrid w:val="0"/>
                <w:color w:val="auto"/>
                <w:kern w:val="21"/>
                <w:szCs w:val="21"/>
                <w:lang w:val="en-US" w:eastAsia="zh-CN"/>
              </w:rPr>
              <w:t>/</w:t>
            </w:r>
          </w:p>
        </w:tc>
        <w:tc>
          <w:tcPr>
            <w:tcW w:w="1144" w:type="dxa"/>
            <w:vAlign w:val="center"/>
          </w:tcPr>
          <w:p w14:paraId="1CACF809">
            <w:pPr>
              <w:keepNext w:val="0"/>
              <w:keepLines w:val="0"/>
              <w:pageBreakBefore w:val="0"/>
              <w:widowControl w:val="0"/>
              <w:wordWrap/>
              <w:topLinePunct w:val="0"/>
              <w:autoSpaceDE/>
              <w:autoSpaceDN/>
              <w:bidi w:val="0"/>
              <w:adjustRightInd w:val="0"/>
              <w:snapToGrid w:val="0"/>
              <w:jc w:val="center"/>
              <w:rPr>
                <w:snapToGrid w:val="0"/>
                <w:color w:val="auto"/>
                <w:kern w:val="21"/>
                <w:szCs w:val="21"/>
              </w:rPr>
            </w:pPr>
            <w:r>
              <w:rPr>
                <w:snapToGrid w:val="0"/>
                <w:color w:val="auto"/>
                <w:kern w:val="21"/>
                <w:szCs w:val="21"/>
              </w:rPr>
              <w:t>/</w:t>
            </w:r>
          </w:p>
        </w:tc>
        <w:tc>
          <w:tcPr>
            <w:tcW w:w="1462" w:type="dxa"/>
            <w:vAlign w:val="center"/>
          </w:tcPr>
          <w:p w14:paraId="4F2C7605">
            <w:pPr>
              <w:keepNext w:val="0"/>
              <w:keepLines w:val="0"/>
              <w:pageBreakBefore w:val="0"/>
              <w:widowControl w:val="0"/>
              <w:wordWrap/>
              <w:topLinePunct w:val="0"/>
              <w:autoSpaceDE/>
              <w:autoSpaceDN/>
              <w:bidi w:val="0"/>
              <w:adjustRightInd w:val="0"/>
              <w:snapToGrid w:val="0"/>
              <w:jc w:val="center"/>
              <w:rPr>
                <w:snapToGrid w:val="0"/>
                <w:color w:val="auto"/>
                <w:kern w:val="21"/>
                <w:szCs w:val="21"/>
              </w:rPr>
            </w:pPr>
            <w:r>
              <w:rPr>
                <w:snapToGrid w:val="0"/>
                <w:color w:val="auto"/>
                <w:kern w:val="21"/>
                <w:szCs w:val="21"/>
              </w:rPr>
              <w:t>/</w:t>
            </w:r>
          </w:p>
        </w:tc>
        <w:tc>
          <w:tcPr>
            <w:tcW w:w="1613" w:type="dxa"/>
            <w:vAlign w:val="center"/>
          </w:tcPr>
          <w:p w14:paraId="0A0DAD7E">
            <w:pPr>
              <w:keepNext w:val="0"/>
              <w:keepLines w:val="0"/>
              <w:pageBreakBefore w:val="0"/>
              <w:widowControl w:val="0"/>
              <w:wordWrap/>
              <w:topLinePunct w:val="0"/>
              <w:autoSpaceDE/>
              <w:autoSpaceDN/>
              <w:bidi w:val="0"/>
              <w:adjustRightInd w:val="0"/>
              <w:snapToGrid w:val="0"/>
              <w:jc w:val="center"/>
              <w:rPr>
                <w:rFonts w:hint="default" w:eastAsia="宋体"/>
                <w:snapToGrid w:val="0"/>
                <w:color w:val="auto"/>
                <w:kern w:val="21"/>
                <w:szCs w:val="21"/>
                <w:lang w:val="en-US" w:eastAsia="zh-CN"/>
              </w:rPr>
            </w:pPr>
            <w:r>
              <w:rPr>
                <w:rFonts w:hint="eastAsia"/>
                <w:snapToGrid w:val="0"/>
                <w:color w:val="auto"/>
                <w:kern w:val="21"/>
                <w:szCs w:val="21"/>
                <w:lang w:val="en-US" w:eastAsia="zh-CN"/>
              </w:rPr>
              <w:t>0.1062</w:t>
            </w:r>
          </w:p>
        </w:tc>
        <w:tc>
          <w:tcPr>
            <w:tcW w:w="1331" w:type="dxa"/>
            <w:vAlign w:val="center"/>
          </w:tcPr>
          <w:p w14:paraId="407D9F69">
            <w:pPr>
              <w:keepNext w:val="0"/>
              <w:keepLines w:val="0"/>
              <w:pageBreakBefore w:val="0"/>
              <w:widowControl w:val="0"/>
              <w:wordWrap/>
              <w:topLinePunct w:val="0"/>
              <w:autoSpaceDE/>
              <w:autoSpaceDN/>
              <w:bidi w:val="0"/>
              <w:adjustRightInd w:val="0"/>
              <w:snapToGrid w:val="0"/>
              <w:jc w:val="center"/>
              <w:rPr>
                <w:snapToGrid w:val="0"/>
                <w:color w:val="auto"/>
                <w:kern w:val="21"/>
                <w:szCs w:val="21"/>
              </w:rPr>
            </w:pPr>
            <w:r>
              <w:rPr>
                <w:snapToGrid w:val="0"/>
                <w:color w:val="auto"/>
                <w:kern w:val="21"/>
                <w:szCs w:val="21"/>
              </w:rPr>
              <w:t>/</w:t>
            </w:r>
          </w:p>
        </w:tc>
        <w:tc>
          <w:tcPr>
            <w:tcW w:w="1718" w:type="dxa"/>
            <w:vAlign w:val="center"/>
          </w:tcPr>
          <w:p w14:paraId="751762BB">
            <w:pPr>
              <w:keepNext w:val="0"/>
              <w:keepLines w:val="0"/>
              <w:pageBreakBefore w:val="0"/>
              <w:widowControl w:val="0"/>
              <w:wordWrap/>
              <w:topLinePunct w:val="0"/>
              <w:autoSpaceDE/>
              <w:autoSpaceDN/>
              <w:bidi w:val="0"/>
              <w:adjustRightInd w:val="0"/>
              <w:snapToGrid w:val="0"/>
              <w:jc w:val="center"/>
              <w:rPr>
                <w:rFonts w:hint="default" w:eastAsia="宋体"/>
                <w:snapToGrid w:val="0"/>
                <w:color w:val="auto"/>
                <w:kern w:val="21"/>
                <w:szCs w:val="21"/>
                <w:lang w:val="en-US" w:eastAsia="zh-CN"/>
              </w:rPr>
            </w:pPr>
            <w:r>
              <w:rPr>
                <w:rFonts w:hint="eastAsia"/>
                <w:snapToGrid w:val="0"/>
                <w:color w:val="auto"/>
                <w:kern w:val="21"/>
                <w:szCs w:val="21"/>
                <w:lang w:val="en-US" w:eastAsia="zh-CN"/>
              </w:rPr>
              <w:t>0.1062</w:t>
            </w:r>
          </w:p>
        </w:tc>
        <w:tc>
          <w:tcPr>
            <w:tcW w:w="1049" w:type="dxa"/>
            <w:vAlign w:val="center"/>
          </w:tcPr>
          <w:p w14:paraId="1F675757">
            <w:pPr>
              <w:keepNext w:val="0"/>
              <w:keepLines w:val="0"/>
              <w:pageBreakBefore w:val="0"/>
              <w:widowControl w:val="0"/>
              <w:wordWrap/>
              <w:topLinePunct w:val="0"/>
              <w:autoSpaceDE/>
              <w:autoSpaceDN/>
              <w:bidi w:val="0"/>
              <w:adjustRightInd w:val="0"/>
              <w:snapToGrid w:val="0"/>
              <w:jc w:val="center"/>
              <w:rPr>
                <w:color w:val="auto"/>
              </w:rPr>
            </w:pPr>
            <w:r>
              <w:rPr>
                <w:rFonts w:hint="eastAsia"/>
                <w:snapToGrid w:val="0"/>
                <w:color w:val="auto"/>
                <w:kern w:val="21"/>
                <w:szCs w:val="21"/>
                <w:lang w:val="en-US" w:eastAsia="zh-CN"/>
              </w:rPr>
              <w:t>/</w:t>
            </w:r>
          </w:p>
        </w:tc>
      </w:tr>
      <w:tr w14:paraId="0D8BDA3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10" w:type="dxa"/>
            <w:vMerge w:val="restart"/>
            <w:vAlign w:val="center"/>
          </w:tcPr>
          <w:p w14:paraId="4CF6E7E2">
            <w:pPr>
              <w:keepNext w:val="0"/>
              <w:keepLines w:val="0"/>
              <w:pageBreakBefore w:val="0"/>
              <w:widowControl w:val="0"/>
              <w:wordWrap/>
              <w:topLinePunct w:val="0"/>
              <w:autoSpaceDE/>
              <w:autoSpaceDN/>
              <w:bidi w:val="0"/>
              <w:adjustRightInd w:val="0"/>
              <w:snapToGrid w:val="0"/>
              <w:jc w:val="center"/>
              <w:rPr>
                <w:snapToGrid w:val="0"/>
                <w:color w:val="auto"/>
                <w:kern w:val="21"/>
                <w:szCs w:val="21"/>
              </w:rPr>
            </w:pPr>
            <w:r>
              <w:rPr>
                <w:snapToGrid w:val="0"/>
                <w:color w:val="auto"/>
                <w:kern w:val="21"/>
                <w:szCs w:val="21"/>
              </w:rPr>
              <w:t>废水</w:t>
            </w:r>
          </w:p>
        </w:tc>
        <w:tc>
          <w:tcPr>
            <w:tcW w:w="3029" w:type="dxa"/>
            <w:vAlign w:val="center"/>
          </w:tcPr>
          <w:p w14:paraId="7D338106">
            <w:pPr>
              <w:keepNext w:val="0"/>
              <w:keepLines w:val="0"/>
              <w:pageBreakBefore w:val="0"/>
              <w:widowControl w:val="0"/>
              <w:wordWrap/>
              <w:topLinePunct w:val="0"/>
              <w:autoSpaceDE/>
              <w:autoSpaceDN/>
              <w:bidi w:val="0"/>
              <w:adjustRightInd w:val="0"/>
              <w:snapToGrid w:val="0"/>
              <w:jc w:val="center"/>
              <w:rPr>
                <w:rFonts w:hint="default"/>
                <w:snapToGrid w:val="0"/>
                <w:color w:val="auto"/>
                <w:kern w:val="21"/>
                <w:szCs w:val="21"/>
                <w:lang w:val="en-US"/>
              </w:rPr>
            </w:pPr>
            <w:r>
              <w:rPr>
                <w:rFonts w:hint="eastAsia"/>
                <w:color w:val="auto"/>
                <w:kern w:val="0"/>
                <w:szCs w:val="21"/>
                <w:lang w:val="en-US" w:eastAsia="zh-CN"/>
              </w:rPr>
              <w:t>生活污水（t/a）</w:t>
            </w:r>
          </w:p>
        </w:tc>
        <w:tc>
          <w:tcPr>
            <w:tcW w:w="1332" w:type="dxa"/>
            <w:vAlign w:val="center"/>
          </w:tcPr>
          <w:p w14:paraId="7F29E730">
            <w:pPr>
              <w:keepNext w:val="0"/>
              <w:keepLines w:val="0"/>
              <w:pageBreakBefore w:val="0"/>
              <w:widowControl w:val="0"/>
              <w:wordWrap/>
              <w:topLinePunct w:val="0"/>
              <w:autoSpaceDE/>
              <w:autoSpaceDN/>
              <w:bidi w:val="0"/>
              <w:adjustRightInd w:val="0"/>
              <w:snapToGrid w:val="0"/>
              <w:jc w:val="center"/>
              <w:rPr>
                <w:rFonts w:hint="default" w:eastAsia="宋体"/>
                <w:snapToGrid w:val="0"/>
                <w:color w:val="auto"/>
                <w:kern w:val="21"/>
                <w:szCs w:val="21"/>
                <w:lang w:val="en-US" w:eastAsia="zh-CN"/>
              </w:rPr>
            </w:pPr>
            <w:r>
              <w:rPr>
                <w:rFonts w:hint="eastAsia"/>
                <w:snapToGrid w:val="0"/>
                <w:color w:val="auto"/>
                <w:kern w:val="21"/>
                <w:szCs w:val="21"/>
                <w:lang w:val="en-US" w:eastAsia="zh-CN"/>
              </w:rPr>
              <w:t>/</w:t>
            </w:r>
          </w:p>
        </w:tc>
        <w:tc>
          <w:tcPr>
            <w:tcW w:w="1144" w:type="dxa"/>
            <w:vAlign w:val="center"/>
          </w:tcPr>
          <w:p w14:paraId="297CE429">
            <w:pPr>
              <w:keepNext w:val="0"/>
              <w:keepLines w:val="0"/>
              <w:pageBreakBefore w:val="0"/>
              <w:widowControl w:val="0"/>
              <w:wordWrap/>
              <w:topLinePunct w:val="0"/>
              <w:autoSpaceDE/>
              <w:autoSpaceDN/>
              <w:bidi w:val="0"/>
              <w:adjustRightInd w:val="0"/>
              <w:snapToGrid w:val="0"/>
              <w:jc w:val="center"/>
              <w:rPr>
                <w:snapToGrid w:val="0"/>
                <w:color w:val="auto"/>
                <w:kern w:val="21"/>
                <w:szCs w:val="21"/>
              </w:rPr>
            </w:pPr>
            <w:r>
              <w:rPr>
                <w:snapToGrid w:val="0"/>
                <w:color w:val="auto"/>
                <w:kern w:val="21"/>
                <w:szCs w:val="21"/>
              </w:rPr>
              <w:t>/</w:t>
            </w:r>
          </w:p>
        </w:tc>
        <w:tc>
          <w:tcPr>
            <w:tcW w:w="1462" w:type="dxa"/>
            <w:vAlign w:val="center"/>
          </w:tcPr>
          <w:p w14:paraId="2C7C0614">
            <w:pPr>
              <w:keepNext w:val="0"/>
              <w:keepLines w:val="0"/>
              <w:pageBreakBefore w:val="0"/>
              <w:widowControl w:val="0"/>
              <w:wordWrap/>
              <w:topLinePunct w:val="0"/>
              <w:autoSpaceDE/>
              <w:autoSpaceDN/>
              <w:bidi w:val="0"/>
              <w:adjustRightInd w:val="0"/>
              <w:snapToGrid w:val="0"/>
              <w:jc w:val="center"/>
              <w:rPr>
                <w:snapToGrid w:val="0"/>
                <w:color w:val="auto"/>
                <w:kern w:val="21"/>
                <w:szCs w:val="21"/>
              </w:rPr>
            </w:pPr>
            <w:r>
              <w:rPr>
                <w:snapToGrid w:val="0"/>
                <w:color w:val="auto"/>
                <w:kern w:val="21"/>
                <w:szCs w:val="21"/>
              </w:rPr>
              <w:t>/</w:t>
            </w:r>
          </w:p>
        </w:tc>
        <w:tc>
          <w:tcPr>
            <w:tcW w:w="1613" w:type="dxa"/>
            <w:vAlign w:val="center"/>
          </w:tcPr>
          <w:p w14:paraId="6D8619CA">
            <w:pPr>
              <w:keepNext w:val="0"/>
              <w:keepLines w:val="0"/>
              <w:pageBreakBefore w:val="0"/>
              <w:widowControl w:val="0"/>
              <w:wordWrap/>
              <w:topLinePunct w:val="0"/>
              <w:autoSpaceDE/>
              <w:autoSpaceDN/>
              <w:bidi w:val="0"/>
              <w:adjustRightInd w:val="0"/>
              <w:snapToGrid w:val="0"/>
              <w:jc w:val="center"/>
              <w:rPr>
                <w:rFonts w:hint="default" w:eastAsia="宋体"/>
                <w:snapToGrid w:val="0"/>
                <w:color w:val="auto"/>
                <w:kern w:val="21"/>
                <w:szCs w:val="21"/>
                <w:lang w:val="en-US" w:eastAsia="zh-CN"/>
              </w:rPr>
            </w:pPr>
            <w:r>
              <w:rPr>
                <w:rFonts w:hint="eastAsia"/>
                <w:color w:val="auto"/>
                <w:kern w:val="0"/>
                <w:szCs w:val="21"/>
                <w:lang w:val="en-US" w:eastAsia="zh-CN"/>
              </w:rPr>
              <w:t>131.507</w:t>
            </w:r>
          </w:p>
        </w:tc>
        <w:tc>
          <w:tcPr>
            <w:tcW w:w="1331" w:type="dxa"/>
            <w:vAlign w:val="center"/>
          </w:tcPr>
          <w:p w14:paraId="2446E1E5">
            <w:pPr>
              <w:keepNext w:val="0"/>
              <w:keepLines w:val="0"/>
              <w:pageBreakBefore w:val="0"/>
              <w:widowControl w:val="0"/>
              <w:wordWrap/>
              <w:topLinePunct w:val="0"/>
              <w:autoSpaceDE/>
              <w:autoSpaceDN/>
              <w:bidi w:val="0"/>
              <w:adjustRightInd w:val="0"/>
              <w:snapToGrid w:val="0"/>
              <w:jc w:val="center"/>
              <w:rPr>
                <w:rFonts w:hint="eastAsia" w:eastAsia="宋体"/>
                <w:snapToGrid w:val="0"/>
                <w:color w:val="auto"/>
                <w:kern w:val="21"/>
                <w:szCs w:val="21"/>
                <w:lang w:val="en-US" w:eastAsia="zh-CN"/>
              </w:rPr>
            </w:pPr>
            <w:r>
              <w:rPr>
                <w:snapToGrid w:val="0"/>
                <w:color w:val="auto"/>
                <w:kern w:val="21"/>
                <w:szCs w:val="21"/>
              </w:rPr>
              <w:t>/</w:t>
            </w:r>
          </w:p>
        </w:tc>
        <w:tc>
          <w:tcPr>
            <w:tcW w:w="1718" w:type="dxa"/>
            <w:vAlign w:val="center"/>
          </w:tcPr>
          <w:p w14:paraId="75FA14CA">
            <w:pPr>
              <w:keepNext w:val="0"/>
              <w:keepLines w:val="0"/>
              <w:pageBreakBefore w:val="0"/>
              <w:widowControl w:val="0"/>
              <w:wordWrap/>
              <w:topLinePunct w:val="0"/>
              <w:autoSpaceDE/>
              <w:autoSpaceDN/>
              <w:bidi w:val="0"/>
              <w:adjustRightInd w:val="0"/>
              <w:snapToGrid w:val="0"/>
              <w:jc w:val="center"/>
              <w:rPr>
                <w:rFonts w:hint="default"/>
                <w:snapToGrid w:val="0"/>
                <w:color w:val="auto"/>
                <w:kern w:val="21"/>
                <w:szCs w:val="21"/>
                <w:lang w:val="en-US"/>
              </w:rPr>
            </w:pPr>
            <w:r>
              <w:rPr>
                <w:rFonts w:hint="eastAsia"/>
                <w:color w:val="auto"/>
                <w:kern w:val="0"/>
                <w:szCs w:val="21"/>
                <w:lang w:val="en-US" w:eastAsia="zh-CN"/>
              </w:rPr>
              <w:t>567.52</w:t>
            </w:r>
          </w:p>
        </w:tc>
        <w:tc>
          <w:tcPr>
            <w:tcW w:w="1049" w:type="dxa"/>
            <w:vAlign w:val="center"/>
          </w:tcPr>
          <w:p w14:paraId="563B550E">
            <w:pPr>
              <w:keepNext w:val="0"/>
              <w:keepLines w:val="0"/>
              <w:pageBreakBefore w:val="0"/>
              <w:widowControl w:val="0"/>
              <w:wordWrap/>
              <w:topLinePunct w:val="0"/>
              <w:autoSpaceDE/>
              <w:autoSpaceDN/>
              <w:bidi w:val="0"/>
              <w:adjustRightInd w:val="0"/>
              <w:snapToGrid w:val="0"/>
              <w:jc w:val="center"/>
              <w:rPr>
                <w:rFonts w:hint="eastAsia" w:eastAsia="宋体"/>
                <w:snapToGrid w:val="0"/>
                <w:color w:val="auto"/>
                <w:kern w:val="21"/>
                <w:szCs w:val="21"/>
                <w:lang w:val="en-US" w:eastAsia="zh-CN"/>
              </w:rPr>
            </w:pPr>
            <w:r>
              <w:rPr>
                <w:rFonts w:hint="eastAsia"/>
                <w:snapToGrid w:val="0"/>
                <w:color w:val="auto"/>
                <w:kern w:val="21"/>
                <w:szCs w:val="21"/>
                <w:lang w:val="en-US" w:eastAsia="zh-CN"/>
              </w:rPr>
              <w:t>/</w:t>
            </w:r>
          </w:p>
        </w:tc>
      </w:tr>
      <w:tr w14:paraId="2F56C10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10" w:type="dxa"/>
            <w:vMerge w:val="continue"/>
            <w:vAlign w:val="center"/>
          </w:tcPr>
          <w:p w14:paraId="762CA660">
            <w:pPr>
              <w:keepNext w:val="0"/>
              <w:keepLines w:val="0"/>
              <w:pageBreakBefore w:val="0"/>
              <w:widowControl w:val="0"/>
              <w:wordWrap/>
              <w:topLinePunct w:val="0"/>
              <w:autoSpaceDE/>
              <w:autoSpaceDN/>
              <w:bidi w:val="0"/>
              <w:adjustRightInd w:val="0"/>
              <w:snapToGrid w:val="0"/>
              <w:jc w:val="center"/>
              <w:rPr>
                <w:color w:val="auto"/>
              </w:rPr>
            </w:pPr>
          </w:p>
        </w:tc>
        <w:tc>
          <w:tcPr>
            <w:tcW w:w="3029" w:type="dxa"/>
            <w:vAlign w:val="center"/>
          </w:tcPr>
          <w:p w14:paraId="24A86958">
            <w:pPr>
              <w:keepNext w:val="0"/>
              <w:keepLines w:val="0"/>
              <w:pageBreakBefore w:val="0"/>
              <w:widowControl w:val="0"/>
              <w:wordWrap/>
              <w:topLinePunct w:val="0"/>
              <w:autoSpaceDE/>
              <w:autoSpaceDN/>
              <w:bidi w:val="0"/>
              <w:adjustRightInd w:val="0"/>
              <w:snapToGrid w:val="0"/>
              <w:jc w:val="center"/>
              <w:rPr>
                <w:rFonts w:hint="eastAsia"/>
                <w:color w:val="auto"/>
                <w:kern w:val="0"/>
                <w:szCs w:val="21"/>
                <w:lang w:val="en-US" w:eastAsia="zh-CN"/>
              </w:rPr>
            </w:pPr>
            <w:r>
              <w:rPr>
                <w:color w:val="auto"/>
                <w:kern w:val="0"/>
                <w:szCs w:val="21"/>
              </w:rPr>
              <w:t>COD</w:t>
            </w:r>
            <w:r>
              <w:rPr>
                <w:rFonts w:hint="eastAsia"/>
                <w:color w:val="auto"/>
                <w:kern w:val="0"/>
                <w:szCs w:val="21"/>
                <w:lang w:val="en-US" w:eastAsia="zh-CN"/>
              </w:rPr>
              <w:t>（t/a）</w:t>
            </w:r>
          </w:p>
        </w:tc>
        <w:tc>
          <w:tcPr>
            <w:tcW w:w="1332" w:type="dxa"/>
            <w:vAlign w:val="center"/>
          </w:tcPr>
          <w:p w14:paraId="6B3F873B">
            <w:pPr>
              <w:keepNext w:val="0"/>
              <w:keepLines w:val="0"/>
              <w:widowControl/>
              <w:suppressLineNumbers w:val="0"/>
              <w:jc w:val="center"/>
              <w:textAlignment w:val="center"/>
              <w:rPr>
                <w:rFonts w:hint="default" w:ascii="Times New Roman" w:hAnsi="Times New Roman" w:cs="Times New Roman"/>
                <w:color w:val="auto"/>
                <w:kern w:val="0"/>
                <w:sz w:val="21"/>
                <w:szCs w:val="21"/>
                <w:lang w:val="en-US" w:eastAsia="zh-CN"/>
              </w:rPr>
            </w:pPr>
            <w:r>
              <w:rPr>
                <w:rFonts w:hint="eastAsia"/>
                <w:snapToGrid w:val="0"/>
                <w:color w:val="auto"/>
                <w:kern w:val="21"/>
                <w:szCs w:val="21"/>
                <w:lang w:val="en-US" w:eastAsia="zh-CN"/>
              </w:rPr>
              <w:t>/</w:t>
            </w:r>
          </w:p>
        </w:tc>
        <w:tc>
          <w:tcPr>
            <w:tcW w:w="1144" w:type="dxa"/>
            <w:vAlign w:val="center"/>
          </w:tcPr>
          <w:p w14:paraId="448E396E">
            <w:pPr>
              <w:keepNext w:val="0"/>
              <w:keepLines w:val="0"/>
              <w:pageBreakBefore w:val="0"/>
              <w:widowControl w:val="0"/>
              <w:wordWrap/>
              <w:topLinePunct w:val="0"/>
              <w:autoSpaceDE/>
              <w:autoSpaceDN/>
              <w:bidi w:val="0"/>
              <w:adjustRightInd w:val="0"/>
              <w:snapToGrid w:val="0"/>
              <w:jc w:val="center"/>
              <w:rPr>
                <w:rFonts w:hint="eastAsia"/>
                <w:color w:val="auto"/>
                <w:kern w:val="0"/>
                <w:szCs w:val="21"/>
                <w:lang w:val="en-US" w:eastAsia="zh-CN"/>
              </w:rPr>
            </w:pPr>
            <w:r>
              <w:rPr>
                <w:snapToGrid w:val="0"/>
                <w:color w:val="auto"/>
                <w:kern w:val="21"/>
                <w:szCs w:val="21"/>
              </w:rPr>
              <w:t>/</w:t>
            </w:r>
          </w:p>
        </w:tc>
        <w:tc>
          <w:tcPr>
            <w:tcW w:w="1462" w:type="dxa"/>
            <w:vAlign w:val="center"/>
          </w:tcPr>
          <w:p w14:paraId="19D45ED6">
            <w:pPr>
              <w:keepNext w:val="0"/>
              <w:keepLines w:val="0"/>
              <w:pageBreakBefore w:val="0"/>
              <w:widowControl w:val="0"/>
              <w:wordWrap/>
              <w:topLinePunct w:val="0"/>
              <w:autoSpaceDE/>
              <w:autoSpaceDN/>
              <w:bidi w:val="0"/>
              <w:adjustRightInd w:val="0"/>
              <w:snapToGrid w:val="0"/>
              <w:jc w:val="center"/>
              <w:rPr>
                <w:rFonts w:hint="eastAsia"/>
                <w:color w:val="auto"/>
                <w:kern w:val="0"/>
                <w:szCs w:val="21"/>
                <w:lang w:val="en-US" w:eastAsia="zh-CN"/>
              </w:rPr>
            </w:pPr>
            <w:r>
              <w:rPr>
                <w:snapToGrid w:val="0"/>
                <w:color w:val="auto"/>
                <w:kern w:val="21"/>
                <w:szCs w:val="21"/>
              </w:rPr>
              <w:t>/</w:t>
            </w:r>
          </w:p>
        </w:tc>
        <w:tc>
          <w:tcPr>
            <w:tcW w:w="1613" w:type="dxa"/>
            <w:vAlign w:val="center"/>
          </w:tcPr>
          <w:p w14:paraId="34CDC364">
            <w:pPr>
              <w:keepNext w:val="0"/>
              <w:keepLines w:val="0"/>
              <w:widowControl/>
              <w:suppressLineNumbers w:val="0"/>
              <w:jc w:val="center"/>
              <w:textAlignment w:val="center"/>
              <w:rPr>
                <w:rFonts w:hint="default" w:ascii="Times New Roman" w:hAnsi="Times New Roman" w:cs="Times New Roman"/>
                <w:color w:val="auto"/>
                <w:kern w:val="0"/>
                <w:sz w:val="21"/>
                <w:szCs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0.0526</w:t>
            </w:r>
          </w:p>
        </w:tc>
        <w:tc>
          <w:tcPr>
            <w:tcW w:w="1331" w:type="dxa"/>
            <w:vAlign w:val="center"/>
          </w:tcPr>
          <w:p w14:paraId="528E69B9">
            <w:pPr>
              <w:keepNext w:val="0"/>
              <w:keepLines w:val="0"/>
              <w:pageBreakBefore w:val="0"/>
              <w:widowControl w:val="0"/>
              <w:wordWrap/>
              <w:topLinePunct w:val="0"/>
              <w:autoSpaceDE/>
              <w:autoSpaceDN/>
              <w:bidi w:val="0"/>
              <w:adjustRightInd w:val="0"/>
              <w:snapToGrid w:val="0"/>
              <w:jc w:val="center"/>
              <w:rPr>
                <w:rFonts w:hint="eastAsia"/>
                <w:color w:val="auto"/>
                <w:kern w:val="0"/>
                <w:szCs w:val="21"/>
                <w:lang w:val="en-US" w:eastAsia="zh-CN"/>
              </w:rPr>
            </w:pPr>
            <w:r>
              <w:rPr>
                <w:snapToGrid w:val="0"/>
                <w:color w:val="auto"/>
                <w:kern w:val="21"/>
                <w:szCs w:val="21"/>
              </w:rPr>
              <w:t>/</w:t>
            </w:r>
          </w:p>
        </w:tc>
        <w:tc>
          <w:tcPr>
            <w:tcW w:w="1718" w:type="dxa"/>
            <w:vAlign w:val="center"/>
          </w:tcPr>
          <w:p w14:paraId="400E4AFC">
            <w:pPr>
              <w:keepNext w:val="0"/>
              <w:keepLines w:val="0"/>
              <w:widowControl/>
              <w:suppressLineNumbers w:val="0"/>
              <w:jc w:val="center"/>
              <w:textAlignment w:val="center"/>
              <w:rPr>
                <w:rFonts w:hint="default" w:ascii="Times New Roman" w:hAnsi="Times New Roman" w:cs="Times New Roman"/>
                <w:color w:val="auto"/>
                <w:kern w:val="0"/>
                <w:sz w:val="21"/>
                <w:szCs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0.0526</w:t>
            </w:r>
          </w:p>
        </w:tc>
        <w:tc>
          <w:tcPr>
            <w:tcW w:w="1049" w:type="dxa"/>
            <w:vAlign w:val="center"/>
          </w:tcPr>
          <w:p w14:paraId="51AC9406">
            <w:pPr>
              <w:keepNext w:val="0"/>
              <w:keepLines w:val="0"/>
              <w:widowControl/>
              <w:suppressLineNumbers w:val="0"/>
              <w:jc w:val="center"/>
              <w:textAlignment w:val="center"/>
              <w:rPr>
                <w:rFonts w:hint="eastAsia"/>
                <w:color w:val="auto"/>
                <w:kern w:val="0"/>
                <w:szCs w:val="21"/>
                <w:lang w:val="en-US" w:eastAsia="zh-CN"/>
              </w:rPr>
            </w:pPr>
            <w:r>
              <w:rPr>
                <w:rFonts w:hint="eastAsia"/>
                <w:snapToGrid w:val="0"/>
                <w:color w:val="auto"/>
                <w:kern w:val="21"/>
                <w:szCs w:val="21"/>
                <w:lang w:val="en-US" w:eastAsia="zh-CN"/>
              </w:rPr>
              <w:t>/</w:t>
            </w:r>
          </w:p>
        </w:tc>
      </w:tr>
      <w:tr w14:paraId="2D94870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10" w:type="dxa"/>
            <w:vMerge w:val="continue"/>
            <w:vAlign w:val="center"/>
          </w:tcPr>
          <w:p w14:paraId="38FFCCA3">
            <w:pPr>
              <w:keepNext w:val="0"/>
              <w:keepLines w:val="0"/>
              <w:pageBreakBefore w:val="0"/>
              <w:widowControl w:val="0"/>
              <w:wordWrap/>
              <w:topLinePunct w:val="0"/>
              <w:autoSpaceDE/>
              <w:autoSpaceDN/>
              <w:bidi w:val="0"/>
              <w:adjustRightInd w:val="0"/>
              <w:snapToGrid w:val="0"/>
              <w:jc w:val="center"/>
              <w:rPr>
                <w:rFonts w:hint="eastAsia"/>
                <w:color w:val="auto"/>
                <w:kern w:val="0"/>
                <w:szCs w:val="21"/>
                <w:lang w:val="en-US" w:eastAsia="zh-CN"/>
              </w:rPr>
            </w:pPr>
          </w:p>
        </w:tc>
        <w:tc>
          <w:tcPr>
            <w:tcW w:w="3029" w:type="dxa"/>
            <w:vAlign w:val="center"/>
          </w:tcPr>
          <w:p w14:paraId="0D08C497">
            <w:pPr>
              <w:keepNext w:val="0"/>
              <w:keepLines w:val="0"/>
              <w:pageBreakBefore w:val="0"/>
              <w:widowControl w:val="0"/>
              <w:wordWrap/>
              <w:topLinePunct w:val="0"/>
              <w:autoSpaceDE/>
              <w:autoSpaceDN/>
              <w:bidi w:val="0"/>
              <w:adjustRightInd w:val="0"/>
              <w:snapToGrid w:val="0"/>
              <w:jc w:val="center"/>
              <w:rPr>
                <w:rFonts w:hint="eastAsia"/>
                <w:color w:val="auto"/>
                <w:kern w:val="0"/>
                <w:szCs w:val="21"/>
                <w:lang w:val="en-US" w:eastAsia="zh-CN"/>
              </w:rPr>
            </w:pPr>
            <w:r>
              <w:rPr>
                <w:color w:val="auto"/>
                <w:kern w:val="0"/>
                <w:szCs w:val="21"/>
              </w:rPr>
              <w:t>BOD</w:t>
            </w:r>
            <w:r>
              <w:rPr>
                <w:color w:val="auto"/>
                <w:kern w:val="0"/>
                <w:szCs w:val="21"/>
                <w:vertAlign w:val="subscript"/>
              </w:rPr>
              <w:t>5</w:t>
            </w:r>
            <w:r>
              <w:rPr>
                <w:rFonts w:hint="eastAsia"/>
                <w:color w:val="auto"/>
                <w:kern w:val="0"/>
                <w:szCs w:val="21"/>
                <w:lang w:val="en-US" w:eastAsia="zh-CN"/>
              </w:rPr>
              <w:t>（t/a）</w:t>
            </w:r>
          </w:p>
        </w:tc>
        <w:tc>
          <w:tcPr>
            <w:tcW w:w="1332" w:type="dxa"/>
            <w:vAlign w:val="center"/>
          </w:tcPr>
          <w:p w14:paraId="14C2AB09">
            <w:pPr>
              <w:keepNext w:val="0"/>
              <w:keepLines w:val="0"/>
              <w:widowControl/>
              <w:suppressLineNumbers w:val="0"/>
              <w:jc w:val="center"/>
              <w:textAlignment w:val="center"/>
              <w:rPr>
                <w:rFonts w:hint="default" w:ascii="Times New Roman" w:hAnsi="Times New Roman" w:cs="Times New Roman"/>
                <w:color w:val="auto"/>
                <w:kern w:val="0"/>
                <w:sz w:val="21"/>
                <w:szCs w:val="21"/>
                <w:lang w:val="en-US" w:eastAsia="zh-CN"/>
              </w:rPr>
            </w:pPr>
            <w:r>
              <w:rPr>
                <w:rFonts w:hint="eastAsia"/>
                <w:snapToGrid w:val="0"/>
                <w:color w:val="auto"/>
                <w:kern w:val="21"/>
                <w:szCs w:val="21"/>
                <w:lang w:val="en-US" w:eastAsia="zh-CN"/>
              </w:rPr>
              <w:t>/</w:t>
            </w:r>
          </w:p>
        </w:tc>
        <w:tc>
          <w:tcPr>
            <w:tcW w:w="1144" w:type="dxa"/>
            <w:vAlign w:val="center"/>
          </w:tcPr>
          <w:p w14:paraId="6BC794CC">
            <w:pPr>
              <w:keepNext w:val="0"/>
              <w:keepLines w:val="0"/>
              <w:pageBreakBefore w:val="0"/>
              <w:widowControl w:val="0"/>
              <w:wordWrap/>
              <w:topLinePunct w:val="0"/>
              <w:autoSpaceDE/>
              <w:autoSpaceDN/>
              <w:bidi w:val="0"/>
              <w:adjustRightInd w:val="0"/>
              <w:snapToGrid w:val="0"/>
              <w:jc w:val="center"/>
              <w:rPr>
                <w:rFonts w:hint="eastAsia"/>
                <w:color w:val="auto"/>
                <w:kern w:val="0"/>
                <w:szCs w:val="21"/>
                <w:lang w:val="en-US" w:eastAsia="zh-CN"/>
              </w:rPr>
            </w:pPr>
            <w:r>
              <w:rPr>
                <w:snapToGrid w:val="0"/>
                <w:color w:val="auto"/>
                <w:kern w:val="21"/>
                <w:szCs w:val="21"/>
              </w:rPr>
              <w:t>/</w:t>
            </w:r>
          </w:p>
        </w:tc>
        <w:tc>
          <w:tcPr>
            <w:tcW w:w="1462" w:type="dxa"/>
            <w:vAlign w:val="center"/>
          </w:tcPr>
          <w:p w14:paraId="4BA9C232">
            <w:pPr>
              <w:keepNext w:val="0"/>
              <w:keepLines w:val="0"/>
              <w:pageBreakBefore w:val="0"/>
              <w:widowControl w:val="0"/>
              <w:wordWrap/>
              <w:topLinePunct w:val="0"/>
              <w:autoSpaceDE/>
              <w:autoSpaceDN/>
              <w:bidi w:val="0"/>
              <w:adjustRightInd w:val="0"/>
              <w:snapToGrid w:val="0"/>
              <w:jc w:val="center"/>
              <w:rPr>
                <w:rFonts w:hint="eastAsia"/>
                <w:color w:val="auto"/>
                <w:kern w:val="0"/>
                <w:szCs w:val="21"/>
                <w:lang w:val="en-US" w:eastAsia="zh-CN"/>
              </w:rPr>
            </w:pPr>
            <w:r>
              <w:rPr>
                <w:snapToGrid w:val="0"/>
                <w:color w:val="auto"/>
                <w:kern w:val="21"/>
                <w:szCs w:val="21"/>
              </w:rPr>
              <w:t>/</w:t>
            </w:r>
          </w:p>
        </w:tc>
        <w:tc>
          <w:tcPr>
            <w:tcW w:w="1613" w:type="dxa"/>
            <w:vAlign w:val="center"/>
          </w:tcPr>
          <w:p w14:paraId="61B19D02">
            <w:pPr>
              <w:keepNext w:val="0"/>
              <w:keepLines w:val="0"/>
              <w:widowControl/>
              <w:suppressLineNumbers w:val="0"/>
              <w:jc w:val="center"/>
              <w:textAlignment w:val="center"/>
              <w:rPr>
                <w:rFonts w:hint="default" w:ascii="Times New Roman" w:hAnsi="Times New Roman" w:cs="Times New Roman"/>
                <w:color w:val="auto"/>
                <w:kern w:val="0"/>
                <w:sz w:val="21"/>
                <w:szCs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0.0289</w:t>
            </w:r>
          </w:p>
        </w:tc>
        <w:tc>
          <w:tcPr>
            <w:tcW w:w="1331" w:type="dxa"/>
            <w:vAlign w:val="center"/>
          </w:tcPr>
          <w:p w14:paraId="6AEFFDE1">
            <w:pPr>
              <w:keepNext w:val="0"/>
              <w:keepLines w:val="0"/>
              <w:pageBreakBefore w:val="0"/>
              <w:widowControl w:val="0"/>
              <w:wordWrap/>
              <w:topLinePunct w:val="0"/>
              <w:autoSpaceDE/>
              <w:autoSpaceDN/>
              <w:bidi w:val="0"/>
              <w:adjustRightInd w:val="0"/>
              <w:snapToGrid w:val="0"/>
              <w:jc w:val="center"/>
              <w:rPr>
                <w:rFonts w:hint="eastAsia"/>
                <w:color w:val="auto"/>
                <w:kern w:val="0"/>
                <w:szCs w:val="21"/>
                <w:lang w:val="en-US" w:eastAsia="zh-CN"/>
              </w:rPr>
            </w:pPr>
            <w:r>
              <w:rPr>
                <w:snapToGrid w:val="0"/>
                <w:color w:val="auto"/>
                <w:kern w:val="21"/>
                <w:szCs w:val="21"/>
              </w:rPr>
              <w:t>/</w:t>
            </w:r>
          </w:p>
        </w:tc>
        <w:tc>
          <w:tcPr>
            <w:tcW w:w="1718" w:type="dxa"/>
            <w:vAlign w:val="center"/>
          </w:tcPr>
          <w:p w14:paraId="3404F278">
            <w:pPr>
              <w:keepNext w:val="0"/>
              <w:keepLines w:val="0"/>
              <w:widowControl/>
              <w:suppressLineNumbers w:val="0"/>
              <w:jc w:val="center"/>
              <w:textAlignment w:val="center"/>
              <w:rPr>
                <w:rFonts w:hint="default" w:ascii="Times New Roman" w:hAnsi="Times New Roman" w:cs="Times New Roman"/>
                <w:color w:val="auto"/>
                <w:kern w:val="0"/>
                <w:sz w:val="21"/>
                <w:szCs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0.0289</w:t>
            </w:r>
          </w:p>
        </w:tc>
        <w:tc>
          <w:tcPr>
            <w:tcW w:w="1049" w:type="dxa"/>
            <w:vAlign w:val="center"/>
          </w:tcPr>
          <w:p w14:paraId="0993BF27">
            <w:pPr>
              <w:keepNext w:val="0"/>
              <w:keepLines w:val="0"/>
              <w:widowControl/>
              <w:suppressLineNumbers w:val="0"/>
              <w:jc w:val="center"/>
              <w:textAlignment w:val="center"/>
              <w:rPr>
                <w:rFonts w:hint="eastAsia"/>
                <w:color w:val="auto"/>
                <w:kern w:val="0"/>
                <w:szCs w:val="21"/>
                <w:lang w:val="en-US" w:eastAsia="zh-CN"/>
              </w:rPr>
            </w:pPr>
            <w:r>
              <w:rPr>
                <w:rFonts w:hint="eastAsia"/>
                <w:snapToGrid w:val="0"/>
                <w:color w:val="auto"/>
                <w:kern w:val="21"/>
                <w:szCs w:val="21"/>
                <w:lang w:val="en-US" w:eastAsia="zh-CN"/>
              </w:rPr>
              <w:t>/</w:t>
            </w:r>
          </w:p>
        </w:tc>
      </w:tr>
      <w:tr w14:paraId="6B68644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10" w:type="dxa"/>
            <w:vMerge w:val="continue"/>
            <w:vAlign w:val="center"/>
          </w:tcPr>
          <w:p w14:paraId="6E6B9FF0">
            <w:pPr>
              <w:keepNext w:val="0"/>
              <w:keepLines w:val="0"/>
              <w:pageBreakBefore w:val="0"/>
              <w:widowControl w:val="0"/>
              <w:wordWrap/>
              <w:topLinePunct w:val="0"/>
              <w:autoSpaceDE/>
              <w:autoSpaceDN/>
              <w:bidi w:val="0"/>
              <w:adjustRightInd w:val="0"/>
              <w:snapToGrid w:val="0"/>
              <w:jc w:val="center"/>
              <w:rPr>
                <w:rFonts w:hint="eastAsia"/>
                <w:color w:val="auto"/>
                <w:kern w:val="0"/>
                <w:szCs w:val="21"/>
                <w:lang w:val="en-US" w:eastAsia="zh-CN"/>
              </w:rPr>
            </w:pPr>
          </w:p>
        </w:tc>
        <w:tc>
          <w:tcPr>
            <w:tcW w:w="3029" w:type="dxa"/>
            <w:vAlign w:val="center"/>
          </w:tcPr>
          <w:p w14:paraId="79FC5471">
            <w:pPr>
              <w:keepNext w:val="0"/>
              <w:keepLines w:val="0"/>
              <w:pageBreakBefore w:val="0"/>
              <w:widowControl w:val="0"/>
              <w:wordWrap/>
              <w:topLinePunct w:val="0"/>
              <w:autoSpaceDE/>
              <w:autoSpaceDN/>
              <w:bidi w:val="0"/>
              <w:adjustRightInd w:val="0"/>
              <w:snapToGrid w:val="0"/>
              <w:jc w:val="center"/>
              <w:rPr>
                <w:rFonts w:hint="eastAsia"/>
                <w:color w:val="auto"/>
                <w:kern w:val="0"/>
                <w:szCs w:val="21"/>
                <w:lang w:val="en-US" w:eastAsia="zh-CN"/>
              </w:rPr>
            </w:pPr>
            <w:r>
              <w:rPr>
                <w:color w:val="auto"/>
                <w:kern w:val="0"/>
                <w:szCs w:val="21"/>
              </w:rPr>
              <w:t>NH</w:t>
            </w:r>
            <w:r>
              <w:rPr>
                <w:color w:val="auto"/>
                <w:kern w:val="0"/>
                <w:szCs w:val="21"/>
                <w:vertAlign w:val="subscript"/>
              </w:rPr>
              <w:t>3</w:t>
            </w:r>
            <w:r>
              <w:rPr>
                <w:color w:val="auto"/>
                <w:kern w:val="0"/>
                <w:szCs w:val="21"/>
              </w:rPr>
              <w:t>-N</w:t>
            </w:r>
            <w:r>
              <w:rPr>
                <w:rFonts w:hint="eastAsia"/>
                <w:color w:val="auto"/>
                <w:kern w:val="0"/>
                <w:szCs w:val="21"/>
                <w:lang w:val="en-US" w:eastAsia="zh-CN"/>
              </w:rPr>
              <w:t>（t/a）</w:t>
            </w:r>
          </w:p>
        </w:tc>
        <w:tc>
          <w:tcPr>
            <w:tcW w:w="1332" w:type="dxa"/>
            <w:vAlign w:val="center"/>
          </w:tcPr>
          <w:p w14:paraId="6C6685E4">
            <w:pPr>
              <w:keepNext w:val="0"/>
              <w:keepLines w:val="0"/>
              <w:widowControl/>
              <w:suppressLineNumbers w:val="0"/>
              <w:jc w:val="center"/>
              <w:textAlignment w:val="center"/>
              <w:rPr>
                <w:rFonts w:hint="default" w:ascii="Times New Roman" w:hAnsi="Times New Roman" w:cs="Times New Roman"/>
                <w:color w:val="auto"/>
                <w:kern w:val="0"/>
                <w:sz w:val="21"/>
                <w:szCs w:val="21"/>
                <w:lang w:val="en-US" w:eastAsia="zh-CN"/>
              </w:rPr>
            </w:pPr>
            <w:r>
              <w:rPr>
                <w:rFonts w:hint="eastAsia"/>
                <w:snapToGrid w:val="0"/>
                <w:color w:val="auto"/>
                <w:kern w:val="21"/>
                <w:szCs w:val="21"/>
                <w:lang w:val="en-US" w:eastAsia="zh-CN"/>
              </w:rPr>
              <w:t>/</w:t>
            </w:r>
          </w:p>
        </w:tc>
        <w:tc>
          <w:tcPr>
            <w:tcW w:w="1144" w:type="dxa"/>
            <w:vAlign w:val="center"/>
          </w:tcPr>
          <w:p w14:paraId="0A830979">
            <w:pPr>
              <w:keepNext w:val="0"/>
              <w:keepLines w:val="0"/>
              <w:pageBreakBefore w:val="0"/>
              <w:widowControl w:val="0"/>
              <w:wordWrap/>
              <w:topLinePunct w:val="0"/>
              <w:autoSpaceDE/>
              <w:autoSpaceDN/>
              <w:bidi w:val="0"/>
              <w:adjustRightInd w:val="0"/>
              <w:snapToGrid w:val="0"/>
              <w:jc w:val="center"/>
              <w:rPr>
                <w:rFonts w:hint="eastAsia"/>
                <w:color w:val="auto"/>
                <w:kern w:val="0"/>
                <w:szCs w:val="21"/>
                <w:lang w:val="en-US" w:eastAsia="zh-CN"/>
              </w:rPr>
            </w:pPr>
            <w:r>
              <w:rPr>
                <w:snapToGrid w:val="0"/>
                <w:color w:val="auto"/>
                <w:kern w:val="21"/>
                <w:szCs w:val="21"/>
              </w:rPr>
              <w:t>/</w:t>
            </w:r>
          </w:p>
        </w:tc>
        <w:tc>
          <w:tcPr>
            <w:tcW w:w="1462" w:type="dxa"/>
            <w:vAlign w:val="center"/>
          </w:tcPr>
          <w:p w14:paraId="1187C939">
            <w:pPr>
              <w:keepNext w:val="0"/>
              <w:keepLines w:val="0"/>
              <w:pageBreakBefore w:val="0"/>
              <w:widowControl w:val="0"/>
              <w:wordWrap/>
              <w:topLinePunct w:val="0"/>
              <w:autoSpaceDE/>
              <w:autoSpaceDN/>
              <w:bidi w:val="0"/>
              <w:adjustRightInd w:val="0"/>
              <w:snapToGrid w:val="0"/>
              <w:jc w:val="center"/>
              <w:rPr>
                <w:rFonts w:hint="eastAsia"/>
                <w:color w:val="auto"/>
                <w:kern w:val="0"/>
                <w:szCs w:val="21"/>
                <w:lang w:val="en-US" w:eastAsia="zh-CN"/>
              </w:rPr>
            </w:pPr>
            <w:r>
              <w:rPr>
                <w:snapToGrid w:val="0"/>
                <w:color w:val="auto"/>
                <w:kern w:val="21"/>
                <w:szCs w:val="21"/>
              </w:rPr>
              <w:t>/</w:t>
            </w:r>
          </w:p>
        </w:tc>
        <w:tc>
          <w:tcPr>
            <w:tcW w:w="1613" w:type="dxa"/>
            <w:vAlign w:val="center"/>
          </w:tcPr>
          <w:p w14:paraId="554AC899">
            <w:pPr>
              <w:keepNext w:val="0"/>
              <w:keepLines w:val="0"/>
              <w:widowControl/>
              <w:suppressLineNumbers w:val="0"/>
              <w:jc w:val="center"/>
              <w:textAlignment w:val="center"/>
              <w:rPr>
                <w:rFonts w:hint="default" w:ascii="Times New Roman" w:hAnsi="Times New Roman" w:cs="Times New Roman"/>
                <w:color w:val="auto"/>
                <w:kern w:val="0"/>
                <w:sz w:val="21"/>
                <w:szCs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0.0053</w:t>
            </w:r>
          </w:p>
        </w:tc>
        <w:tc>
          <w:tcPr>
            <w:tcW w:w="1331" w:type="dxa"/>
            <w:vAlign w:val="center"/>
          </w:tcPr>
          <w:p w14:paraId="70A5FA00">
            <w:pPr>
              <w:keepNext w:val="0"/>
              <w:keepLines w:val="0"/>
              <w:pageBreakBefore w:val="0"/>
              <w:widowControl w:val="0"/>
              <w:wordWrap/>
              <w:topLinePunct w:val="0"/>
              <w:autoSpaceDE/>
              <w:autoSpaceDN/>
              <w:bidi w:val="0"/>
              <w:adjustRightInd w:val="0"/>
              <w:snapToGrid w:val="0"/>
              <w:jc w:val="center"/>
              <w:rPr>
                <w:rFonts w:hint="eastAsia"/>
                <w:color w:val="auto"/>
                <w:kern w:val="0"/>
                <w:szCs w:val="21"/>
                <w:lang w:val="en-US" w:eastAsia="zh-CN"/>
              </w:rPr>
            </w:pPr>
            <w:r>
              <w:rPr>
                <w:snapToGrid w:val="0"/>
                <w:color w:val="auto"/>
                <w:kern w:val="21"/>
                <w:szCs w:val="21"/>
              </w:rPr>
              <w:t>/</w:t>
            </w:r>
          </w:p>
        </w:tc>
        <w:tc>
          <w:tcPr>
            <w:tcW w:w="1718" w:type="dxa"/>
            <w:vAlign w:val="center"/>
          </w:tcPr>
          <w:p w14:paraId="30852D20">
            <w:pPr>
              <w:keepNext w:val="0"/>
              <w:keepLines w:val="0"/>
              <w:widowControl/>
              <w:suppressLineNumbers w:val="0"/>
              <w:jc w:val="center"/>
              <w:textAlignment w:val="center"/>
              <w:rPr>
                <w:rFonts w:hint="default" w:ascii="Times New Roman" w:hAnsi="Times New Roman" w:cs="Times New Roman"/>
                <w:color w:val="auto"/>
                <w:kern w:val="0"/>
                <w:sz w:val="21"/>
                <w:szCs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0.0053</w:t>
            </w:r>
          </w:p>
        </w:tc>
        <w:tc>
          <w:tcPr>
            <w:tcW w:w="1049" w:type="dxa"/>
            <w:vAlign w:val="center"/>
          </w:tcPr>
          <w:p w14:paraId="2FFE9DFD">
            <w:pPr>
              <w:keepNext w:val="0"/>
              <w:keepLines w:val="0"/>
              <w:widowControl/>
              <w:suppressLineNumbers w:val="0"/>
              <w:jc w:val="center"/>
              <w:textAlignment w:val="center"/>
              <w:rPr>
                <w:rFonts w:hint="eastAsia"/>
                <w:color w:val="auto"/>
                <w:kern w:val="0"/>
                <w:szCs w:val="21"/>
                <w:lang w:val="en-US" w:eastAsia="zh-CN"/>
              </w:rPr>
            </w:pPr>
            <w:r>
              <w:rPr>
                <w:rFonts w:hint="eastAsia"/>
                <w:snapToGrid w:val="0"/>
                <w:color w:val="auto"/>
                <w:kern w:val="21"/>
                <w:szCs w:val="21"/>
                <w:lang w:val="en-US" w:eastAsia="zh-CN"/>
              </w:rPr>
              <w:t>/</w:t>
            </w:r>
          </w:p>
        </w:tc>
      </w:tr>
      <w:tr w14:paraId="15186E3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10" w:type="dxa"/>
            <w:vMerge w:val="continue"/>
            <w:vAlign w:val="center"/>
          </w:tcPr>
          <w:p w14:paraId="733F41AD">
            <w:pPr>
              <w:keepNext w:val="0"/>
              <w:keepLines w:val="0"/>
              <w:pageBreakBefore w:val="0"/>
              <w:widowControl w:val="0"/>
              <w:wordWrap/>
              <w:topLinePunct w:val="0"/>
              <w:autoSpaceDE/>
              <w:autoSpaceDN/>
              <w:bidi w:val="0"/>
              <w:adjustRightInd w:val="0"/>
              <w:snapToGrid w:val="0"/>
              <w:jc w:val="center"/>
              <w:rPr>
                <w:rFonts w:hint="eastAsia"/>
                <w:color w:val="auto"/>
                <w:kern w:val="0"/>
                <w:szCs w:val="21"/>
                <w:lang w:val="en-US" w:eastAsia="zh-CN"/>
              </w:rPr>
            </w:pPr>
          </w:p>
        </w:tc>
        <w:tc>
          <w:tcPr>
            <w:tcW w:w="3029" w:type="dxa"/>
            <w:vAlign w:val="center"/>
          </w:tcPr>
          <w:p w14:paraId="5AA24EDE">
            <w:pPr>
              <w:keepNext w:val="0"/>
              <w:keepLines w:val="0"/>
              <w:pageBreakBefore w:val="0"/>
              <w:widowControl w:val="0"/>
              <w:wordWrap/>
              <w:topLinePunct w:val="0"/>
              <w:autoSpaceDE/>
              <w:autoSpaceDN/>
              <w:bidi w:val="0"/>
              <w:adjustRightInd w:val="0"/>
              <w:snapToGrid w:val="0"/>
              <w:jc w:val="center"/>
              <w:rPr>
                <w:rFonts w:hint="eastAsia"/>
                <w:color w:val="auto"/>
                <w:kern w:val="0"/>
                <w:szCs w:val="21"/>
                <w:lang w:val="en-US" w:eastAsia="zh-CN"/>
              </w:rPr>
            </w:pPr>
            <w:r>
              <w:rPr>
                <w:color w:val="auto"/>
                <w:kern w:val="0"/>
                <w:szCs w:val="21"/>
              </w:rPr>
              <w:t>SS</w:t>
            </w:r>
            <w:r>
              <w:rPr>
                <w:rFonts w:hint="eastAsia"/>
                <w:color w:val="auto"/>
                <w:kern w:val="0"/>
                <w:szCs w:val="21"/>
                <w:lang w:val="en-US" w:eastAsia="zh-CN"/>
              </w:rPr>
              <w:t>（t/a）</w:t>
            </w:r>
          </w:p>
        </w:tc>
        <w:tc>
          <w:tcPr>
            <w:tcW w:w="1332" w:type="dxa"/>
            <w:vAlign w:val="center"/>
          </w:tcPr>
          <w:p w14:paraId="5F9120F6">
            <w:pPr>
              <w:keepNext w:val="0"/>
              <w:keepLines w:val="0"/>
              <w:widowControl/>
              <w:suppressLineNumbers w:val="0"/>
              <w:jc w:val="center"/>
              <w:textAlignment w:val="center"/>
              <w:rPr>
                <w:rFonts w:hint="default" w:ascii="Times New Roman" w:hAnsi="Times New Roman" w:cs="Times New Roman"/>
                <w:color w:val="auto"/>
                <w:kern w:val="0"/>
                <w:sz w:val="21"/>
                <w:szCs w:val="21"/>
                <w:lang w:val="en-US" w:eastAsia="zh-CN"/>
              </w:rPr>
            </w:pPr>
            <w:r>
              <w:rPr>
                <w:rFonts w:hint="eastAsia"/>
                <w:snapToGrid w:val="0"/>
                <w:color w:val="auto"/>
                <w:kern w:val="21"/>
                <w:szCs w:val="21"/>
                <w:lang w:val="en-US" w:eastAsia="zh-CN"/>
              </w:rPr>
              <w:t>/</w:t>
            </w:r>
          </w:p>
        </w:tc>
        <w:tc>
          <w:tcPr>
            <w:tcW w:w="1144" w:type="dxa"/>
            <w:vAlign w:val="center"/>
          </w:tcPr>
          <w:p w14:paraId="60448B5B">
            <w:pPr>
              <w:keepNext w:val="0"/>
              <w:keepLines w:val="0"/>
              <w:pageBreakBefore w:val="0"/>
              <w:widowControl w:val="0"/>
              <w:wordWrap/>
              <w:topLinePunct w:val="0"/>
              <w:autoSpaceDE/>
              <w:autoSpaceDN/>
              <w:bidi w:val="0"/>
              <w:adjustRightInd w:val="0"/>
              <w:snapToGrid w:val="0"/>
              <w:jc w:val="center"/>
              <w:rPr>
                <w:rFonts w:hint="eastAsia"/>
                <w:color w:val="auto"/>
                <w:kern w:val="0"/>
                <w:szCs w:val="21"/>
                <w:lang w:val="en-US" w:eastAsia="zh-CN"/>
              </w:rPr>
            </w:pPr>
            <w:r>
              <w:rPr>
                <w:snapToGrid w:val="0"/>
                <w:color w:val="auto"/>
                <w:kern w:val="21"/>
                <w:szCs w:val="21"/>
              </w:rPr>
              <w:t>/</w:t>
            </w:r>
          </w:p>
        </w:tc>
        <w:tc>
          <w:tcPr>
            <w:tcW w:w="1462" w:type="dxa"/>
            <w:vAlign w:val="center"/>
          </w:tcPr>
          <w:p w14:paraId="23A8D5EA">
            <w:pPr>
              <w:keepNext w:val="0"/>
              <w:keepLines w:val="0"/>
              <w:pageBreakBefore w:val="0"/>
              <w:widowControl w:val="0"/>
              <w:wordWrap/>
              <w:topLinePunct w:val="0"/>
              <w:autoSpaceDE/>
              <w:autoSpaceDN/>
              <w:bidi w:val="0"/>
              <w:adjustRightInd w:val="0"/>
              <w:snapToGrid w:val="0"/>
              <w:jc w:val="center"/>
              <w:rPr>
                <w:rFonts w:hint="eastAsia"/>
                <w:color w:val="auto"/>
                <w:kern w:val="0"/>
                <w:szCs w:val="21"/>
                <w:lang w:val="en-US" w:eastAsia="zh-CN"/>
              </w:rPr>
            </w:pPr>
            <w:r>
              <w:rPr>
                <w:snapToGrid w:val="0"/>
                <w:color w:val="auto"/>
                <w:kern w:val="21"/>
                <w:szCs w:val="21"/>
              </w:rPr>
              <w:t>/</w:t>
            </w:r>
          </w:p>
        </w:tc>
        <w:tc>
          <w:tcPr>
            <w:tcW w:w="1613" w:type="dxa"/>
            <w:vAlign w:val="center"/>
          </w:tcPr>
          <w:p w14:paraId="630CEAF9">
            <w:pPr>
              <w:keepNext w:val="0"/>
              <w:keepLines w:val="0"/>
              <w:widowControl/>
              <w:suppressLineNumbers w:val="0"/>
              <w:jc w:val="center"/>
              <w:textAlignment w:val="center"/>
              <w:rPr>
                <w:rFonts w:hint="default" w:ascii="Times New Roman" w:hAnsi="Times New Roman" w:cs="Times New Roman"/>
                <w:color w:val="auto"/>
                <w:kern w:val="0"/>
                <w:sz w:val="21"/>
                <w:szCs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0.0395</w:t>
            </w:r>
          </w:p>
        </w:tc>
        <w:tc>
          <w:tcPr>
            <w:tcW w:w="1331" w:type="dxa"/>
            <w:vAlign w:val="center"/>
          </w:tcPr>
          <w:p w14:paraId="1407DF67">
            <w:pPr>
              <w:keepNext w:val="0"/>
              <w:keepLines w:val="0"/>
              <w:pageBreakBefore w:val="0"/>
              <w:widowControl w:val="0"/>
              <w:wordWrap/>
              <w:topLinePunct w:val="0"/>
              <w:autoSpaceDE/>
              <w:autoSpaceDN/>
              <w:bidi w:val="0"/>
              <w:adjustRightInd w:val="0"/>
              <w:snapToGrid w:val="0"/>
              <w:jc w:val="center"/>
              <w:rPr>
                <w:rFonts w:hint="eastAsia"/>
                <w:color w:val="auto"/>
                <w:kern w:val="0"/>
                <w:szCs w:val="21"/>
                <w:lang w:val="en-US" w:eastAsia="zh-CN"/>
              </w:rPr>
            </w:pPr>
            <w:r>
              <w:rPr>
                <w:snapToGrid w:val="0"/>
                <w:color w:val="auto"/>
                <w:kern w:val="21"/>
                <w:szCs w:val="21"/>
              </w:rPr>
              <w:t>/</w:t>
            </w:r>
          </w:p>
        </w:tc>
        <w:tc>
          <w:tcPr>
            <w:tcW w:w="1718" w:type="dxa"/>
            <w:vAlign w:val="center"/>
          </w:tcPr>
          <w:p w14:paraId="3596256C">
            <w:pPr>
              <w:keepNext w:val="0"/>
              <w:keepLines w:val="0"/>
              <w:widowControl/>
              <w:suppressLineNumbers w:val="0"/>
              <w:jc w:val="center"/>
              <w:textAlignment w:val="center"/>
              <w:rPr>
                <w:rFonts w:hint="default" w:ascii="Times New Roman" w:hAnsi="Times New Roman" w:cs="Times New Roman"/>
                <w:color w:val="auto"/>
                <w:kern w:val="0"/>
                <w:sz w:val="21"/>
                <w:szCs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0.0395</w:t>
            </w:r>
          </w:p>
        </w:tc>
        <w:tc>
          <w:tcPr>
            <w:tcW w:w="1049" w:type="dxa"/>
            <w:vAlign w:val="center"/>
          </w:tcPr>
          <w:p w14:paraId="10DBBAED">
            <w:pPr>
              <w:keepNext w:val="0"/>
              <w:keepLines w:val="0"/>
              <w:widowControl/>
              <w:suppressLineNumbers w:val="0"/>
              <w:jc w:val="center"/>
              <w:textAlignment w:val="center"/>
              <w:rPr>
                <w:rFonts w:hint="eastAsia"/>
                <w:color w:val="auto"/>
                <w:kern w:val="0"/>
                <w:szCs w:val="21"/>
                <w:lang w:val="en-US" w:eastAsia="zh-CN"/>
              </w:rPr>
            </w:pPr>
            <w:r>
              <w:rPr>
                <w:rFonts w:hint="eastAsia"/>
                <w:snapToGrid w:val="0"/>
                <w:color w:val="auto"/>
                <w:kern w:val="21"/>
                <w:szCs w:val="21"/>
                <w:lang w:val="en-US" w:eastAsia="zh-CN"/>
              </w:rPr>
              <w:t>/</w:t>
            </w:r>
          </w:p>
        </w:tc>
      </w:tr>
      <w:tr w14:paraId="37EAF9B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10" w:type="dxa"/>
            <w:vMerge w:val="continue"/>
            <w:vAlign w:val="center"/>
          </w:tcPr>
          <w:p w14:paraId="691C781B">
            <w:pPr>
              <w:keepNext w:val="0"/>
              <w:keepLines w:val="0"/>
              <w:pageBreakBefore w:val="0"/>
              <w:widowControl w:val="0"/>
              <w:wordWrap/>
              <w:topLinePunct w:val="0"/>
              <w:autoSpaceDE/>
              <w:autoSpaceDN/>
              <w:bidi w:val="0"/>
              <w:adjustRightInd w:val="0"/>
              <w:snapToGrid w:val="0"/>
              <w:jc w:val="center"/>
              <w:rPr>
                <w:rFonts w:hint="eastAsia"/>
                <w:color w:val="auto"/>
                <w:kern w:val="0"/>
                <w:szCs w:val="21"/>
                <w:lang w:val="en-US" w:eastAsia="zh-CN"/>
              </w:rPr>
            </w:pPr>
          </w:p>
        </w:tc>
        <w:tc>
          <w:tcPr>
            <w:tcW w:w="3029" w:type="dxa"/>
            <w:vAlign w:val="center"/>
          </w:tcPr>
          <w:p w14:paraId="5FC96BCF">
            <w:pPr>
              <w:keepNext w:val="0"/>
              <w:keepLines w:val="0"/>
              <w:pageBreakBefore w:val="0"/>
              <w:widowControl w:val="0"/>
              <w:wordWrap/>
              <w:topLinePunct w:val="0"/>
              <w:autoSpaceDE/>
              <w:autoSpaceDN/>
              <w:bidi w:val="0"/>
              <w:adjustRightInd w:val="0"/>
              <w:snapToGrid w:val="0"/>
              <w:jc w:val="center"/>
              <w:rPr>
                <w:rFonts w:hint="eastAsia"/>
                <w:color w:val="auto"/>
                <w:kern w:val="0"/>
                <w:szCs w:val="21"/>
                <w:lang w:val="en-US" w:eastAsia="zh-CN"/>
              </w:rPr>
            </w:pPr>
            <w:r>
              <w:rPr>
                <w:rFonts w:hint="eastAsia"/>
                <w:color w:val="auto"/>
                <w:kern w:val="0"/>
                <w:szCs w:val="21"/>
                <w:lang w:val="en-US" w:eastAsia="zh-CN"/>
              </w:rPr>
              <w:t>TP（t/a）</w:t>
            </w:r>
          </w:p>
        </w:tc>
        <w:tc>
          <w:tcPr>
            <w:tcW w:w="1332" w:type="dxa"/>
            <w:vAlign w:val="center"/>
          </w:tcPr>
          <w:p w14:paraId="528D3C31">
            <w:pPr>
              <w:keepNext w:val="0"/>
              <w:keepLines w:val="0"/>
              <w:widowControl/>
              <w:suppressLineNumbers w:val="0"/>
              <w:jc w:val="center"/>
              <w:textAlignment w:val="center"/>
              <w:rPr>
                <w:rFonts w:hint="default" w:ascii="Times New Roman" w:hAnsi="Times New Roman" w:cs="Times New Roman"/>
                <w:color w:val="auto"/>
                <w:kern w:val="0"/>
                <w:sz w:val="21"/>
                <w:szCs w:val="21"/>
                <w:lang w:val="en-US" w:eastAsia="zh-CN"/>
              </w:rPr>
            </w:pPr>
            <w:r>
              <w:rPr>
                <w:rFonts w:hint="eastAsia"/>
                <w:snapToGrid w:val="0"/>
                <w:color w:val="auto"/>
                <w:kern w:val="21"/>
                <w:szCs w:val="21"/>
                <w:lang w:val="en-US" w:eastAsia="zh-CN"/>
              </w:rPr>
              <w:t>/</w:t>
            </w:r>
          </w:p>
        </w:tc>
        <w:tc>
          <w:tcPr>
            <w:tcW w:w="1144" w:type="dxa"/>
            <w:vAlign w:val="center"/>
          </w:tcPr>
          <w:p w14:paraId="5F0B194D">
            <w:pPr>
              <w:keepNext w:val="0"/>
              <w:keepLines w:val="0"/>
              <w:pageBreakBefore w:val="0"/>
              <w:widowControl w:val="0"/>
              <w:wordWrap/>
              <w:topLinePunct w:val="0"/>
              <w:autoSpaceDE/>
              <w:autoSpaceDN/>
              <w:bidi w:val="0"/>
              <w:adjustRightInd w:val="0"/>
              <w:snapToGrid w:val="0"/>
              <w:jc w:val="center"/>
              <w:rPr>
                <w:rFonts w:hint="eastAsia"/>
                <w:color w:val="auto"/>
                <w:kern w:val="0"/>
                <w:szCs w:val="21"/>
                <w:lang w:val="en-US" w:eastAsia="zh-CN"/>
              </w:rPr>
            </w:pPr>
            <w:r>
              <w:rPr>
                <w:snapToGrid w:val="0"/>
                <w:color w:val="auto"/>
                <w:kern w:val="21"/>
                <w:szCs w:val="21"/>
              </w:rPr>
              <w:t>/</w:t>
            </w:r>
          </w:p>
        </w:tc>
        <w:tc>
          <w:tcPr>
            <w:tcW w:w="1462" w:type="dxa"/>
            <w:vAlign w:val="center"/>
          </w:tcPr>
          <w:p w14:paraId="604383B1">
            <w:pPr>
              <w:keepNext w:val="0"/>
              <w:keepLines w:val="0"/>
              <w:pageBreakBefore w:val="0"/>
              <w:widowControl w:val="0"/>
              <w:wordWrap/>
              <w:topLinePunct w:val="0"/>
              <w:autoSpaceDE/>
              <w:autoSpaceDN/>
              <w:bidi w:val="0"/>
              <w:adjustRightInd w:val="0"/>
              <w:snapToGrid w:val="0"/>
              <w:jc w:val="center"/>
              <w:rPr>
                <w:rFonts w:hint="eastAsia"/>
                <w:color w:val="auto"/>
                <w:kern w:val="0"/>
                <w:szCs w:val="21"/>
                <w:lang w:val="en-US" w:eastAsia="zh-CN"/>
              </w:rPr>
            </w:pPr>
            <w:r>
              <w:rPr>
                <w:snapToGrid w:val="0"/>
                <w:color w:val="auto"/>
                <w:kern w:val="21"/>
                <w:szCs w:val="21"/>
              </w:rPr>
              <w:t>/</w:t>
            </w:r>
          </w:p>
        </w:tc>
        <w:tc>
          <w:tcPr>
            <w:tcW w:w="1613" w:type="dxa"/>
            <w:vAlign w:val="center"/>
          </w:tcPr>
          <w:p w14:paraId="6FD9E5CF">
            <w:pPr>
              <w:keepNext w:val="0"/>
              <w:keepLines w:val="0"/>
              <w:widowControl/>
              <w:suppressLineNumbers w:val="0"/>
              <w:jc w:val="center"/>
              <w:textAlignment w:val="center"/>
              <w:rPr>
                <w:rFonts w:hint="default" w:ascii="Times New Roman" w:hAnsi="Times New Roman" w:cs="Times New Roman"/>
                <w:color w:val="auto"/>
                <w:kern w:val="0"/>
                <w:sz w:val="21"/>
                <w:szCs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0.0005</w:t>
            </w:r>
          </w:p>
        </w:tc>
        <w:tc>
          <w:tcPr>
            <w:tcW w:w="1331" w:type="dxa"/>
            <w:vAlign w:val="center"/>
          </w:tcPr>
          <w:p w14:paraId="09654EC4">
            <w:pPr>
              <w:keepNext w:val="0"/>
              <w:keepLines w:val="0"/>
              <w:pageBreakBefore w:val="0"/>
              <w:widowControl w:val="0"/>
              <w:wordWrap/>
              <w:topLinePunct w:val="0"/>
              <w:autoSpaceDE/>
              <w:autoSpaceDN/>
              <w:bidi w:val="0"/>
              <w:adjustRightInd w:val="0"/>
              <w:snapToGrid w:val="0"/>
              <w:jc w:val="center"/>
              <w:rPr>
                <w:rFonts w:hint="eastAsia"/>
                <w:color w:val="auto"/>
                <w:kern w:val="0"/>
                <w:szCs w:val="21"/>
                <w:lang w:val="en-US" w:eastAsia="zh-CN"/>
              </w:rPr>
            </w:pPr>
            <w:r>
              <w:rPr>
                <w:snapToGrid w:val="0"/>
                <w:color w:val="auto"/>
                <w:kern w:val="21"/>
                <w:szCs w:val="21"/>
              </w:rPr>
              <w:t>/</w:t>
            </w:r>
          </w:p>
        </w:tc>
        <w:tc>
          <w:tcPr>
            <w:tcW w:w="1718" w:type="dxa"/>
            <w:vAlign w:val="center"/>
          </w:tcPr>
          <w:p w14:paraId="2F761550">
            <w:pPr>
              <w:keepNext w:val="0"/>
              <w:keepLines w:val="0"/>
              <w:widowControl/>
              <w:suppressLineNumbers w:val="0"/>
              <w:jc w:val="center"/>
              <w:textAlignment w:val="center"/>
              <w:rPr>
                <w:rFonts w:hint="default" w:ascii="Times New Roman" w:hAnsi="Times New Roman" w:cs="Times New Roman"/>
                <w:color w:val="auto"/>
                <w:kern w:val="0"/>
                <w:sz w:val="21"/>
                <w:szCs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0.0005</w:t>
            </w:r>
          </w:p>
        </w:tc>
        <w:tc>
          <w:tcPr>
            <w:tcW w:w="1049" w:type="dxa"/>
            <w:vAlign w:val="center"/>
          </w:tcPr>
          <w:p w14:paraId="76F6281D">
            <w:pPr>
              <w:keepNext w:val="0"/>
              <w:keepLines w:val="0"/>
              <w:widowControl/>
              <w:suppressLineNumbers w:val="0"/>
              <w:jc w:val="center"/>
              <w:textAlignment w:val="center"/>
              <w:rPr>
                <w:rFonts w:hint="eastAsia"/>
                <w:color w:val="auto"/>
                <w:kern w:val="0"/>
                <w:szCs w:val="21"/>
                <w:lang w:val="en-US" w:eastAsia="zh-CN"/>
              </w:rPr>
            </w:pPr>
            <w:r>
              <w:rPr>
                <w:rFonts w:hint="eastAsia"/>
                <w:snapToGrid w:val="0"/>
                <w:color w:val="auto"/>
                <w:kern w:val="21"/>
                <w:szCs w:val="21"/>
                <w:lang w:val="en-US" w:eastAsia="zh-CN"/>
              </w:rPr>
              <w:t>/</w:t>
            </w:r>
          </w:p>
        </w:tc>
      </w:tr>
      <w:tr w14:paraId="225A62E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10" w:type="dxa"/>
            <w:vMerge w:val="continue"/>
            <w:vAlign w:val="center"/>
          </w:tcPr>
          <w:p w14:paraId="7469BDB6">
            <w:pPr>
              <w:keepNext w:val="0"/>
              <w:keepLines w:val="0"/>
              <w:pageBreakBefore w:val="0"/>
              <w:widowControl w:val="0"/>
              <w:wordWrap/>
              <w:topLinePunct w:val="0"/>
              <w:autoSpaceDE/>
              <w:autoSpaceDN/>
              <w:bidi w:val="0"/>
              <w:adjustRightInd w:val="0"/>
              <w:snapToGrid w:val="0"/>
              <w:jc w:val="center"/>
              <w:rPr>
                <w:rFonts w:hint="eastAsia"/>
                <w:color w:val="auto"/>
                <w:kern w:val="0"/>
                <w:szCs w:val="21"/>
                <w:lang w:val="en-US" w:eastAsia="zh-CN"/>
              </w:rPr>
            </w:pPr>
          </w:p>
        </w:tc>
        <w:tc>
          <w:tcPr>
            <w:tcW w:w="3029" w:type="dxa"/>
            <w:vAlign w:val="center"/>
          </w:tcPr>
          <w:p w14:paraId="419E9A0E">
            <w:pPr>
              <w:keepNext w:val="0"/>
              <w:keepLines w:val="0"/>
              <w:pageBreakBefore w:val="0"/>
              <w:widowControl w:val="0"/>
              <w:wordWrap/>
              <w:topLinePunct w:val="0"/>
              <w:autoSpaceDE/>
              <w:autoSpaceDN/>
              <w:bidi w:val="0"/>
              <w:adjustRightInd w:val="0"/>
              <w:snapToGrid w:val="0"/>
              <w:jc w:val="center"/>
              <w:rPr>
                <w:rFonts w:hint="eastAsia"/>
                <w:color w:val="auto"/>
                <w:kern w:val="0"/>
                <w:szCs w:val="21"/>
                <w:lang w:val="en-US" w:eastAsia="zh-CN"/>
              </w:rPr>
            </w:pPr>
            <w:r>
              <w:rPr>
                <w:rFonts w:hint="eastAsia"/>
                <w:color w:val="auto"/>
                <w:kern w:val="0"/>
                <w:szCs w:val="21"/>
                <w:lang w:val="en-US" w:eastAsia="zh-CN"/>
              </w:rPr>
              <w:t>TN（t/a）</w:t>
            </w:r>
          </w:p>
        </w:tc>
        <w:tc>
          <w:tcPr>
            <w:tcW w:w="1332" w:type="dxa"/>
            <w:vAlign w:val="center"/>
          </w:tcPr>
          <w:p w14:paraId="4463B2B4">
            <w:pPr>
              <w:keepNext w:val="0"/>
              <w:keepLines w:val="0"/>
              <w:widowControl/>
              <w:suppressLineNumbers w:val="0"/>
              <w:jc w:val="center"/>
              <w:textAlignment w:val="center"/>
              <w:rPr>
                <w:rFonts w:hint="default" w:ascii="Times New Roman" w:hAnsi="Times New Roman" w:cs="Times New Roman"/>
                <w:color w:val="auto"/>
                <w:kern w:val="0"/>
                <w:sz w:val="21"/>
                <w:szCs w:val="21"/>
                <w:lang w:val="en-US" w:eastAsia="zh-CN"/>
              </w:rPr>
            </w:pPr>
            <w:r>
              <w:rPr>
                <w:rFonts w:hint="eastAsia"/>
                <w:snapToGrid w:val="0"/>
                <w:color w:val="auto"/>
                <w:kern w:val="21"/>
                <w:szCs w:val="21"/>
                <w:lang w:val="en-US" w:eastAsia="zh-CN"/>
              </w:rPr>
              <w:t>/</w:t>
            </w:r>
          </w:p>
        </w:tc>
        <w:tc>
          <w:tcPr>
            <w:tcW w:w="1144" w:type="dxa"/>
            <w:vAlign w:val="center"/>
          </w:tcPr>
          <w:p w14:paraId="32A31CC5">
            <w:pPr>
              <w:keepNext w:val="0"/>
              <w:keepLines w:val="0"/>
              <w:pageBreakBefore w:val="0"/>
              <w:widowControl w:val="0"/>
              <w:wordWrap/>
              <w:topLinePunct w:val="0"/>
              <w:autoSpaceDE/>
              <w:autoSpaceDN/>
              <w:bidi w:val="0"/>
              <w:adjustRightInd w:val="0"/>
              <w:snapToGrid w:val="0"/>
              <w:jc w:val="center"/>
              <w:rPr>
                <w:rFonts w:hint="eastAsia"/>
                <w:color w:val="auto"/>
                <w:kern w:val="0"/>
                <w:szCs w:val="21"/>
                <w:lang w:val="en-US" w:eastAsia="zh-CN"/>
              </w:rPr>
            </w:pPr>
            <w:r>
              <w:rPr>
                <w:snapToGrid w:val="0"/>
                <w:color w:val="auto"/>
                <w:kern w:val="21"/>
                <w:szCs w:val="21"/>
              </w:rPr>
              <w:t>/</w:t>
            </w:r>
          </w:p>
        </w:tc>
        <w:tc>
          <w:tcPr>
            <w:tcW w:w="1462" w:type="dxa"/>
            <w:vAlign w:val="center"/>
          </w:tcPr>
          <w:p w14:paraId="2ED4B427">
            <w:pPr>
              <w:keepNext w:val="0"/>
              <w:keepLines w:val="0"/>
              <w:pageBreakBefore w:val="0"/>
              <w:widowControl w:val="0"/>
              <w:wordWrap/>
              <w:topLinePunct w:val="0"/>
              <w:autoSpaceDE/>
              <w:autoSpaceDN/>
              <w:bidi w:val="0"/>
              <w:adjustRightInd w:val="0"/>
              <w:snapToGrid w:val="0"/>
              <w:jc w:val="center"/>
              <w:rPr>
                <w:rFonts w:hint="eastAsia"/>
                <w:color w:val="auto"/>
                <w:kern w:val="0"/>
                <w:szCs w:val="21"/>
                <w:lang w:val="en-US" w:eastAsia="zh-CN"/>
              </w:rPr>
            </w:pPr>
            <w:r>
              <w:rPr>
                <w:snapToGrid w:val="0"/>
                <w:color w:val="auto"/>
                <w:kern w:val="21"/>
                <w:szCs w:val="21"/>
              </w:rPr>
              <w:t>/</w:t>
            </w:r>
          </w:p>
        </w:tc>
        <w:tc>
          <w:tcPr>
            <w:tcW w:w="1613" w:type="dxa"/>
            <w:vAlign w:val="center"/>
          </w:tcPr>
          <w:p w14:paraId="06F53AD8">
            <w:pPr>
              <w:keepNext w:val="0"/>
              <w:keepLines w:val="0"/>
              <w:widowControl/>
              <w:suppressLineNumbers w:val="0"/>
              <w:jc w:val="center"/>
              <w:textAlignment w:val="center"/>
              <w:rPr>
                <w:rFonts w:hint="default" w:ascii="Times New Roman" w:hAnsi="Times New Roman" w:cs="Times New Roman"/>
                <w:color w:val="auto"/>
                <w:kern w:val="0"/>
                <w:sz w:val="21"/>
                <w:szCs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0.0059</w:t>
            </w:r>
          </w:p>
        </w:tc>
        <w:tc>
          <w:tcPr>
            <w:tcW w:w="1331" w:type="dxa"/>
            <w:vAlign w:val="center"/>
          </w:tcPr>
          <w:p w14:paraId="3796F684">
            <w:pPr>
              <w:keepNext w:val="0"/>
              <w:keepLines w:val="0"/>
              <w:pageBreakBefore w:val="0"/>
              <w:widowControl w:val="0"/>
              <w:wordWrap/>
              <w:topLinePunct w:val="0"/>
              <w:autoSpaceDE/>
              <w:autoSpaceDN/>
              <w:bidi w:val="0"/>
              <w:adjustRightInd w:val="0"/>
              <w:snapToGrid w:val="0"/>
              <w:jc w:val="center"/>
              <w:rPr>
                <w:rFonts w:hint="eastAsia"/>
                <w:color w:val="auto"/>
                <w:kern w:val="0"/>
                <w:szCs w:val="21"/>
                <w:lang w:val="en-US" w:eastAsia="zh-CN"/>
              </w:rPr>
            </w:pPr>
            <w:r>
              <w:rPr>
                <w:snapToGrid w:val="0"/>
                <w:color w:val="auto"/>
                <w:kern w:val="21"/>
                <w:szCs w:val="21"/>
              </w:rPr>
              <w:t>/</w:t>
            </w:r>
          </w:p>
        </w:tc>
        <w:tc>
          <w:tcPr>
            <w:tcW w:w="1718" w:type="dxa"/>
            <w:vAlign w:val="center"/>
          </w:tcPr>
          <w:p w14:paraId="39D0E35A">
            <w:pPr>
              <w:keepNext w:val="0"/>
              <w:keepLines w:val="0"/>
              <w:widowControl/>
              <w:suppressLineNumbers w:val="0"/>
              <w:jc w:val="center"/>
              <w:textAlignment w:val="center"/>
              <w:rPr>
                <w:rFonts w:hint="default" w:ascii="Times New Roman" w:hAnsi="Times New Roman" w:cs="Times New Roman"/>
                <w:color w:val="auto"/>
                <w:kern w:val="0"/>
                <w:sz w:val="21"/>
                <w:szCs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0.0059</w:t>
            </w:r>
          </w:p>
        </w:tc>
        <w:tc>
          <w:tcPr>
            <w:tcW w:w="1049" w:type="dxa"/>
            <w:vAlign w:val="center"/>
          </w:tcPr>
          <w:p w14:paraId="6377D96A">
            <w:pPr>
              <w:keepNext w:val="0"/>
              <w:keepLines w:val="0"/>
              <w:widowControl/>
              <w:suppressLineNumbers w:val="0"/>
              <w:jc w:val="center"/>
              <w:textAlignment w:val="center"/>
              <w:rPr>
                <w:rFonts w:hint="eastAsia"/>
                <w:color w:val="auto"/>
                <w:kern w:val="0"/>
                <w:szCs w:val="21"/>
                <w:lang w:val="en-US" w:eastAsia="zh-CN"/>
              </w:rPr>
            </w:pPr>
            <w:r>
              <w:rPr>
                <w:rFonts w:hint="eastAsia"/>
                <w:snapToGrid w:val="0"/>
                <w:color w:val="auto"/>
                <w:kern w:val="21"/>
                <w:szCs w:val="21"/>
                <w:lang w:val="en-US" w:eastAsia="zh-CN"/>
              </w:rPr>
              <w:t>/</w:t>
            </w:r>
          </w:p>
        </w:tc>
      </w:tr>
      <w:tr w14:paraId="71AC024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10" w:type="dxa"/>
            <w:vMerge w:val="restart"/>
            <w:vAlign w:val="center"/>
          </w:tcPr>
          <w:p w14:paraId="553F89C5">
            <w:pPr>
              <w:keepNext w:val="0"/>
              <w:keepLines w:val="0"/>
              <w:pageBreakBefore w:val="0"/>
              <w:widowControl w:val="0"/>
              <w:wordWrap/>
              <w:topLinePunct w:val="0"/>
              <w:autoSpaceDE/>
              <w:autoSpaceDN/>
              <w:bidi w:val="0"/>
              <w:adjustRightInd w:val="0"/>
              <w:snapToGrid w:val="0"/>
              <w:jc w:val="center"/>
              <w:rPr>
                <w:snapToGrid w:val="0"/>
                <w:color w:val="auto"/>
                <w:kern w:val="21"/>
                <w:szCs w:val="21"/>
              </w:rPr>
            </w:pPr>
            <w:r>
              <w:rPr>
                <w:snapToGrid w:val="0"/>
                <w:color w:val="auto"/>
                <w:kern w:val="21"/>
                <w:szCs w:val="21"/>
              </w:rPr>
              <w:t>一般工业固体废物</w:t>
            </w:r>
          </w:p>
        </w:tc>
        <w:tc>
          <w:tcPr>
            <w:tcW w:w="3029" w:type="dxa"/>
            <w:vAlign w:val="center"/>
          </w:tcPr>
          <w:p w14:paraId="0E0F3CD1">
            <w:pPr>
              <w:pStyle w:val="23"/>
              <w:keepNext w:val="0"/>
              <w:keepLines w:val="0"/>
              <w:pageBreakBefore w:val="0"/>
              <w:widowControl w:val="0"/>
              <w:kinsoku w:val="0"/>
              <w:wordWrap/>
              <w:overflowPunct w:val="0"/>
              <w:topLinePunct w:val="0"/>
              <w:autoSpaceDE/>
              <w:autoSpaceDN/>
              <w:bidi w:val="0"/>
              <w:adjustRightInd w:val="0"/>
              <w:snapToGrid w:val="0"/>
              <w:spacing w:line="240" w:lineRule="auto"/>
              <w:contextualSpacing/>
              <w:jc w:val="center"/>
              <w:rPr>
                <w:rFonts w:hint="default" w:ascii="Times New Roman" w:hAnsi="Times New Roman" w:cs="Times New Roman"/>
                <w:color w:val="auto"/>
                <w:kern w:val="0"/>
                <w:szCs w:val="21"/>
              </w:rPr>
            </w:pPr>
            <w:r>
              <w:rPr>
                <w:rFonts w:hint="default" w:ascii="Times New Roman" w:hAnsi="Times New Roman" w:cs="Times New Roman"/>
                <w:color w:val="auto"/>
                <w:spacing w:val="-1"/>
                <w:szCs w:val="21"/>
              </w:rPr>
              <w:t>废</w:t>
            </w:r>
            <w:r>
              <w:rPr>
                <w:rFonts w:hint="eastAsia" w:ascii="Times New Roman" w:hAnsi="Times New Roman" w:cs="Times New Roman"/>
                <w:color w:val="auto"/>
                <w:spacing w:val="-1"/>
                <w:szCs w:val="21"/>
                <w:lang w:val="en-US" w:eastAsia="zh-CN"/>
              </w:rPr>
              <w:t>砂轮</w:t>
            </w:r>
            <w:r>
              <w:rPr>
                <w:rFonts w:hint="default" w:ascii="Times New Roman" w:hAnsi="Times New Roman" w:cs="Times New Roman"/>
                <w:color w:val="auto"/>
                <w:kern w:val="0"/>
                <w:szCs w:val="21"/>
                <w:lang w:val="en-US" w:eastAsia="zh-CN"/>
              </w:rPr>
              <w:t>（t/a）</w:t>
            </w:r>
          </w:p>
        </w:tc>
        <w:tc>
          <w:tcPr>
            <w:tcW w:w="1332" w:type="dxa"/>
            <w:vAlign w:val="center"/>
          </w:tcPr>
          <w:p w14:paraId="7A215F24">
            <w:pPr>
              <w:keepNext w:val="0"/>
              <w:keepLines w:val="0"/>
              <w:pageBreakBefore w:val="0"/>
              <w:widowControl w:val="0"/>
              <w:kinsoku w:val="0"/>
              <w:wordWrap/>
              <w:overflowPunct w:val="0"/>
              <w:topLinePunct w:val="0"/>
              <w:autoSpaceDE/>
              <w:autoSpaceDN/>
              <w:bidi w:val="0"/>
              <w:adjustRightInd w:val="0"/>
              <w:snapToGrid w:val="0"/>
              <w:spacing w:line="240" w:lineRule="auto"/>
              <w:contextualSpacing/>
              <w:jc w:val="center"/>
              <w:rPr>
                <w:rFonts w:hint="default" w:eastAsia="宋体"/>
                <w:snapToGrid w:val="0"/>
                <w:color w:val="auto"/>
                <w:kern w:val="21"/>
                <w:szCs w:val="21"/>
                <w:lang w:val="en-US" w:eastAsia="zh-CN"/>
              </w:rPr>
            </w:pPr>
            <w:r>
              <w:rPr>
                <w:rFonts w:hint="eastAsia"/>
                <w:snapToGrid w:val="0"/>
                <w:color w:val="auto"/>
                <w:kern w:val="21"/>
                <w:szCs w:val="21"/>
                <w:lang w:val="en-US" w:eastAsia="zh-CN"/>
              </w:rPr>
              <w:t>/</w:t>
            </w:r>
          </w:p>
        </w:tc>
        <w:tc>
          <w:tcPr>
            <w:tcW w:w="1144" w:type="dxa"/>
            <w:vAlign w:val="center"/>
          </w:tcPr>
          <w:p w14:paraId="1A9C1402">
            <w:pPr>
              <w:keepNext w:val="0"/>
              <w:keepLines w:val="0"/>
              <w:pageBreakBefore w:val="0"/>
              <w:widowControl w:val="0"/>
              <w:wordWrap/>
              <w:topLinePunct w:val="0"/>
              <w:autoSpaceDE/>
              <w:autoSpaceDN/>
              <w:bidi w:val="0"/>
              <w:adjustRightInd w:val="0"/>
              <w:snapToGrid w:val="0"/>
              <w:jc w:val="center"/>
              <w:rPr>
                <w:snapToGrid w:val="0"/>
                <w:color w:val="auto"/>
                <w:kern w:val="21"/>
                <w:szCs w:val="21"/>
              </w:rPr>
            </w:pPr>
            <w:r>
              <w:rPr>
                <w:snapToGrid w:val="0"/>
                <w:color w:val="auto"/>
                <w:kern w:val="21"/>
                <w:szCs w:val="21"/>
              </w:rPr>
              <w:t>/</w:t>
            </w:r>
          </w:p>
        </w:tc>
        <w:tc>
          <w:tcPr>
            <w:tcW w:w="1462" w:type="dxa"/>
            <w:vAlign w:val="center"/>
          </w:tcPr>
          <w:p w14:paraId="01D59E6B">
            <w:pPr>
              <w:keepNext w:val="0"/>
              <w:keepLines w:val="0"/>
              <w:pageBreakBefore w:val="0"/>
              <w:widowControl w:val="0"/>
              <w:wordWrap/>
              <w:topLinePunct w:val="0"/>
              <w:autoSpaceDE/>
              <w:autoSpaceDN/>
              <w:bidi w:val="0"/>
              <w:adjustRightInd w:val="0"/>
              <w:snapToGrid w:val="0"/>
              <w:jc w:val="center"/>
              <w:rPr>
                <w:snapToGrid w:val="0"/>
                <w:color w:val="auto"/>
                <w:kern w:val="21"/>
                <w:szCs w:val="21"/>
              </w:rPr>
            </w:pPr>
            <w:r>
              <w:rPr>
                <w:snapToGrid w:val="0"/>
                <w:color w:val="auto"/>
                <w:kern w:val="21"/>
                <w:szCs w:val="21"/>
              </w:rPr>
              <w:t>/</w:t>
            </w:r>
          </w:p>
        </w:tc>
        <w:tc>
          <w:tcPr>
            <w:tcW w:w="1613" w:type="dxa"/>
            <w:vAlign w:val="center"/>
          </w:tcPr>
          <w:p w14:paraId="3E4C5C61">
            <w:pPr>
              <w:keepNext w:val="0"/>
              <w:keepLines w:val="0"/>
              <w:widowControl/>
              <w:suppressLineNumbers w:val="0"/>
              <w:jc w:val="center"/>
              <w:textAlignment w:val="center"/>
              <w:rPr>
                <w:rFonts w:hint="default"/>
                <w:snapToGrid w:val="0"/>
                <w:color w:val="auto"/>
                <w:kern w:val="21"/>
                <w:szCs w:val="21"/>
                <w:lang w:val="en-US"/>
              </w:rPr>
            </w:pPr>
            <w:r>
              <w:rPr>
                <w:rFonts w:hint="default" w:ascii="Times New Roman" w:hAnsi="Times New Roman" w:eastAsia="宋体" w:cs="Times New Roman"/>
                <w:i w:val="0"/>
                <w:iCs w:val="0"/>
                <w:color w:val="000000"/>
                <w:kern w:val="0"/>
                <w:sz w:val="21"/>
                <w:szCs w:val="21"/>
                <w:u w:val="none"/>
                <w:lang w:val="en-US" w:eastAsia="zh-CN" w:bidi="ar"/>
              </w:rPr>
              <w:t>1.5</w:t>
            </w:r>
          </w:p>
        </w:tc>
        <w:tc>
          <w:tcPr>
            <w:tcW w:w="1331" w:type="dxa"/>
            <w:vAlign w:val="center"/>
          </w:tcPr>
          <w:p w14:paraId="20293205">
            <w:pPr>
              <w:keepNext w:val="0"/>
              <w:keepLines w:val="0"/>
              <w:pageBreakBefore w:val="0"/>
              <w:widowControl w:val="0"/>
              <w:wordWrap/>
              <w:topLinePunct w:val="0"/>
              <w:autoSpaceDE/>
              <w:autoSpaceDN/>
              <w:bidi w:val="0"/>
              <w:adjustRightInd w:val="0"/>
              <w:snapToGrid w:val="0"/>
              <w:jc w:val="center"/>
              <w:rPr>
                <w:snapToGrid w:val="0"/>
                <w:color w:val="auto"/>
                <w:kern w:val="21"/>
                <w:szCs w:val="21"/>
              </w:rPr>
            </w:pPr>
            <w:r>
              <w:rPr>
                <w:snapToGrid w:val="0"/>
                <w:color w:val="auto"/>
                <w:kern w:val="21"/>
                <w:szCs w:val="21"/>
              </w:rPr>
              <w:t>/</w:t>
            </w:r>
          </w:p>
        </w:tc>
        <w:tc>
          <w:tcPr>
            <w:tcW w:w="1718" w:type="dxa"/>
            <w:vAlign w:val="center"/>
          </w:tcPr>
          <w:p w14:paraId="0F7EC28A">
            <w:pPr>
              <w:keepNext w:val="0"/>
              <w:keepLines w:val="0"/>
              <w:widowControl/>
              <w:suppressLineNumbers w:val="0"/>
              <w:jc w:val="center"/>
              <w:textAlignment w:val="center"/>
              <w:rPr>
                <w:rFonts w:hint="default" w:eastAsia="宋体"/>
                <w:snapToGrid w:val="0"/>
                <w:color w:val="auto"/>
                <w:kern w:val="21"/>
                <w:szCs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1.5</w:t>
            </w:r>
          </w:p>
        </w:tc>
        <w:tc>
          <w:tcPr>
            <w:tcW w:w="1049" w:type="dxa"/>
            <w:vAlign w:val="center"/>
          </w:tcPr>
          <w:p w14:paraId="22A7E06C">
            <w:pPr>
              <w:keepNext w:val="0"/>
              <w:keepLines w:val="0"/>
              <w:pageBreakBefore w:val="0"/>
              <w:widowControl w:val="0"/>
              <w:wordWrap/>
              <w:topLinePunct w:val="0"/>
              <w:autoSpaceDE/>
              <w:autoSpaceDN/>
              <w:bidi w:val="0"/>
              <w:adjustRightInd w:val="0"/>
              <w:snapToGrid w:val="0"/>
              <w:jc w:val="center"/>
              <w:rPr>
                <w:snapToGrid w:val="0"/>
                <w:color w:val="auto"/>
                <w:kern w:val="21"/>
                <w:szCs w:val="21"/>
              </w:rPr>
            </w:pPr>
            <w:r>
              <w:rPr>
                <w:rFonts w:hint="eastAsia"/>
                <w:snapToGrid w:val="0"/>
                <w:color w:val="auto"/>
                <w:kern w:val="21"/>
                <w:szCs w:val="21"/>
                <w:lang w:val="en-US" w:eastAsia="zh-CN"/>
              </w:rPr>
              <w:t>/</w:t>
            </w:r>
          </w:p>
        </w:tc>
      </w:tr>
      <w:tr w14:paraId="6E7F759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10" w:type="dxa"/>
            <w:vMerge w:val="continue"/>
            <w:vAlign w:val="center"/>
          </w:tcPr>
          <w:p w14:paraId="5904F3B8">
            <w:pPr>
              <w:keepNext w:val="0"/>
              <w:keepLines w:val="0"/>
              <w:pageBreakBefore w:val="0"/>
              <w:widowControl w:val="0"/>
              <w:wordWrap/>
              <w:topLinePunct w:val="0"/>
              <w:autoSpaceDE/>
              <w:autoSpaceDN/>
              <w:bidi w:val="0"/>
              <w:adjustRightInd w:val="0"/>
              <w:snapToGrid w:val="0"/>
              <w:jc w:val="center"/>
              <w:rPr>
                <w:snapToGrid w:val="0"/>
                <w:color w:val="auto"/>
                <w:kern w:val="21"/>
                <w:szCs w:val="21"/>
              </w:rPr>
            </w:pPr>
          </w:p>
        </w:tc>
        <w:tc>
          <w:tcPr>
            <w:tcW w:w="3029" w:type="dxa"/>
            <w:vAlign w:val="center"/>
          </w:tcPr>
          <w:p w14:paraId="71E16326">
            <w:pPr>
              <w:pStyle w:val="23"/>
              <w:keepNext w:val="0"/>
              <w:keepLines w:val="0"/>
              <w:pageBreakBefore w:val="0"/>
              <w:widowControl w:val="0"/>
              <w:kinsoku w:val="0"/>
              <w:wordWrap/>
              <w:overflowPunct w:val="0"/>
              <w:topLinePunct w:val="0"/>
              <w:autoSpaceDE/>
              <w:autoSpaceDN/>
              <w:bidi w:val="0"/>
              <w:adjustRightInd w:val="0"/>
              <w:snapToGrid w:val="0"/>
              <w:spacing w:line="240" w:lineRule="auto"/>
              <w:contextualSpacing/>
              <w:jc w:val="center"/>
              <w:rPr>
                <w:rFonts w:hint="default" w:ascii="Times New Roman" w:hAnsi="Times New Roman" w:cs="Times New Roman"/>
                <w:color w:val="auto"/>
                <w:spacing w:val="-1"/>
                <w:szCs w:val="21"/>
              </w:rPr>
            </w:pPr>
            <w:r>
              <w:rPr>
                <w:rFonts w:hint="eastAsia" w:ascii="Times New Roman" w:hAnsi="Times New Roman" w:cs="Times New Roman"/>
                <w:color w:val="auto"/>
                <w:spacing w:val="-1"/>
                <w:szCs w:val="21"/>
                <w:lang w:val="en-US" w:eastAsia="zh-CN"/>
              </w:rPr>
              <w:t>废陶瓷壳</w:t>
            </w:r>
            <w:r>
              <w:rPr>
                <w:rFonts w:hint="default" w:ascii="Times New Roman" w:hAnsi="Times New Roman" w:cs="Times New Roman"/>
                <w:color w:val="auto"/>
                <w:kern w:val="0"/>
                <w:szCs w:val="21"/>
                <w:lang w:val="en-US" w:eastAsia="zh-CN"/>
              </w:rPr>
              <w:t>（t/a）</w:t>
            </w:r>
          </w:p>
        </w:tc>
        <w:tc>
          <w:tcPr>
            <w:tcW w:w="1332" w:type="dxa"/>
            <w:vAlign w:val="center"/>
          </w:tcPr>
          <w:p w14:paraId="68DB2DB2">
            <w:pPr>
              <w:keepNext w:val="0"/>
              <w:keepLines w:val="0"/>
              <w:pageBreakBefore w:val="0"/>
              <w:widowControl w:val="0"/>
              <w:kinsoku w:val="0"/>
              <w:wordWrap/>
              <w:overflowPunct w:val="0"/>
              <w:topLinePunct w:val="0"/>
              <w:autoSpaceDE/>
              <w:autoSpaceDN/>
              <w:bidi w:val="0"/>
              <w:adjustRightInd w:val="0"/>
              <w:snapToGrid w:val="0"/>
              <w:spacing w:line="240" w:lineRule="auto"/>
              <w:contextualSpacing/>
              <w:jc w:val="center"/>
              <w:rPr>
                <w:rFonts w:hint="default" w:ascii="Times New Roman" w:hAnsi="Times New Roman" w:cs="Times New Roman"/>
                <w:color w:val="auto"/>
                <w:spacing w:val="-1"/>
                <w:szCs w:val="21"/>
                <w:lang w:val="en-US" w:eastAsia="zh-CN"/>
              </w:rPr>
            </w:pPr>
            <w:r>
              <w:rPr>
                <w:rFonts w:hint="eastAsia"/>
                <w:snapToGrid w:val="0"/>
                <w:color w:val="auto"/>
                <w:kern w:val="21"/>
                <w:szCs w:val="21"/>
                <w:lang w:val="en-US" w:eastAsia="zh-CN"/>
              </w:rPr>
              <w:t>/</w:t>
            </w:r>
          </w:p>
        </w:tc>
        <w:tc>
          <w:tcPr>
            <w:tcW w:w="1144" w:type="dxa"/>
            <w:vAlign w:val="center"/>
          </w:tcPr>
          <w:p w14:paraId="47DE9A1F">
            <w:pPr>
              <w:keepNext w:val="0"/>
              <w:keepLines w:val="0"/>
              <w:pageBreakBefore w:val="0"/>
              <w:widowControl w:val="0"/>
              <w:wordWrap/>
              <w:topLinePunct w:val="0"/>
              <w:autoSpaceDE/>
              <w:autoSpaceDN/>
              <w:bidi w:val="0"/>
              <w:adjustRightInd w:val="0"/>
              <w:snapToGrid w:val="0"/>
              <w:jc w:val="center"/>
              <w:rPr>
                <w:rFonts w:hint="eastAsia" w:eastAsia="宋体"/>
                <w:snapToGrid w:val="0"/>
                <w:color w:val="auto"/>
                <w:kern w:val="21"/>
                <w:szCs w:val="21"/>
                <w:lang w:val="en-US" w:eastAsia="zh-CN"/>
              </w:rPr>
            </w:pPr>
            <w:r>
              <w:rPr>
                <w:rFonts w:hint="eastAsia"/>
                <w:snapToGrid w:val="0"/>
                <w:color w:val="auto"/>
                <w:kern w:val="21"/>
                <w:szCs w:val="21"/>
                <w:lang w:val="en-US" w:eastAsia="zh-CN"/>
              </w:rPr>
              <w:t>/</w:t>
            </w:r>
          </w:p>
        </w:tc>
        <w:tc>
          <w:tcPr>
            <w:tcW w:w="1462" w:type="dxa"/>
            <w:vAlign w:val="center"/>
          </w:tcPr>
          <w:p w14:paraId="6B672459">
            <w:pPr>
              <w:keepNext w:val="0"/>
              <w:keepLines w:val="0"/>
              <w:pageBreakBefore w:val="0"/>
              <w:widowControl w:val="0"/>
              <w:wordWrap/>
              <w:topLinePunct w:val="0"/>
              <w:autoSpaceDE/>
              <w:autoSpaceDN/>
              <w:bidi w:val="0"/>
              <w:adjustRightInd w:val="0"/>
              <w:snapToGrid w:val="0"/>
              <w:jc w:val="center"/>
              <w:rPr>
                <w:rFonts w:hint="eastAsia" w:eastAsia="宋体"/>
                <w:snapToGrid w:val="0"/>
                <w:color w:val="auto"/>
                <w:kern w:val="21"/>
                <w:szCs w:val="21"/>
                <w:lang w:val="en-US" w:eastAsia="zh-CN"/>
              </w:rPr>
            </w:pPr>
            <w:r>
              <w:rPr>
                <w:rFonts w:hint="eastAsia"/>
                <w:snapToGrid w:val="0"/>
                <w:color w:val="auto"/>
                <w:kern w:val="21"/>
                <w:szCs w:val="21"/>
                <w:lang w:val="en-US" w:eastAsia="zh-CN"/>
              </w:rPr>
              <w:t>/</w:t>
            </w:r>
          </w:p>
        </w:tc>
        <w:tc>
          <w:tcPr>
            <w:tcW w:w="1613" w:type="dxa"/>
            <w:vAlign w:val="center"/>
          </w:tcPr>
          <w:p w14:paraId="6044BD65">
            <w:pPr>
              <w:keepNext w:val="0"/>
              <w:keepLines w:val="0"/>
              <w:widowControl/>
              <w:suppressLineNumbers w:val="0"/>
              <w:jc w:val="center"/>
              <w:textAlignment w:val="center"/>
              <w:rPr>
                <w:rFonts w:hint="default"/>
                <w:color w:val="auto"/>
                <w:kern w:val="0"/>
                <w:szCs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0.5</w:t>
            </w:r>
          </w:p>
        </w:tc>
        <w:tc>
          <w:tcPr>
            <w:tcW w:w="1331" w:type="dxa"/>
            <w:vAlign w:val="center"/>
          </w:tcPr>
          <w:p w14:paraId="29094301">
            <w:pPr>
              <w:keepNext w:val="0"/>
              <w:keepLines w:val="0"/>
              <w:pageBreakBefore w:val="0"/>
              <w:widowControl w:val="0"/>
              <w:wordWrap/>
              <w:topLinePunct w:val="0"/>
              <w:autoSpaceDE/>
              <w:autoSpaceDN/>
              <w:bidi w:val="0"/>
              <w:adjustRightInd w:val="0"/>
              <w:snapToGrid w:val="0"/>
              <w:jc w:val="center"/>
              <w:rPr>
                <w:rFonts w:hint="eastAsia" w:eastAsia="宋体"/>
                <w:snapToGrid w:val="0"/>
                <w:color w:val="auto"/>
                <w:kern w:val="21"/>
                <w:szCs w:val="21"/>
                <w:lang w:val="en-US" w:eastAsia="zh-CN"/>
              </w:rPr>
            </w:pPr>
            <w:r>
              <w:rPr>
                <w:rFonts w:hint="eastAsia"/>
                <w:snapToGrid w:val="0"/>
                <w:color w:val="auto"/>
                <w:kern w:val="21"/>
                <w:szCs w:val="21"/>
                <w:lang w:val="en-US" w:eastAsia="zh-CN"/>
              </w:rPr>
              <w:t>/</w:t>
            </w:r>
          </w:p>
        </w:tc>
        <w:tc>
          <w:tcPr>
            <w:tcW w:w="1718" w:type="dxa"/>
            <w:vAlign w:val="center"/>
          </w:tcPr>
          <w:p w14:paraId="3158B3C4">
            <w:pPr>
              <w:keepNext w:val="0"/>
              <w:keepLines w:val="0"/>
              <w:widowControl/>
              <w:suppressLineNumbers w:val="0"/>
              <w:jc w:val="center"/>
              <w:textAlignment w:val="center"/>
              <w:rPr>
                <w:rFonts w:hint="default"/>
                <w:snapToGrid w:val="0"/>
                <w:color w:val="auto"/>
                <w:kern w:val="21"/>
                <w:szCs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0.5</w:t>
            </w:r>
          </w:p>
        </w:tc>
        <w:tc>
          <w:tcPr>
            <w:tcW w:w="1049" w:type="dxa"/>
            <w:vAlign w:val="center"/>
          </w:tcPr>
          <w:p w14:paraId="638FEEE8">
            <w:pPr>
              <w:keepNext w:val="0"/>
              <w:keepLines w:val="0"/>
              <w:pageBreakBefore w:val="0"/>
              <w:widowControl w:val="0"/>
              <w:wordWrap/>
              <w:topLinePunct w:val="0"/>
              <w:autoSpaceDE/>
              <w:autoSpaceDN/>
              <w:bidi w:val="0"/>
              <w:adjustRightInd w:val="0"/>
              <w:snapToGrid w:val="0"/>
              <w:jc w:val="center"/>
              <w:rPr>
                <w:rFonts w:hint="default"/>
                <w:color w:val="auto"/>
                <w:kern w:val="0"/>
                <w:szCs w:val="21"/>
                <w:lang w:val="en-US" w:eastAsia="zh-CN"/>
              </w:rPr>
            </w:pPr>
            <w:r>
              <w:rPr>
                <w:rFonts w:hint="eastAsia"/>
                <w:snapToGrid w:val="0"/>
                <w:color w:val="auto"/>
                <w:kern w:val="21"/>
                <w:szCs w:val="21"/>
                <w:lang w:val="en-US" w:eastAsia="zh-CN"/>
              </w:rPr>
              <w:t>/</w:t>
            </w:r>
          </w:p>
        </w:tc>
      </w:tr>
      <w:tr w14:paraId="0A83CD1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10" w:type="dxa"/>
            <w:vMerge w:val="continue"/>
            <w:vAlign w:val="center"/>
          </w:tcPr>
          <w:p w14:paraId="34943AAF">
            <w:pPr>
              <w:keepNext w:val="0"/>
              <w:keepLines w:val="0"/>
              <w:pageBreakBefore w:val="0"/>
              <w:widowControl w:val="0"/>
              <w:wordWrap/>
              <w:topLinePunct w:val="0"/>
              <w:autoSpaceDE/>
              <w:autoSpaceDN/>
              <w:bidi w:val="0"/>
              <w:adjustRightInd w:val="0"/>
              <w:snapToGrid w:val="0"/>
              <w:jc w:val="center"/>
              <w:rPr>
                <w:snapToGrid w:val="0"/>
                <w:color w:val="auto"/>
                <w:kern w:val="21"/>
                <w:szCs w:val="21"/>
              </w:rPr>
            </w:pPr>
          </w:p>
        </w:tc>
        <w:tc>
          <w:tcPr>
            <w:tcW w:w="3029" w:type="dxa"/>
            <w:vAlign w:val="center"/>
          </w:tcPr>
          <w:p w14:paraId="1C23EDD7">
            <w:pPr>
              <w:pStyle w:val="23"/>
              <w:keepNext w:val="0"/>
              <w:keepLines w:val="0"/>
              <w:pageBreakBefore w:val="0"/>
              <w:widowControl w:val="0"/>
              <w:kinsoku w:val="0"/>
              <w:wordWrap/>
              <w:overflowPunct w:val="0"/>
              <w:topLinePunct w:val="0"/>
              <w:autoSpaceDE/>
              <w:autoSpaceDN/>
              <w:bidi w:val="0"/>
              <w:adjustRightInd w:val="0"/>
              <w:snapToGrid w:val="0"/>
              <w:spacing w:line="240" w:lineRule="auto"/>
              <w:contextualSpacing/>
              <w:jc w:val="center"/>
              <w:rPr>
                <w:rFonts w:hint="default" w:ascii="Times New Roman" w:hAnsi="Times New Roman" w:cs="Times New Roman"/>
                <w:color w:val="auto"/>
                <w:kern w:val="0"/>
                <w:szCs w:val="21"/>
              </w:rPr>
            </w:pPr>
            <w:r>
              <w:rPr>
                <w:rFonts w:hint="eastAsia" w:ascii="Times New Roman" w:hAnsi="Times New Roman" w:cs="Times New Roman"/>
                <w:color w:val="auto"/>
                <w:spacing w:val="-1"/>
                <w:szCs w:val="21"/>
                <w:lang w:val="en-US" w:eastAsia="zh-CN"/>
              </w:rPr>
              <w:t>除尘灰</w:t>
            </w:r>
            <w:r>
              <w:rPr>
                <w:rFonts w:hint="default" w:ascii="Times New Roman" w:hAnsi="Times New Roman" w:cs="Times New Roman"/>
                <w:color w:val="auto"/>
                <w:kern w:val="0"/>
                <w:szCs w:val="21"/>
                <w:lang w:val="en-US" w:eastAsia="zh-CN"/>
              </w:rPr>
              <w:t>（t/a）</w:t>
            </w:r>
          </w:p>
        </w:tc>
        <w:tc>
          <w:tcPr>
            <w:tcW w:w="1332" w:type="dxa"/>
            <w:vAlign w:val="center"/>
          </w:tcPr>
          <w:p w14:paraId="0E305073">
            <w:pPr>
              <w:keepNext w:val="0"/>
              <w:keepLines w:val="0"/>
              <w:pageBreakBefore w:val="0"/>
              <w:widowControl w:val="0"/>
              <w:kinsoku w:val="0"/>
              <w:wordWrap/>
              <w:overflowPunct w:val="0"/>
              <w:topLinePunct w:val="0"/>
              <w:autoSpaceDE/>
              <w:autoSpaceDN/>
              <w:bidi w:val="0"/>
              <w:adjustRightInd w:val="0"/>
              <w:snapToGrid w:val="0"/>
              <w:spacing w:line="240" w:lineRule="auto"/>
              <w:contextualSpacing/>
              <w:jc w:val="center"/>
              <w:rPr>
                <w:snapToGrid w:val="0"/>
                <w:color w:val="auto"/>
                <w:kern w:val="21"/>
                <w:szCs w:val="21"/>
              </w:rPr>
            </w:pPr>
            <w:r>
              <w:rPr>
                <w:rFonts w:hint="eastAsia"/>
                <w:snapToGrid w:val="0"/>
                <w:color w:val="auto"/>
                <w:kern w:val="21"/>
                <w:szCs w:val="21"/>
                <w:lang w:val="en-US" w:eastAsia="zh-CN"/>
              </w:rPr>
              <w:t>/</w:t>
            </w:r>
          </w:p>
        </w:tc>
        <w:tc>
          <w:tcPr>
            <w:tcW w:w="1144" w:type="dxa"/>
            <w:vAlign w:val="center"/>
          </w:tcPr>
          <w:p w14:paraId="4014DABB">
            <w:pPr>
              <w:keepNext w:val="0"/>
              <w:keepLines w:val="0"/>
              <w:pageBreakBefore w:val="0"/>
              <w:widowControl w:val="0"/>
              <w:wordWrap/>
              <w:topLinePunct w:val="0"/>
              <w:autoSpaceDE/>
              <w:autoSpaceDN/>
              <w:bidi w:val="0"/>
              <w:adjustRightInd w:val="0"/>
              <w:snapToGrid w:val="0"/>
              <w:jc w:val="center"/>
              <w:rPr>
                <w:snapToGrid w:val="0"/>
                <w:color w:val="auto"/>
                <w:kern w:val="21"/>
                <w:szCs w:val="21"/>
              </w:rPr>
            </w:pPr>
            <w:r>
              <w:rPr>
                <w:snapToGrid w:val="0"/>
                <w:color w:val="auto"/>
                <w:kern w:val="21"/>
                <w:szCs w:val="21"/>
              </w:rPr>
              <w:t>/</w:t>
            </w:r>
          </w:p>
        </w:tc>
        <w:tc>
          <w:tcPr>
            <w:tcW w:w="1462" w:type="dxa"/>
            <w:vAlign w:val="center"/>
          </w:tcPr>
          <w:p w14:paraId="7CB33E9C">
            <w:pPr>
              <w:keepNext w:val="0"/>
              <w:keepLines w:val="0"/>
              <w:pageBreakBefore w:val="0"/>
              <w:widowControl w:val="0"/>
              <w:wordWrap/>
              <w:topLinePunct w:val="0"/>
              <w:autoSpaceDE/>
              <w:autoSpaceDN/>
              <w:bidi w:val="0"/>
              <w:adjustRightInd w:val="0"/>
              <w:snapToGrid w:val="0"/>
              <w:jc w:val="center"/>
              <w:rPr>
                <w:snapToGrid w:val="0"/>
                <w:color w:val="auto"/>
                <w:kern w:val="21"/>
                <w:szCs w:val="21"/>
              </w:rPr>
            </w:pPr>
            <w:r>
              <w:rPr>
                <w:snapToGrid w:val="0"/>
                <w:color w:val="auto"/>
                <w:kern w:val="21"/>
                <w:szCs w:val="21"/>
              </w:rPr>
              <w:t>/</w:t>
            </w:r>
          </w:p>
        </w:tc>
        <w:tc>
          <w:tcPr>
            <w:tcW w:w="1613" w:type="dxa"/>
            <w:vAlign w:val="center"/>
          </w:tcPr>
          <w:p w14:paraId="7C591D80">
            <w:pPr>
              <w:keepNext w:val="0"/>
              <w:keepLines w:val="0"/>
              <w:widowControl/>
              <w:suppressLineNumbers w:val="0"/>
              <w:jc w:val="center"/>
              <w:textAlignment w:val="center"/>
              <w:rPr>
                <w:rFonts w:hint="default"/>
                <w:color w:val="auto"/>
                <w:kern w:val="0"/>
                <w:szCs w:val="21"/>
                <w:lang w:val="en-US" w:eastAsia="zh-CN"/>
              </w:rPr>
            </w:pPr>
            <w:r>
              <w:rPr>
                <w:rFonts w:hint="eastAsia" w:cs="Times New Roman"/>
                <w:i w:val="0"/>
                <w:iCs w:val="0"/>
                <w:color w:val="000000"/>
                <w:kern w:val="0"/>
                <w:sz w:val="21"/>
                <w:szCs w:val="21"/>
                <w:u w:val="none"/>
                <w:lang w:val="en-US" w:eastAsia="zh-CN" w:bidi="ar"/>
              </w:rPr>
              <w:t>0.0849</w:t>
            </w:r>
          </w:p>
        </w:tc>
        <w:tc>
          <w:tcPr>
            <w:tcW w:w="1331" w:type="dxa"/>
            <w:vAlign w:val="center"/>
          </w:tcPr>
          <w:p w14:paraId="11175163">
            <w:pPr>
              <w:keepNext w:val="0"/>
              <w:keepLines w:val="0"/>
              <w:pageBreakBefore w:val="0"/>
              <w:widowControl w:val="0"/>
              <w:wordWrap/>
              <w:topLinePunct w:val="0"/>
              <w:autoSpaceDE/>
              <w:autoSpaceDN/>
              <w:bidi w:val="0"/>
              <w:adjustRightInd w:val="0"/>
              <w:snapToGrid w:val="0"/>
              <w:jc w:val="center"/>
              <w:rPr>
                <w:snapToGrid w:val="0"/>
                <w:color w:val="auto"/>
                <w:kern w:val="21"/>
                <w:szCs w:val="21"/>
              </w:rPr>
            </w:pPr>
            <w:r>
              <w:rPr>
                <w:snapToGrid w:val="0"/>
                <w:color w:val="auto"/>
                <w:kern w:val="21"/>
                <w:szCs w:val="21"/>
              </w:rPr>
              <w:t>/</w:t>
            </w:r>
          </w:p>
        </w:tc>
        <w:tc>
          <w:tcPr>
            <w:tcW w:w="1718" w:type="dxa"/>
            <w:vAlign w:val="center"/>
          </w:tcPr>
          <w:p w14:paraId="20FFAA6C">
            <w:pPr>
              <w:keepNext w:val="0"/>
              <w:keepLines w:val="0"/>
              <w:widowControl/>
              <w:suppressLineNumbers w:val="0"/>
              <w:jc w:val="center"/>
              <w:textAlignment w:val="center"/>
              <w:rPr>
                <w:rFonts w:hint="default"/>
                <w:color w:val="auto"/>
                <w:kern w:val="0"/>
                <w:szCs w:val="21"/>
                <w:lang w:val="en-US" w:eastAsia="zh-CN"/>
              </w:rPr>
            </w:pPr>
            <w:r>
              <w:rPr>
                <w:rFonts w:hint="eastAsia" w:cs="Times New Roman"/>
                <w:i w:val="0"/>
                <w:iCs w:val="0"/>
                <w:color w:val="000000"/>
                <w:kern w:val="0"/>
                <w:sz w:val="21"/>
                <w:szCs w:val="21"/>
                <w:u w:val="none"/>
                <w:lang w:val="en-US" w:eastAsia="zh-CN" w:bidi="ar"/>
              </w:rPr>
              <w:t>0.0849</w:t>
            </w:r>
          </w:p>
        </w:tc>
        <w:tc>
          <w:tcPr>
            <w:tcW w:w="1049" w:type="dxa"/>
            <w:vAlign w:val="center"/>
          </w:tcPr>
          <w:p w14:paraId="128E19F4">
            <w:pPr>
              <w:keepNext w:val="0"/>
              <w:keepLines w:val="0"/>
              <w:pageBreakBefore w:val="0"/>
              <w:widowControl w:val="0"/>
              <w:wordWrap/>
              <w:topLinePunct w:val="0"/>
              <w:autoSpaceDE/>
              <w:autoSpaceDN/>
              <w:bidi w:val="0"/>
              <w:adjustRightInd w:val="0"/>
              <w:snapToGrid w:val="0"/>
              <w:jc w:val="center"/>
              <w:rPr>
                <w:snapToGrid w:val="0"/>
                <w:color w:val="auto"/>
                <w:kern w:val="21"/>
                <w:szCs w:val="21"/>
              </w:rPr>
            </w:pPr>
            <w:r>
              <w:rPr>
                <w:rFonts w:hint="eastAsia"/>
                <w:snapToGrid w:val="0"/>
                <w:color w:val="auto"/>
                <w:kern w:val="21"/>
                <w:szCs w:val="21"/>
                <w:lang w:val="en-US" w:eastAsia="zh-CN"/>
              </w:rPr>
              <w:t>/</w:t>
            </w:r>
          </w:p>
        </w:tc>
      </w:tr>
      <w:tr w14:paraId="0889658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10" w:type="dxa"/>
            <w:vMerge w:val="continue"/>
            <w:vAlign w:val="center"/>
          </w:tcPr>
          <w:p w14:paraId="249F63C3">
            <w:pPr>
              <w:keepNext w:val="0"/>
              <w:keepLines w:val="0"/>
              <w:pageBreakBefore w:val="0"/>
              <w:widowControl w:val="0"/>
              <w:wordWrap/>
              <w:topLinePunct w:val="0"/>
              <w:autoSpaceDE/>
              <w:autoSpaceDN/>
              <w:bidi w:val="0"/>
              <w:adjustRightInd w:val="0"/>
              <w:snapToGrid w:val="0"/>
              <w:jc w:val="center"/>
            </w:pPr>
          </w:p>
        </w:tc>
        <w:tc>
          <w:tcPr>
            <w:tcW w:w="3029" w:type="dxa"/>
            <w:vAlign w:val="center"/>
          </w:tcPr>
          <w:p w14:paraId="4DC04FE6">
            <w:pPr>
              <w:keepNext w:val="0"/>
              <w:keepLines w:val="0"/>
              <w:pageBreakBefore w:val="0"/>
              <w:widowControl w:val="0"/>
              <w:wordWrap/>
              <w:topLinePunct w:val="0"/>
              <w:autoSpaceDE/>
              <w:autoSpaceDN/>
              <w:bidi w:val="0"/>
              <w:adjustRightInd w:val="0"/>
              <w:snapToGrid w:val="0"/>
              <w:jc w:val="center"/>
              <w:rPr>
                <w:rFonts w:hint="eastAsia" w:ascii="Times New Roman" w:hAnsi="Times New Roman" w:eastAsia="宋体" w:cs="Times New Roman"/>
                <w:color w:val="auto"/>
                <w:spacing w:val="-1"/>
                <w:szCs w:val="21"/>
                <w:lang w:val="en-US" w:eastAsia="zh-CN"/>
              </w:rPr>
            </w:pPr>
            <w:r>
              <w:rPr>
                <w:rFonts w:hint="eastAsia" w:cs="Times New Roman"/>
                <w:color w:val="auto"/>
                <w:spacing w:val="-1"/>
                <w:szCs w:val="21"/>
                <w:lang w:val="en-US" w:eastAsia="zh-CN"/>
              </w:rPr>
              <w:t>废沉渣（t/a）</w:t>
            </w:r>
          </w:p>
        </w:tc>
        <w:tc>
          <w:tcPr>
            <w:tcW w:w="1332" w:type="dxa"/>
            <w:vAlign w:val="center"/>
          </w:tcPr>
          <w:p w14:paraId="58ED16DA">
            <w:pPr>
              <w:keepNext w:val="0"/>
              <w:keepLines w:val="0"/>
              <w:pageBreakBefore w:val="0"/>
              <w:widowControl w:val="0"/>
              <w:wordWrap/>
              <w:topLinePunct w:val="0"/>
              <w:autoSpaceDE/>
              <w:autoSpaceDN/>
              <w:bidi w:val="0"/>
              <w:adjustRightInd w:val="0"/>
              <w:snapToGrid w:val="0"/>
              <w:jc w:val="center"/>
              <w:rPr>
                <w:rFonts w:hint="default" w:ascii="Times New Roman" w:hAnsi="Times New Roman" w:cs="Times New Roman"/>
                <w:color w:val="auto"/>
                <w:spacing w:val="-1"/>
                <w:szCs w:val="21"/>
              </w:rPr>
            </w:pPr>
            <w:r>
              <w:rPr>
                <w:rFonts w:hint="eastAsia"/>
                <w:snapToGrid w:val="0"/>
                <w:color w:val="auto"/>
                <w:kern w:val="21"/>
                <w:szCs w:val="21"/>
                <w:lang w:val="en-US" w:eastAsia="zh-CN"/>
              </w:rPr>
              <w:t>/</w:t>
            </w:r>
          </w:p>
        </w:tc>
        <w:tc>
          <w:tcPr>
            <w:tcW w:w="1144" w:type="dxa"/>
            <w:vAlign w:val="center"/>
          </w:tcPr>
          <w:p w14:paraId="6DCDFFFA">
            <w:pPr>
              <w:keepNext w:val="0"/>
              <w:keepLines w:val="0"/>
              <w:pageBreakBefore w:val="0"/>
              <w:widowControl w:val="0"/>
              <w:wordWrap/>
              <w:topLinePunct w:val="0"/>
              <w:autoSpaceDE/>
              <w:autoSpaceDN/>
              <w:bidi w:val="0"/>
              <w:adjustRightInd w:val="0"/>
              <w:snapToGrid w:val="0"/>
              <w:jc w:val="center"/>
              <w:rPr>
                <w:rFonts w:hint="eastAsia" w:ascii="Times New Roman" w:hAnsi="Times New Roman" w:eastAsia="宋体" w:cs="Times New Roman"/>
                <w:color w:val="auto"/>
                <w:spacing w:val="-1"/>
                <w:szCs w:val="21"/>
                <w:lang w:val="en-US" w:eastAsia="zh-CN"/>
              </w:rPr>
            </w:pPr>
            <w:r>
              <w:rPr>
                <w:rFonts w:hint="eastAsia" w:cs="Times New Roman"/>
                <w:color w:val="auto"/>
                <w:spacing w:val="-1"/>
                <w:szCs w:val="21"/>
                <w:lang w:val="en-US" w:eastAsia="zh-CN"/>
              </w:rPr>
              <w:t>/</w:t>
            </w:r>
          </w:p>
        </w:tc>
        <w:tc>
          <w:tcPr>
            <w:tcW w:w="1462" w:type="dxa"/>
            <w:vAlign w:val="center"/>
          </w:tcPr>
          <w:p w14:paraId="7464791D">
            <w:pPr>
              <w:keepNext w:val="0"/>
              <w:keepLines w:val="0"/>
              <w:pageBreakBefore w:val="0"/>
              <w:widowControl w:val="0"/>
              <w:wordWrap/>
              <w:topLinePunct w:val="0"/>
              <w:autoSpaceDE/>
              <w:autoSpaceDN/>
              <w:bidi w:val="0"/>
              <w:adjustRightInd w:val="0"/>
              <w:snapToGrid w:val="0"/>
              <w:jc w:val="center"/>
              <w:rPr>
                <w:rFonts w:hint="eastAsia" w:ascii="Times New Roman" w:hAnsi="Times New Roman" w:eastAsia="宋体" w:cs="Times New Roman"/>
                <w:color w:val="auto"/>
                <w:spacing w:val="-1"/>
                <w:szCs w:val="21"/>
                <w:lang w:val="en-US" w:eastAsia="zh-CN"/>
              </w:rPr>
            </w:pPr>
            <w:r>
              <w:rPr>
                <w:rFonts w:hint="eastAsia" w:cs="Times New Roman"/>
                <w:color w:val="auto"/>
                <w:spacing w:val="-1"/>
                <w:szCs w:val="21"/>
                <w:lang w:val="en-US" w:eastAsia="zh-CN"/>
              </w:rPr>
              <w:t>/</w:t>
            </w:r>
          </w:p>
        </w:tc>
        <w:tc>
          <w:tcPr>
            <w:tcW w:w="1613" w:type="dxa"/>
            <w:vAlign w:val="center"/>
          </w:tcPr>
          <w:p w14:paraId="64ABD163">
            <w:pPr>
              <w:keepNext w:val="0"/>
              <w:keepLines w:val="0"/>
              <w:widowControl/>
              <w:suppressLineNumbers w:val="0"/>
              <w:jc w:val="center"/>
              <w:textAlignment w:val="center"/>
              <w:rPr>
                <w:rFonts w:hint="default" w:ascii="Times New Roman" w:hAnsi="Times New Roman" w:cs="Times New Roman"/>
                <w:color w:val="auto"/>
                <w:spacing w:val="-1"/>
                <w:szCs w:val="21"/>
              </w:rPr>
            </w:pPr>
            <w:r>
              <w:rPr>
                <w:rFonts w:hint="default" w:ascii="Times New Roman" w:hAnsi="Times New Roman" w:eastAsia="宋体" w:cs="Times New Roman"/>
                <w:i w:val="0"/>
                <w:iCs w:val="0"/>
                <w:color w:val="000000"/>
                <w:kern w:val="0"/>
                <w:sz w:val="21"/>
                <w:szCs w:val="21"/>
                <w:u w:val="none"/>
                <w:lang w:val="en-US" w:eastAsia="zh-CN" w:bidi="ar"/>
              </w:rPr>
              <w:t>0.491</w:t>
            </w:r>
          </w:p>
        </w:tc>
        <w:tc>
          <w:tcPr>
            <w:tcW w:w="1331" w:type="dxa"/>
            <w:vAlign w:val="center"/>
          </w:tcPr>
          <w:p w14:paraId="377853E8">
            <w:pPr>
              <w:keepNext w:val="0"/>
              <w:keepLines w:val="0"/>
              <w:pageBreakBefore w:val="0"/>
              <w:widowControl w:val="0"/>
              <w:wordWrap/>
              <w:topLinePunct w:val="0"/>
              <w:autoSpaceDE/>
              <w:autoSpaceDN/>
              <w:bidi w:val="0"/>
              <w:adjustRightInd w:val="0"/>
              <w:snapToGrid w:val="0"/>
              <w:jc w:val="center"/>
              <w:rPr>
                <w:rFonts w:hint="eastAsia" w:ascii="Times New Roman" w:hAnsi="Times New Roman" w:eastAsia="宋体" w:cs="Times New Roman"/>
                <w:color w:val="auto"/>
                <w:spacing w:val="-1"/>
                <w:szCs w:val="21"/>
                <w:lang w:val="en-US" w:eastAsia="zh-CN"/>
              </w:rPr>
            </w:pPr>
            <w:r>
              <w:rPr>
                <w:rFonts w:hint="eastAsia" w:cs="Times New Roman"/>
                <w:color w:val="auto"/>
                <w:spacing w:val="-1"/>
                <w:szCs w:val="21"/>
                <w:lang w:val="en-US" w:eastAsia="zh-CN"/>
              </w:rPr>
              <w:t>/</w:t>
            </w:r>
          </w:p>
        </w:tc>
        <w:tc>
          <w:tcPr>
            <w:tcW w:w="1718" w:type="dxa"/>
            <w:vAlign w:val="center"/>
          </w:tcPr>
          <w:p w14:paraId="0A109B83">
            <w:pPr>
              <w:keepNext w:val="0"/>
              <w:keepLines w:val="0"/>
              <w:widowControl/>
              <w:suppressLineNumbers w:val="0"/>
              <w:jc w:val="center"/>
              <w:textAlignment w:val="center"/>
              <w:rPr>
                <w:rFonts w:hint="default" w:ascii="Times New Roman" w:hAnsi="Times New Roman" w:cs="Times New Roman"/>
                <w:color w:val="auto"/>
                <w:spacing w:val="-1"/>
                <w:szCs w:val="21"/>
              </w:rPr>
            </w:pPr>
            <w:r>
              <w:rPr>
                <w:rFonts w:hint="default" w:ascii="Times New Roman" w:hAnsi="Times New Roman" w:eastAsia="宋体" w:cs="Times New Roman"/>
                <w:i w:val="0"/>
                <w:iCs w:val="0"/>
                <w:color w:val="000000"/>
                <w:kern w:val="0"/>
                <w:sz w:val="21"/>
                <w:szCs w:val="21"/>
                <w:u w:val="none"/>
                <w:lang w:val="en-US" w:eastAsia="zh-CN" w:bidi="ar"/>
              </w:rPr>
              <w:t>0.491</w:t>
            </w:r>
          </w:p>
        </w:tc>
        <w:tc>
          <w:tcPr>
            <w:tcW w:w="1049" w:type="dxa"/>
            <w:vAlign w:val="center"/>
          </w:tcPr>
          <w:p w14:paraId="78790654">
            <w:pPr>
              <w:keepNext w:val="0"/>
              <w:keepLines w:val="0"/>
              <w:pageBreakBefore w:val="0"/>
              <w:widowControl w:val="0"/>
              <w:wordWrap/>
              <w:topLinePunct w:val="0"/>
              <w:autoSpaceDE/>
              <w:autoSpaceDN/>
              <w:bidi w:val="0"/>
              <w:adjustRightInd w:val="0"/>
              <w:snapToGrid w:val="0"/>
              <w:jc w:val="center"/>
              <w:rPr>
                <w:rFonts w:hint="default" w:ascii="Times New Roman" w:hAnsi="Times New Roman" w:cs="Times New Roman"/>
                <w:color w:val="auto"/>
                <w:spacing w:val="-1"/>
                <w:szCs w:val="21"/>
              </w:rPr>
            </w:pPr>
            <w:r>
              <w:rPr>
                <w:rFonts w:hint="eastAsia"/>
                <w:snapToGrid w:val="0"/>
                <w:color w:val="auto"/>
                <w:kern w:val="21"/>
                <w:szCs w:val="21"/>
                <w:lang w:val="en-US" w:eastAsia="zh-CN"/>
              </w:rPr>
              <w:t>/</w:t>
            </w:r>
          </w:p>
        </w:tc>
      </w:tr>
      <w:tr w14:paraId="7F34F14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10" w:type="dxa"/>
            <w:vMerge w:val="continue"/>
            <w:vAlign w:val="center"/>
          </w:tcPr>
          <w:p w14:paraId="5D12BB4F">
            <w:pPr>
              <w:keepNext w:val="0"/>
              <w:keepLines w:val="0"/>
              <w:pageBreakBefore w:val="0"/>
              <w:widowControl w:val="0"/>
              <w:wordWrap/>
              <w:topLinePunct w:val="0"/>
              <w:autoSpaceDE/>
              <w:autoSpaceDN/>
              <w:bidi w:val="0"/>
              <w:adjustRightInd w:val="0"/>
              <w:snapToGrid w:val="0"/>
              <w:jc w:val="center"/>
            </w:pPr>
          </w:p>
        </w:tc>
        <w:tc>
          <w:tcPr>
            <w:tcW w:w="3029" w:type="dxa"/>
            <w:vAlign w:val="center"/>
          </w:tcPr>
          <w:p w14:paraId="2B90FB31">
            <w:pPr>
              <w:keepNext w:val="0"/>
              <w:keepLines w:val="0"/>
              <w:pageBreakBefore w:val="0"/>
              <w:widowControl w:val="0"/>
              <w:wordWrap/>
              <w:topLinePunct w:val="0"/>
              <w:autoSpaceDE/>
              <w:autoSpaceDN/>
              <w:bidi w:val="0"/>
              <w:adjustRightInd w:val="0"/>
              <w:snapToGrid w:val="0"/>
              <w:jc w:val="center"/>
              <w:rPr>
                <w:rFonts w:hint="default" w:cs="Times New Roman"/>
                <w:color w:val="auto"/>
                <w:spacing w:val="-1"/>
                <w:szCs w:val="21"/>
                <w:lang w:val="en-US" w:eastAsia="zh-CN"/>
              </w:rPr>
            </w:pPr>
            <w:r>
              <w:rPr>
                <w:rFonts w:hint="eastAsia" w:cs="Times New Roman"/>
                <w:color w:val="auto"/>
                <w:spacing w:val="-1"/>
                <w:szCs w:val="21"/>
                <w:lang w:val="en-US" w:eastAsia="zh-CN"/>
              </w:rPr>
              <w:t>废布袋（t/a）</w:t>
            </w:r>
          </w:p>
        </w:tc>
        <w:tc>
          <w:tcPr>
            <w:tcW w:w="1332" w:type="dxa"/>
            <w:vAlign w:val="center"/>
          </w:tcPr>
          <w:p w14:paraId="258E48B2">
            <w:pPr>
              <w:keepNext w:val="0"/>
              <w:keepLines w:val="0"/>
              <w:pageBreakBefore w:val="0"/>
              <w:widowControl w:val="0"/>
              <w:wordWrap/>
              <w:topLinePunct w:val="0"/>
              <w:autoSpaceDE/>
              <w:autoSpaceDN/>
              <w:bidi w:val="0"/>
              <w:adjustRightInd w:val="0"/>
              <w:snapToGrid w:val="0"/>
              <w:jc w:val="center"/>
              <w:rPr>
                <w:rFonts w:hint="default" w:cs="Times New Roman"/>
                <w:color w:val="auto"/>
                <w:spacing w:val="-1"/>
                <w:szCs w:val="21"/>
                <w:lang w:val="en-US" w:eastAsia="zh-CN"/>
              </w:rPr>
            </w:pPr>
            <w:r>
              <w:rPr>
                <w:rFonts w:hint="eastAsia" w:cs="Times New Roman"/>
                <w:color w:val="auto"/>
                <w:spacing w:val="-1"/>
                <w:szCs w:val="21"/>
                <w:lang w:val="en-US" w:eastAsia="zh-CN"/>
              </w:rPr>
              <w:t>/</w:t>
            </w:r>
          </w:p>
        </w:tc>
        <w:tc>
          <w:tcPr>
            <w:tcW w:w="1144" w:type="dxa"/>
            <w:vAlign w:val="center"/>
          </w:tcPr>
          <w:p w14:paraId="4230C658">
            <w:pPr>
              <w:keepNext w:val="0"/>
              <w:keepLines w:val="0"/>
              <w:pageBreakBefore w:val="0"/>
              <w:widowControl w:val="0"/>
              <w:wordWrap/>
              <w:topLinePunct w:val="0"/>
              <w:autoSpaceDE/>
              <w:autoSpaceDN/>
              <w:bidi w:val="0"/>
              <w:adjustRightInd w:val="0"/>
              <w:snapToGrid w:val="0"/>
              <w:jc w:val="center"/>
              <w:rPr>
                <w:rFonts w:hint="default" w:cs="Times New Roman"/>
                <w:color w:val="auto"/>
                <w:spacing w:val="-1"/>
                <w:szCs w:val="21"/>
                <w:lang w:val="en-US" w:eastAsia="zh-CN"/>
              </w:rPr>
            </w:pPr>
            <w:r>
              <w:rPr>
                <w:rFonts w:hint="eastAsia" w:cs="Times New Roman"/>
                <w:color w:val="auto"/>
                <w:spacing w:val="-1"/>
                <w:szCs w:val="21"/>
                <w:lang w:val="en-US" w:eastAsia="zh-CN"/>
              </w:rPr>
              <w:t>/</w:t>
            </w:r>
          </w:p>
        </w:tc>
        <w:tc>
          <w:tcPr>
            <w:tcW w:w="1462" w:type="dxa"/>
            <w:vAlign w:val="center"/>
          </w:tcPr>
          <w:p w14:paraId="06E6C6F7">
            <w:pPr>
              <w:keepNext w:val="0"/>
              <w:keepLines w:val="0"/>
              <w:pageBreakBefore w:val="0"/>
              <w:widowControl w:val="0"/>
              <w:wordWrap/>
              <w:topLinePunct w:val="0"/>
              <w:autoSpaceDE/>
              <w:autoSpaceDN/>
              <w:bidi w:val="0"/>
              <w:adjustRightInd w:val="0"/>
              <w:snapToGrid w:val="0"/>
              <w:jc w:val="center"/>
              <w:rPr>
                <w:rFonts w:hint="default" w:cs="Times New Roman"/>
                <w:color w:val="auto"/>
                <w:spacing w:val="-1"/>
                <w:szCs w:val="21"/>
                <w:lang w:val="en-US" w:eastAsia="zh-CN"/>
              </w:rPr>
            </w:pPr>
            <w:r>
              <w:rPr>
                <w:rFonts w:hint="eastAsia" w:cs="Times New Roman"/>
                <w:color w:val="auto"/>
                <w:spacing w:val="-1"/>
                <w:szCs w:val="21"/>
                <w:lang w:val="en-US" w:eastAsia="zh-CN"/>
              </w:rPr>
              <w:t>/</w:t>
            </w:r>
          </w:p>
        </w:tc>
        <w:tc>
          <w:tcPr>
            <w:tcW w:w="1613" w:type="dxa"/>
            <w:vAlign w:val="center"/>
          </w:tcPr>
          <w:p w14:paraId="616CFC84">
            <w:pPr>
              <w:keepNext w:val="0"/>
              <w:keepLines w:val="0"/>
              <w:pageBreakBefore w:val="0"/>
              <w:widowControl w:val="0"/>
              <w:wordWrap/>
              <w:topLinePunct w:val="0"/>
              <w:autoSpaceDE/>
              <w:autoSpaceDN/>
              <w:bidi w:val="0"/>
              <w:adjustRightInd w:val="0"/>
              <w:snapToGrid w:val="0"/>
              <w:jc w:val="center"/>
              <w:rPr>
                <w:rFonts w:hint="default" w:cs="Times New Roman"/>
                <w:color w:val="auto"/>
                <w:spacing w:val="-1"/>
                <w:szCs w:val="21"/>
                <w:lang w:val="en-US" w:eastAsia="zh-CN"/>
              </w:rPr>
            </w:pPr>
            <w:r>
              <w:rPr>
                <w:rFonts w:hint="eastAsia" w:cs="Times New Roman"/>
                <w:color w:val="auto"/>
                <w:spacing w:val="-1"/>
                <w:szCs w:val="21"/>
                <w:lang w:val="en-US" w:eastAsia="zh-CN"/>
              </w:rPr>
              <w:t>0.1</w:t>
            </w:r>
          </w:p>
        </w:tc>
        <w:tc>
          <w:tcPr>
            <w:tcW w:w="1331" w:type="dxa"/>
            <w:vAlign w:val="center"/>
          </w:tcPr>
          <w:p w14:paraId="6B393649">
            <w:pPr>
              <w:keepNext w:val="0"/>
              <w:keepLines w:val="0"/>
              <w:pageBreakBefore w:val="0"/>
              <w:widowControl w:val="0"/>
              <w:wordWrap/>
              <w:topLinePunct w:val="0"/>
              <w:autoSpaceDE/>
              <w:autoSpaceDN/>
              <w:bidi w:val="0"/>
              <w:adjustRightInd w:val="0"/>
              <w:snapToGrid w:val="0"/>
              <w:jc w:val="center"/>
              <w:rPr>
                <w:rFonts w:hint="default" w:cs="Times New Roman"/>
                <w:color w:val="auto"/>
                <w:spacing w:val="-1"/>
                <w:szCs w:val="21"/>
                <w:lang w:val="en-US" w:eastAsia="zh-CN"/>
              </w:rPr>
            </w:pPr>
            <w:r>
              <w:rPr>
                <w:rFonts w:hint="eastAsia" w:cs="Times New Roman"/>
                <w:color w:val="auto"/>
                <w:spacing w:val="-1"/>
                <w:szCs w:val="21"/>
                <w:lang w:val="en-US" w:eastAsia="zh-CN"/>
              </w:rPr>
              <w:t>/</w:t>
            </w:r>
          </w:p>
        </w:tc>
        <w:tc>
          <w:tcPr>
            <w:tcW w:w="1718" w:type="dxa"/>
            <w:vAlign w:val="center"/>
          </w:tcPr>
          <w:p w14:paraId="7A9CCDDA">
            <w:pPr>
              <w:keepNext w:val="0"/>
              <w:keepLines w:val="0"/>
              <w:pageBreakBefore w:val="0"/>
              <w:widowControl w:val="0"/>
              <w:wordWrap/>
              <w:topLinePunct w:val="0"/>
              <w:autoSpaceDE/>
              <w:autoSpaceDN/>
              <w:bidi w:val="0"/>
              <w:adjustRightInd w:val="0"/>
              <w:snapToGrid w:val="0"/>
              <w:jc w:val="center"/>
              <w:rPr>
                <w:rFonts w:hint="default" w:cs="Times New Roman"/>
                <w:color w:val="auto"/>
                <w:spacing w:val="-1"/>
                <w:szCs w:val="21"/>
                <w:lang w:val="en-US" w:eastAsia="zh-CN"/>
              </w:rPr>
            </w:pPr>
            <w:r>
              <w:rPr>
                <w:rFonts w:hint="eastAsia" w:cs="Times New Roman"/>
                <w:color w:val="auto"/>
                <w:spacing w:val="-1"/>
                <w:szCs w:val="21"/>
                <w:lang w:val="en-US" w:eastAsia="zh-CN"/>
              </w:rPr>
              <w:t>0.1</w:t>
            </w:r>
          </w:p>
        </w:tc>
        <w:tc>
          <w:tcPr>
            <w:tcW w:w="1049" w:type="dxa"/>
            <w:vAlign w:val="center"/>
          </w:tcPr>
          <w:p w14:paraId="5AA0A27D">
            <w:pPr>
              <w:keepNext w:val="0"/>
              <w:keepLines w:val="0"/>
              <w:pageBreakBefore w:val="0"/>
              <w:widowControl w:val="0"/>
              <w:wordWrap/>
              <w:topLinePunct w:val="0"/>
              <w:autoSpaceDE/>
              <w:autoSpaceDN/>
              <w:bidi w:val="0"/>
              <w:adjustRightInd w:val="0"/>
              <w:snapToGrid w:val="0"/>
              <w:jc w:val="center"/>
              <w:rPr>
                <w:rFonts w:hint="default" w:cs="Times New Roman"/>
                <w:color w:val="auto"/>
                <w:spacing w:val="-1"/>
                <w:szCs w:val="21"/>
                <w:lang w:val="en-US" w:eastAsia="zh-CN"/>
              </w:rPr>
            </w:pPr>
            <w:r>
              <w:rPr>
                <w:rFonts w:hint="eastAsia" w:cs="Times New Roman"/>
                <w:color w:val="auto"/>
                <w:spacing w:val="-1"/>
                <w:szCs w:val="21"/>
                <w:lang w:val="en-US" w:eastAsia="zh-CN"/>
              </w:rPr>
              <w:t>/</w:t>
            </w:r>
          </w:p>
        </w:tc>
      </w:tr>
      <w:tr w14:paraId="2C74B03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139" w:type="dxa"/>
            <w:gridSpan w:val="2"/>
            <w:vAlign w:val="center"/>
          </w:tcPr>
          <w:p w14:paraId="053B9CB8">
            <w:pPr>
              <w:keepNext w:val="0"/>
              <w:keepLines w:val="0"/>
              <w:pageBreakBefore w:val="0"/>
              <w:widowControl w:val="0"/>
              <w:wordWrap/>
              <w:topLinePunct w:val="0"/>
              <w:autoSpaceDE/>
              <w:autoSpaceDN/>
              <w:bidi w:val="0"/>
              <w:adjustRightInd w:val="0"/>
              <w:snapToGrid w:val="0"/>
              <w:jc w:val="center"/>
              <w:rPr>
                <w:color w:val="auto"/>
                <w:kern w:val="0"/>
                <w:szCs w:val="21"/>
              </w:rPr>
            </w:pPr>
            <w:r>
              <w:rPr>
                <w:snapToGrid w:val="0"/>
                <w:color w:val="auto"/>
                <w:kern w:val="21"/>
                <w:szCs w:val="21"/>
              </w:rPr>
              <w:t>生活垃圾</w:t>
            </w:r>
            <w:r>
              <w:rPr>
                <w:rFonts w:hint="default" w:ascii="Times New Roman" w:hAnsi="Times New Roman" w:cs="Times New Roman"/>
                <w:color w:val="auto"/>
                <w:kern w:val="0"/>
                <w:szCs w:val="21"/>
                <w:lang w:val="en-US" w:eastAsia="zh-CN"/>
              </w:rPr>
              <w:t>（t/a）</w:t>
            </w:r>
          </w:p>
        </w:tc>
        <w:tc>
          <w:tcPr>
            <w:tcW w:w="1332" w:type="dxa"/>
            <w:vAlign w:val="center"/>
          </w:tcPr>
          <w:p w14:paraId="6C89104F">
            <w:pPr>
              <w:keepNext w:val="0"/>
              <w:keepLines w:val="0"/>
              <w:pageBreakBefore w:val="0"/>
              <w:widowControl w:val="0"/>
              <w:wordWrap/>
              <w:topLinePunct w:val="0"/>
              <w:autoSpaceDE/>
              <w:autoSpaceDN/>
              <w:bidi w:val="0"/>
              <w:adjustRightInd w:val="0"/>
              <w:snapToGrid w:val="0"/>
              <w:jc w:val="center"/>
              <w:rPr>
                <w:rFonts w:hint="default" w:eastAsia="宋体"/>
                <w:snapToGrid w:val="0"/>
                <w:color w:val="auto"/>
                <w:kern w:val="21"/>
                <w:szCs w:val="21"/>
                <w:lang w:val="en-US" w:eastAsia="zh-CN"/>
              </w:rPr>
            </w:pPr>
            <w:r>
              <w:rPr>
                <w:rFonts w:hint="eastAsia"/>
                <w:snapToGrid w:val="0"/>
                <w:color w:val="auto"/>
                <w:kern w:val="21"/>
                <w:szCs w:val="21"/>
                <w:lang w:val="en-US" w:eastAsia="zh-CN"/>
              </w:rPr>
              <w:t>/</w:t>
            </w:r>
          </w:p>
        </w:tc>
        <w:tc>
          <w:tcPr>
            <w:tcW w:w="1144" w:type="dxa"/>
            <w:vAlign w:val="center"/>
          </w:tcPr>
          <w:p w14:paraId="28F637E5">
            <w:pPr>
              <w:keepNext w:val="0"/>
              <w:keepLines w:val="0"/>
              <w:pageBreakBefore w:val="0"/>
              <w:widowControl w:val="0"/>
              <w:wordWrap/>
              <w:topLinePunct w:val="0"/>
              <w:autoSpaceDE/>
              <w:autoSpaceDN/>
              <w:bidi w:val="0"/>
              <w:adjustRightInd w:val="0"/>
              <w:snapToGrid w:val="0"/>
              <w:jc w:val="center"/>
              <w:rPr>
                <w:snapToGrid w:val="0"/>
                <w:color w:val="auto"/>
                <w:kern w:val="21"/>
                <w:szCs w:val="21"/>
              </w:rPr>
            </w:pPr>
            <w:r>
              <w:rPr>
                <w:rFonts w:hint="eastAsia"/>
                <w:snapToGrid w:val="0"/>
                <w:color w:val="auto"/>
                <w:kern w:val="21"/>
                <w:szCs w:val="21"/>
                <w:lang w:val="en-US" w:eastAsia="zh-CN"/>
              </w:rPr>
              <w:t>/</w:t>
            </w:r>
          </w:p>
        </w:tc>
        <w:tc>
          <w:tcPr>
            <w:tcW w:w="1462" w:type="dxa"/>
            <w:vAlign w:val="center"/>
          </w:tcPr>
          <w:p w14:paraId="3A156A2C">
            <w:pPr>
              <w:keepNext w:val="0"/>
              <w:keepLines w:val="0"/>
              <w:pageBreakBefore w:val="0"/>
              <w:widowControl w:val="0"/>
              <w:wordWrap/>
              <w:topLinePunct w:val="0"/>
              <w:autoSpaceDE/>
              <w:autoSpaceDN/>
              <w:bidi w:val="0"/>
              <w:adjustRightInd w:val="0"/>
              <w:snapToGrid w:val="0"/>
              <w:jc w:val="center"/>
              <w:rPr>
                <w:rFonts w:hint="eastAsia" w:eastAsia="宋体"/>
                <w:snapToGrid w:val="0"/>
                <w:color w:val="auto"/>
                <w:kern w:val="21"/>
                <w:szCs w:val="21"/>
                <w:lang w:val="en-US" w:eastAsia="zh-CN"/>
              </w:rPr>
            </w:pPr>
            <w:r>
              <w:rPr>
                <w:snapToGrid w:val="0"/>
                <w:color w:val="auto"/>
                <w:kern w:val="21"/>
                <w:szCs w:val="21"/>
              </w:rPr>
              <w:t>/</w:t>
            </w:r>
          </w:p>
        </w:tc>
        <w:tc>
          <w:tcPr>
            <w:tcW w:w="1613" w:type="dxa"/>
            <w:vAlign w:val="center"/>
          </w:tcPr>
          <w:p w14:paraId="44213937">
            <w:pPr>
              <w:keepNext w:val="0"/>
              <w:keepLines w:val="0"/>
              <w:widowControl/>
              <w:suppressLineNumbers w:val="0"/>
              <w:jc w:val="center"/>
              <w:textAlignment w:val="center"/>
              <w:rPr>
                <w:rFonts w:hint="default" w:eastAsia="宋体"/>
                <w:snapToGrid w:val="0"/>
                <w:color w:val="auto"/>
                <w:kern w:val="21"/>
                <w:szCs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3</w:t>
            </w:r>
          </w:p>
        </w:tc>
        <w:tc>
          <w:tcPr>
            <w:tcW w:w="1331" w:type="dxa"/>
            <w:vAlign w:val="center"/>
          </w:tcPr>
          <w:p w14:paraId="6FE1F8BF">
            <w:pPr>
              <w:keepNext w:val="0"/>
              <w:keepLines w:val="0"/>
              <w:pageBreakBefore w:val="0"/>
              <w:widowControl w:val="0"/>
              <w:wordWrap/>
              <w:topLinePunct w:val="0"/>
              <w:autoSpaceDE/>
              <w:autoSpaceDN/>
              <w:bidi w:val="0"/>
              <w:adjustRightInd w:val="0"/>
              <w:snapToGrid w:val="0"/>
              <w:jc w:val="center"/>
              <w:rPr>
                <w:snapToGrid w:val="0"/>
                <w:color w:val="auto"/>
                <w:kern w:val="21"/>
                <w:szCs w:val="21"/>
              </w:rPr>
            </w:pPr>
            <w:r>
              <w:rPr>
                <w:snapToGrid w:val="0"/>
                <w:color w:val="auto"/>
                <w:kern w:val="21"/>
                <w:szCs w:val="21"/>
              </w:rPr>
              <w:t>/</w:t>
            </w:r>
          </w:p>
        </w:tc>
        <w:tc>
          <w:tcPr>
            <w:tcW w:w="1718" w:type="dxa"/>
            <w:vAlign w:val="center"/>
          </w:tcPr>
          <w:p w14:paraId="719C3CC8">
            <w:pPr>
              <w:keepNext w:val="0"/>
              <w:keepLines w:val="0"/>
              <w:widowControl/>
              <w:suppressLineNumbers w:val="0"/>
              <w:jc w:val="center"/>
              <w:textAlignment w:val="center"/>
              <w:rPr>
                <w:rFonts w:hint="default" w:eastAsia="宋体"/>
                <w:snapToGrid w:val="0"/>
                <w:color w:val="auto"/>
                <w:kern w:val="21"/>
                <w:szCs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3</w:t>
            </w:r>
          </w:p>
        </w:tc>
        <w:tc>
          <w:tcPr>
            <w:tcW w:w="1049" w:type="dxa"/>
            <w:vAlign w:val="center"/>
          </w:tcPr>
          <w:p w14:paraId="00FC5599">
            <w:pPr>
              <w:keepNext w:val="0"/>
              <w:keepLines w:val="0"/>
              <w:pageBreakBefore w:val="0"/>
              <w:widowControl w:val="0"/>
              <w:wordWrap/>
              <w:topLinePunct w:val="0"/>
              <w:autoSpaceDE/>
              <w:autoSpaceDN/>
              <w:bidi w:val="0"/>
              <w:adjustRightInd w:val="0"/>
              <w:snapToGrid w:val="0"/>
              <w:jc w:val="center"/>
              <w:rPr>
                <w:snapToGrid w:val="0"/>
                <w:color w:val="auto"/>
                <w:kern w:val="21"/>
                <w:szCs w:val="21"/>
              </w:rPr>
            </w:pPr>
            <w:r>
              <w:rPr>
                <w:rFonts w:hint="eastAsia"/>
                <w:snapToGrid w:val="0"/>
                <w:color w:val="auto"/>
                <w:kern w:val="21"/>
                <w:szCs w:val="21"/>
                <w:lang w:val="en-US" w:eastAsia="zh-CN"/>
              </w:rPr>
              <w:t>/</w:t>
            </w:r>
          </w:p>
        </w:tc>
      </w:tr>
    </w:tbl>
    <w:p w14:paraId="53E7F90E">
      <w:pPr>
        <w:rPr>
          <w:color w:val="auto"/>
        </w:rPr>
      </w:pPr>
      <w:r>
        <w:rPr>
          <w:snapToGrid w:val="0"/>
          <w:color w:val="auto"/>
          <w:kern w:val="21"/>
          <w:szCs w:val="21"/>
        </w:rPr>
        <w:t>注：</w:t>
      </w:r>
      <w:r>
        <w:rPr>
          <w:snapToGrid w:val="0"/>
          <w:color w:val="auto"/>
          <w:spacing w:val="-16"/>
          <w:kern w:val="21"/>
          <w:szCs w:val="21"/>
        </w:rPr>
        <w:fldChar w:fldCharType="begin"/>
      </w:r>
      <w:r>
        <w:rPr>
          <w:snapToGrid w:val="0"/>
          <w:color w:val="auto"/>
          <w:spacing w:val="-16"/>
          <w:kern w:val="21"/>
          <w:szCs w:val="21"/>
        </w:rPr>
        <w:instrText xml:space="preserve"> = 6 \* GB3 \* MERGEFORMAT </w:instrText>
      </w:r>
      <w:r>
        <w:rPr>
          <w:snapToGrid w:val="0"/>
          <w:color w:val="auto"/>
          <w:spacing w:val="-16"/>
          <w:kern w:val="21"/>
          <w:szCs w:val="21"/>
        </w:rPr>
        <w:fldChar w:fldCharType="separate"/>
      </w:r>
      <w:r>
        <w:rPr>
          <w:color w:val="auto"/>
          <w:szCs w:val="21"/>
        </w:rPr>
        <w:t>⑥</w:t>
      </w:r>
      <w:r>
        <w:rPr>
          <w:snapToGrid w:val="0"/>
          <w:color w:val="auto"/>
          <w:spacing w:val="-16"/>
          <w:kern w:val="21"/>
          <w:szCs w:val="21"/>
        </w:rPr>
        <w:fldChar w:fldCharType="end"/>
      </w:r>
      <w:r>
        <w:rPr>
          <w:snapToGrid w:val="0"/>
          <w:color w:val="auto"/>
          <w:spacing w:val="-16"/>
          <w:kern w:val="21"/>
          <w:szCs w:val="21"/>
        </w:rPr>
        <w:t>=</w:t>
      </w:r>
      <w:r>
        <w:rPr>
          <w:snapToGrid w:val="0"/>
          <w:color w:val="auto"/>
          <w:spacing w:val="-6"/>
          <w:kern w:val="21"/>
          <w:szCs w:val="21"/>
        </w:rPr>
        <w:fldChar w:fldCharType="begin"/>
      </w:r>
      <w:r>
        <w:rPr>
          <w:snapToGrid w:val="0"/>
          <w:color w:val="auto"/>
          <w:spacing w:val="-6"/>
          <w:kern w:val="21"/>
          <w:szCs w:val="21"/>
        </w:rPr>
        <w:instrText xml:space="preserve"> = 1 \* GB3 \* MERGEFORMAT </w:instrText>
      </w:r>
      <w:r>
        <w:rPr>
          <w:snapToGrid w:val="0"/>
          <w:color w:val="auto"/>
          <w:spacing w:val="-6"/>
          <w:kern w:val="21"/>
          <w:szCs w:val="21"/>
        </w:rPr>
        <w:fldChar w:fldCharType="separate"/>
      </w:r>
      <w:r>
        <w:rPr>
          <w:color w:val="auto"/>
          <w:szCs w:val="21"/>
        </w:rPr>
        <w:t>①</w:t>
      </w:r>
      <w:r>
        <w:rPr>
          <w:snapToGrid w:val="0"/>
          <w:color w:val="auto"/>
          <w:spacing w:val="-6"/>
          <w:kern w:val="21"/>
          <w:szCs w:val="21"/>
        </w:rPr>
        <w:fldChar w:fldCharType="end"/>
      </w:r>
      <w:r>
        <w:rPr>
          <w:snapToGrid w:val="0"/>
          <w:color w:val="auto"/>
          <w:spacing w:val="-6"/>
          <w:kern w:val="21"/>
          <w:szCs w:val="21"/>
        </w:rPr>
        <w:t>+</w:t>
      </w:r>
      <w:r>
        <w:rPr>
          <w:snapToGrid w:val="0"/>
          <w:color w:val="auto"/>
          <w:spacing w:val="-6"/>
          <w:kern w:val="21"/>
          <w:szCs w:val="21"/>
        </w:rPr>
        <w:fldChar w:fldCharType="begin"/>
      </w:r>
      <w:r>
        <w:rPr>
          <w:snapToGrid w:val="0"/>
          <w:color w:val="auto"/>
          <w:spacing w:val="-6"/>
          <w:kern w:val="21"/>
          <w:szCs w:val="21"/>
        </w:rPr>
        <w:instrText xml:space="preserve"> = 3 \* GB3 \* MERGEFORMAT </w:instrText>
      </w:r>
      <w:r>
        <w:rPr>
          <w:snapToGrid w:val="0"/>
          <w:color w:val="auto"/>
          <w:spacing w:val="-6"/>
          <w:kern w:val="21"/>
          <w:szCs w:val="21"/>
        </w:rPr>
        <w:fldChar w:fldCharType="separate"/>
      </w:r>
      <w:r>
        <w:rPr>
          <w:color w:val="auto"/>
          <w:szCs w:val="21"/>
        </w:rPr>
        <w:t>③</w:t>
      </w:r>
      <w:r>
        <w:rPr>
          <w:snapToGrid w:val="0"/>
          <w:color w:val="auto"/>
          <w:spacing w:val="-6"/>
          <w:kern w:val="21"/>
          <w:szCs w:val="21"/>
        </w:rPr>
        <w:fldChar w:fldCharType="end"/>
      </w:r>
      <w:r>
        <w:rPr>
          <w:snapToGrid w:val="0"/>
          <w:color w:val="auto"/>
          <w:spacing w:val="-6"/>
          <w:kern w:val="21"/>
          <w:szCs w:val="21"/>
        </w:rPr>
        <w:t>+</w:t>
      </w:r>
      <w:r>
        <w:rPr>
          <w:snapToGrid w:val="0"/>
          <w:color w:val="auto"/>
          <w:spacing w:val="-6"/>
          <w:kern w:val="21"/>
          <w:szCs w:val="21"/>
        </w:rPr>
        <w:fldChar w:fldCharType="begin"/>
      </w:r>
      <w:r>
        <w:rPr>
          <w:snapToGrid w:val="0"/>
          <w:color w:val="auto"/>
          <w:spacing w:val="-6"/>
          <w:kern w:val="21"/>
          <w:szCs w:val="21"/>
        </w:rPr>
        <w:instrText xml:space="preserve"> = 4 \* GB3 \* MERGEFORMAT </w:instrText>
      </w:r>
      <w:r>
        <w:rPr>
          <w:snapToGrid w:val="0"/>
          <w:color w:val="auto"/>
          <w:spacing w:val="-6"/>
          <w:kern w:val="21"/>
          <w:szCs w:val="21"/>
        </w:rPr>
        <w:fldChar w:fldCharType="separate"/>
      </w:r>
      <w:r>
        <w:rPr>
          <w:color w:val="auto"/>
          <w:szCs w:val="21"/>
        </w:rPr>
        <w:t>④</w:t>
      </w:r>
      <w:r>
        <w:rPr>
          <w:snapToGrid w:val="0"/>
          <w:color w:val="auto"/>
          <w:spacing w:val="-6"/>
          <w:kern w:val="21"/>
          <w:szCs w:val="21"/>
        </w:rPr>
        <w:fldChar w:fldCharType="end"/>
      </w:r>
      <w:r>
        <w:rPr>
          <w:snapToGrid w:val="0"/>
          <w:color w:val="auto"/>
          <w:spacing w:val="-6"/>
          <w:kern w:val="21"/>
          <w:szCs w:val="21"/>
        </w:rPr>
        <w:t>-</w:t>
      </w:r>
      <w:r>
        <w:rPr>
          <w:snapToGrid w:val="0"/>
          <w:color w:val="auto"/>
          <w:spacing w:val="-16"/>
          <w:kern w:val="21"/>
          <w:szCs w:val="21"/>
        </w:rPr>
        <w:fldChar w:fldCharType="begin"/>
      </w:r>
      <w:r>
        <w:rPr>
          <w:snapToGrid w:val="0"/>
          <w:color w:val="auto"/>
          <w:spacing w:val="-16"/>
          <w:kern w:val="21"/>
          <w:szCs w:val="21"/>
        </w:rPr>
        <w:instrText xml:space="preserve"> = 5 \* GB3 \* MERGEFORMAT </w:instrText>
      </w:r>
      <w:r>
        <w:rPr>
          <w:snapToGrid w:val="0"/>
          <w:color w:val="auto"/>
          <w:spacing w:val="-16"/>
          <w:kern w:val="21"/>
          <w:szCs w:val="21"/>
        </w:rPr>
        <w:fldChar w:fldCharType="separate"/>
      </w:r>
      <w:r>
        <w:rPr>
          <w:color w:val="auto"/>
          <w:szCs w:val="21"/>
        </w:rPr>
        <w:t>⑤</w:t>
      </w:r>
      <w:r>
        <w:rPr>
          <w:snapToGrid w:val="0"/>
          <w:color w:val="auto"/>
          <w:spacing w:val="-16"/>
          <w:kern w:val="21"/>
          <w:szCs w:val="21"/>
        </w:rPr>
        <w:fldChar w:fldCharType="end"/>
      </w:r>
      <w:r>
        <w:rPr>
          <w:snapToGrid w:val="0"/>
          <w:color w:val="auto"/>
          <w:spacing w:val="-16"/>
          <w:kern w:val="21"/>
          <w:szCs w:val="21"/>
        </w:rPr>
        <w:t>；</w:t>
      </w:r>
      <w:r>
        <w:rPr>
          <w:snapToGrid w:val="0"/>
          <w:color w:val="auto"/>
          <w:spacing w:val="-6"/>
          <w:kern w:val="21"/>
          <w:szCs w:val="21"/>
        </w:rPr>
        <w:fldChar w:fldCharType="begin"/>
      </w:r>
      <w:r>
        <w:rPr>
          <w:snapToGrid w:val="0"/>
          <w:color w:val="auto"/>
          <w:spacing w:val="-6"/>
          <w:kern w:val="21"/>
          <w:szCs w:val="21"/>
        </w:rPr>
        <w:instrText xml:space="preserve"> = 7 \* GB3 \* MERGEFORMAT </w:instrText>
      </w:r>
      <w:r>
        <w:rPr>
          <w:snapToGrid w:val="0"/>
          <w:color w:val="auto"/>
          <w:spacing w:val="-6"/>
          <w:kern w:val="21"/>
          <w:szCs w:val="21"/>
        </w:rPr>
        <w:fldChar w:fldCharType="separate"/>
      </w:r>
      <w:r>
        <w:rPr>
          <w:color w:val="auto"/>
          <w:szCs w:val="21"/>
        </w:rPr>
        <w:t>⑦</w:t>
      </w:r>
      <w:r>
        <w:rPr>
          <w:snapToGrid w:val="0"/>
          <w:color w:val="auto"/>
          <w:spacing w:val="-6"/>
          <w:kern w:val="21"/>
          <w:szCs w:val="21"/>
        </w:rPr>
        <w:fldChar w:fldCharType="end"/>
      </w:r>
      <w:r>
        <w:rPr>
          <w:snapToGrid w:val="0"/>
          <w:color w:val="auto"/>
          <w:spacing w:val="-6"/>
          <w:kern w:val="21"/>
          <w:szCs w:val="21"/>
        </w:rPr>
        <w:t>=</w:t>
      </w:r>
      <w:r>
        <w:rPr>
          <w:snapToGrid w:val="0"/>
          <w:color w:val="auto"/>
          <w:spacing w:val="-16"/>
          <w:kern w:val="21"/>
          <w:szCs w:val="21"/>
        </w:rPr>
        <w:fldChar w:fldCharType="begin"/>
      </w:r>
      <w:r>
        <w:rPr>
          <w:snapToGrid w:val="0"/>
          <w:color w:val="auto"/>
          <w:spacing w:val="-16"/>
          <w:kern w:val="21"/>
          <w:szCs w:val="21"/>
        </w:rPr>
        <w:instrText xml:space="preserve"> = 6 \* GB3 \* MERGEFORMAT </w:instrText>
      </w:r>
      <w:r>
        <w:rPr>
          <w:snapToGrid w:val="0"/>
          <w:color w:val="auto"/>
          <w:spacing w:val="-16"/>
          <w:kern w:val="21"/>
          <w:szCs w:val="21"/>
        </w:rPr>
        <w:fldChar w:fldCharType="separate"/>
      </w:r>
      <w:r>
        <w:rPr>
          <w:color w:val="auto"/>
          <w:szCs w:val="21"/>
        </w:rPr>
        <w:t>⑥</w:t>
      </w:r>
      <w:r>
        <w:rPr>
          <w:snapToGrid w:val="0"/>
          <w:color w:val="auto"/>
          <w:spacing w:val="-16"/>
          <w:kern w:val="21"/>
          <w:szCs w:val="21"/>
        </w:rPr>
        <w:fldChar w:fldCharType="end"/>
      </w:r>
      <w:r>
        <w:rPr>
          <w:snapToGrid w:val="0"/>
          <w:color w:val="auto"/>
          <w:spacing w:val="-16"/>
          <w:kern w:val="21"/>
          <w:szCs w:val="21"/>
        </w:rPr>
        <w:t>-</w:t>
      </w:r>
      <w:r>
        <w:rPr>
          <w:snapToGrid w:val="0"/>
          <w:color w:val="auto"/>
          <w:spacing w:val="-6"/>
          <w:kern w:val="21"/>
          <w:szCs w:val="21"/>
        </w:rPr>
        <w:fldChar w:fldCharType="begin"/>
      </w:r>
      <w:r>
        <w:rPr>
          <w:snapToGrid w:val="0"/>
          <w:color w:val="auto"/>
          <w:spacing w:val="-6"/>
          <w:kern w:val="21"/>
          <w:szCs w:val="21"/>
        </w:rPr>
        <w:instrText xml:space="preserve"> = 1 \* GB3 \* MERGEFORMAT </w:instrText>
      </w:r>
      <w:r>
        <w:rPr>
          <w:snapToGrid w:val="0"/>
          <w:color w:val="auto"/>
          <w:spacing w:val="-6"/>
          <w:kern w:val="21"/>
          <w:szCs w:val="21"/>
        </w:rPr>
        <w:fldChar w:fldCharType="separate"/>
      </w:r>
      <w:r>
        <w:rPr>
          <w:color w:val="auto"/>
          <w:szCs w:val="21"/>
        </w:rPr>
        <w:t>①</w:t>
      </w:r>
      <w:r>
        <w:rPr>
          <w:snapToGrid w:val="0"/>
          <w:color w:val="auto"/>
          <w:spacing w:val="-6"/>
          <w:kern w:val="21"/>
          <w:szCs w:val="21"/>
        </w:rPr>
        <w:fldChar w:fldCharType="end"/>
      </w:r>
    </w:p>
    <w:sectPr>
      <w:headerReference r:id="rId6" w:type="default"/>
      <w:pgSz w:w="16838" w:h="11906" w:orient="landscape"/>
      <w:pgMar w:top="1800" w:right="1440" w:bottom="1800" w:left="144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28"/>
    <w:family w:val="auto"/>
    <w:pitch w:val="default"/>
    <w:sig w:usb0="E0002EFF" w:usb1="C000785B" w:usb2="00000009" w:usb3="00000000" w:csb0="400001FF" w:csb1="FFFF0000"/>
  </w:font>
  <w:font w:name="宋体">
    <w:panose1 w:val="02010600030101010101"/>
    <w:charset w:val="81"/>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微软雅黑">
    <w:panose1 w:val="020B0503020204020204"/>
    <w:charset w:val="86"/>
    <w:family w:val="swiss"/>
    <w:pitch w:val="default"/>
    <w:sig w:usb0="80000287" w:usb1="2ACF3C50" w:usb2="00000016" w:usb3="00000000" w:csb0="0004001F" w:csb1="00000000"/>
  </w:font>
  <w:font w:name="TimesNewRomanPSMT">
    <w:altName w:val="Times New Roman"/>
    <w:panose1 w:val="00000000000000000000"/>
    <w:charset w:val="00"/>
    <w:family w:val="auto"/>
    <w:pitch w:val="default"/>
    <w:sig w:usb0="00000000" w:usb1="00000000" w:usb2="00000000" w:usb3="00000000" w:csb0="00040001" w:csb1="00000000"/>
  </w:font>
  <w:font w:name="楷体_GB2312">
    <w:altName w:val="楷体"/>
    <w:panose1 w:val="00000000000000000000"/>
    <w:charset w:val="86"/>
    <w:family w:val="modern"/>
    <w:pitch w:val="default"/>
    <w:sig w:usb0="00000000" w:usb1="00000000" w:usb2="00000010" w:usb3="00000000" w:csb0="00040000" w:csb1="00000000"/>
  </w:font>
  <w:font w:name="方正小标宋_GBK">
    <w:altName w:val="微软雅黑"/>
    <w:panose1 w:val="00000000000000000000"/>
    <w:charset w:val="86"/>
    <w:family w:val="script"/>
    <w:pitch w:val="default"/>
    <w:sig w:usb0="00000000" w:usb1="00000000" w:usb2="00000010" w:usb3="00000000" w:csb0="00040000" w:csb1="00000000"/>
  </w:font>
  <w:font w:name="华文仿宋">
    <w:altName w:val="仿宋"/>
    <w:panose1 w:val="02010600040101010101"/>
    <w:charset w:val="86"/>
    <w:family w:val="auto"/>
    <w:pitch w:val="default"/>
    <w:sig w:usb0="00000000" w:usb1="00000000" w:usb2="00000000" w:usb3="00000000" w:csb0="0004009F" w:csb1="DFD70000"/>
  </w:font>
  <w:font w:name="新宋体">
    <w:panose1 w:val="02010609030101010101"/>
    <w:charset w:val="86"/>
    <w:family w:val="auto"/>
    <w:pitch w:val="default"/>
    <w:sig w:usb0="00000203" w:usb1="288F0000" w:usb2="00000006" w:usb3="00000000" w:csb0="00040001"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119C9AC">
    <w:pPr>
      <w:pStyle w:val="11"/>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3680457">
    <w:pPr>
      <w:snapToGrid w:val="0"/>
      <w:ind w:right="360" w:firstLine="360"/>
      <w:jc w:val="left"/>
      <w:rPr>
        <w:kern w:val="0"/>
        <w:sz w:val="18"/>
        <w:szCs w:val="20"/>
      </w:rPr>
    </w:pPr>
    <w:r>
      <w:rPr>
        <w:kern w:val="0"/>
        <w:sz w:val="18"/>
        <w:szCs w:val="20"/>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6" name="文本框 1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592E5E50">
                          <w:pPr>
                            <w:snapToGrid w:val="0"/>
                            <w:jc w:val="left"/>
                            <w:rPr>
                              <w:kern w:val="0"/>
                              <w:sz w:val="18"/>
                              <w:szCs w:val="20"/>
                            </w:rPr>
                          </w:pPr>
                          <w:r>
                            <w:rPr>
                              <w:kern w:val="0"/>
                              <w:sz w:val="24"/>
                              <w:szCs w:val="28"/>
                            </w:rPr>
                            <w:fldChar w:fldCharType="begin"/>
                          </w:r>
                          <w:r>
                            <w:rPr>
                              <w:kern w:val="0"/>
                              <w:sz w:val="24"/>
                              <w:szCs w:val="28"/>
                            </w:rPr>
                            <w:instrText xml:space="preserve"> PAGE  \* MERGEFORMAT </w:instrText>
                          </w:r>
                          <w:r>
                            <w:rPr>
                              <w:kern w:val="0"/>
                              <w:sz w:val="24"/>
                              <w:szCs w:val="28"/>
                            </w:rPr>
                            <w:fldChar w:fldCharType="separate"/>
                          </w:r>
                          <w:r>
                            <w:rPr>
                              <w:kern w:val="0"/>
                              <w:sz w:val="24"/>
                              <w:szCs w:val="28"/>
                            </w:rPr>
                            <w:t>- 30 -</w:t>
                          </w:r>
                          <w:r>
                            <w:rPr>
                              <w:kern w:val="0"/>
                              <w:sz w:val="24"/>
                              <w:szCs w:val="28"/>
                            </w:rPr>
                            <w:fldChar w:fldCharType="end"/>
                          </w:r>
                        </w:p>
                      </w:txbxContent>
                    </wps:txbx>
                    <wps:bodyPr wrap="none" lIns="0" tIns="0" rIns="0" bIns="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">
              <v:fill on="f" focussize="0,0"/>
              <v:stroke on="f"/>
              <v:imagedata o:title=""/>
              <o:lock v:ext="edit" aspectratio="f"/>
              <v:textbox inset="0mm,0mm,0mm,0mm" style="mso-fit-shape-to-text:t;">
                <w:txbxContent>
                  <w:p w14:paraId="592E5E50">
                    <w:pPr>
                      <w:snapToGrid w:val="0"/>
                      <w:jc w:val="left"/>
                      <w:rPr>
                        <w:kern w:val="0"/>
                        <w:sz w:val="18"/>
                        <w:szCs w:val="20"/>
                      </w:rPr>
                    </w:pPr>
                    <w:r>
                      <w:rPr>
                        <w:kern w:val="0"/>
                        <w:sz w:val="24"/>
                        <w:szCs w:val="28"/>
                      </w:rPr>
                      <w:fldChar w:fldCharType="begin"/>
                    </w:r>
                    <w:r>
                      <w:rPr>
                        <w:kern w:val="0"/>
                        <w:sz w:val="24"/>
                        <w:szCs w:val="28"/>
                      </w:rPr>
                      <w:instrText xml:space="preserve"> PAGE  \* MERGEFORMAT </w:instrText>
                    </w:r>
                    <w:r>
                      <w:rPr>
                        <w:kern w:val="0"/>
                        <w:sz w:val="24"/>
                        <w:szCs w:val="28"/>
                      </w:rPr>
                      <w:fldChar w:fldCharType="separate"/>
                    </w:r>
                    <w:r>
                      <w:rPr>
                        <w:kern w:val="0"/>
                        <w:sz w:val="24"/>
                        <w:szCs w:val="28"/>
                      </w:rPr>
                      <w:t>- 30 -</w:t>
                    </w:r>
                    <w:r>
                      <w:rPr>
                        <w:kern w:val="0"/>
                        <w:sz w:val="24"/>
                        <w:szCs w:val="28"/>
                      </w:rP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F602D3D">
    <w:pPr>
      <w:pStyle w:val="11"/>
      <w:ind w:right="360" w:firstLine="360"/>
    </w:pPr>
    <w: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2CF3DE6A">
                          <w:pPr>
                            <w:pStyle w:val="11"/>
                          </w:pPr>
                          <w:r>
                            <w:rPr>
                              <w:sz w:val="24"/>
                              <w:szCs w:val="24"/>
                            </w:rPr>
                            <w:fldChar w:fldCharType="begin"/>
                          </w:r>
                          <w:r>
                            <w:rPr>
                              <w:sz w:val="24"/>
                              <w:szCs w:val="24"/>
                            </w:rPr>
                            <w:instrText xml:space="preserve"> PAGE  \* MERGEFORMAT </w:instrText>
                          </w:r>
                          <w:r>
                            <w:rPr>
                              <w:sz w:val="24"/>
                              <w:szCs w:val="24"/>
                            </w:rPr>
                            <w:fldChar w:fldCharType="separate"/>
                          </w:r>
                          <w:r>
                            <w:rPr>
                              <w:sz w:val="24"/>
                              <w:szCs w:val="24"/>
                            </w:rPr>
                            <w:t>- 30 -</w:t>
                          </w:r>
                          <w:r>
                            <w:rPr>
                              <w:sz w:val="24"/>
                              <w:szCs w:val="24"/>
                            </w:rPr>
                            <w:fldChar w:fldCharType="end"/>
                          </w:r>
                        </w:p>
                      </w:txbxContent>
                    </wps:txbx>
                    <wps:bodyPr wrap="none" lIns="0" tIns="0" rIns="0" bIns="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">
              <v:fill on="f" focussize="0,0"/>
              <v:stroke on="f"/>
              <v:imagedata o:title=""/>
              <o:lock v:ext="edit" aspectratio="f"/>
              <v:textbox inset="0mm,0mm,0mm,0mm" style="mso-fit-shape-to-text:t;">
                <w:txbxContent>
                  <w:p w14:paraId="2CF3DE6A">
                    <w:pPr>
                      <w:pStyle w:val="11"/>
                    </w:pPr>
                    <w:r>
                      <w:rPr>
                        <w:sz w:val="24"/>
                        <w:szCs w:val="24"/>
                      </w:rPr>
                      <w:fldChar w:fldCharType="begin"/>
                    </w:r>
                    <w:r>
                      <w:rPr>
                        <w:sz w:val="24"/>
                        <w:szCs w:val="24"/>
                      </w:rPr>
                      <w:instrText xml:space="preserve"> PAGE  \* MERGEFORMAT </w:instrText>
                    </w:r>
                    <w:r>
                      <w:rPr>
                        <w:sz w:val="24"/>
                        <w:szCs w:val="24"/>
                      </w:rPr>
                      <w:fldChar w:fldCharType="separate"/>
                    </w:r>
                    <w:r>
                      <w:rPr>
                        <w:sz w:val="24"/>
                        <w:szCs w:val="24"/>
                      </w:rPr>
                      <w:t>- 30 -</w:t>
                    </w:r>
                    <w:r>
                      <w:rPr>
                        <w:sz w:val="24"/>
                        <w:szCs w:val="24"/>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64CE378">
    <w:pPr>
      <w:pStyle w:val="12"/>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5CFB57A"/>
    <w:multiLevelType w:val="singleLevel"/>
    <w:tmpl w:val="85CFB57A"/>
    <w:lvl w:ilvl="0" w:tentative="0">
      <w:start w:val="1"/>
      <w:numFmt w:val="decimal"/>
      <w:suff w:val="nothing"/>
      <w:lvlText w:val="（%1）"/>
      <w:lvlJc w:val="left"/>
    </w:lvl>
  </w:abstractNum>
  <w:abstractNum w:abstractNumId="1">
    <w:nsid w:val="8683598F"/>
    <w:multiLevelType w:val="singleLevel"/>
    <w:tmpl w:val="8683598F"/>
    <w:lvl w:ilvl="0" w:tentative="0">
      <w:start w:val="1"/>
      <w:numFmt w:val="decimal"/>
      <w:suff w:val="nothing"/>
      <w:lvlText w:val="%1、"/>
      <w:lvlJc w:val="left"/>
    </w:lvl>
  </w:abstractNum>
  <w:abstractNum w:abstractNumId="2">
    <w:nsid w:val="9FC5D75C"/>
    <w:multiLevelType w:val="singleLevel"/>
    <w:tmpl w:val="9FC5D75C"/>
    <w:lvl w:ilvl="0" w:tentative="0">
      <w:start w:val="1"/>
      <w:numFmt w:val="decimal"/>
      <w:suff w:val="nothing"/>
      <w:lvlText w:val="%1、"/>
      <w:lvlJc w:val="left"/>
    </w:lvl>
  </w:abstractNum>
  <w:abstractNum w:abstractNumId="3">
    <w:nsid w:val="0825D59F"/>
    <w:multiLevelType w:val="singleLevel"/>
    <w:tmpl w:val="0825D59F"/>
    <w:lvl w:ilvl="0" w:tentative="0">
      <w:start w:val="2"/>
      <w:numFmt w:val="decimal"/>
      <w:suff w:val="nothing"/>
      <w:lvlText w:val="（%1）"/>
      <w:lvlJc w:val="left"/>
    </w:lvl>
  </w:abstractNum>
  <w:abstractNum w:abstractNumId="4">
    <w:nsid w:val="1F908033"/>
    <w:multiLevelType w:val="singleLevel"/>
    <w:tmpl w:val="1F908033"/>
    <w:lvl w:ilvl="0" w:tentative="0">
      <w:start w:val="4"/>
      <w:numFmt w:val="chineseCounting"/>
      <w:suff w:val="nothing"/>
      <w:lvlText w:val="（%1）"/>
      <w:lvlJc w:val="left"/>
      <w:rPr>
        <w:rFonts w:hint="eastAsia"/>
      </w:rPr>
    </w:lvl>
  </w:abstractNum>
  <w:abstractNum w:abstractNumId="5">
    <w:nsid w:val="550B8512"/>
    <w:multiLevelType w:val="singleLevel"/>
    <w:tmpl w:val="550B8512"/>
    <w:lvl w:ilvl="0" w:tentative="0">
      <w:start w:val="2"/>
      <w:numFmt w:val="decimal"/>
      <w:suff w:val="nothing"/>
      <w:lvlText w:val="%1）"/>
      <w:lvlJc w:val="left"/>
    </w:lvl>
  </w:abstractNum>
  <w:num w:numId="1">
    <w:abstractNumId w:val="2"/>
  </w:num>
  <w:num w:numId="2">
    <w:abstractNumId w:val="4"/>
  </w:num>
  <w:num w:numId="3">
    <w:abstractNumId w:val="1"/>
  </w:num>
  <w:num w:numId="4">
    <w:abstractNumId w:val="5"/>
  </w:num>
  <w:num w:numId="5">
    <w:abstractNumId w:val="3"/>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9"/>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mQzZGVlZDhlMTk4OWE5ZDRlNWZmYzJhZTU1NWFlZWUifQ=="/>
  </w:docVars>
  <w:rsids>
    <w:rsidRoot w:val="459D7124"/>
    <w:rsid w:val="000100BD"/>
    <w:rsid w:val="008533D5"/>
    <w:rsid w:val="009F7F8A"/>
    <w:rsid w:val="00C37EEC"/>
    <w:rsid w:val="00C87D1B"/>
    <w:rsid w:val="00DD65A4"/>
    <w:rsid w:val="01245FE0"/>
    <w:rsid w:val="01823744"/>
    <w:rsid w:val="02F94AB6"/>
    <w:rsid w:val="033C22CF"/>
    <w:rsid w:val="041D47D5"/>
    <w:rsid w:val="043266F7"/>
    <w:rsid w:val="04656365"/>
    <w:rsid w:val="06CA028C"/>
    <w:rsid w:val="08801C5B"/>
    <w:rsid w:val="088F6AD2"/>
    <w:rsid w:val="0A3B02D0"/>
    <w:rsid w:val="0AD516EE"/>
    <w:rsid w:val="0AE95CFC"/>
    <w:rsid w:val="0EF7152D"/>
    <w:rsid w:val="0FE33D08"/>
    <w:rsid w:val="104B66D4"/>
    <w:rsid w:val="10702395"/>
    <w:rsid w:val="1077037C"/>
    <w:rsid w:val="11EE731D"/>
    <w:rsid w:val="12E32572"/>
    <w:rsid w:val="156149C2"/>
    <w:rsid w:val="169D6697"/>
    <w:rsid w:val="17942BA8"/>
    <w:rsid w:val="1A661F1A"/>
    <w:rsid w:val="1B143032"/>
    <w:rsid w:val="1B2D759B"/>
    <w:rsid w:val="1BA6350C"/>
    <w:rsid w:val="1E200B1D"/>
    <w:rsid w:val="1EC2372A"/>
    <w:rsid w:val="1ED72A10"/>
    <w:rsid w:val="1EE269E2"/>
    <w:rsid w:val="1F103499"/>
    <w:rsid w:val="1FD42A07"/>
    <w:rsid w:val="202B4C8F"/>
    <w:rsid w:val="202E218F"/>
    <w:rsid w:val="20785A58"/>
    <w:rsid w:val="212F501D"/>
    <w:rsid w:val="21F7620D"/>
    <w:rsid w:val="22342FBD"/>
    <w:rsid w:val="228D15E2"/>
    <w:rsid w:val="229C052C"/>
    <w:rsid w:val="22F87E51"/>
    <w:rsid w:val="232C638A"/>
    <w:rsid w:val="235E4E24"/>
    <w:rsid w:val="24D30C6B"/>
    <w:rsid w:val="26871955"/>
    <w:rsid w:val="27497244"/>
    <w:rsid w:val="27ED7E11"/>
    <w:rsid w:val="289D1D2D"/>
    <w:rsid w:val="28FB2A0A"/>
    <w:rsid w:val="298E0665"/>
    <w:rsid w:val="2A4E308A"/>
    <w:rsid w:val="2A7F0C3A"/>
    <w:rsid w:val="2AD90BA6"/>
    <w:rsid w:val="2C234784"/>
    <w:rsid w:val="2CFD4900"/>
    <w:rsid w:val="2D55028C"/>
    <w:rsid w:val="2D846881"/>
    <w:rsid w:val="2E4E563C"/>
    <w:rsid w:val="2E526EF3"/>
    <w:rsid w:val="2F0078E8"/>
    <w:rsid w:val="303763DB"/>
    <w:rsid w:val="30524B42"/>
    <w:rsid w:val="30A65249"/>
    <w:rsid w:val="31D11D75"/>
    <w:rsid w:val="32E70C34"/>
    <w:rsid w:val="33B74885"/>
    <w:rsid w:val="34A023AB"/>
    <w:rsid w:val="34AA2520"/>
    <w:rsid w:val="35174172"/>
    <w:rsid w:val="352A5A97"/>
    <w:rsid w:val="353A3F83"/>
    <w:rsid w:val="35B777DD"/>
    <w:rsid w:val="35C93C32"/>
    <w:rsid w:val="373133CE"/>
    <w:rsid w:val="376932B2"/>
    <w:rsid w:val="387A6162"/>
    <w:rsid w:val="391F703D"/>
    <w:rsid w:val="396B1BBD"/>
    <w:rsid w:val="398750F2"/>
    <w:rsid w:val="399208C8"/>
    <w:rsid w:val="39A90146"/>
    <w:rsid w:val="3A141A9A"/>
    <w:rsid w:val="3A9A0C47"/>
    <w:rsid w:val="3B15767C"/>
    <w:rsid w:val="3B606CB9"/>
    <w:rsid w:val="3BD1667E"/>
    <w:rsid w:val="3C38119C"/>
    <w:rsid w:val="3C7334B5"/>
    <w:rsid w:val="3CB24960"/>
    <w:rsid w:val="3DE74F30"/>
    <w:rsid w:val="3F0253DB"/>
    <w:rsid w:val="3F08664C"/>
    <w:rsid w:val="3F514C69"/>
    <w:rsid w:val="3FA640EA"/>
    <w:rsid w:val="3FE37F2D"/>
    <w:rsid w:val="40363195"/>
    <w:rsid w:val="40AA087F"/>
    <w:rsid w:val="438328CB"/>
    <w:rsid w:val="44DC49FF"/>
    <w:rsid w:val="459B16BA"/>
    <w:rsid w:val="459D7124"/>
    <w:rsid w:val="46E20922"/>
    <w:rsid w:val="48893F43"/>
    <w:rsid w:val="49216C81"/>
    <w:rsid w:val="49E71F35"/>
    <w:rsid w:val="4A5705E5"/>
    <w:rsid w:val="4A8F0C82"/>
    <w:rsid w:val="4AB82E60"/>
    <w:rsid w:val="4BED0167"/>
    <w:rsid w:val="4CFE285F"/>
    <w:rsid w:val="4E077263"/>
    <w:rsid w:val="4E682371"/>
    <w:rsid w:val="50033E4B"/>
    <w:rsid w:val="50160A05"/>
    <w:rsid w:val="50C7350F"/>
    <w:rsid w:val="51047306"/>
    <w:rsid w:val="518A083B"/>
    <w:rsid w:val="51D53C6F"/>
    <w:rsid w:val="51F05D8D"/>
    <w:rsid w:val="5282675F"/>
    <w:rsid w:val="53E959C3"/>
    <w:rsid w:val="54207762"/>
    <w:rsid w:val="54617C92"/>
    <w:rsid w:val="54C33A87"/>
    <w:rsid w:val="54E61022"/>
    <w:rsid w:val="55C43251"/>
    <w:rsid w:val="55FA4674"/>
    <w:rsid w:val="56957271"/>
    <w:rsid w:val="56B7504A"/>
    <w:rsid w:val="57535884"/>
    <w:rsid w:val="58847722"/>
    <w:rsid w:val="59622AC8"/>
    <w:rsid w:val="59E14631"/>
    <w:rsid w:val="5A072562"/>
    <w:rsid w:val="5A0C3FFB"/>
    <w:rsid w:val="5AB814D9"/>
    <w:rsid w:val="5ACD3DB7"/>
    <w:rsid w:val="5B0F7D33"/>
    <w:rsid w:val="5B7D3ED0"/>
    <w:rsid w:val="5E573A6A"/>
    <w:rsid w:val="5FB36E1F"/>
    <w:rsid w:val="60047D8D"/>
    <w:rsid w:val="601E6EE1"/>
    <w:rsid w:val="607B4A8E"/>
    <w:rsid w:val="60AC2446"/>
    <w:rsid w:val="62495B5A"/>
    <w:rsid w:val="63A66B70"/>
    <w:rsid w:val="644A4D95"/>
    <w:rsid w:val="64697CC6"/>
    <w:rsid w:val="64726E03"/>
    <w:rsid w:val="647844A1"/>
    <w:rsid w:val="64A32CEC"/>
    <w:rsid w:val="65033C2E"/>
    <w:rsid w:val="65BB1C97"/>
    <w:rsid w:val="65ED57BC"/>
    <w:rsid w:val="66234D4E"/>
    <w:rsid w:val="67800AFA"/>
    <w:rsid w:val="68CD0392"/>
    <w:rsid w:val="6968417C"/>
    <w:rsid w:val="696B29E7"/>
    <w:rsid w:val="6A00654F"/>
    <w:rsid w:val="6AE97B6D"/>
    <w:rsid w:val="6AEC62DC"/>
    <w:rsid w:val="6B8275CC"/>
    <w:rsid w:val="6BBC300C"/>
    <w:rsid w:val="6CDB63BF"/>
    <w:rsid w:val="6E0E7BD2"/>
    <w:rsid w:val="6E103CE5"/>
    <w:rsid w:val="6E5739AF"/>
    <w:rsid w:val="6EC90A21"/>
    <w:rsid w:val="6F5C1E1E"/>
    <w:rsid w:val="6FD3454E"/>
    <w:rsid w:val="708A18AA"/>
    <w:rsid w:val="71E82A49"/>
    <w:rsid w:val="72873EDD"/>
    <w:rsid w:val="728A28D7"/>
    <w:rsid w:val="734971BC"/>
    <w:rsid w:val="7375390B"/>
    <w:rsid w:val="73AB78F6"/>
    <w:rsid w:val="73DE2937"/>
    <w:rsid w:val="73F82E7E"/>
    <w:rsid w:val="7462619E"/>
    <w:rsid w:val="74A44256"/>
    <w:rsid w:val="752A1D4C"/>
    <w:rsid w:val="75BE55E8"/>
    <w:rsid w:val="776D0E74"/>
    <w:rsid w:val="777119B4"/>
    <w:rsid w:val="782D1567"/>
    <w:rsid w:val="7830502B"/>
    <w:rsid w:val="78777193"/>
    <w:rsid w:val="7A873B55"/>
    <w:rsid w:val="7AFE38B3"/>
    <w:rsid w:val="7B046283"/>
    <w:rsid w:val="7B0A3A31"/>
    <w:rsid w:val="7B512E8E"/>
    <w:rsid w:val="7C2E7D91"/>
    <w:rsid w:val="7C846239"/>
    <w:rsid w:val="7DA8705E"/>
    <w:rsid w:val="7DC30455"/>
    <w:rsid w:val="7E0530C1"/>
    <w:rsid w:val="7E517B85"/>
    <w:rsid w:val="7EF276D3"/>
    <w:rsid w:val="7FED08D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99"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99" w:semiHidden="0" w:name="Body Text First Indent"/>
    <w:lsdException w:qFormat="1" w:unhideWhenUsed="0" w:uiPriority="99" w:semiHidden="0" w:name="Body Text First Indent 2"/>
    <w:lsdException w:unhideWhenUsed="0" w:uiPriority="0" w:semiHidden="0" w:name="Note Heading"/>
    <w:lsdException w:unhideWhenUsed="0" w:uiPriority="0" w:semiHidden="0" w:name="Body Text 2"/>
    <w:lsdException w:qFormat="1" w:uiPriority="1" w:semiHidden="0" w:name="Body Text 3"/>
    <w:lsdException w:unhideWhenUsed="0" w:uiPriority="0" w:semiHidden="0" w:name="Body Text Indent 2"/>
    <w:lsdException w:unhideWhenUsed="0" w:uiPriority="0" w:semiHidden="0" w:name="Body Text Indent 3"/>
    <w:lsdException w:qFormat="1"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36"/>
      <w:sz w:val="48"/>
      <w:szCs w:val="48"/>
      <w:lang w:val="en-US" w:eastAsia="zh-CN" w:bidi="ar"/>
    </w:rPr>
  </w:style>
  <w:style w:type="paragraph" w:styleId="3">
    <w:name w:val="heading 2"/>
    <w:basedOn w:val="1"/>
    <w:next w:val="1"/>
    <w:qFormat/>
    <w:uiPriority w:val="0"/>
    <w:pPr>
      <w:keepNext/>
      <w:snapToGrid w:val="0"/>
      <w:outlineLvl w:val="1"/>
    </w:pPr>
    <w:rPr>
      <w:sz w:val="28"/>
    </w:rPr>
  </w:style>
  <w:style w:type="paragraph" w:styleId="4">
    <w:name w:val="heading 3"/>
    <w:basedOn w:val="1"/>
    <w:next w:val="1"/>
    <w:qFormat/>
    <w:uiPriority w:val="0"/>
    <w:pPr>
      <w:keepNext/>
      <w:keepLines/>
      <w:spacing w:before="260" w:after="260" w:line="416" w:lineRule="auto"/>
      <w:outlineLvl w:val="2"/>
    </w:pPr>
    <w:rPr>
      <w:b/>
      <w:bCs/>
      <w:sz w:val="32"/>
      <w:szCs w:val="32"/>
    </w:rPr>
  </w:style>
  <w:style w:type="character" w:default="1" w:styleId="19">
    <w:name w:val="Default Paragraph Font"/>
    <w:semiHidden/>
    <w:unhideWhenUsed/>
    <w:qFormat/>
    <w:uiPriority w:val="1"/>
  </w:style>
  <w:style w:type="table" w:default="1" w:styleId="17">
    <w:name w:val="Normal Table"/>
    <w:semiHidden/>
    <w:unhideWhenUsed/>
    <w:qFormat/>
    <w:uiPriority w:val="99"/>
    <w:tblPr>
      <w:tblCellMar>
        <w:top w:w="0" w:type="dxa"/>
        <w:left w:w="108" w:type="dxa"/>
        <w:bottom w:w="0" w:type="dxa"/>
        <w:right w:w="108" w:type="dxa"/>
      </w:tblCellMar>
    </w:tblPr>
  </w:style>
  <w:style w:type="paragraph" w:styleId="5">
    <w:name w:val="annotation text"/>
    <w:basedOn w:val="1"/>
    <w:semiHidden/>
    <w:qFormat/>
    <w:uiPriority w:val="0"/>
    <w:pPr>
      <w:jc w:val="left"/>
    </w:pPr>
    <w:rPr>
      <w:kern w:val="0"/>
      <w:sz w:val="24"/>
      <w:szCs w:val="20"/>
    </w:rPr>
  </w:style>
  <w:style w:type="paragraph" w:styleId="6">
    <w:name w:val="Body Text 3"/>
    <w:basedOn w:val="1"/>
    <w:unhideWhenUsed/>
    <w:qFormat/>
    <w:uiPriority w:val="1"/>
    <w:pPr>
      <w:spacing w:after="120"/>
    </w:pPr>
    <w:rPr>
      <w:sz w:val="16"/>
      <w:szCs w:val="16"/>
    </w:rPr>
  </w:style>
  <w:style w:type="paragraph" w:styleId="7">
    <w:name w:val="Body Text"/>
    <w:basedOn w:val="1"/>
    <w:qFormat/>
    <w:uiPriority w:val="99"/>
    <w:pPr>
      <w:spacing w:after="120"/>
    </w:pPr>
  </w:style>
  <w:style w:type="paragraph" w:styleId="8">
    <w:name w:val="Body Text Indent"/>
    <w:basedOn w:val="1"/>
    <w:qFormat/>
    <w:uiPriority w:val="0"/>
    <w:pPr>
      <w:spacing w:after="120"/>
      <w:ind w:left="420" w:leftChars="200"/>
    </w:pPr>
    <w:rPr>
      <w:kern w:val="0"/>
      <w:sz w:val="24"/>
      <w:szCs w:val="20"/>
    </w:rPr>
  </w:style>
  <w:style w:type="paragraph" w:styleId="9">
    <w:name w:val="Block Text"/>
    <w:basedOn w:val="1"/>
    <w:qFormat/>
    <w:uiPriority w:val="0"/>
    <w:pPr>
      <w:spacing w:line="320" w:lineRule="exact"/>
      <w:ind w:left="113" w:right="113"/>
      <w:jc w:val="center"/>
    </w:pPr>
    <w:rPr>
      <w:b/>
      <w:sz w:val="13"/>
      <w:szCs w:val="15"/>
    </w:rPr>
  </w:style>
  <w:style w:type="paragraph" w:styleId="10">
    <w:name w:val="Plain Text"/>
    <w:basedOn w:val="1"/>
    <w:autoRedefine/>
    <w:qFormat/>
    <w:uiPriority w:val="0"/>
    <w:rPr>
      <w:rFonts w:ascii="宋体" w:hAnsi="Courier New"/>
    </w:rPr>
  </w:style>
  <w:style w:type="paragraph" w:styleId="11">
    <w:name w:val="footer"/>
    <w:basedOn w:val="1"/>
    <w:qFormat/>
    <w:uiPriority w:val="99"/>
    <w:pPr>
      <w:tabs>
        <w:tab w:val="center" w:pos="4153"/>
        <w:tab w:val="right" w:pos="8306"/>
      </w:tabs>
      <w:snapToGrid w:val="0"/>
      <w:jc w:val="left"/>
    </w:pPr>
    <w:rPr>
      <w:kern w:val="0"/>
      <w:sz w:val="18"/>
      <w:szCs w:val="20"/>
    </w:rPr>
  </w:style>
  <w:style w:type="paragraph" w:styleId="12">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13">
    <w:name w:val="Normal (Web)"/>
    <w:basedOn w:val="1"/>
    <w:qFormat/>
    <w:uiPriority w:val="0"/>
    <w:pPr>
      <w:widowControl/>
      <w:spacing w:before="100" w:beforeAutospacing="1" w:after="100" w:afterAutospacing="1"/>
      <w:jc w:val="left"/>
    </w:pPr>
    <w:rPr>
      <w:rFonts w:ascii="宋体" w:hAnsi="宋体"/>
      <w:kern w:val="0"/>
      <w:sz w:val="24"/>
      <w:szCs w:val="20"/>
    </w:rPr>
  </w:style>
  <w:style w:type="paragraph" w:styleId="14">
    <w:name w:val="annotation subject"/>
    <w:basedOn w:val="5"/>
    <w:next w:val="1"/>
    <w:semiHidden/>
    <w:qFormat/>
    <w:uiPriority w:val="0"/>
    <w:rPr>
      <w:b/>
    </w:rPr>
  </w:style>
  <w:style w:type="paragraph" w:styleId="15">
    <w:name w:val="Body Text First Indent"/>
    <w:basedOn w:val="7"/>
    <w:qFormat/>
    <w:uiPriority w:val="99"/>
    <w:pPr>
      <w:spacing w:line="440" w:lineRule="exact"/>
      <w:ind w:firstLine="504"/>
    </w:pPr>
    <w:rPr>
      <w:spacing w:val="6"/>
    </w:rPr>
  </w:style>
  <w:style w:type="paragraph" w:styleId="16">
    <w:name w:val="Body Text First Indent 2"/>
    <w:basedOn w:val="8"/>
    <w:next w:val="15"/>
    <w:qFormat/>
    <w:uiPriority w:val="99"/>
    <w:pPr>
      <w:ind w:firstLine="420" w:firstLineChars="200"/>
    </w:pPr>
  </w:style>
  <w:style w:type="table" w:styleId="18">
    <w:name w:val="Table Grid"/>
    <w:basedOn w:val="17"/>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0">
    <w:name w:val="Emphasis"/>
    <w:basedOn w:val="19"/>
    <w:qFormat/>
    <w:uiPriority w:val="0"/>
    <w:rPr>
      <w:i/>
    </w:rPr>
  </w:style>
  <w:style w:type="character" w:styleId="21">
    <w:name w:val="Hyperlink"/>
    <w:basedOn w:val="19"/>
    <w:qFormat/>
    <w:uiPriority w:val="0"/>
    <w:rPr>
      <w:color w:val="0000FF"/>
      <w:u w:val="single"/>
    </w:rPr>
  </w:style>
  <w:style w:type="character" w:styleId="22">
    <w:name w:val="annotation reference"/>
    <w:basedOn w:val="19"/>
    <w:semiHidden/>
    <w:qFormat/>
    <w:uiPriority w:val="0"/>
    <w:rPr>
      <w:sz w:val="21"/>
    </w:rPr>
  </w:style>
  <w:style w:type="paragraph" w:customStyle="1" w:styleId="23">
    <w:name w:val="Table Paragraph"/>
    <w:basedOn w:val="1"/>
    <w:qFormat/>
    <w:uiPriority w:val="1"/>
    <w:rPr>
      <w:rFonts w:ascii="宋体" w:hAnsi="宋体" w:cs="宋体"/>
      <w:lang w:val="zh-CN" w:bidi="zh-CN"/>
    </w:rPr>
  </w:style>
  <w:style w:type="paragraph" w:customStyle="1" w:styleId="24">
    <w:name w:val="Default1"/>
    <w:autoRedefine/>
    <w:qFormat/>
    <w:uiPriority w:val="99"/>
    <w:pPr>
      <w:widowControl w:val="0"/>
      <w:autoSpaceDE w:val="0"/>
      <w:autoSpaceDN w:val="0"/>
      <w:adjustRightInd w:val="0"/>
    </w:pPr>
    <w:rPr>
      <w:rFonts w:ascii="宋体" w:hAnsi="Times New Roman" w:eastAsia="微软雅黑" w:cs="宋体"/>
      <w:color w:val="000000"/>
      <w:sz w:val="24"/>
      <w:szCs w:val="24"/>
      <w:lang w:val="en-US" w:eastAsia="zh-CN" w:bidi="ar-SA"/>
    </w:rPr>
  </w:style>
  <w:style w:type="character" w:customStyle="1" w:styleId="25">
    <w:name w:val="fontstyle01"/>
    <w:basedOn w:val="19"/>
    <w:qFormat/>
    <w:uiPriority w:val="0"/>
    <w:rPr>
      <w:rFonts w:hint="eastAsia" w:ascii="宋体" w:hAnsi="宋体" w:eastAsia="宋体"/>
      <w:color w:val="000000"/>
      <w:sz w:val="22"/>
      <w:szCs w:val="22"/>
    </w:rPr>
  </w:style>
  <w:style w:type="character" w:customStyle="1" w:styleId="26">
    <w:name w:val="fontstyle21"/>
    <w:basedOn w:val="19"/>
    <w:qFormat/>
    <w:uiPriority w:val="0"/>
    <w:rPr>
      <w:rFonts w:hint="default" w:ascii="TimesNewRomanPSMT" w:hAnsi="TimesNewRomanPSMT"/>
      <w:color w:val="000000"/>
      <w:sz w:val="22"/>
      <w:szCs w:val="22"/>
    </w:rPr>
  </w:style>
  <w:style w:type="character" w:customStyle="1" w:styleId="27">
    <w:name w:val="fontstyle11"/>
    <w:basedOn w:val="19"/>
    <w:qFormat/>
    <w:uiPriority w:val="0"/>
    <w:rPr>
      <w:rFonts w:hint="default" w:ascii="TimesNewRomanPSMT" w:hAnsi="TimesNewRomanPSMT"/>
      <w:color w:val="000000"/>
      <w:sz w:val="22"/>
      <w:szCs w:val="22"/>
    </w:rPr>
  </w:style>
  <w:style w:type="paragraph" w:customStyle="1" w:styleId="28">
    <w:name w:val="表格"/>
    <w:basedOn w:val="1"/>
    <w:next w:val="1"/>
    <w:autoRedefine/>
    <w:qFormat/>
    <w:uiPriority w:val="0"/>
    <w:pPr>
      <w:adjustRightInd w:val="0"/>
      <w:snapToGrid w:val="0"/>
      <w:spacing w:beforeLines="10" w:afterLines="10" w:line="259" w:lineRule="auto"/>
      <w:jc w:val="center"/>
    </w:pPr>
    <w:rPr>
      <w:rFonts w:ascii="宋体"/>
      <w:kern w:val="0"/>
      <w:szCs w:val="20"/>
    </w:rPr>
  </w:style>
  <w:style w:type="paragraph" w:customStyle="1" w:styleId="29">
    <w:name w:val="表格2"/>
    <w:basedOn w:val="1"/>
    <w:qFormat/>
    <w:uiPriority w:val="0"/>
    <w:pPr>
      <w:adjustRightInd w:val="0"/>
      <w:spacing w:line="320" w:lineRule="exact"/>
      <w:jc w:val="center"/>
      <w:textAlignment w:val="baseline"/>
    </w:pPr>
    <w:rPr>
      <w:sz w:val="24"/>
      <w:szCs w:val="20"/>
    </w:rPr>
  </w:style>
  <w:style w:type="paragraph" w:customStyle="1" w:styleId="30">
    <w:name w:val="样式1"/>
    <w:basedOn w:val="1"/>
    <w:next w:val="14"/>
    <w:autoRedefine/>
    <w:qFormat/>
    <w:uiPriority w:val="0"/>
    <w:pPr>
      <w:ind w:firstLine="462"/>
    </w:pPr>
    <w:rPr>
      <w:rFonts w:ascii="宋体"/>
      <w:color w:val="000000"/>
      <w:sz w:val="24"/>
    </w:rPr>
  </w:style>
  <w:style w:type="character" w:customStyle="1" w:styleId="31">
    <w:name w:val="font21"/>
    <w:basedOn w:val="19"/>
    <w:qFormat/>
    <w:uiPriority w:val="0"/>
    <w:rPr>
      <w:rFonts w:hint="eastAsia" w:ascii="宋体" w:hAnsi="宋体" w:eastAsia="宋体" w:cs="宋体"/>
      <w:color w:val="000000"/>
      <w:sz w:val="21"/>
      <w:szCs w:val="21"/>
      <w:u w:val="none"/>
    </w:rPr>
  </w:style>
  <w:style w:type="character" w:customStyle="1" w:styleId="32">
    <w:name w:val="font01"/>
    <w:basedOn w:val="19"/>
    <w:qFormat/>
    <w:uiPriority w:val="0"/>
    <w:rPr>
      <w:rFonts w:hint="default" w:ascii="Times New Roman" w:hAnsi="Times New Roman" w:cs="Times New Roman"/>
      <w:color w:val="000000"/>
      <w:sz w:val="21"/>
      <w:szCs w:val="21"/>
      <w:u w:val="none"/>
    </w:rPr>
  </w:style>
  <w:style w:type="paragraph" w:customStyle="1" w:styleId="33">
    <w:name w:val="图表标题"/>
    <w:basedOn w:val="1"/>
    <w:qFormat/>
    <w:uiPriority w:val="0"/>
    <w:pPr>
      <w:spacing w:line="240" w:lineRule="auto"/>
      <w:ind w:firstLine="0" w:firstLineChars="0"/>
      <w:jc w:val="center"/>
    </w:pPr>
    <w:rPr>
      <w:b/>
      <w:szCs w:val="22"/>
    </w:rPr>
  </w:style>
  <w:style w:type="paragraph" w:customStyle="1" w:styleId="34">
    <w:name w:val="图表文字"/>
    <w:qFormat/>
    <w:uiPriority w:val="0"/>
    <w:pPr>
      <w:widowControl w:val="0"/>
      <w:jc w:val="center"/>
    </w:pPr>
    <w:rPr>
      <w:rFonts w:ascii="Times New Roman" w:hAnsi="Times New Roman" w:eastAsia="宋体" w:cs="Times New Roman"/>
      <w:snapToGrid w:val="0"/>
      <w:kern w:val="2"/>
      <w:sz w:val="21"/>
      <w:szCs w:val="24"/>
      <w:lang w:val="en-US" w:eastAsia="zh-CN" w:bidi="ar-SA"/>
    </w:rPr>
  </w:style>
  <w:style w:type="paragraph" w:customStyle="1" w:styleId="35">
    <w:name w:val="1【表头】"/>
    <w:basedOn w:val="1"/>
    <w:qFormat/>
    <w:uiPriority w:val="0"/>
    <w:pPr>
      <w:keepNext/>
      <w:tabs>
        <w:tab w:val="left" w:pos="720"/>
        <w:tab w:val="left" w:pos="1080"/>
        <w:tab w:val="left" w:pos="4167"/>
      </w:tabs>
      <w:wordWrap w:val="0"/>
      <w:spacing w:line="360" w:lineRule="auto"/>
      <w:jc w:val="center"/>
    </w:pPr>
    <w:rPr>
      <w:b/>
      <w:kern w:val="0"/>
      <w:sz w:val="24"/>
      <w:szCs w:val="20"/>
    </w:rPr>
  </w:style>
  <w:style w:type="paragraph" w:customStyle="1" w:styleId="36">
    <w:name w:val="1报告表格"/>
    <w:basedOn w:val="1"/>
    <w:qFormat/>
    <w:uiPriority w:val="0"/>
    <w:pPr>
      <w:autoSpaceDE w:val="0"/>
      <w:autoSpaceDN w:val="0"/>
      <w:adjustRightInd w:val="0"/>
      <w:snapToGrid w:val="0"/>
      <w:jc w:val="center"/>
      <w:textAlignment w:val="bottom"/>
    </w:pPr>
    <w:rPr>
      <w:kern w:val="0"/>
      <w:szCs w:val="20"/>
    </w:rPr>
  </w:style>
  <w:style w:type="paragraph" w:customStyle="1" w:styleId="37">
    <w:name w:val="正文11"/>
    <w:basedOn w:val="1"/>
    <w:qFormat/>
    <w:uiPriority w:val="0"/>
    <w:pPr>
      <w:adjustRightInd w:val="0"/>
      <w:ind w:firstLine="0"/>
    </w:pPr>
    <w:rPr>
      <w:rFonts w:eastAsia="楷体_GB2312"/>
    </w:rPr>
  </w:style>
  <w:style w:type="paragraph" w:customStyle="1" w:styleId="38">
    <w:name w:val="环评表格内容"/>
    <w:qFormat/>
    <w:uiPriority w:val="0"/>
    <w:pPr>
      <w:adjustRightInd w:val="0"/>
      <w:jc w:val="center"/>
    </w:pPr>
    <w:rPr>
      <w:rFonts w:ascii="Times New Roman" w:hAnsi="Times New Roman" w:eastAsia="宋体" w:cs="Times New Roman"/>
      <w:sz w:val="21"/>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image" Target="media/image2.png"/><Relationship Id="rId8" Type="http://schemas.openxmlformats.org/officeDocument/2006/relationships/image" Target="media/image1.png"/><Relationship Id="rId7" Type="http://schemas.openxmlformats.org/officeDocument/2006/relationships/theme" Target="theme/theme1.xml"/><Relationship Id="rId6" Type="http://schemas.openxmlformats.org/officeDocument/2006/relationships/header" Target="header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7" Type="http://schemas.openxmlformats.org/officeDocument/2006/relationships/fontTable" Target="fontTable.xml"/><Relationship Id="rId16" Type="http://schemas.openxmlformats.org/officeDocument/2006/relationships/numbering" Target="numbering.xml"/><Relationship Id="rId15" Type="http://schemas.openxmlformats.org/officeDocument/2006/relationships/customXml" Target="../customXml/item1.xml"/><Relationship Id="rId14" Type="http://schemas.openxmlformats.org/officeDocument/2006/relationships/image" Target="media/image6.wmf"/><Relationship Id="rId13" Type="http://schemas.openxmlformats.org/officeDocument/2006/relationships/oleObject" Target="embeddings/oleObject1.bin"/><Relationship Id="rId12" Type="http://schemas.openxmlformats.org/officeDocument/2006/relationships/image" Target="media/image5.png"/><Relationship Id="rId11" Type="http://schemas.openxmlformats.org/officeDocument/2006/relationships/image" Target="media/image4.png"/><Relationship Id="rId10" Type="http://schemas.openxmlformats.org/officeDocument/2006/relationships/image" Target="media/image3.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1026" textRotate="1"/>
  </customShpExts>
  <extobjs>
    <extobj name="ECB019B1-382A-4266-B25C-5B523AA43C14-1">
      <extobjdata type="ECB019B1-382A-4266-B25C-5B523AA43C14" data="ewoJIkZpbGVJZCIgOiAiMzQxODAyMTE5NzkxIiwKCSJHcm91cElkIiA6ICIyMjUzNTQ5MjciLAoJIkltYWdlIiA6ICJpVkJPUncwS0dnb0FBQUFOU1VoRVVnQUFBRXNBQUFCTENBWUFBQUE0VG5ycUFBQUFBWE5TUjBJQXJzNGM2UUFBQUMxSlJFRlVlSnp0d1RFQkFBQUF3cUQxVDIwTUg2QUFBQUFBQUFBQUFBQUFBQUFBQUFBQUFBQUFBQUNBc3dGWUx3QUJjQlY5NkFBQUFBQkpSVTVFcmtKZ2dnPT0iLAoJIlRoZW1lIiA6ICIiLAoJIlR5cGUiIDogImZsb3ciLAoJIlZlcnNpb24iIDogIiIKfQo="/>
    </extobj>
    <extobj name="ECB019B1-382A-4266-B25C-5B523AA43C14-2">
      <extobjdata type="ECB019B1-382A-4266-B25C-5B523AA43C14" data="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"/>
    </extobj>
    <extobj name="ECB019B1-382A-4266-B25C-5B523AA43C14-3">
      <extobjdata type="ECB019B1-382A-4266-B25C-5B523AA43C14" data="ewoJIkZpbGVJZCIgOiAiMzQxODExMTA5MTE2IiwKCSJHcm91cElkIiA6ICIyMjUzNTQ5MjciLAoJIkltYWdlIiA6ICJpVkJPUncwS0dnb0FBQUFOU1VoRVVnQUFBRXNBQUFCTENBWUFBQUE0VG5ycUFBQUFBWE5TUjBJQXJzNGM2UUFBQUMxSlJFRlVlSnp0d1RFQkFBQUF3cUQxVDIwTUg2QUFBQUFBQUFBQUFBQUFBQUFBQUFBQUFBQUFBQUNBc3dGWUx3QUJjQlY5NkFBQUFBQkpSVTVFcmtKZ2dnPT0iLAoJIlRoZW1lIiA6ICIiLAoJIlR5cGUiIDogImZsb3ciLAoJIlZlcnNpb24iIDogIiIKfQo="/>
    </extobj>
    <extobj name="ECB019B1-382A-4266-B25C-5B523AA43C14-4">
      <extobjdata type="ECB019B1-382A-4266-B25C-5B523AA43C14" data="ewoJIkZpbGVJZCIgOiAiMzQxODExMTA5MTE2IiwKCSJHcm91cElkIiA6ICIyMjUzNTQ5MjciLAoJIkltYWdlIiA6ICJpVkJPUncwS0dnb0FBQUFOU1VoRVVnQUFBRXNBQUFCTENBWUFBQUE0VG5ycUFBQUFBWE5TUjBJQXJzNGM2UUFBQUMxSlJFRlVlSnp0d1RFQkFBQUF3cUQxVDIwTUg2QUFBQUFBQUFBQUFBQUFBQUFBQUFBQUFBQUFBQUNBc3dGWUx3QUJjQlY5NkFBQUFBQkpSVTVFcmtKZ2dnPT0iLAoJIlRoZW1lIiA6ICIiLAoJIlR5cGUiIDogImZsb3ciLAoJIlZlcnNpb24iIDogIiIKfQo="/>
    </extobj>
  </extobj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36</Pages>
  <Words>7864</Words>
  <Characters>8241</Characters>
  <Lines>230</Lines>
  <Paragraphs>64</Paragraphs>
  <TotalTime>29</TotalTime>
  <ScaleCrop>false</ScaleCrop>
  <LinksUpToDate>false</LinksUpToDate>
  <CharactersWithSpaces>8314</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2023-02-17T01:52:00Z</dcterms:created>
  <dc:creator>大大的脑袋</dc:creator>
  <cp:lastModifiedBy>t</cp:lastModifiedBy>
  <dcterms:modified xsi:type="dcterms:W3CDTF">2024-11-04T01:46:31Z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64B7FCBB8BBA41A1AA0DEDEF32D1978C_13</vt:lpwstr>
  </property>
</Properties>
</file>