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rPr>
          <w:rFonts w:hint="eastAsia" w:eastAsia="仿宋_GB2312"/>
          <w:color w:val="auto"/>
          <w:sz w:val="36"/>
          <w:szCs w:val="36"/>
          <w:highlight w:val="none"/>
          <w:lang w:val="en-US" w:eastAsia="zh-CN"/>
        </w:rPr>
      </w:pPr>
    </w:p>
    <w:p>
      <w:pPr>
        <w:ind w:firstLine="720"/>
        <w:rPr>
          <w:rFonts w:eastAsia="仿宋_GB2312"/>
          <w:color w:val="auto"/>
          <w:sz w:val="36"/>
          <w:szCs w:val="36"/>
          <w:highlight w:val="none"/>
        </w:rPr>
      </w:pPr>
    </w:p>
    <w:p>
      <w:pPr>
        <w:adjustRightInd w:val="0"/>
        <w:snapToGrid w:val="0"/>
        <w:ind w:firstLine="0" w:firstLineChars="0"/>
        <w:jc w:val="center"/>
        <w:outlineLvl w:val="0"/>
        <w:rPr>
          <w:rFonts w:eastAsia="方正小标宋_GBK"/>
          <w:b w:val="0"/>
          <w:bCs/>
          <w:color w:val="auto"/>
          <w:sz w:val="72"/>
          <w:szCs w:val="72"/>
          <w:highlight w:val="none"/>
        </w:rPr>
      </w:pPr>
      <w:r>
        <w:rPr>
          <w:rFonts w:hint="eastAsia" w:eastAsia="方正小标宋_GBK"/>
          <w:b w:val="0"/>
          <w:bCs/>
          <w:color w:val="auto"/>
          <w:sz w:val="72"/>
          <w:szCs w:val="72"/>
          <w:highlight w:val="none"/>
        </w:rPr>
        <w:t>建设</w:t>
      </w:r>
      <w:r>
        <w:rPr>
          <w:rFonts w:eastAsia="方正小标宋_GBK"/>
          <w:b w:val="0"/>
          <w:bCs/>
          <w:color w:val="auto"/>
          <w:sz w:val="72"/>
          <w:szCs w:val="72"/>
          <w:highlight w:val="none"/>
        </w:rPr>
        <w:t>项目环境影响报告表</w:t>
      </w:r>
    </w:p>
    <w:p>
      <w:pPr>
        <w:adjustRightInd w:val="0"/>
        <w:snapToGrid w:val="0"/>
        <w:spacing w:before="192" w:beforeLines="80"/>
        <w:ind w:firstLine="0" w:firstLineChars="0"/>
        <w:jc w:val="center"/>
        <w:rPr>
          <w:rFonts w:eastAsia="楷体_GB2312"/>
          <w:bCs/>
          <w:color w:val="auto"/>
          <w:sz w:val="48"/>
          <w:szCs w:val="48"/>
          <w:highlight w:val="none"/>
        </w:rPr>
      </w:pPr>
      <w:r>
        <w:rPr>
          <w:rFonts w:eastAsia="楷体_GB2312"/>
          <w:bCs/>
          <w:color w:val="auto"/>
          <w:sz w:val="48"/>
          <w:szCs w:val="48"/>
          <w:highlight w:val="none"/>
        </w:rPr>
        <w:t>（污染影响类）</w:t>
      </w:r>
    </w:p>
    <w:p>
      <w:pPr>
        <w:adjustRightInd w:val="0"/>
        <w:snapToGrid w:val="0"/>
        <w:spacing w:line="288" w:lineRule="auto"/>
        <w:ind w:firstLine="880"/>
        <w:jc w:val="center"/>
        <w:outlineLvl w:val="0"/>
        <w:rPr>
          <w:rFonts w:eastAsia="华文仿宋"/>
          <w:color w:val="auto"/>
          <w:kern w:val="44"/>
          <w:sz w:val="44"/>
          <w:szCs w:val="44"/>
          <w:highlight w:val="none"/>
        </w:rPr>
      </w:pPr>
    </w:p>
    <w:p>
      <w:pPr>
        <w:ind w:firstLine="1040"/>
        <w:jc w:val="center"/>
        <w:rPr>
          <w:rFonts w:eastAsia="仿宋"/>
          <w:color w:val="auto"/>
          <w:sz w:val="52"/>
          <w:szCs w:val="52"/>
          <w:highlight w:val="none"/>
        </w:rPr>
      </w:pPr>
    </w:p>
    <w:p>
      <w:pPr>
        <w:ind w:firstLine="880"/>
        <w:rPr>
          <w:rFonts w:eastAsia="仿宋"/>
          <w:color w:val="auto"/>
          <w:sz w:val="44"/>
          <w:szCs w:val="44"/>
          <w:highlight w:val="none"/>
        </w:rPr>
      </w:pPr>
    </w:p>
    <w:p>
      <w:pPr>
        <w:ind w:firstLine="880"/>
        <w:rPr>
          <w:rFonts w:eastAsia="仿宋"/>
          <w:color w:val="auto"/>
          <w:sz w:val="44"/>
          <w:szCs w:val="44"/>
          <w:highlight w:val="none"/>
        </w:rPr>
      </w:pPr>
    </w:p>
    <w:p>
      <w:pPr>
        <w:ind w:firstLine="880"/>
        <w:rPr>
          <w:rFonts w:eastAsia="仿宋"/>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276" w:lineRule="auto"/>
        <w:ind w:left="0" w:leftChars="0" w:firstLine="280" w:firstLineChars="100"/>
        <w:jc w:val="left"/>
        <w:textAlignment w:val="auto"/>
        <w:rPr>
          <w:rFonts w:eastAsia="仿宋_GB2312"/>
          <w:color w:val="auto"/>
          <w:sz w:val="28"/>
          <w:szCs w:val="28"/>
          <w:highlight w:val="none"/>
          <w:u w:val="single"/>
        </w:rPr>
      </w:pPr>
      <w:r>
        <w:rPr>
          <w:rFonts w:hint="eastAsia" w:eastAsia="仿宋_GB2312"/>
          <w:color w:val="auto"/>
          <w:sz w:val="28"/>
          <w:szCs w:val="28"/>
          <w:highlight w:val="none"/>
        </w:rPr>
        <w:t>项 目 名 称</w:t>
      </w:r>
      <w:r>
        <w:rPr>
          <w:rFonts w:eastAsia="仿宋_GB2312"/>
          <w:color w:val="auto"/>
          <w:sz w:val="28"/>
          <w:szCs w:val="28"/>
          <w:highlight w:val="none"/>
        </w:rPr>
        <w:t>：</w:t>
      </w:r>
      <w:r>
        <w:rPr>
          <w:rFonts w:hint="eastAsia" w:eastAsia="仿宋_GB2312"/>
          <w:color w:val="auto"/>
          <w:sz w:val="28"/>
          <w:szCs w:val="28"/>
          <w:highlight w:val="none"/>
          <w:u w:val="single"/>
        </w:rPr>
        <w:t xml:space="preserve">  </w:t>
      </w:r>
      <w:r>
        <w:rPr>
          <w:rFonts w:hint="eastAsia" w:eastAsia="仿宋_GB2312"/>
          <w:color w:val="auto"/>
          <w:sz w:val="28"/>
          <w:szCs w:val="28"/>
          <w:highlight w:val="none"/>
          <w:u w:val="single"/>
          <w:lang w:eastAsia="zh-CN"/>
        </w:rPr>
        <w:t>陕西佳茂管业工程股份有限公司生产给水管道项目</w:t>
      </w:r>
      <w:r>
        <w:rPr>
          <w:rFonts w:hint="eastAsia" w:eastAsia="仿宋_GB2312"/>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76" w:lineRule="auto"/>
        <w:ind w:left="0" w:leftChars="0" w:firstLine="280" w:firstLineChars="100"/>
        <w:jc w:val="left"/>
        <w:textAlignment w:val="auto"/>
        <w:rPr>
          <w:rFonts w:eastAsia="仿宋_GB2312"/>
          <w:color w:val="auto"/>
          <w:spacing w:val="-28"/>
          <w:sz w:val="28"/>
          <w:szCs w:val="28"/>
          <w:highlight w:val="none"/>
          <w:u w:val="single"/>
        </w:rPr>
      </w:pPr>
      <w:r>
        <w:rPr>
          <w:rFonts w:eastAsia="仿宋_GB2312"/>
          <w:color w:val="auto"/>
          <w:sz w:val="28"/>
          <w:szCs w:val="28"/>
          <w:highlight w:val="none"/>
        </w:rPr>
        <w:t>建设单位（盖章）：</w:t>
      </w:r>
      <w:r>
        <w:rPr>
          <w:rFonts w:hint="eastAsia" w:eastAsia="仿宋_GB2312"/>
          <w:color w:val="auto"/>
          <w:sz w:val="28"/>
          <w:szCs w:val="28"/>
          <w:highlight w:val="none"/>
          <w:u w:val="single"/>
        </w:rPr>
        <w:t xml:space="preserve">  </w:t>
      </w:r>
      <w:r>
        <w:rPr>
          <w:rFonts w:hint="eastAsia" w:eastAsia="仿宋_GB2312"/>
          <w:color w:val="auto"/>
          <w:sz w:val="28"/>
          <w:szCs w:val="28"/>
          <w:highlight w:val="none"/>
          <w:u w:val="single"/>
          <w:lang w:val="en-US" w:eastAsia="zh-CN"/>
        </w:rPr>
        <w:t xml:space="preserve">   </w:t>
      </w:r>
      <w:r>
        <w:rPr>
          <w:rFonts w:hint="eastAsia" w:eastAsia="仿宋_GB2312"/>
          <w:color w:val="auto"/>
          <w:sz w:val="28"/>
          <w:szCs w:val="28"/>
          <w:highlight w:val="none"/>
          <w:u w:val="single"/>
          <w:lang w:eastAsia="zh-CN"/>
        </w:rPr>
        <w:t>陕西佳茂管业工程股份有限公司</w:t>
      </w:r>
      <w:r>
        <w:rPr>
          <w:rFonts w:hint="eastAsia" w:eastAsia="仿宋_GB2312"/>
          <w:color w:val="auto"/>
          <w:sz w:val="28"/>
          <w:szCs w:val="28"/>
          <w:highlight w:val="none"/>
          <w:u w:val="single"/>
          <w:lang w:val="en-US" w:eastAsia="zh-CN"/>
        </w:rPr>
        <w:t xml:space="preserve">        </w:t>
      </w:r>
      <w:r>
        <w:rPr>
          <w:rFonts w:hint="eastAsia" w:eastAsia="仿宋_GB2312"/>
          <w:color w:val="auto"/>
          <w:sz w:val="28"/>
          <w:szCs w:val="28"/>
          <w:highlight w:val="none"/>
          <w:u w:val="single"/>
        </w:rPr>
        <w:t xml:space="preserve"> </w:t>
      </w:r>
      <w:r>
        <w:rPr>
          <w:rFonts w:hint="eastAsia" w:eastAsia="仿宋_GB2312"/>
          <w:color w:val="auto"/>
          <w:spacing w:val="-28"/>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76" w:lineRule="auto"/>
        <w:ind w:left="0" w:leftChars="0" w:firstLine="280" w:firstLineChars="100"/>
        <w:jc w:val="left"/>
        <w:textAlignment w:val="auto"/>
        <w:rPr>
          <w:rFonts w:eastAsia="仿宋_GB2312"/>
          <w:color w:val="auto"/>
          <w:sz w:val="32"/>
          <w:szCs w:val="32"/>
          <w:highlight w:val="none"/>
          <w:u w:val="single"/>
        </w:rPr>
      </w:pPr>
      <w:r>
        <w:rPr>
          <w:rFonts w:eastAsia="仿宋_GB2312"/>
          <w:color w:val="auto"/>
          <w:sz w:val="28"/>
          <w:szCs w:val="28"/>
          <w:highlight w:val="none"/>
        </w:rPr>
        <w:t>编</w:t>
      </w:r>
      <w:r>
        <w:rPr>
          <w:rFonts w:hint="eastAsia" w:eastAsia="仿宋_GB2312"/>
          <w:color w:val="auto"/>
          <w:sz w:val="28"/>
          <w:szCs w:val="28"/>
          <w:highlight w:val="none"/>
        </w:rPr>
        <w:t xml:space="preserve"> </w:t>
      </w:r>
      <w:r>
        <w:rPr>
          <w:rFonts w:eastAsia="仿宋_GB2312"/>
          <w:color w:val="auto"/>
          <w:sz w:val="28"/>
          <w:szCs w:val="28"/>
          <w:highlight w:val="none"/>
        </w:rPr>
        <w:t>制</w:t>
      </w:r>
      <w:r>
        <w:rPr>
          <w:rFonts w:hint="eastAsia" w:eastAsia="仿宋_GB2312"/>
          <w:color w:val="auto"/>
          <w:sz w:val="28"/>
          <w:szCs w:val="28"/>
          <w:highlight w:val="none"/>
        </w:rPr>
        <w:t xml:space="preserve"> </w:t>
      </w:r>
      <w:r>
        <w:rPr>
          <w:rFonts w:eastAsia="仿宋_GB2312"/>
          <w:color w:val="auto"/>
          <w:sz w:val="28"/>
          <w:szCs w:val="28"/>
          <w:highlight w:val="none"/>
        </w:rPr>
        <w:t>日</w:t>
      </w:r>
      <w:r>
        <w:rPr>
          <w:rFonts w:hint="eastAsia" w:eastAsia="仿宋_GB2312"/>
          <w:color w:val="auto"/>
          <w:sz w:val="28"/>
          <w:szCs w:val="28"/>
          <w:highlight w:val="none"/>
        </w:rPr>
        <w:t xml:space="preserve"> </w:t>
      </w:r>
      <w:r>
        <w:rPr>
          <w:rFonts w:eastAsia="仿宋_GB2312"/>
          <w:color w:val="auto"/>
          <w:sz w:val="28"/>
          <w:szCs w:val="28"/>
          <w:highlight w:val="none"/>
        </w:rPr>
        <w:t>期：</w:t>
      </w:r>
      <w:r>
        <w:rPr>
          <w:rFonts w:eastAsia="仿宋_GB2312"/>
          <w:color w:val="auto"/>
          <w:sz w:val="28"/>
          <w:szCs w:val="28"/>
          <w:highlight w:val="none"/>
          <w:u w:val="single"/>
        </w:rPr>
        <w:t xml:space="preserve">          </w:t>
      </w:r>
      <w:r>
        <w:rPr>
          <w:rFonts w:hint="eastAsia" w:eastAsia="仿宋_GB2312"/>
          <w:color w:val="auto"/>
          <w:sz w:val="28"/>
          <w:szCs w:val="28"/>
          <w:highlight w:val="none"/>
          <w:u w:val="single"/>
          <w:lang w:val="en-US" w:eastAsia="zh-CN"/>
        </w:rPr>
        <w:t xml:space="preserve"> </w:t>
      </w:r>
      <w:r>
        <w:rPr>
          <w:rFonts w:eastAsia="仿宋_GB2312"/>
          <w:color w:val="auto"/>
          <w:sz w:val="28"/>
          <w:szCs w:val="28"/>
          <w:highlight w:val="none"/>
          <w:u w:val="single"/>
        </w:rPr>
        <w:t xml:space="preserve">  </w:t>
      </w:r>
      <w:r>
        <w:rPr>
          <w:rFonts w:hint="eastAsia" w:eastAsia="仿宋_GB2312"/>
          <w:color w:val="auto"/>
          <w:sz w:val="28"/>
          <w:szCs w:val="28"/>
          <w:highlight w:val="none"/>
          <w:u w:val="single"/>
        </w:rPr>
        <w:t xml:space="preserve"> </w:t>
      </w:r>
      <w:r>
        <w:rPr>
          <w:rFonts w:eastAsia="仿宋_GB2312"/>
          <w:color w:val="auto"/>
          <w:sz w:val="28"/>
          <w:szCs w:val="28"/>
          <w:highlight w:val="none"/>
          <w:u w:val="single"/>
        </w:rPr>
        <w:t xml:space="preserve"> </w:t>
      </w:r>
      <w:r>
        <w:rPr>
          <w:rFonts w:hint="eastAsia" w:eastAsia="仿宋_GB2312"/>
          <w:color w:val="auto"/>
          <w:sz w:val="28"/>
          <w:szCs w:val="28"/>
          <w:highlight w:val="none"/>
          <w:u w:val="single"/>
        </w:rPr>
        <w:t xml:space="preserve"> </w:t>
      </w:r>
      <w:r>
        <w:rPr>
          <w:rFonts w:eastAsia="仿宋_GB2312"/>
          <w:color w:val="auto"/>
          <w:sz w:val="28"/>
          <w:szCs w:val="28"/>
          <w:highlight w:val="none"/>
          <w:u w:val="single"/>
        </w:rPr>
        <w:t xml:space="preserve">  202</w:t>
      </w:r>
      <w:r>
        <w:rPr>
          <w:rFonts w:hint="eastAsia" w:eastAsia="仿宋_GB2312"/>
          <w:color w:val="auto"/>
          <w:sz w:val="28"/>
          <w:szCs w:val="28"/>
          <w:highlight w:val="none"/>
          <w:u w:val="single"/>
        </w:rPr>
        <w:t>4</w:t>
      </w:r>
      <w:r>
        <w:rPr>
          <w:rFonts w:eastAsia="仿宋_GB2312"/>
          <w:color w:val="auto"/>
          <w:sz w:val="28"/>
          <w:szCs w:val="28"/>
          <w:highlight w:val="none"/>
          <w:u w:val="single"/>
        </w:rPr>
        <w:t>年</w:t>
      </w:r>
      <w:r>
        <w:rPr>
          <w:rFonts w:hint="eastAsia" w:eastAsia="仿宋_GB2312"/>
          <w:color w:val="auto"/>
          <w:sz w:val="28"/>
          <w:szCs w:val="28"/>
          <w:highlight w:val="none"/>
          <w:u w:val="single"/>
          <w:lang w:val="en-US" w:eastAsia="zh-CN"/>
        </w:rPr>
        <w:t>7</w:t>
      </w:r>
      <w:r>
        <w:rPr>
          <w:rFonts w:eastAsia="仿宋_GB2312"/>
          <w:color w:val="auto"/>
          <w:sz w:val="28"/>
          <w:szCs w:val="28"/>
          <w:highlight w:val="none"/>
          <w:u w:val="single"/>
        </w:rPr>
        <w:t xml:space="preserve">月  </w:t>
      </w:r>
      <w:r>
        <w:rPr>
          <w:rFonts w:hint="eastAsia" w:eastAsia="仿宋_GB2312"/>
          <w:color w:val="auto"/>
          <w:sz w:val="28"/>
          <w:szCs w:val="28"/>
          <w:highlight w:val="none"/>
          <w:u w:val="single"/>
          <w:lang w:val="en-US" w:eastAsia="zh-CN"/>
        </w:rPr>
        <w:t xml:space="preserve">         </w:t>
      </w:r>
      <w:r>
        <w:rPr>
          <w:rFonts w:eastAsia="仿宋_GB2312"/>
          <w:color w:val="auto"/>
          <w:sz w:val="28"/>
          <w:szCs w:val="28"/>
          <w:highlight w:val="none"/>
          <w:u w:val="single"/>
        </w:rPr>
        <w:t xml:space="preserve"> </w:t>
      </w:r>
      <w:r>
        <w:rPr>
          <w:rFonts w:hint="eastAsia" w:eastAsia="仿宋_GB2312"/>
          <w:color w:val="auto"/>
          <w:sz w:val="28"/>
          <w:szCs w:val="28"/>
          <w:highlight w:val="none"/>
          <w:u w:val="single"/>
        </w:rPr>
        <w:t xml:space="preserve">   </w:t>
      </w:r>
      <w:r>
        <w:rPr>
          <w:rFonts w:hint="eastAsia" w:eastAsia="仿宋_GB2312"/>
          <w:color w:val="auto"/>
          <w:sz w:val="28"/>
          <w:szCs w:val="28"/>
          <w:highlight w:val="none"/>
          <w:u w:val="single"/>
          <w:lang w:val="en-US" w:eastAsia="zh-CN"/>
        </w:rPr>
        <w:t xml:space="preserve"> </w:t>
      </w:r>
      <w:r>
        <w:rPr>
          <w:rFonts w:hint="eastAsia" w:eastAsia="仿宋_GB2312"/>
          <w:color w:val="auto"/>
          <w:sz w:val="28"/>
          <w:szCs w:val="28"/>
          <w:highlight w:val="none"/>
          <w:u w:val="single"/>
        </w:rPr>
        <w:t xml:space="preserve">  </w:t>
      </w:r>
      <w:r>
        <w:rPr>
          <w:rFonts w:eastAsia="仿宋_GB2312"/>
          <w:color w:val="auto"/>
          <w:sz w:val="28"/>
          <w:szCs w:val="28"/>
          <w:highlight w:val="none"/>
          <w:u w:val="single"/>
        </w:rPr>
        <w:t xml:space="preserve"> </w:t>
      </w:r>
      <w:r>
        <w:rPr>
          <w:rFonts w:eastAsia="仿宋_GB2312"/>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720"/>
        <w:jc w:val="left"/>
        <w:textAlignment w:val="auto"/>
        <w:rPr>
          <w:rFonts w:eastAsia="仿宋_GB2312"/>
          <w:color w:val="auto"/>
          <w:sz w:val="36"/>
          <w:szCs w:val="36"/>
          <w:highlight w:val="none"/>
          <w:u w:val="single"/>
        </w:rPr>
      </w:pPr>
      <w:bookmarkStart w:id="0" w:name="_Hlk57884087"/>
    </w:p>
    <w:p>
      <w:pPr>
        <w:adjustRightInd w:val="0"/>
        <w:snapToGrid w:val="0"/>
        <w:spacing w:line="288" w:lineRule="auto"/>
        <w:ind w:firstLine="720"/>
        <w:rPr>
          <w:rFonts w:eastAsia="仿宋_GB2312"/>
          <w:color w:val="auto"/>
          <w:sz w:val="36"/>
          <w:szCs w:val="36"/>
          <w:highlight w:val="none"/>
        </w:rPr>
      </w:pPr>
    </w:p>
    <w:p>
      <w:pPr>
        <w:adjustRightInd w:val="0"/>
        <w:snapToGrid w:val="0"/>
        <w:spacing w:line="288" w:lineRule="auto"/>
        <w:ind w:firstLine="720"/>
        <w:rPr>
          <w:rFonts w:eastAsia="仿宋_GB2312"/>
          <w:color w:val="auto"/>
          <w:sz w:val="36"/>
          <w:szCs w:val="36"/>
          <w:highlight w:val="none"/>
        </w:rPr>
      </w:pPr>
    </w:p>
    <w:p>
      <w:pPr>
        <w:adjustRightInd w:val="0"/>
        <w:snapToGrid w:val="0"/>
        <w:spacing w:line="288" w:lineRule="auto"/>
        <w:ind w:firstLine="720"/>
        <w:rPr>
          <w:rFonts w:eastAsia="仿宋_GB2312"/>
          <w:color w:val="auto"/>
          <w:sz w:val="36"/>
          <w:szCs w:val="36"/>
          <w:highlight w:val="none"/>
        </w:rPr>
      </w:pPr>
    </w:p>
    <w:p>
      <w:pPr>
        <w:adjustRightInd w:val="0"/>
        <w:snapToGrid w:val="0"/>
        <w:spacing w:line="288" w:lineRule="auto"/>
        <w:ind w:firstLine="720"/>
        <w:rPr>
          <w:rFonts w:eastAsia="仿宋_GB2312"/>
          <w:color w:val="auto"/>
          <w:sz w:val="36"/>
          <w:szCs w:val="36"/>
          <w:highlight w:val="none"/>
        </w:rPr>
      </w:pPr>
    </w:p>
    <w:bookmarkEnd w:id="0"/>
    <w:p>
      <w:pPr>
        <w:adjustRightInd w:val="0"/>
        <w:snapToGrid w:val="0"/>
        <w:spacing w:line="288" w:lineRule="auto"/>
        <w:ind w:firstLine="0" w:firstLineChars="0"/>
        <w:jc w:val="center"/>
        <w:rPr>
          <w:rFonts w:eastAsia="楷体_GB2312"/>
          <w:color w:val="auto"/>
          <w:sz w:val="36"/>
          <w:szCs w:val="36"/>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701" w:right="1531" w:bottom="1701" w:left="1531" w:header="851" w:footer="1077" w:gutter="0"/>
          <w:pgBorders>
            <w:top w:val="none" w:sz="0" w:space="0"/>
            <w:left w:val="none" w:sz="0" w:space="0"/>
            <w:bottom w:val="none" w:sz="0" w:space="0"/>
            <w:right w:val="none" w:sz="0" w:space="0"/>
          </w:pgBorders>
          <w:pgNumType w:fmt="numberInDash" w:start="3"/>
          <w:cols w:space="720" w:num="1"/>
          <w:docGrid w:linePitch="312" w:charSpace="0"/>
        </w:sectPr>
      </w:pPr>
      <w:r>
        <w:rPr>
          <w:rFonts w:eastAsia="楷体_GB2312"/>
          <w:color w:val="auto"/>
          <w:sz w:val="36"/>
          <w:szCs w:val="36"/>
          <w:highlight w:val="none"/>
        </w:rPr>
        <w:t>中华人民共和国生态环境部制</w:t>
      </w:r>
    </w:p>
    <w:p>
      <w:pPr>
        <w:pStyle w:val="36"/>
        <w:ind w:left="480" w:firstLine="480"/>
        <w:rPr>
          <w:color w:val="auto"/>
          <w:highlight w:val="none"/>
        </w:rPr>
        <w:sectPr>
          <w:pgSz w:w="11906" w:h="16838"/>
          <w:pgMar w:top="1701" w:right="1531" w:bottom="1701" w:left="1531" w:header="851" w:footer="1077" w:gutter="0"/>
          <w:pgBorders>
            <w:top w:val="none" w:sz="0" w:space="0"/>
            <w:left w:val="none" w:sz="0" w:space="0"/>
            <w:bottom w:val="none" w:sz="0" w:space="0"/>
            <w:right w:val="none" w:sz="0" w:space="0"/>
          </w:pgBorders>
          <w:pgNumType w:fmt="numberInDash" w:start="3"/>
          <w:cols w:space="720" w:num="1"/>
          <w:docGrid w:linePitch="312" w:charSpace="0"/>
        </w:sectPr>
      </w:pPr>
    </w:p>
    <w:p>
      <w:pPr>
        <w:pStyle w:val="32"/>
        <w:ind w:firstLine="0" w:firstLineChars="0"/>
        <w:jc w:val="center"/>
        <w:outlineLvl w:val="0"/>
        <w:rPr>
          <w:rFonts w:ascii="Times New Roman" w:hAnsi="Times New Roman" w:eastAsia="黑体"/>
          <w:snapToGrid w:val="0"/>
          <w:color w:val="auto"/>
          <w:sz w:val="30"/>
          <w:szCs w:val="30"/>
          <w:highlight w:val="none"/>
        </w:rPr>
      </w:pPr>
      <w:r>
        <w:rPr>
          <w:rFonts w:ascii="Times New Roman" w:hAnsi="Times New Roman" w:eastAsia="黑体"/>
          <w:snapToGrid w:val="0"/>
          <w:color w:val="auto"/>
          <w:sz w:val="30"/>
          <w:szCs w:val="30"/>
          <w:highlight w:val="none"/>
        </w:rPr>
        <w:t>一、建设项目基本情况</w:t>
      </w:r>
    </w:p>
    <w:tbl>
      <w:tblPr>
        <w:tblStyle w:val="3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476"/>
        <w:gridCol w:w="1990"/>
        <w:gridCol w:w="1812"/>
        <w:gridCol w:w="35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76" w:type="dxa"/>
            <w:tcMar>
              <w:top w:w="16" w:type="dxa"/>
              <w:left w:w="16" w:type="dxa"/>
              <w:right w:w="16" w:type="dxa"/>
            </w:tcMar>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建设项目名称</w:t>
            </w:r>
          </w:p>
        </w:tc>
        <w:tc>
          <w:tcPr>
            <w:tcW w:w="7394" w:type="dxa"/>
            <w:gridSpan w:val="3"/>
            <w:vAlign w:val="center"/>
          </w:tcPr>
          <w:p>
            <w:pPr>
              <w:pStyle w:val="80"/>
              <w:keepNext w:val="0"/>
              <w:keepLines w:val="0"/>
              <w:widowControl/>
              <w:suppressLineNumbers w:val="0"/>
              <w:spacing w:before="0" w:beforeAutospacing="0" w:after="0" w:afterAutospacing="0"/>
              <w:ind w:left="0" w:right="0"/>
              <w:rPr>
                <w:rFonts w:hint="eastAsia" w:eastAsia="宋体"/>
                <w:color w:val="auto"/>
                <w:szCs w:val="20"/>
                <w:highlight w:val="none"/>
                <w:lang w:eastAsia="zh-CN"/>
              </w:rPr>
            </w:pPr>
            <w:r>
              <w:rPr>
                <w:rFonts w:hint="eastAsia"/>
                <w:color w:val="auto"/>
                <w:szCs w:val="20"/>
                <w:highlight w:val="none"/>
                <w:lang w:eastAsia="zh-CN"/>
              </w:rPr>
              <w:t>陕西佳茂管业工程股份有限公司生产给水管道项目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76" w:type="dxa"/>
            <w:tcMar>
              <w:top w:w="16" w:type="dxa"/>
              <w:left w:w="16" w:type="dxa"/>
              <w:right w:w="16" w:type="dxa"/>
            </w:tcMar>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项目代码</w:t>
            </w:r>
          </w:p>
        </w:tc>
        <w:tc>
          <w:tcPr>
            <w:tcW w:w="7394" w:type="dxa"/>
            <w:gridSpan w:val="3"/>
            <w:vAlign w:val="center"/>
          </w:tcPr>
          <w:p>
            <w:pPr>
              <w:pStyle w:val="80"/>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lang w:val="en-US" w:eastAsia="zh-CN"/>
              </w:rPr>
              <w:t>2310-611206-04-01-284191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76" w:type="dxa"/>
            <w:tcMar>
              <w:top w:w="16" w:type="dxa"/>
              <w:left w:w="16" w:type="dxa"/>
              <w:right w:w="16" w:type="dxa"/>
            </w:tcMar>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建设单位联系人</w:t>
            </w:r>
          </w:p>
        </w:tc>
        <w:tc>
          <w:tcPr>
            <w:tcW w:w="1990" w:type="dxa"/>
            <w:vAlign w:val="center"/>
          </w:tcPr>
          <w:p>
            <w:pPr>
              <w:pStyle w:val="80"/>
              <w:keepNext w:val="0"/>
              <w:keepLines w:val="0"/>
              <w:widowControl/>
              <w:suppressLineNumbers w:val="0"/>
              <w:spacing w:before="0" w:beforeAutospacing="0" w:after="0" w:afterAutospacing="0"/>
              <w:ind w:left="0" w:right="0"/>
              <w:rPr>
                <w:rFonts w:hint="eastAsia" w:eastAsia="宋体"/>
                <w:color w:val="auto"/>
                <w:szCs w:val="20"/>
                <w:highlight w:val="none"/>
                <w:u w:val="single"/>
                <w:lang w:eastAsia="zh-CN"/>
              </w:rPr>
            </w:pPr>
            <w:r>
              <w:rPr>
                <w:rFonts w:hint="eastAsia"/>
                <w:color w:val="auto"/>
                <w:szCs w:val="20"/>
                <w:highlight w:val="none"/>
                <w:lang w:eastAsia="zh-CN"/>
              </w:rPr>
              <w:t>王建军</w:t>
            </w:r>
          </w:p>
        </w:tc>
        <w:tc>
          <w:tcPr>
            <w:tcW w:w="1812" w:type="dxa"/>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u w:val="single"/>
              </w:rPr>
            </w:pPr>
            <w:r>
              <w:rPr>
                <w:rFonts w:hint="default"/>
                <w:color w:val="auto"/>
                <w:szCs w:val="20"/>
                <w:highlight w:val="none"/>
              </w:rPr>
              <w:t>联系方式</w:t>
            </w:r>
          </w:p>
        </w:tc>
        <w:tc>
          <w:tcPr>
            <w:tcW w:w="3592" w:type="dxa"/>
            <w:vAlign w:val="center"/>
          </w:tcPr>
          <w:p>
            <w:pPr>
              <w:pStyle w:val="80"/>
              <w:keepNext w:val="0"/>
              <w:keepLines w:val="0"/>
              <w:widowControl/>
              <w:suppressLineNumbers w:val="0"/>
              <w:spacing w:before="0" w:beforeAutospacing="0" w:after="0" w:afterAutospacing="0"/>
              <w:ind w:left="0" w:right="0"/>
              <w:rPr>
                <w:rFonts w:hint="eastAsia" w:eastAsia="宋体"/>
                <w:color w:val="auto"/>
                <w:szCs w:val="20"/>
                <w:highlight w:val="none"/>
                <w:u w:val="single"/>
                <w:lang w:eastAsia="zh-CN"/>
              </w:rPr>
            </w:pPr>
            <w:r>
              <w:rPr>
                <w:rFonts w:hint="eastAsia"/>
                <w:color w:val="auto"/>
                <w:szCs w:val="20"/>
                <w:highlight w:val="none"/>
                <w:lang w:eastAsia="zh-CN"/>
              </w:rPr>
              <w:t>13992839205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1476" w:type="dxa"/>
            <w:tcMar>
              <w:top w:w="16" w:type="dxa"/>
              <w:left w:w="16" w:type="dxa"/>
              <w:right w:w="16" w:type="dxa"/>
            </w:tcMar>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建设地点</w:t>
            </w:r>
          </w:p>
        </w:tc>
        <w:tc>
          <w:tcPr>
            <w:tcW w:w="7394" w:type="dxa"/>
            <w:gridSpan w:val="3"/>
            <w:vAlign w:val="center"/>
          </w:tcPr>
          <w:p>
            <w:pPr>
              <w:pStyle w:val="80"/>
              <w:keepNext w:val="0"/>
              <w:keepLines w:val="0"/>
              <w:widowControl/>
              <w:suppressLineNumbers w:val="0"/>
              <w:spacing w:before="0" w:beforeAutospacing="0" w:after="0" w:afterAutospacing="0"/>
              <w:ind w:left="0" w:right="0"/>
              <w:rPr>
                <w:rFonts w:hint="eastAsia" w:eastAsia="宋体"/>
                <w:color w:val="auto"/>
                <w:szCs w:val="20"/>
                <w:highlight w:val="none"/>
                <w:lang w:eastAsia="zh-CN"/>
              </w:rPr>
            </w:pPr>
            <w:r>
              <w:rPr>
                <w:rFonts w:hint="eastAsia"/>
                <w:color w:val="auto"/>
                <w:szCs w:val="20"/>
                <w:highlight w:val="none"/>
              </w:rPr>
              <w:t>陕西省西咸新区</w:t>
            </w:r>
            <w:r>
              <w:rPr>
                <w:rFonts w:hint="eastAsia"/>
                <w:color w:val="auto"/>
                <w:szCs w:val="20"/>
                <w:highlight w:val="none"/>
                <w:lang w:eastAsia="zh-CN"/>
              </w:rPr>
              <w:t>泾河新城工业密集区永乐工业园尚家一街北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1476" w:type="dxa"/>
            <w:tcMar>
              <w:top w:w="16" w:type="dxa"/>
              <w:left w:w="16" w:type="dxa"/>
              <w:right w:w="16" w:type="dxa"/>
            </w:tcMar>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地理坐标</w:t>
            </w:r>
          </w:p>
        </w:tc>
        <w:tc>
          <w:tcPr>
            <w:tcW w:w="7394" w:type="dxa"/>
            <w:gridSpan w:val="3"/>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w:t>
            </w:r>
            <w:r>
              <w:rPr>
                <w:rFonts w:hint="eastAsia"/>
                <w:color w:val="auto"/>
                <w:szCs w:val="20"/>
                <w:highlight w:val="none"/>
              </w:rPr>
              <w:t>E</w:t>
            </w:r>
            <w:r>
              <w:rPr>
                <w:rFonts w:hint="eastAsia"/>
                <w:color w:val="auto"/>
                <w:szCs w:val="20"/>
                <w:highlight w:val="none"/>
                <w:u w:val="single"/>
              </w:rPr>
              <w:t xml:space="preserve"> </w:t>
            </w:r>
            <w:r>
              <w:rPr>
                <w:rFonts w:hint="default"/>
                <w:color w:val="auto"/>
                <w:szCs w:val="20"/>
                <w:highlight w:val="none"/>
                <w:u w:val="single"/>
              </w:rPr>
              <w:t>10</w:t>
            </w:r>
            <w:r>
              <w:rPr>
                <w:rFonts w:hint="eastAsia"/>
                <w:color w:val="auto"/>
                <w:szCs w:val="20"/>
                <w:highlight w:val="none"/>
                <w:u w:val="single"/>
              </w:rPr>
              <w:t>8</w:t>
            </w:r>
            <w:r>
              <w:rPr>
                <w:rFonts w:hint="default"/>
                <w:color w:val="auto"/>
                <w:szCs w:val="20"/>
                <w:highlight w:val="none"/>
                <w:u w:val="single"/>
              </w:rPr>
              <w:t xml:space="preserve"> </w:t>
            </w:r>
            <w:r>
              <w:rPr>
                <w:rFonts w:hint="default"/>
                <w:color w:val="auto"/>
                <w:szCs w:val="20"/>
                <w:highlight w:val="none"/>
              </w:rPr>
              <w:t>度</w:t>
            </w:r>
            <w:r>
              <w:rPr>
                <w:rFonts w:hint="default"/>
                <w:color w:val="auto"/>
                <w:szCs w:val="20"/>
                <w:highlight w:val="none"/>
                <w:u w:val="single"/>
              </w:rPr>
              <w:t xml:space="preserve"> </w:t>
            </w:r>
            <w:r>
              <w:rPr>
                <w:rFonts w:hint="eastAsia"/>
                <w:color w:val="auto"/>
                <w:szCs w:val="20"/>
                <w:highlight w:val="none"/>
                <w:u w:val="single"/>
              </w:rPr>
              <w:t>5</w:t>
            </w:r>
            <w:r>
              <w:rPr>
                <w:rFonts w:hint="eastAsia"/>
                <w:color w:val="auto"/>
                <w:szCs w:val="20"/>
                <w:highlight w:val="none"/>
                <w:u w:val="single"/>
                <w:lang w:val="en-US" w:eastAsia="zh-CN"/>
              </w:rPr>
              <w:t>7</w:t>
            </w:r>
            <w:r>
              <w:rPr>
                <w:rFonts w:hint="default"/>
                <w:color w:val="auto"/>
                <w:szCs w:val="20"/>
                <w:highlight w:val="none"/>
                <w:u w:val="single"/>
              </w:rPr>
              <w:t xml:space="preserve"> </w:t>
            </w:r>
            <w:r>
              <w:rPr>
                <w:rFonts w:hint="default"/>
                <w:color w:val="auto"/>
                <w:szCs w:val="20"/>
                <w:highlight w:val="none"/>
              </w:rPr>
              <w:t>分</w:t>
            </w:r>
            <w:r>
              <w:rPr>
                <w:rFonts w:hint="default"/>
                <w:color w:val="auto"/>
                <w:szCs w:val="20"/>
                <w:highlight w:val="none"/>
                <w:u w:val="single"/>
              </w:rPr>
              <w:t xml:space="preserve"> </w:t>
            </w:r>
            <w:r>
              <w:rPr>
                <w:rFonts w:hint="eastAsia"/>
                <w:color w:val="auto"/>
                <w:szCs w:val="20"/>
                <w:highlight w:val="none"/>
                <w:u w:val="single"/>
                <w:lang w:val="en-US" w:eastAsia="zh-CN"/>
              </w:rPr>
              <w:t>12.234</w:t>
            </w:r>
            <w:r>
              <w:rPr>
                <w:rFonts w:hint="default"/>
                <w:color w:val="auto"/>
                <w:szCs w:val="20"/>
                <w:highlight w:val="none"/>
                <w:u w:val="single"/>
              </w:rPr>
              <w:t xml:space="preserve"> </w:t>
            </w:r>
            <w:r>
              <w:rPr>
                <w:rFonts w:hint="default"/>
                <w:color w:val="auto"/>
                <w:szCs w:val="20"/>
                <w:highlight w:val="none"/>
              </w:rPr>
              <w:t>秒，</w:t>
            </w:r>
            <w:r>
              <w:rPr>
                <w:rFonts w:hint="eastAsia"/>
                <w:color w:val="auto"/>
                <w:szCs w:val="20"/>
                <w:highlight w:val="none"/>
              </w:rPr>
              <w:t>N</w:t>
            </w:r>
            <w:r>
              <w:rPr>
                <w:rFonts w:hint="default"/>
                <w:color w:val="auto"/>
                <w:szCs w:val="20"/>
                <w:highlight w:val="none"/>
                <w:u w:val="single"/>
              </w:rPr>
              <w:t xml:space="preserve"> 34 </w:t>
            </w:r>
            <w:r>
              <w:rPr>
                <w:rFonts w:hint="default"/>
                <w:color w:val="auto"/>
                <w:szCs w:val="20"/>
                <w:highlight w:val="none"/>
              </w:rPr>
              <w:t>度</w:t>
            </w:r>
            <w:r>
              <w:rPr>
                <w:rFonts w:hint="default"/>
                <w:color w:val="auto"/>
                <w:szCs w:val="20"/>
                <w:highlight w:val="none"/>
                <w:u w:val="single"/>
              </w:rPr>
              <w:t xml:space="preserve"> </w:t>
            </w:r>
            <w:r>
              <w:rPr>
                <w:rFonts w:hint="eastAsia"/>
                <w:color w:val="auto"/>
                <w:szCs w:val="20"/>
                <w:highlight w:val="none"/>
                <w:u w:val="single"/>
              </w:rPr>
              <w:t>31</w:t>
            </w:r>
            <w:r>
              <w:rPr>
                <w:rFonts w:hint="default"/>
                <w:color w:val="auto"/>
                <w:szCs w:val="20"/>
                <w:highlight w:val="none"/>
                <w:u w:val="single"/>
              </w:rPr>
              <w:t xml:space="preserve"> </w:t>
            </w:r>
            <w:r>
              <w:rPr>
                <w:rFonts w:hint="default"/>
                <w:color w:val="auto"/>
                <w:szCs w:val="20"/>
                <w:highlight w:val="none"/>
              </w:rPr>
              <w:t>分</w:t>
            </w:r>
            <w:r>
              <w:rPr>
                <w:rFonts w:hint="default"/>
                <w:color w:val="auto"/>
                <w:szCs w:val="20"/>
                <w:highlight w:val="none"/>
                <w:u w:val="single"/>
              </w:rPr>
              <w:t xml:space="preserve"> </w:t>
            </w:r>
            <w:r>
              <w:rPr>
                <w:rFonts w:hint="eastAsia"/>
                <w:color w:val="auto"/>
                <w:szCs w:val="20"/>
                <w:highlight w:val="none"/>
                <w:u w:val="single"/>
              </w:rPr>
              <w:t>5</w:t>
            </w:r>
            <w:r>
              <w:rPr>
                <w:rFonts w:hint="eastAsia"/>
                <w:color w:val="auto"/>
                <w:szCs w:val="20"/>
                <w:highlight w:val="none"/>
                <w:u w:val="single"/>
                <w:lang w:val="en-US" w:eastAsia="zh-CN"/>
              </w:rPr>
              <w:t>7.665</w:t>
            </w:r>
            <w:r>
              <w:rPr>
                <w:rFonts w:hint="default"/>
                <w:color w:val="auto"/>
                <w:szCs w:val="20"/>
                <w:highlight w:val="none"/>
                <w:u w:val="single"/>
              </w:rPr>
              <w:t xml:space="preserve"> </w:t>
            </w:r>
            <w:r>
              <w:rPr>
                <w:rFonts w:hint="default"/>
                <w:color w:val="auto"/>
                <w:szCs w:val="20"/>
                <w:highlight w:val="none"/>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55" w:hRule="atLeast"/>
          <w:jc w:val="center"/>
        </w:trPr>
        <w:tc>
          <w:tcPr>
            <w:tcW w:w="1476" w:type="dxa"/>
            <w:tcMar>
              <w:top w:w="16" w:type="dxa"/>
              <w:left w:w="16" w:type="dxa"/>
              <w:right w:w="16" w:type="dxa"/>
            </w:tcMar>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国民经济</w:t>
            </w:r>
          </w:p>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行业类别</w:t>
            </w:r>
          </w:p>
        </w:tc>
        <w:tc>
          <w:tcPr>
            <w:tcW w:w="1990" w:type="dxa"/>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C</w:t>
            </w:r>
            <w:r>
              <w:rPr>
                <w:rFonts w:hint="eastAsia"/>
                <w:color w:val="auto"/>
                <w:szCs w:val="20"/>
                <w:highlight w:val="none"/>
              </w:rPr>
              <w:t>2922塑料板、管、型材制造</w:t>
            </w:r>
          </w:p>
        </w:tc>
        <w:tc>
          <w:tcPr>
            <w:tcW w:w="1812" w:type="dxa"/>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bookmarkStart w:id="1" w:name="_Hlk49843745"/>
            <w:r>
              <w:rPr>
                <w:rFonts w:hint="default"/>
                <w:color w:val="auto"/>
                <w:szCs w:val="20"/>
                <w:highlight w:val="none"/>
              </w:rPr>
              <w:t>建设项目</w:t>
            </w:r>
          </w:p>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行业类别</w:t>
            </w:r>
            <w:bookmarkEnd w:id="1"/>
          </w:p>
        </w:tc>
        <w:tc>
          <w:tcPr>
            <w:tcW w:w="3592" w:type="dxa"/>
            <w:vAlign w:val="center"/>
          </w:tcPr>
          <w:p>
            <w:pPr>
              <w:pStyle w:val="80"/>
              <w:keepNext w:val="0"/>
              <w:keepLines w:val="0"/>
              <w:widowControl/>
              <w:suppressLineNumbers w:val="0"/>
              <w:spacing w:before="0" w:beforeAutospacing="0" w:after="0" w:afterAutospacing="0"/>
              <w:ind w:left="0" w:right="0"/>
              <w:jc w:val="left"/>
              <w:rPr>
                <w:rFonts w:hint="default" w:ascii="宋体" w:hAnsi="宋体" w:cs="宋体"/>
                <w:color w:val="auto"/>
                <w:szCs w:val="20"/>
                <w:highlight w:val="none"/>
                <w:lang w:bidi="ar"/>
              </w:rPr>
            </w:pPr>
            <w:r>
              <w:rPr>
                <w:rFonts w:hint="eastAsia" w:ascii="宋体" w:hAnsi="宋体" w:cs="宋体"/>
                <w:color w:val="auto"/>
                <w:szCs w:val="20"/>
                <w:highlight w:val="none"/>
                <w:lang w:bidi="ar"/>
              </w:rPr>
              <w:t>二十六、橡胶和塑料制品业</w:t>
            </w:r>
            <w:bookmarkStart w:id="7" w:name="_GoBack"/>
            <w:bookmarkEnd w:id="7"/>
          </w:p>
          <w:p>
            <w:pPr>
              <w:pStyle w:val="80"/>
              <w:keepNext w:val="0"/>
              <w:keepLines w:val="0"/>
              <w:widowControl/>
              <w:numPr>
                <w:ilvl w:val="0"/>
                <w:numId w:val="2"/>
              </w:numPr>
              <w:suppressLineNumbers w:val="0"/>
              <w:spacing w:before="0" w:beforeAutospacing="0" w:after="0" w:afterAutospacing="0"/>
              <w:ind w:left="0" w:right="0"/>
              <w:jc w:val="left"/>
              <w:rPr>
                <w:rFonts w:hint="default"/>
                <w:color w:val="auto"/>
                <w:szCs w:val="20"/>
                <w:highlight w:val="none"/>
              </w:rPr>
            </w:pPr>
            <w:r>
              <w:rPr>
                <w:rFonts w:hint="eastAsia"/>
                <w:color w:val="auto"/>
                <w:szCs w:val="20"/>
                <w:highlight w:val="none"/>
                <w:lang w:bidi="ar"/>
              </w:rPr>
              <w:t>塑料制品业292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43" w:hRule="atLeast"/>
          <w:jc w:val="center"/>
        </w:trPr>
        <w:tc>
          <w:tcPr>
            <w:tcW w:w="1476" w:type="dxa"/>
            <w:tcMar>
              <w:top w:w="16" w:type="dxa"/>
              <w:left w:w="16" w:type="dxa"/>
              <w:right w:w="16" w:type="dxa"/>
            </w:tcMar>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建设性质</w:t>
            </w:r>
          </w:p>
        </w:tc>
        <w:tc>
          <w:tcPr>
            <w:tcW w:w="1990" w:type="dxa"/>
            <w:vAlign w:val="center"/>
          </w:tcPr>
          <w:p>
            <w:pPr>
              <w:pStyle w:val="80"/>
              <w:keepNext w:val="0"/>
              <w:keepLines w:val="0"/>
              <w:widowControl/>
              <w:suppressLineNumbers w:val="0"/>
              <w:spacing w:before="0" w:beforeAutospacing="0" w:after="0" w:afterAutospacing="0"/>
              <w:ind w:left="0" w:right="0" w:firstLine="105" w:firstLineChars="50"/>
              <w:jc w:val="left"/>
              <w:rPr>
                <w:rFonts w:hint="default"/>
                <w:color w:val="auto"/>
                <w:szCs w:val="20"/>
                <w:highlight w:val="none"/>
              </w:rPr>
            </w:pPr>
            <w:r>
              <w:rPr>
                <w:rFonts w:hint="default"/>
                <w:color w:val="auto"/>
                <w:szCs w:val="20"/>
                <w:highlight w:val="none"/>
              </w:rPr>
              <w:sym w:font="Wingdings 2" w:char="0052"/>
            </w:r>
            <w:r>
              <w:rPr>
                <w:rFonts w:hint="default"/>
                <w:color w:val="auto"/>
                <w:szCs w:val="20"/>
                <w:highlight w:val="none"/>
              </w:rPr>
              <w:t>新建（迁建）</w:t>
            </w:r>
          </w:p>
          <w:p>
            <w:pPr>
              <w:pStyle w:val="80"/>
              <w:keepNext w:val="0"/>
              <w:keepLines w:val="0"/>
              <w:widowControl/>
              <w:suppressLineNumbers w:val="0"/>
              <w:spacing w:before="0" w:beforeAutospacing="0" w:after="0" w:afterAutospacing="0"/>
              <w:ind w:left="0" w:right="0" w:firstLine="105" w:firstLineChars="50"/>
              <w:jc w:val="left"/>
              <w:rPr>
                <w:rFonts w:hint="default"/>
                <w:color w:val="auto"/>
                <w:szCs w:val="20"/>
                <w:highlight w:val="none"/>
              </w:rPr>
            </w:pPr>
            <w:r>
              <w:rPr>
                <w:rFonts w:hint="default"/>
                <w:color w:val="auto"/>
                <w:szCs w:val="20"/>
                <w:highlight w:val="none"/>
              </w:rPr>
              <w:t>□改建</w:t>
            </w:r>
          </w:p>
          <w:p>
            <w:pPr>
              <w:pStyle w:val="80"/>
              <w:keepNext w:val="0"/>
              <w:keepLines w:val="0"/>
              <w:widowControl/>
              <w:suppressLineNumbers w:val="0"/>
              <w:spacing w:before="0" w:beforeAutospacing="0" w:after="0" w:afterAutospacing="0"/>
              <w:ind w:left="0" w:right="0" w:firstLine="105" w:firstLineChars="50"/>
              <w:jc w:val="left"/>
              <w:rPr>
                <w:rFonts w:hint="default"/>
                <w:color w:val="auto"/>
                <w:szCs w:val="20"/>
                <w:highlight w:val="none"/>
              </w:rPr>
            </w:pPr>
            <w:r>
              <w:rPr>
                <w:rFonts w:hint="default"/>
                <w:color w:val="auto"/>
                <w:szCs w:val="20"/>
                <w:highlight w:val="none"/>
              </w:rPr>
              <w:t>□扩建</w:t>
            </w:r>
          </w:p>
          <w:p>
            <w:pPr>
              <w:pStyle w:val="80"/>
              <w:keepNext w:val="0"/>
              <w:keepLines w:val="0"/>
              <w:widowControl/>
              <w:suppressLineNumbers w:val="0"/>
              <w:spacing w:before="0" w:beforeAutospacing="0" w:after="0" w:afterAutospacing="0"/>
              <w:ind w:left="0" w:right="0" w:firstLine="105" w:firstLineChars="50"/>
              <w:jc w:val="left"/>
              <w:rPr>
                <w:rFonts w:hint="default"/>
                <w:color w:val="auto"/>
                <w:szCs w:val="20"/>
                <w:highlight w:val="none"/>
              </w:rPr>
            </w:pPr>
            <w:r>
              <w:rPr>
                <w:rFonts w:hint="default"/>
                <w:color w:val="auto"/>
                <w:szCs w:val="20"/>
                <w:highlight w:val="none"/>
              </w:rPr>
              <w:t>□技术改造</w:t>
            </w:r>
          </w:p>
        </w:tc>
        <w:tc>
          <w:tcPr>
            <w:tcW w:w="1812" w:type="dxa"/>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建设项目</w:t>
            </w:r>
          </w:p>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申报情形</w:t>
            </w:r>
          </w:p>
        </w:tc>
        <w:tc>
          <w:tcPr>
            <w:tcW w:w="3592" w:type="dxa"/>
            <w:vAlign w:val="center"/>
          </w:tcPr>
          <w:p>
            <w:pPr>
              <w:pStyle w:val="80"/>
              <w:keepNext w:val="0"/>
              <w:keepLines w:val="0"/>
              <w:widowControl/>
              <w:suppressLineNumbers w:val="0"/>
              <w:spacing w:before="0" w:beforeAutospacing="0" w:after="0" w:afterAutospacing="0"/>
              <w:ind w:left="0" w:right="0" w:firstLine="105" w:firstLineChars="50"/>
              <w:jc w:val="left"/>
              <w:rPr>
                <w:rFonts w:hint="default"/>
                <w:color w:val="auto"/>
                <w:szCs w:val="20"/>
                <w:highlight w:val="none"/>
              </w:rPr>
            </w:pPr>
            <w:r>
              <w:rPr>
                <w:rFonts w:hint="default"/>
                <w:color w:val="auto"/>
                <w:szCs w:val="20"/>
                <w:highlight w:val="none"/>
              </w:rPr>
              <w:sym w:font="Wingdings 2" w:char="0052"/>
            </w:r>
            <w:r>
              <w:rPr>
                <w:rFonts w:hint="default"/>
                <w:color w:val="auto"/>
                <w:szCs w:val="20"/>
                <w:highlight w:val="none"/>
              </w:rPr>
              <w:t xml:space="preserve">首次申报项目             </w:t>
            </w:r>
          </w:p>
          <w:p>
            <w:pPr>
              <w:pStyle w:val="80"/>
              <w:keepNext w:val="0"/>
              <w:keepLines w:val="0"/>
              <w:widowControl/>
              <w:suppressLineNumbers w:val="0"/>
              <w:spacing w:before="0" w:beforeAutospacing="0" w:after="0" w:afterAutospacing="0"/>
              <w:ind w:left="0" w:right="0" w:firstLine="105" w:firstLineChars="50"/>
              <w:jc w:val="left"/>
              <w:rPr>
                <w:rFonts w:hint="default"/>
                <w:color w:val="auto"/>
                <w:szCs w:val="20"/>
                <w:highlight w:val="none"/>
              </w:rPr>
            </w:pPr>
            <w:r>
              <w:rPr>
                <w:rFonts w:hint="default"/>
                <w:color w:val="auto"/>
                <w:szCs w:val="20"/>
                <w:highlight w:val="none"/>
              </w:rPr>
              <w:t>□不予批准后再次申报项目</w:t>
            </w:r>
          </w:p>
          <w:p>
            <w:pPr>
              <w:pStyle w:val="80"/>
              <w:keepNext w:val="0"/>
              <w:keepLines w:val="0"/>
              <w:widowControl/>
              <w:suppressLineNumbers w:val="0"/>
              <w:spacing w:before="0" w:beforeAutospacing="0" w:after="0" w:afterAutospacing="0"/>
              <w:ind w:left="0" w:right="0" w:firstLine="105" w:firstLineChars="50"/>
              <w:jc w:val="left"/>
              <w:rPr>
                <w:rFonts w:hint="default"/>
                <w:color w:val="auto"/>
                <w:szCs w:val="20"/>
                <w:highlight w:val="none"/>
              </w:rPr>
            </w:pPr>
            <w:r>
              <w:rPr>
                <w:rFonts w:hint="default"/>
                <w:color w:val="auto"/>
                <w:szCs w:val="20"/>
                <w:highlight w:val="none"/>
              </w:rPr>
              <w:t xml:space="preserve">□超五年重新审核项目     </w:t>
            </w:r>
          </w:p>
          <w:p>
            <w:pPr>
              <w:pStyle w:val="80"/>
              <w:keepNext w:val="0"/>
              <w:keepLines w:val="0"/>
              <w:widowControl/>
              <w:suppressLineNumbers w:val="0"/>
              <w:spacing w:before="0" w:beforeAutospacing="0" w:after="0" w:afterAutospacing="0"/>
              <w:ind w:left="0" w:right="0" w:firstLine="105" w:firstLineChars="50"/>
              <w:jc w:val="left"/>
              <w:rPr>
                <w:rFonts w:hint="default"/>
                <w:color w:val="auto"/>
                <w:szCs w:val="20"/>
                <w:highlight w:val="none"/>
              </w:rPr>
            </w:pPr>
            <w:r>
              <w:rPr>
                <w:rFonts w:hint="default"/>
                <w:color w:val="auto"/>
                <w:szCs w:val="20"/>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476" w:type="dxa"/>
            <w:tcMar>
              <w:top w:w="16" w:type="dxa"/>
              <w:left w:w="16" w:type="dxa"/>
              <w:right w:w="16" w:type="dxa"/>
            </w:tcMar>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项目审批（核准/备案）部门（选填）</w:t>
            </w:r>
          </w:p>
        </w:tc>
        <w:tc>
          <w:tcPr>
            <w:tcW w:w="1990" w:type="dxa"/>
            <w:vAlign w:val="center"/>
          </w:tcPr>
          <w:p>
            <w:pPr>
              <w:pStyle w:val="80"/>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lang w:val="en-US" w:eastAsia="zh-CN"/>
              </w:rPr>
              <w:t>陕西省西咸新区泾河新城管理委员会</w:t>
            </w:r>
          </w:p>
        </w:tc>
        <w:tc>
          <w:tcPr>
            <w:tcW w:w="1812" w:type="dxa"/>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项目审批（核准/</w:t>
            </w:r>
          </w:p>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备案）文号（选填）</w:t>
            </w:r>
          </w:p>
        </w:tc>
        <w:tc>
          <w:tcPr>
            <w:tcW w:w="3592" w:type="dxa"/>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76" w:type="dxa"/>
            <w:tcMar>
              <w:top w:w="16" w:type="dxa"/>
              <w:left w:w="16" w:type="dxa"/>
              <w:right w:w="16" w:type="dxa"/>
            </w:tcMar>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总投资（万元）</w:t>
            </w:r>
          </w:p>
        </w:tc>
        <w:tc>
          <w:tcPr>
            <w:tcW w:w="1990" w:type="dxa"/>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lang w:val="en-US" w:eastAsia="zh-CN"/>
              </w:rPr>
              <w:t>1</w:t>
            </w:r>
            <w:r>
              <w:rPr>
                <w:rFonts w:hint="eastAsia"/>
                <w:color w:val="auto"/>
                <w:szCs w:val="20"/>
                <w:highlight w:val="none"/>
              </w:rPr>
              <w:t>000</w:t>
            </w:r>
          </w:p>
        </w:tc>
        <w:tc>
          <w:tcPr>
            <w:tcW w:w="1812" w:type="dxa"/>
            <w:tcMar>
              <w:top w:w="16" w:type="dxa"/>
              <w:left w:w="16" w:type="dxa"/>
              <w:right w:w="16" w:type="dxa"/>
            </w:tcMar>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环保投资（万元）</w:t>
            </w:r>
          </w:p>
        </w:tc>
        <w:tc>
          <w:tcPr>
            <w:tcW w:w="3592" w:type="dxa"/>
            <w:vAlign w:val="center"/>
          </w:tcPr>
          <w:p>
            <w:pPr>
              <w:pStyle w:val="80"/>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lang w:val="en-US" w:eastAsia="zh-CN"/>
              </w:rPr>
              <w:t>41.2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76" w:type="dxa"/>
            <w:tcMar>
              <w:top w:w="16" w:type="dxa"/>
              <w:left w:w="16" w:type="dxa"/>
              <w:right w:w="16" w:type="dxa"/>
            </w:tcMar>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环保投资占比（%）</w:t>
            </w:r>
          </w:p>
        </w:tc>
        <w:tc>
          <w:tcPr>
            <w:tcW w:w="1990" w:type="dxa"/>
            <w:vAlign w:val="center"/>
          </w:tcPr>
          <w:p>
            <w:pPr>
              <w:pStyle w:val="80"/>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lang w:val="en-US" w:eastAsia="zh-CN"/>
              </w:rPr>
              <w:t>4.12</w:t>
            </w:r>
          </w:p>
        </w:tc>
        <w:tc>
          <w:tcPr>
            <w:tcW w:w="1812" w:type="dxa"/>
            <w:tcMar>
              <w:top w:w="16" w:type="dxa"/>
              <w:left w:w="16" w:type="dxa"/>
              <w:right w:w="16" w:type="dxa"/>
            </w:tcMar>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施工工期</w:t>
            </w:r>
          </w:p>
        </w:tc>
        <w:tc>
          <w:tcPr>
            <w:tcW w:w="3592" w:type="dxa"/>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lang w:val="en-US" w:eastAsia="zh-CN"/>
              </w:rPr>
              <w:t>1</w:t>
            </w:r>
            <w:r>
              <w:rPr>
                <w:rFonts w:hint="eastAsia"/>
                <w:color w:val="auto"/>
                <w:szCs w:val="20"/>
                <w:highlight w:val="none"/>
              </w:rPr>
              <w:t>个月（2024.</w:t>
            </w:r>
            <w:r>
              <w:rPr>
                <w:rFonts w:hint="eastAsia"/>
                <w:color w:val="auto"/>
                <w:szCs w:val="20"/>
                <w:highlight w:val="none"/>
                <w:lang w:val="en-US" w:eastAsia="zh-CN"/>
              </w:rPr>
              <w:t>8</w:t>
            </w:r>
            <w:r>
              <w:rPr>
                <w:rFonts w:hint="eastAsia"/>
                <w:color w:val="auto"/>
                <w:szCs w:val="20"/>
                <w:highlight w:val="none"/>
              </w:rPr>
              <w:t>.1-2024.</w:t>
            </w:r>
            <w:r>
              <w:rPr>
                <w:rFonts w:hint="eastAsia"/>
                <w:color w:val="auto"/>
                <w:szCs w:val="20"/>
                <w:highlight w:val="none"/>
                <w:lang w:val="en-US" w:eastAsia="zh-CN"/>
              </w:rPr>
              <w:t>8</w:t>
            </w:r>
            <w:r>
              <w:rPr>
                <w:rFonts w:hint="eastAsia"/>
                <w:color w:val="auto"/>
                <w:szCs w:val="20"/>
                <w:highlight w:val="none"/>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4" w:hRule="atLeast"/>
          <w:jc w:val="center"/>
        </w:trPr>
        <w:tc>
          <w:tcPr>
            <w:tcW w:w="1476" w:type="dxa"/>
            <w:tcMar>
              <w:top w:w="16" w:type="dxa"/>
              <w:left w:w="16" w:type="dxa"/>
              <w:right w:w="16" w:type="dxa"/>
            </w:tcMar>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是否开工建设</w:t>
            </w:r>
          </w:p>
        </w:tc>
        <w:tc>
          <w:tcPr>
            <w:tcW w:w="1990" w:type="dxa"/>
            <w:vAlign w:val="center"/>
          </w:tcPr>
          <w:p>
            <w:pPr>
              <w:pStyle w:val="80"/>
              <w:keepNext w:val="0"/>
              <w:keepLines w:val="0"/>
              <w:widowControl/>
              <w:suppressLineNumbers w:val="0"/>
              <w:spacing w:before="0" w:beforeAutospacing="0" w:after="0" w:afterAutospacing="0"/>
              <w:ind w:left="0" w:right="0"/>
              <w:jc w:val="left"/>
              <w:rPr>
                <w:rFonts w:hint="default"/>
                <w:color w:val="auto"/>
                <w:szCs w:val="20"/>
                <w:highlight w:val="none"/>
              </w:rPr>
            </w:pPr>
            <w:r>
              <w:rPr>
                <w:rFonts w:hint="default"/>
                <w:color w:val="auto"/>
                <w:szCs w:val="20"/>
                <w:highlight w:val="none"/>
              </w:rPr>
              <w:sym w:font="Wingdings 2" w:char="0052"/>
            </w:r>
            <w:r>
              <w:rPr>
                <w:rFonts w:hint="default"/>
                <w:color w:val="auto"/>
                <w:szCs w:val="20"/>
                <w:highlight w:val="none"/>
              </w:rPr>
              <w:t>否</w:t>
            </w:r>
          </w:p>
          <w:p>
            <w:pPr>
              <w:pStyle w:val="80"/>
              <w:keepNext w:val="0"/>
              <w:keepLines w:val="0"/>
              <w:widowControl/>
              <w:suppressLineNumbers w:val="0"/>
              <w:spacing w:before="0" w:beforeAutospacing="0" w:after="0" w:afterAutospacing="0"/>
              <w:ind w:left="0" w:right="0"/>
              <w:jc w:val="left"/>
              <w:rPr>
                <w:rFonts w:hint="default"/>
                <w:color w:val="auto"/>
                <w:szCs w:val="20"/>
                <w:highlight w:val="none"/>
              </w:rPr>
            </w:pPr>
            <w:r>
              <w:rPr>
                <w:rFonts w:hint="default"/>
                <w:color w:val="auto"/>
                <w:szCs w:val="20"/>
                <w:highlight w:val="none"/>
              </w:rPr>
              <w:sym w:font="Wingdings 2" w:char="00A3"/>
            </w:r>
            <w:r>
              <w:rPr>
                <w:rFonts w:hint="default"/>
                <w:color w:val="auto"/>
                <w:szCs w:val="20"/>
                <w:highlight w:val="none"/>
              </w:rPr>
              <w:t>是</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tc>
        <w:tc>
          <w:tcPr>
            <w:tcW w:w="1812" w:type="dxa"/>
            <w:tcMar>
              <w:top w:w="16" w:type="dxa"/>
              <w:left w:w="16" w:type="dxa"/>
              <w:right w:w="16" w:type="dxa"/>
            </w:tcMar>
            <w:vAlign w:val="center"/>
          </w:tcPr>
          <w:p>
            <w:pPr>
              <w:pStyle w:val="80"/>
              <w:keepNext w:val="0"/>
              <w:keepLines w:val="0"/>
              <w:widowControl/>
              <w:suppressLineNumbers w:val="0"/>
              <w:spacing w:before="0" w:beforeAutospacing="0" w:after="0" w:afterAutospacing="0"/>
              <w:ind w:left="0" w:right="0"/>
              <w:rPr>
                <w:rFonts w:hint="default"/>
                <w:color w:val="auto"/>
                <w:spacing w:val="-6"/>
                <w:szCs w:val="20"/>
                <w:highlight w:val="none"/>
              </w:rPr>
            </w:pPr>
            <w:r>
              <w:rPr>
                <w:rFonts w:hint="default"/>
                <w:color w:val="auto"/>
                <w:spacing w:val="-6"/>
                <w:szCs w:val="20"/>
                <w:highlight w:val="none"/>
              </w:rPr>
              <w:t>用地（用海）</w:t>
            </w:r>
          </w:p>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pacing w:val="-6"/>
                <w:szCs w:val="20"/>
                <w:highlight w:val="none"/>
              </w:rPr>
              <w:t>面积（m</w:t>
            </w:r>
            <w:r>
              <w:rPr>
                <w:rFonts w:hint="default"/>
                <w:color w:val="auto"/>
                <w:spacing w:val="-6"/>
                <w:szCs w:val="20"/>
                <w:highlight w:val="none"/>
                <w:vertAlign w:val="superscript"/>
              </w:rPr>
              <w:t>2</w:t>
            </w:r>
            <w:r>
              <w:rPr>
                <w:rFonts w:hint="default"/>
                <w:color w:val="auto"/>
                <w:spacing w:val="-6"/>
                <w:szCs w:val="20"/>
                <w:highlight w:val="none"/>
              </w:rPr>
              <w:t>）</w:t>
            </w:r>
          </w:p>
        </w:tc>
        <w:tc>
          <w:tcPr>
            <w:tcW w:w="3592" w:type="dxa"/>
            <w:vAlign w:val="center"/>
          </w:tcPr>
          <w:p>
            <w:pPr>
              <w:pStyle w:val="80"/>
              <w:keepNext w:val="0"/>
              <w:keepLines w:val="0"/>
              <w:widowControl/>
              <w:suppressLineNumbers w:val="0"/>
              <w:spacing w:before="0" w:beforeAutospacing="0" w:after="0" w:afterAutospacing="0"/>
              <w:ind w:left="0" w:right="0"/>
              <w:rPr>
                <w:rFonts w:hint="eastAsia" w:eastAsia="宋体"/>
                <w:color w:val="auto"/>
                <w:szCs w:val="20"/>
                <w:highlight w:val="none"/>
                <w:lang w:eastAsia="zh-CN"/>
              </w:rPr>
            </w:pPr>
            <w:r>
              <w:rPr>
                <w:rFonts w:hint="eastAsia"/>
                <w:color w:val="auto"/>
                <w:szCs w:val="20"/>
                <w:highlight w:val="none"/>
                <w:lang w:val="en-US" w:eastAsia="zh-CN"/>
              </w:rPr>
              <w:t>52</w:t>
            </w:r>
            <w:r>
              <w:rPr>
                <w:rFonts w:hint="eastAsia"/>
                <w:color w:val="auto"/>
                <w:szCs w:val="20"/>
                <w:highlight w:val="none"/>
                <w:lang w:eastAsia="zh-CN"/>
              </w:rPr>
              <w:t>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76" w:type="dxa"/>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专项评价设置情况</w:t>
            </w:r>
          </w:p>
        </w:tc>
        <w:tc>
          <w:tcPr>
            <w:tcW w:w="7394" w:type="dxa"/>
            <w:gridSpan w:val="3"/>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76" w:type="dxa"/>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规划情况</w:t>
            </w:r>
          </w:p>
        </w:tc>
        <w:tc>
          <w:tcPr>
            <w:tcW w:w="7394" w:type="dxa"/>
            <w:gridSpan w:val="3"/>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firstLine="420"/>
              <w:jc w:val="left"/>
              <w:rPr>
                <w:rFonts w:hint="default"/>
                <w:color w:val="auto"/>
                <w:highlight w:val="none"/>
              </w:rPr>
            </w:pPr>
            <w:r>
              <w:rPr>
                <w:rFonts w:hint="default"/>
                <w:color w:val="auto"/>
                <w:kern w:val="0"/>
                <w:sz w:val="21"/>
                <w:szCs w:val="21"/>
                <w:highlight w:val="none"/>
              </w:rPr>
              <w:t>规划文件：《西咸新区泾河新城分区规划</w:t>
            </w:r>
            <w:r>
              <w:rPr>
                <w:rFonts w:hint="eastAsia"/>
                <w:color w:val="auto"/>
                <w:kern w:val="0"/>
                <w:sz w:val="21"/>
                <w:szCs w:val="21"/>
                <w:highlight w:val="none"/>
              </w:rPr>
              <w:t>修编</w:t>
            </w:r>
            <w:r>
              <w:rPr>
                <w:rFonts w:hint="default"/>
                <w:color w:val="auto"/>
                <w:kern w:val="0"/>
                <w:sz w:val="21"/>
                <w:szCs w:val="21"/>
                <w:highlight w:val="none"/>
              </w:rPr>
              <w:t>（2016-2035）》</w:t>
            </w:r>
          </w:p>
          <w:p>
            <w:pPr>
              <w:keepNext w:val="0"/>
              <w:keepLines w:val="0"/>
              <w:suppressLineNumbers w:val="0"/>
              <w:autoSpaceDE w:val="0"/>
              <w:autoSpaceDN w:val="0"/>
              <w:adjustRightInd w:val="0"/>
              <w:snapToGrid w:val="0"/>
              <w:spacing w:before="0" w:beforeAutospacing="0" w:after="0" w:afterAutospacing="0" w:line="240" w:lineRule="auto"/>
              <w:ind w:left="0" w:right="0" w:firstLine="1470" w:firstLineChars="700"/>
              <w:jc w:val="left"/>
              <w:rPr>
                <w:rFonts w:hint="default"/>
                <w:color w:val="auto"/>
                <w:sz w:val="21"/>
                <w:szCs w:val="21"/>
                <w:highlight w:val="none"/>
              </w:rPr>
            </w:pPr>
            <w:r>
              <w:rPr>
                <w:rFonts w:hint="eastAsia"/>
                <w:color w:val="auto"/>
                <w:kern w:val="0"/>
                <w:sz w:val="21"/>
                <w:szCs w:val="21"/>
                <w:highlight w:val="none"/>
              </w:rPr>
              <w:t>《陕西省西咸新区泾河新城控制性详细规划（2016-2035）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76" w:type="dxa"/>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规划环境影响评价情况</w:t>
            </w:r>
          </w:p>
        </w:tc>
        <w:tc>
          <w:tcPr>
            <w:tcW w:w="7394" w:type="dxa"/>
            <w:gridSpan w:val="3"/>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firstLine="420"/>
              <w:jc w:val="left"/>
              <w:rPr>
                <w:rFonts w:hint="default"/>
                <w:color w:val="auto"/>
                <w:kern w:val="0"/>
                <w:sz w:val="21"/>
                <w:szCs w:val="21"/>
                <w:highlight w:val="none"/>
              </w:rPr>
            </w:pPr>
            <w:r>
              <w:rPr>
                <w:rFonts w:hint="default"/>
                <w:color w:val="auto"/>
                <w:kern w:val="0"/>
                <w:sz w:val="21"/>
                <w:szCs w:val="21"/>
                <w:highlight w:val="none"/>
              </w:rPr>
              <w:t>规划环境影响评价文件名称：《西咸新区泾河新城分区规划（2016-2035）环境影响报告书》</w:t>
            </w:r>
          </w:p>
          <w:p>
            <w:pPr>
              <w:keepNext w:val="0"/>
              <w:keepLines w:val="0"/>
              <w:suppressLineNumbers w:val="0"/>
              <w:autoSpaceDE w:val="0"/>
              <w:autoSpaceDN w:val="0"/>
              <w:adjustRightInd w:val="0"/>
              <w:snapToGrid w:val="0"/>
              <w:spacing w:before="0" w:beforeAutospacing="0" w:after="0" w:afterAutospacing="0" w:line="240" w:lineRule="auto"/>
              <w:ind w:left="0" w:right="0" w:firstLine="420"/>
              <w:jc w:val="left"/>
              <w:rPr>
                <w:rFonts w:hint="default"/>
                <w:color w:val="auto"/>
                <w:kern w:val="0"/>
                <w:sz w:val="21"/>
                <w:szCs w:val="21"/>
                <w:highlight w:val="none"/>
              </w:rPr>
            </w:pPr>
            <w:r>
              <w:rPr>
                <w:rFonts w:hint="default"/>
                <w:color w:val="auto"/>
                <w:kern w:val="0"/>
                <w:sz w:val="21"/>
                <w:szCs w:val="21"/>
                <w:highlight w:val="none"/>
              </w:rPr>
              <w:t>审查机关：陕西省西咸新区生态环境局</w:t>
            </w:r>
          </w:p>
          <w:p>
            <w:pPr>
              <w:keepNext w:val="0"/>
              <w:keepLines w:val="0"/>
              <w:suppressLineNumbers w:val="0"/>
              <w:autoSpaceDE w:val="0"/>
              <w:autoSpaceDN w:val="0"/>
              <w:adjustRightInd w:val="0"/>
              <w:snapToGrid w:val="0"/>
              <w:spacing w:before="0" w:beforeAutospacing="0" w:after="0" w:afterAutospacing="0" w:line="240" w:lineRule="auto"/>
              <w:ind w:left="0" w:right="0" w:firstLine="420"/>
              <w:jc w:val="left"/>
              <w:rPr>
                <w:rFonts w:hint="default"/>
                <w:color w:val="auto"/>
                <w:sz w:val="21"/>
                <w:szCs w:val="21"/>
                <w:highlight w:val="none"/>
              </w:rPr>
            </w:pPr>
            <w:r>
              <w:rPr>
                <w:rFonts w:hint="default"/>
                <w:color w:val="auto"/>
                <w:kern w:val="0"/>
                <w:sz w:val="21"/>
                <w:szCs w:val="21"/>
                <w:highlight w:val="none"/>
              </w:rPr>
              <w:t>审查文件名称及文号：陕西省西咸新区生态环境局</w:t>
            </w:r>
            <w:r>
              <w:rPr>
                <w:rFonts w:hint="eastAsia"/>
                <w:color w:val="auto"/>
                <w:kern w:val="0"/>
                <w:sz w:val="21"/>
                <w:szCs w:val="21"/>
                <w:highlight w:val="none"/>
              </w:rPr>
              <w:t>关于</w:t>
            </w:r>
            <w:r>
              <w:rPr>
                <w:rFonts w:hint="default"/>
                <w:color w:val="auto"/>
                <w:kern w:val="0"/>
                <w:sz w:val="21"/>
                <w:szCs w:val="21"/>
                <w:highlight w:val="none"/>
              </w:rPr>
              <w:t>《</w:t>
            </w:r>
            <w:r>
              <w:rPr>
                <w:rFonts w:hint="eastAsia"/>
                <w:color w:val="auto"/>
                <w:kern w:val="0"/>
                <w:sz w:val="21"/>
                <w:szCs w:val="21"/>
                <w:highlight w:val="none"/>
              </w:rPr>
              <w:t>陕西省</w:t>
            </w:r>
            <w:r>
              <w:rPr>
                <w:rFonts w:hint="default"/>
                <w:color w:val="auto"/>
                <w:kern w:val="0"/>
                <w:sz w:val="21"/>
                <w:szCs w:val="21"/>
                <w:highlight w:val="none"/>
              </w:rPr>
              <w:t>西咸新区泾河新城分区规划（2016-2035</w:t>
            </w:r>
            <w:r>
              <w:rPr>
                <w:rFonts w:hint="eastAsia"/>
                <w:color w:val="auto"/>
                <w:kern w:val="0"/>
                <w:sz w:val="21"/>
                <w:szCs w:val="21"/>
                <w:highlight w:val="none"/>
              </w:rPr>
              <w:t>年</w:t>
            </w:r>
            <w:r>
              <w:rPr>
                <w:rFonts w:hint="default"/>
                <w:color w:val="auto"/>
                <w:kern w:val="0"/>
                <w:sz w:val="21"/>
                <w:szCs w:val="21"/>
                <w:highlight w:val="none"/>
              </w:rPr>
              <w:t>）环境影响报告书》</w:t>
            </w:r>
            <w:r>
              <w:rPr>
                <w:rFonts w:hint="eastAsia"/>
                <w:color w:val="auto"/>
                <w:kern w:val="0"/>
                <w:sz w:val="21"/>
                <w:szCs w:val="21"/>
                <w:highlight w:val="none"/>
              </w:rPr>
              <w:t>的</w:t>
            </w:r>
            <w:r>
              <w:rPr>
                <w:rFonts w:hint="default"/>
                <w:color w:val="auto"/>
                <w:kern w:val="0"/>
                <w:sz w:val="21"/>
                <w:szCs w:val="21"/>
                <w:highlight w:val="none"/>
              </w:rPr>
              <w:t>审查意见（陕西咸环函</w:t>
            </w:r>
            <w:r>
              <w:rPr>
                <w:rFonts w:hint="eastAsia"/>
                <w:color w:val="auto"/>
                <w:kern w:val="0"/>
                <w:sz w:val="21"/>
                <w:szCs w:val="21"/>
                <w:highlight w:val="none"/>
              </w:rPr>
              <w:t>〔</w:t>
            </w:r>
            <w:r>
              <w:rPr>
                <w:rFonts w:hint="default"/>
                <w:color w:val="auto"/>
                <w:kern w:val="0"/>
                <w:sz w:val="21"/>
                <w:szCs w:val="21"/>
                <w:highlight w:val="none"/>
              </w:rPr>
              <w:t>2021</w:t>
            </w:r>
            <w:r>
              <w:rPr>
                <w:rFonts w:hint="eastAsia"/>
                <w:color w:val="auto"/>
                <w:kern w:val="0"/>
                <w:sz w:val="21"/>
                <w:szCs w:val="21"/>
                <w:highlight w:val="none"/>
              </w:rPr>
              <w:t>〕</w:t>
            </w:r>
            <w:r>
              <w:rPr>
                <w:rFonts w:hint="default"/>
                <w:color w:val="auto"/>
                <w:kern w:val="0"/>
                <w:sz w:val="21"/>
                <w:szCs w:val="21"/>
                <w:highlight w:val="none"/>
              </w:rPr>
              <w:t>41号）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8" w:hRule="atLeast"/>
          <w:jc w:val="center"/>
        </w:trPr>
        <w:tc>
          <w:tcPr>
            <w:tcW w:w="1476" w:type="dxa"/>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规划及规划环境影响评价符合性分析</w:t>
            </w:r>
          </w:p>
        </w:tc>
        <w:tc>
          <w:tcPr>
            <w:tcW w:w="7394" w:type="dxa"/>
            <w:gridSpan w:val="3"/>
            <w:vAlign w:val="center"/>
          </w:tcPr>
          <w:p>
            <w:pPr>
              <w:keepNext w:val="0"/>
              <w:keepLines w:val="0"/>
              <w:suppressLineNumbers w:val="0"/>
              <w:spacing w:before="0" w:beforeAutospacing="0" w:after="0" w:afterAutospacing="0"/>
              <w:ind w:left="0" w:right="0" w:firstLine="480"/>
              <w:rPr>
                <w:rFonts w:hint="default"/>
                <w:color w:val="auto"/>
                <w:highlight w:val="none"/>
              </w:rPr>
            </w:pPr>
            <w:r>
              <w:rPr>
                <w:rFonts w:hint="eastAsia"/>
                <w:color w:val="auto"/>
                <w:highlight w:val="none"/>
              </w:rPr>
              <w:t>本</w:t>
            </w:r>
            <w:r>
              <w:rPr>
                <w:rFonts w:hint="default"/>
                <w:color w:val="auto"/>
                <w:highlight w:val="none"/>
              </w:rPr>
              <w:t>项目建设与相关规划及规划环境影响评价符合性分析见表1</w:t>
            </w:r>
            <w:r>
              <w:rPr>
                <w:rFonts w:hint="eastAsia"/>
                <w:color w:val="auto"/>
                <w:highlight w:val="none"/>
              </w:rPr>
              <w:t>-1</w:t>
            </w:r>
            <w:r>
              <w:rPr>
                <w:rFonts w:hint="default"/>
                <w:color w:val="auto"/>
                <w:highlight w:val="none"/>
              </w:rPr>
              <w:t>。</w:t>
            </w:r>
          </w:p>
          <w:p>
            <w:pPr>
              <w:pStyle w:val="77"/>
              <w:keepNext w:val="0"/>
              <w:keepLines w:val="0"/>
              <w:widowControl/>
              <w:suppressLineNumbers w:val="0"/>
              <w:spacing w:before="0" w:beforeLines="0" w:beforeAutospacing="0" w:after="0" w:afterAutospacing="0"/>
              <w:ind w:left="0" w:right="0"/>
              <w:rPr>
                <w:rFonts w:hint="default" w:eastAsia="宋体"/>
                <w:b/>
                <w:color w:val="auto"/>
                <w:kern w:val="0"/>
                <w:szCs w:val="21"/>
                <w:highlight w:val="none"/>
              </w:rPr>
            </w:pPr>
            <w:r>
              <w:rPr>
                <w:rFonts w:hint="eastAsia" w:eastAsia="宋体"/>
                <w:b/>
                <w:color w:val="auto"/>
                <w:kern w:val="0"/>
                <w:szCs w:val="21"/>
                <w:highlight w:val="none"/>
              </w:rPr>
              <w:t>表1-1   项目与规划及规划环评相符性分析</w:t>
            </w:r>
          </w:p>
          <w:tbl>
            <w:tblPr>
              <w:tblStyle w:val="37"/>
              <w:tblW w:w="725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28" w:type="dxa"/>
                <w:left w:w="108" w:type="dxa"/>
                <w:bottom w:w="28" w:type="dxa"/>
                <w:right w:w="108" w:type="dxa"/>
              </w:tblCellMar>
            </w:tblPr>
            <w:tblGrid>
              <w:gridCol w:w="846"/>
              <w:gridCol w:w="3432"/>
              <w:gridCol w:w="2633"/>
              <w:gridCol w:w="33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397" w:hRule="atLeast"/>
                <w:jc w:val="center"/>
              </w:trPr>
              <w:tc>
                <w:tcPr>
                  <w:tcW w:w="583"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文件</w:t>
                  </w:r>
                </w:p>
              </w:tc>
              <w:tc>
                <w:tcPr>
                  <w:tcW w:w="2366" w:type="pct"/>
                  <w:vAlign w:val="center"/>
                </w:tcPr>
                <w:p>
                  <w:pPr>
                    <w:pStyle w:val="80"/>
                    <w:keepNext w:val="0"/>
                    <w:keepLines w:val="0"/>
                    <w:widowControl/>
                    <w:suppressLineNumbers w:val="0"/>
                    <w:spacing w:before="0" w:beforeAutospacing="0" w:after="0" w:afterAutospacing="0"/>
                    <w:ind w:left="0" w:right="0"/>
                    <w:rPr>
                      <w:rFonts w:hint="default"/>
                      <w:color w:val="auto"/>
                      <w:szCs w:val="21"/>
                      <w:highlight w:val="none"/>
                    </w:rPr>
                  </w:pPr>
                  <w:r>
                    <w:rPr>
                      <w:rFonts w:hint="eastAsia"/>
                      <w:color w:val="auto"/>
                      <w:szCs w:val="21"/>
                      <w:highlight w:val="none"/>
                    </w:rPr>
                    <w:t>规划判定内容</w:t>
                  </w:r>
                </w:p>
              </w:tc>
              <w:tc>
                <w:tcPr>
                  <w:tcW w:w="1815" w:type="pct"/>
                  <w:vAlign w:val="center"/>
                </w:tcPr>
                <w:p>
                  <w:pPr>
                    <w:pStyle w:val="80"/>
                    <w:keepNext w:val="0"/>
                    <w:keepLines w:val="0"/>
                    <w:widowControl/>
                    <w:suppressLineNumbers w:val="0"/>
                    <w:spacing w:before="0" w:beforeAutospacing="0" w:after="0" w:afterAutospacing="0"/>
                    <w:ind w:left="0" w:right="0"/>
                    <w:rPr>
                      <w:rFonts w:hint="default"/>
                      <w:color w:val="auto"/>
                      <w:szCs w:val="21"/>
                      <w:highlight w:val="none"/>
                    </w:rPr>
                  </w:pPr>
                  <w:r>
                    <w:rPr>
                      <w:rFonts w:hint="eastAsia"/>
                      <w:color w:val="auto"/>
                      <w:szCs w:val="21"/>
                      <w:highlight w:val="none"/>
                    </w:rPr>
                    <w:t>本项目情况</w:t>
                  </w:r>
                </w:p>
              </w:tc>
              <w:tc>
                <w:tcPr>
                  <w:tcW w:w="234" w:type="pct"/>
                  <w:vAlign w:val="center"/>
                </w:tcPr>
                <w:p>
                  <w:pPr>
                    <w:pStyle w:val="80"/>
                    <w:keepNext w:val="0"/>
                    <w:keepLines w:val="0"/>
                    <w:widowControl/>
                    <w:suppressLineNumbers w:val="0"/>
                    <w:spacing w:before="0" w:beforeAutospacing="0" w:after="0" w:afterAutospacing="0"/>
                    <w:ind w:left="0" w:right="0"/>
                    <w:rPr>
                      <w:rFonts w:hint="default"/>
                      <w:color w:val="auto"/>
                      <w:szCs w:val="21"/>
                      <w:highlight w:val="none"/>
                    </w:rPr>
                  </w:pPr>
                  <w:r>
                    <w:rPr>
                      <w:rFonts w:hint="eastAsia"/>
                      <w:color w:val="auto"/>
                      <w:szCs w:val="21"/>
                      <w:highlight w:val="none"/>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397" w:hRule="atLeast"/>
                <w:jc w:val="center"/>
              </w:trPr>
              <w:tc>
                <w:tcPr>
                  <w:tcW w:w="583" w:type="pct"/>
                  <w:vAlign w:val="center"/>
                </w:tcPr>
                <w:p>
                  <w:pPr>
                    <w:pStyle w:val="80"/>
                    <w:keepNext w:val="0"/>
                    <w:keepLines w:val="0"/>
                    <w:widowControl/>
                    <w:suppressLineNumbers w:val="0"/>
                    <w:spacing w:before="0" w:beforeAutospacing="0" w:after="0" w:afterAutospacing="0"/>
                    <w:ind w:left="0" w:right="0"/>
                    <w:rPr>
                      <w:rFonts w:hint="default"/>
                      <w:color w:val="auto"/>
                      <w:szCs w:val="21"/>
                      <w:highlight w:val="none"/>
                    </w:rPr>
                  </w:pPr>
                  <w:r>
                    <w:rPr>
                      <w:rFonts w:hint="default"/>
                      <w:color w:val="auto"/>
                      <w:szCs w:val="21"/>
                      <w:highlight w:val="none"/>
                    </w:rPr>
                    <w:t>《西咸新区泾河新城分区规划（2016-2035）》</w:t>
                  </w:r>
                </w:p>
              </w:tc>
              <w:tc>
                <w:tcPr>
                  <w:tcW w:w="2366" w:type="pct"/>
                  <w:vAlign w:val="center"/>
                </w:tcPr>
                <w:p>
                  <w:pPr>
                    <w:pStyle w:val="80"/>
                    <w:keepNext w:val="0"/>
                    <w:keepLines w:val="0"/>
                    <w:widowControl/>
                    <w:suppressLineNumbers w:val="0"/>
                    <w:spacing w:before="0" w:beforeAutospacing="0" w:after="0" w:afterAutospacing="0"/>
                    <w:ind w:left="0" w:right="0"/>
                    <w:jc w:val="both"/>
                    <w:rPr>
                      <w:rFonts w:hint="default"/>
                      <w:color w:val="auto"/>
                      <w:szCs w:val="21"/>
                      <w:highlight w:val="none"/>
                    </w:rPr>
                  </w:pPr>
                  <w:r>
                    <w:rPr>
                      <w:rFonts w:hint="default"/>
                      <w:color w:val="auto"/>
                      <w:szCs w:val="21"/>
                      <w:highlight w:val="none"/>
                    </w:rPr>
                    <w:t>规划将泾河新城总体定位为：以先进制造业、现代服务业、现代农业为主导产业，以智能制造、生产性服务、文化旅游和茯茶产业为特色产业，具有浓厚古今文化韵味、智慧宜居氛围的大西安北部生态休闲示范区和渭北创新产业服务高地。产业发展规划：重点打造以先进制造业、现代服务业、现代农业为主导产业，以智能制造、生产性服务、文化旅游和茯茶产业为特色产业。</w:t>
                  </w:r>
                </w:p>
              </w:tc>
              <w:tc>
                <w:tcPr>
                  <w:tcW w:w="1815" w:type="pct"/>
                  <w:vAlign w:val="center"/>
                </w:tcPr>
                <w:p>
                  <w:pPr>
                    <w:pStyle w:val="80"/>
                    <w:keepNext w:val="0"/>
                    <w:keepLines w:val="0"/>
                    <w:widowControl/>
                    <w:suppressLineNumbers w:val="0"/>
                    <w:spacing w:before="0" w:beforeAutospacing="0" w:after="0" w:afterAutospacing="0"/>
                    <w:ind w:left="0" w:right="0"/>
                    <w:jc w:val="both"/>
                    <w:rPr>
                      <w:rFonts w:hint="default"/>
                      <w:color w:val="auto"/>
                      <w:szCs w:val="21"/>
                      <w:highlight w:val="none"/>
                    </w:rPr>
                  </w:pPr>
                  <w:r>
                    <w:rPr>
                      <w:rFonts w:hint="eastAsia"/>
                      <w:color w:val="auto"/>
                      <w:szCs w:val="21"/>
                      <w:highlight w:val="none"/>
                    </w:rPr>
                    <w:t>本项目位于陕西省西咸新区泾河新城</w:t>
                  </w:r>
                  <w:r>
                    <w:rPr>
                      <w:rFonts w:hint="eastAsia"/>
                      <w:color w:val="auto"/>
                      <w:szCs w:val="21"/>
                      <w:highlight w:val="none"/>
                      <w:lang w:val="en-US" w:eastAsia="zh-CN"/>
                    </w:rPr>
                    <w:t>永乐工业园原点五路</w:t>
                  </w:r>
                  <w:r>
                    <w:rPr>
                      <w:rFonts w:hint="eastAsia"/>
                      <w:color w:val="auto"/>
                      <w:szCs w:val="21"/>
                      <w:highlight w:val="none"/>
                    </w:rPr>
                    <w:t>，属于规划范围内；项目属于制造业中的塑料制品业，属于制造业，基本</w:t>
                  </w:r>
                  <w:r>
                    <w:rPr>
                      <w:rFonts w:hint="default"/>
                      <w:color w:val="auto"/>
                      <w:szCs w:val="21"/>
                      <w:highlight w:val="none"/>
                    </w:rPr>
                    <w:t>符合总体产业定位</w:t>
                  </w:r>
                  <w:r>
                    <w:rPr>
                      <w:rFonts w:hint="eastAsia"/>
                      <w:color w:val="auto"/>
                      <w:szCs w:val="21"/>
                      <w:highlight w:val="none"/>
                    </w:rPr>
                    <w:t>。</w:t>
                  </w:r>
                </w:p>
              </w:tc>
              <w:tc>
                <w:tcPr>
                  <w:tcW w:w="234" w:type="pct"/>
                  <w:vAlign w:val="center"/>
                </w:tcPr>
                <w:p>
                  <w:pPr>
                    <w:pStyle w:val="80"/>
                    <w:keepNext w:val="0"/>
                    <w:keepLines w:val="0"/>
                    <w:widowControl/>
                    <w:suppressLineNumbers w:val="0"/>
                    <w:spacing w:before="0" w:beforeAutospacing="0" w:after="0" w:afterAutospacing="0"/>
                    <w:ind w:left="0" w:right="0"/>
                    <w:rPr>
                      <w:rFonts w:hint="default"/>
                      <w:color w:val="auto"/>
                      <w:szCs w:val="21"/>
                      <w:highlight w:val="none"/>
                    </w:rPr>
                  </w:pPr>
                  <w:r>
                    <w:rPr>
                      <w:rFonts w:hint="default"/>
                      <w:color w:val="auto"/>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1282" w:hRule="atLeast"/>
                <w:jc w:val="center"/>
              </w:trPr>
              <w:tc>
                <w:tcPr>
                  <w:tcW w:w="583" w:type="pct"/>
                  <w:vMerge w:val="restart"/>
                  <w:vAlign w:val="center"/>
                </w:tcPr>
                <w:p>
                  <w:pPr>
                    <w:pStyle w:val="80"/>
                    <w:keepNext w:val="0"/>
                    <w:keepLines w:val="0"/>
                    <w:widowControl/>
                    <w:suppressLineNumbers w:val="0"/>
                    <w:spacing w:before="0" w:beforeAutospacing="0" w:after="0" w:afterAutospacing="0"/>
                    <w:ind w:left="0" w:right="0"/>
                    <w:rPr>
                      <w:rFonts w:hint="default"/>
                      <w:color w:val="auto"/>
                      <w:kern w:val="2"/>
                      <w:szCs w:val="21"/>
                      <w:highlight w:val="none"/>
                    </w:rPr>
                  </w:pPr>
                  <w:r>
                    <w:rPr>
                      <w:rFonts w:hint="default"/>
                      <w:color w:val="auto"/>
                      <w:szCs w:val="21"/>
                      <w:highlight w:val="none"/>
                    </w:rPr>
                    <w:t>《西咸新区泾河新城分区规划（2016-2035）》环境影响报告书及审查意见</w:t>
                  </w:r>
                </w:p>
              </w:tc>
              <w:tc>
                <w:tcPr>
                  <w:tcW w:w="2366" w:type="pct"/>
                  <w:vAlign w:val="center"/>
                </w:tcPr>
                <w:p>
                  <w:pPr>
                    <w:pStyle w:val="80"/>
                    <w:keepNext w:val="0"/>
                    <w:keepLines w:val="0"/>
                    <w:widowControl/>
                    <w:suppressLineNumbers w:val="0"/>
                    <w:spacing w:before="0" w:beforeAutospacing="0" w:after="0" w:afterAutospacing="0"/>
                    <w:ind w:left="0" w:right="0"/>
                    <w:jc w:val="both"/>
                    <w:rPr>
                      <w:rFonts w:hint="default"/>
                      <w:color w:val="auto"/>
                      <w:szCs w:val="21"/>
                      <w:highlight w:val="none"/>
                    </w:rPr>
                  </w:pPr>
                  <w:r>
                    <w:rPr>
                      <w:rFonts w:hint="default"/>
                      <w:color w:val="auto"/>
                      <w:szCs w:val="21"/>
                      <w:highlight w:val="none"/>
                    </w:rPr>
                    <w:t>规划主管部门应严格管理，要求</w:t>
                  </w:r>
                  <w:r>
                    <w:rPr>
                      <w:rFonts w:hint="eastAsia"/>
                      <w:color w:val="auto"/>
                      <w:szCs w:val="21"/>
                      <w:highlight w:val="none"/>
                    </w:rPr>
                    <w:t>入驻</w:t>
                  </w:r>
                  <w:r>
                    <w:rPr>
                      <w:rFonts w:hint="default"/>
                      <w:color w:val="auto"/>
                      <w:szCs w:val="21"/>
                      <w:highlight w:val="none"/>
                    </w:rPr>
                    <w:t>企业采用先进、成熟、可靠的工艺技术和清洁的原辅材料，对产生的废物进行合理的回用和治理，尽可能从源头上减少污染物排放；禁止利用渗坑、渗井、裂隙等排放污水和其他有害废弃物的行为；严格按照国家相关规范要求，对工艺、管道、设备、污水储存及处理构筑物采取相应的措施，以防止和降低污染物的跑、冒、滴、漏，将污染物泄漏的环境风险事故降低到最低程度；加强雨污分流排水体制建设，避免雨污水混流后进入外环境，污染区域地下水质。</w:t>
                  </w:r>
                </w:p>
              </w:tc>
              <w:tc>
                <w:tcPr>
                  <w:tcW w:w="1815" w:type="pct"/>
                  <w:vAlign w:val="center"/>
                </w:tcPr>
                <w:p>
                  <w:pPr>
                    <w:pStyle w:val="80"/>
                    <w:keepNext w:val="0"/>
                    <w:keepLines w:val="0"/>
                    <w:widowControl/>
                    <w:suppressLineNumbers w:val="0"/>
                    <w:spacing w:before="0" w:beforeAutospacing="0" w:after="0" w:afterAutospacing="0"/>
                    <w:ind w:left="0" w:right="0"/>
                    <w:jc w:val="both"/>
                    <w:rPr>
                      <w:rFonts w:hint="default"/>
                      <w:color w:val="auto"/>
                      <w:szCs w:val="21"/>
                      <w:highlight w:val="none"/>
                    </w:rPr>
                  </w:pPr>
                  <w:r>
                    <w:rPr>
                      <w:rFonts w:hint="default"/>
                      <w:color w:val="auto"/>
                      <w:szCs w:val="21"/>
                      <w:highlight w:val="none"/>
                    </w:rPr>
                    <w:t>本项目</w:t>
                  </w:r>
                  <w:r>
                    <w:rPr>
                      <w:rFonts w:hint="eastAsia"/>
                      <w:color w:val="auto"/>
                      <w:szCs w:val="21"/>
                      <w:highlight w:val="none"/>
                    </w:rPr>
                    <w:t>采用整装包装完整的原辅材料，产生的废物料尽可能回收和综合利用；厂区内地面全部硬化，降低泄露污染风险；生活污水经园区化粪池处理后排入市政污水管网最终进</w:t>
                  </w:r>
                  <w:r>
                    <w:rPr>
                      <w:rFonts w:hint="eastAsia"/>
                      <w:color w:val="auto"/>
                      <w:szCs w:val="20"/>
                      <w:highlight w:val="none"/>
                    </w:rPr>
                    <w:t>入泾河新城第二污水处理厂处理</w:t>
                  </w:r>
                  <w:r>
                    <w:rPr>
                      <w:rFonts w:hint="default"/>
                      <w:color w:val="auto"/>
                      <w:szCs w:val="21"/>
                      <w:highlight w:val="none"/>
                    </w:rPr>
                    <w:t>，</w:t>
                  </w:r>
                  <w:r>
                    <w:rPr>
                      <w:rFonts w:hint="eastAsia"/>
                      <w:color w:val="auto"/>
                      <w:szCs w:val="21"/>
                      <w:highlight w:val="none"/>
                    </w:rPr>
                    <w:t>生产</w:t>
                  </w:r>
                  <w:r>
                    <w:rPr>
                      <w:rFonts w:hint="eastAsia"/>
                      <w:color w:val="auto"/>
                      <w:szCs w:val="21"/>
                      <w:highlight w:val="none"/>
                      <w:lang w:val="en-US" w:eastAsia="zh-CN"/>
                    </w:rPr>
                    <w:t>中冷却水</w:t>
                  </w:r>
                  <w:r>
                    <w:rPr>
                      <w:rFonts w:hint="eastAsia"/>
                      <w:color w:val="auto"/>
                      <w:szCs w:val="20"/>
                      <w:lang w:val="en-US" w:eastAsia="zh-CN"/>
                    </w:rPr>
                    <w:t>循环利用</w:t>
                  </w:r>
                  <w:r>
                    <w:rPr>
                      <w:rFonts w:hint="eastAsia"/>
                      <w:color w:val="auto"/>
                      <w:szCs w:val="21"/>
                      <w:highlight w:val="none"/>
                    </w:rPr>
                    <w:t>不外排，厂内雨水经地沟汇集排入市政雨水管</w:t>
                  </w:r>
                  <w:r>
                    <w:rPr>
                      <w:rFonts w:hint="eastAsia"/>
                      <w:color w:val="auto"/>
                      <w:szCs w:val="21"/>
                      <w:highlight w:val="none"/>
                      <w:lang w:val="en-US" w:eastAsia="zh-CN"/>
                    </w:rPr>
                    <w:t>网</w:t>
                  </w:r>
                  <w:r>
                    <w:rPr>
                      <w:rFonts w:hint="default"/>
                      <w:color w:val="auto"/>
                      <w:szCs w:val="21"/>
                      <w:highlight w:val="none"/>
                    </w:rPr>
                    <w:t>。</w:t>
                  </w:r>
                </w:p>
              </w:tc>
              <w:tc>
                <w:tcPr>
                  <w:tcW w:w="234" w:type="pct"/>
                  <w:vAlign w:val="center"/>
                </w:tcPr>
                <w:p>
                  <w:pPr>
                    <w:pStyle w:val="80"/>
                    <w:keepNext w:val="0"/>
                    <w:keepLines w:val="0"/>
                    <w:widowControl/>
                    <w:suppressLineNumbers w:val="0"/>
                    <w:spacing w:before="0" w:beforeAutospacing="0" w:after="0" w:afterAutospacing="0"/>
                    <w:ind w:left="0" w:right="0"/>
                    <w:rPr>
                      <w:rFonts w:hint="default"/>
                      <w:color w:val="auto"/>
                      <w:szCs w:val="21"/>
                      <w:highlight w:val="none"/>
                    </w:rPr>
                  </w:pPr>
                  <w:r>
                    <w:rPr>
                      <w:rFonts w:hint="default"/>
                      <w:color w:val="auto"/>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583" w:type="pct"/>
                  <w:vMerge w:val="continue"/>
                  <w:vAlign w:val="center"/>
                </w:tcPr>
                <w:p>
                  <w:pPr>
                    <w:pStyle w:val="80"/>
                    <w:keepNext w:val="0"/>
                    <w:keepLines w:val="0"/>
                    <w:widowControl/>
                    <w:suppressLineNumbers w:val="0"/>
                    <w:spacing w:before="0" w:beforeAutospacing="0" w:after="0" w:afterAutospacing="0"/>
                    <w:ind w:left="0" w:right="0"/>
                    <w:rPr>
                      <w:rFonts w:hint="default"/>
                      <w:color w:val="auto"/>
                      <w:szCs w:val="21"/>
                      <w:highlight w:val="none"/>
                    </w:rPr>
                  </w:pPr>
                </w:p>
              </w:tc>
              <w:tc>
                <w:tcPr>
                  <w:tcW w:w="2366" w:type="pct"/>
                  <w:vAlign w:val="center"/>
                </w:tcPr>
                <w:p>
                  <w:pPr>
                    <w:pStyle w:val="80"/>
                    <w:keepNext w:val="0"/>
                    <w:keepLines w:val="0"/>
                    <w:widowControl/>
                    <w:suppressLineNumbers w:val="0"/>
                    <w:spacing w:before="0" w:beforeAutospacing="0" w:after="0" w:afterAutospacing="0"/>
                    <w:ind w:left="0" w:right="0"/>
                    <w:jc w:val="both"/>
                    <w:rPr>
                      <w:rFonts w:hint="default"/>
                      <w:color w:val="auto"/>
                      <w:szCs w:val="21"/>
                      <w:highlight w:val="none"/>
                    </w:rPr>
                  </w:pPr>
                  <w:r>
                    <w:rPr>
                      <w:rFonts w:hint="default"/>
                      <w:color w:val="auto"/>
                      <w:szCs w:val="21"/>
                      <w:highlight w:val="none"/>
                    </w:rPr>
                    <w:t>规划新增项目产生的一般工业固体废物可以回收利用的，企业直接回收利用，或送厂家进行回收再利用，或外卖其他企业回收利用；无法综合利用的一般工业固体废物按《一般工业固体废物贮存和填埋污染控制标准》（GB 18599-2020）中有关要求，进行贮存。对于涉及危险废物的企业应建立危险废物暂存库并严格按照重点防渗区进行防渗处理，防止污染地下水，并定期及时交由有资质单位处置</w:t>
                  </w:r>
                  <w:r>
                    <w:rPr>
                      <w:rFonts w:hint="eastAsia"/>
                      <w:color w:val="auto"/>
                      <w:szCs w:val="21"/>
                      <w:highlight w:val="none"/>
                    </w:rPr>
                    <w:t>。</w:t>
                  </w:r>
                </w:p>
              </w:tc>
              <w:tc>
                <w:tcPr>
                  <w:tcW w:w="1815" w:type="pct"/>
                  <w:vAlign w:val="center"/>
                </w:tcPr>
                <w:p>
                  <w:pPr>
                    <w:pStyle w:val="80"/>
                    <w:keepNext w:val="0"/>
                    <w:keepLines w:val="0"/>
                    <w:widowControl/>
                    <w:suppressLineNumbers w:val="0"/>
                    <w:spacing w:before="0" w:beforeAutospacing="0" w:after="0" w:afterAutospacing="0"/>
                    <w:ind w:left="0" w:right="0"/>
                    <w:jc w:val="both"/>
                    <w:rPr>
                      <w:rFonts w:hint="default"/>
                      <w:color w:val="auto"/>
                      <w:szCs w:val="21"/>
                      <w:highlight w:val="none"/>
                    </w:rPr>
                  </w:pPr>
                  <w:r>
                    <w:rPr>
                      <w:rFonts w:hint="default"/>
                      <w:color w:val="auto"/>
                      <w:szCs w:val="21"/>
                      <w:highlight w:val="none"/>
                    </w:rPr>
                    <w:t>项目产生的一般固废</w:t>
                  </w:r>
                  <w:r>
                    <w:rPr>
                      <w:rFonts w:hint="eastAsia"/>
                      <w:color w:val="auto"/>
                      <w:szCs w:val="21"/>
                      <w:highlight w:val="none"/>
                    </w:rPr>
                    <w:t>分类</w:t>
                  </w:r>
                  <w:r>
                    <w:rPr>
                      <w:rFonts w:hint="default"/>
                      <w:color w:val="auto"/>
                      <w:szCs w:val="21"/>
                      <w:highlight w:val="none"/>
                    </w:rPr>
                    <w:t>收集后定期外售；危废建设</w:t>
                  </w:r>
                  <w:r>
                    <w:rPr>
                      <w:rFonts w:hint="eastAsia"/>
                      <w:color w:val="auto"/>
                      <w:szCs w:val="21"/>
                      <w:highlight w:val="none"/>
                      <w:lang w:eastAsia="zh-CN"/>
                    </w:rPr>
                    <w:t>危废贮存库</w:t>
                  </w:r>
                  <w:r>
                    <w:rPr>
                      <w:rFonts w:hint="default"/>
                      <w:color w:val="auto"/>
                      <w:szCs w:val="21"/>
                      <w:highlight w:val="none"/>
                    </w:rPr>
                    <w:t>，暂存后交有资质单位处置，</w:t>
                  </w:r>
                  <w:r>
                    <w:rPr>
                      <w:rFonts w:hint="eastAsia"/>
                      <w:color w:val="auto"/>
                      <w:szCs w:val="21"/>
                      <w:highlight w:val="none"/>
                      <w:lang w:eastAsia="zh-CN"/>
                    </w:rPr>
                    <w:t>危废贮存库</w:t>
                  </w:r>
                  <w:r>
                    <w:rPr>
                      <w:rFonts w:hint="default"/>
                      <w:color w:val="auto"/>
                      <w:szCs w:val="21"/>
                      <w:highlight w:val="none"/>
                    </w:rPr>
                    <w:t>按</w:t>
                  </w:r>
                  <w:r>
                    <w:rPr>
                      <w:rFonts w:hint="eastAsia" w:hAnsi="宋体"/>
                      <w:snapToGrid w:val="0"/>
                      <w:color w:val="auto"/>
                      <w:kern w:val="2"/>
                      <w:szCs w:val="21"/>
                      <w:highlight w:val="none"/>
                    </w:rPr>
                    <w:t>《危险废物贮存污染控制标准》（GB18597-2023）</w:t>
                  </w:r>
                  <w:r>
                    <w:rPr>
                      <w:rFonts w:hint="default"/>
                      <w:color w:val="auto"/>
                      <w:szCs w:val="21"/>
                      <w:highlight w:val="none"/>
                    </w:rPr>
                    <w:t>要求进行防渗。</w:t>
                  </w:r>
                </w:p>
              </w:tc>
              <w:tc>
                <w:tcPr>
                  <w:tcW w:w="234" w:type="pct"/>
                  <w:vMerge w:val="restart"/>
                  <w:vAlign w:val="center"/>
                </w:tcPr>
                <w:p>
                  <w:pPr>
                    <w:pStyle w:val="80"/>
                    <w:keepNext w:val="0"/>
                    <w:keepLines w:val="0"/>
                    <w:widowControl/>
                    <w:suppressLineNumbers w:val="0"/>
                    <w:spacing w:before="0" w:beforeAutospacing="0" w:after="0" w:afterAutospacing="0"/>
                    <w:ind w:left="0" w:right="0"/>
                    <w:rPr>
                      <w:rFonts w:hint="default"/>
                      <w:color w:val="auto"/>
                      <w:szCs w:val="21"/>
                      <w:highlight w:val="none"/>
                    </w:rPr>
                  </w:pPr>
                  <w:r>
                    <w:rPr>
                      <w:rFonts w:hint="default"/>
                      <w:color w:val="auto"/>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178" w:hRule="atLeast"/>
                <w:jc w:val="center"/>
              </w:trPr>
              <w:tc>
                <w:tcPr>
                  <w:tcW w:w="583" w:type="pct"/>
                  <w:vMerge w:val="continue"/>
                  <w:vAlign w:val="center"/>
                </w:tcPr>
                <w:p>
                  <w:pPr>
                    <w:pStyle w:val="80"/>
                    <w:keepNext w:val="0"/>
                    <w:keepLines w:val="0"/>
                    <w:widowControl/>
                    <w:suppressLineNumbers w:val="0"/>
                    <w:spacing w:before="0" w:beforeAutospacing="0" w:after="0" w:afterAutospacing="0"/>
                    <w:ind w:left="0" w:right="0"/>
                    <w:rPr>
                      <w:rFonts w:hint="default"/>
                      <w:color w:val="auto"/>
                      <w:szCs w:val="21"/>
                      <w:highlight w:val="none"/>
                    </w:rPr>
                  </w:pPr>
                </w:p>
              </w:tc>
              <w:tc>
                <w:tcPr>
                  <w:tcW w:w="2366" w:type="pct"/>
                  <w:vAlign w:val="center"/>
                </w:tcPr>
                <w:p>
                  <w:pPr>
                    <w:pStyle w:val="80"/>
                    <w:keepNext w:val="0"/>
                    <w:keepLines w:val="0"/>
                    <w:widowControl/>
                    <w:suppressLineNumbers w:val="0"/>
                    <w:spacing w:before="0" w:beforeAutospacing="0" w:after="0" w:afterAutospacing="0"/>
                    <w:ind w:left="0" w:right="0"/>
                    <w:jc w:val="both"/>
                    <w:rPr>
                      <w:rFonts w:hint="default"/>
                      <w:color w:val="auto"/>
                      <w:szCs w:val="21"/>
                      <w:highlight w:val="none"/>
                    </w:rPr>
                  </w:pPr>
                  <w:r>
                    <w:rPr>
                      <w:rFonts w:hint="default"/>
                      <w:color w:val="auto"/>
                      <w:szCs w:val="21"/>
                      <w:highlight w:val="none"/>
                    </w:rPr>
                    <w:t>提高入园企业大气污染物排放的清洁生产水平，引进企业必须采用先进、可靠的废气治理措施，确保废气排放满足《大气污染物综合排放标准》（GB16279-1996）二级标准或相应的行业标准要求。</w:t>
                  </w:r>
                </w:p>
              </w:tc>
              <w:tc>
                <w:tcPr>
                  <w:tcW w:w="1815" w:type="pct"/>
                  <w:vAlign w:val="center"/>
                </w:tcPr>
                <w:p>
                  <w:pPr>
                    <w:pStyle w:val="80"/>
                    <w:keepNext w:val="0"/>
                    <w:keepLines w:val="0"/>
                    <w:widowControl/>
                    <w:suppressLineNumbers w:val="0"/>
                    <w:spacing w:before="0" w:beforeAutospacing="0" w:after="0" w:afterAutospacing="0"/>
                    <w:ind w:left="0" w:right="0"/>
                    <w:jc w:val="both"/>
                    <w:rPr>
                      <w:rFonts w:hint="default"/>
                      <w:color w:val="auto"/>
                      <w:szCs w:val="21"/>
                      <w:highlight w:val="none"/>
                    </w:rPr>
                  </w:pPr>
                  <w:r>
                    <w:rPr>
                      <w:rFonts w:hint="default"/>
                      <w:color w:val="auto"/>
                      <w:szCs w:val="20"/>
                      <w:highlight w:val="none"/>
                    </w:rPr>
                    <w:t>项目产生的</w:t>
                  </w:r>
                  <w:r>
                    <w:rPr>
                      <w:rFonts w:hint="eastAsia"/>
                      <w:color w:val="auto"/>
                      <w:szCs w:val="20"/>
                      <w:highlight w:val="none"/>
                    </w:rPr>
                    <w:t>有机废气经集气罩收集后通过二级活性炭吸附装置处理后经</w:t>
                  </w:r>
                  <w:r>
                    <w:rPr>
                      <w:rFonts w:hint="eastAsia"/>
                      <w:color w:val="auto"/>
                      <w:szCs w:val="20"/>
                      <w:highlight w:val="none"/>
                      <w:lang w:val="en-US" w:eastAsia="zh-CN"/>
                    </w:rPr>
                    <w:t>1根</w:t>
                  </w:r>
                  <w:r>
                    <w:rPr>
                      <w:rFonts w:hint="eastAsia"/>
                      <w:color w:val="auto"/>
                      <w:szCs w:val="20"/>
                      <w:highlight w:val="none"/>
                    </w:rPr>
                    <w:t>15m高排气筒排放，大气污染物</w:t>
                  </w:r>
                  <w:r>
                    <w:rPr>
                      <w:rFonts w:hint="default"/>
                      <w:color w:val="auto"/>
                      <w:szCs w:val="20"/>
                      <w:highlight w:val="none"/>
                    </w:rPr>
                    <w:t>排放浓度满足</w:t>
                  </w:r>
                  <w:r>
                    <w:rPr>
                      <w:rFonts w:hint="eastAsia"/>
                      <w:color w:val="auto"/>
                      <w:szCs w:val="20"/>
                      <w:highlight w:val="none"/>
                      <w:lang w:val="en-US" w:eastAsia="zh-CN"/>
                    </w:rPr>
                    <w:t>并执行行业标准</w:t>
                  </w:r>
                  <w:r>
                    <w:rPr>
                      <w:rFonts w:hint="eastAsia"/>
                      <w:color w:val="auto"/>
                      <w:szCs w:val="20"/>
                      <w:highlight w:val="none"/>
                    </w:rPr>
                    <w:t>《合成树脂工业污染物排放标准》（</w:t>
                  </w:r>
                  <w:r>
                    <w:rPr>
                      <w:rFonts w:hint="eastAsia"/>
                      <w:color w:val="auto"/>
                      <w:szCs w:val="20"/>
                      <w:highlight w:val="none"/>
                      <w:lang w:eastAsia="zh-CN"/>
                    </w:rPr>
                    <w:t>GB31572-2015，含2024年修改单</w:t>
                  </w:r>
                  <w:r>
                    <w:rPr>
                      <w:rFonts w:hint="eastAsia"/>
                      <w:color w:val="auto"/>
                      <w:szCs w:val="20"/>
                      <w:highlight w:val="none"/>
                    </w:rPr>
                    <w:t>）</w:t>
                  </w:r>
                  <w:r>
                    <w:rPr>
                      <w:rFonts w:hint="default"/>
                      <w:color w:val="auto"/>
                      <w:szCs w:val="20"/>
                      <w:highlight w:val="none"/>
                    </w:rPr>
                    <w:t>中</w:t>
                  </w:r>
                  <w:r>
                    <w:rPr>
                      <w:rFonts w:hint="eastAsia"/>
                      <w:color w:val="auto"/>
                      <w:szCs w:val="20"/>
                      <w:highlight w:val="none"/>
                    </w:rPr>
                    <w:t>相关标准</w:t>
                  </w:r>
                  <w:r>
                    <w:rPr>
                      <w:rFonts w:hint="default"/>
                      <w:color w:val="auto"/>
                      <w:szCs w:val="20"/>
                      <w:highlight w:val="none"/>
                    </w:rPr>
                    <w:t>要求。</w:t>
                  </w:r>
                </w:p>
              </w:tc>
              <w:tc>
                <w:tcPr>
                  <w:tcW w:w="234" w:type="pct"/>
                  <w:vMerge w:val="continue"/>
                  <w:vAlign w:val="center"/>
                </w:tcPr>
                <w:p>
                  <w:pPr>
                    <w:pStyle w:val="80"/>
                    <w:keepNext w:val="0"/>
                    <w:keepLines w:val="0"/>
                    <w:widowControl/>
                    <w:suppressLineNumbers w:val="0"/>
                    <w:spacing w:before="0" w:beforeAutospacing="0" w:after="0" w:afterAutospacing="0"/>
                    <w:ind w:left="0" w:right="0"/>
                    <w:rPr>
                      <w:rFonts w:hint="default"/>
                      <w:color w:val="auto"/>
                      <w:szCs w:val="21"/>
                      <w:highlight w:val="none"/>
                    </w:rPr>
                  </w:pPr>
                </w:p>
              </w:tc>
            </w:tr>
          </w:tbl>
          <w:p>
            <w:pPr>
              <w:pStyle w:val="80"/>
              <w:keepNext w:val="0"/>
              <w:keepLines w:val="0"/>
              <w:widowControl/>
              <w:suppressLineNumbers w:val="0"/>
              <w:spacing w:before="0" w:beforeAutospacing="0" w:after="0" w:afterAutospacing="0"/>
              <w:ind w:left="0" w:right="0"/>
              <w:rPr>
                <w:rFonts w:hint="default"/>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79" w:hRule="atLeast"/>
          <w:jc w:val="center"/>
        </w:trPr>
        <w:tc>
          <w:tcPr>
            <w:tcW w:w="1476" w:type="dxa"/>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其他符合性分析</w:t>
            </w:r>
          </w:p>
        </w:tc>
        <w:tc>
          <w:tcPr>
            <w:tcW w:w="7394" w:type="dxa"/>
            <w:gridSpan w:val="3"/>
            <w:tcBorders>
              <w:bottom w:val="single" w:color="000000" w:sz="12" w:space="0"/>
            </w:tcBorders>
            <w:vAlign w:val="center"/>
          </w:tcPr>
          <w:p>
            <w:pPr>
              <w:keepNext w:val="0"/>
              <w:keepLines w:val="0"/>
              <w:suppressLineNumbers w:val="0"/>
              <w:spacing w:before="120" w:beforeLines="50" w:beforeAutospacing="0" w:after="0" w:afterAutospacing="0"/>
              <w:ind w:left="0" w:right="0" w:firstLine="482"/>
              <w:rPr>
                <w:rFonts w:hint="default"/>
                <w:b/>
                <w:color w:val="auto"/>
                <w:highlight w:val="none"/>
              </w:rPr>
            </w:pPr>
            <w:r>
              <w:rPr>
                <w:rFonts w:hint="default"/>
                <w:b/>
                <w:color w:val="auto"/>
                <w:highlight w:val="none"/>
              </w:rPr>
              <w:t>1、</w:t>
            </w:r>
            <w:r>
              <w:rPr>
                <w:rFonts w:hint="eastAsia"/>
                <w:b/>
                <w:color w:val="auto"/>
                <w:highlight w:val="none"/>
              </w:rPr>
              <w:t>“三线一单”</w:t>
            </w:r>
            <w:r>
              <w:rPr>
                <w:rFonts w:hint="default"/>
                <w:b/>
                <w:color w:val="auto"/>
                <w:highlight w:val="none"/>
              </w:rPr>
              <w:t>符合性分析</w:t>
            </w:r>
          </w:p>
          <w:p>
            <w:pPr>
              <w:keepNext w:val="0"/>
              <w:keepLines w:val="0"/>
              <w:suppressLineNumbers w:val="0"/>
              <w:spacing w:before="0" w:beforeAutospacing="0" w:after="0" w:afterAutospacing="0"/>
              <w:ind w:left="0" w:right="0" w:firstLine="480"/>
              <w:jc w:val="left"/>
              <w:rPr>
                <w:rFonts w:hint="default"/>
                <w:color w:val="auto"/>
                <w:highlight w:val="none"/>
              </w:rPr>
            </w:pPr>
            <w:r>
              <w:rPr>
                <w:rFonts w:hint="default"/>
                <w:color w:val="auto"/>
                <w:highlight w:val="none"/>
              </w:rPr>
              <w:t>根据《陕西省人民政府关于加快实施</w:t>
            </w:r>
            <w:r>
              <w:rPr>
                <w:rFonts w:hint="default" w:ascii="宋体" w:hAnsi="宋体"/>
                <w:color w:val="auto"/>
                <w:kern w:val="0"/>
                <w:highlight w:val="none"/>
                <w:lang w:bidi="ar"/>
              </w:rPr>
              <w:t>“三线一单”</w:t>
            </w:r>
            <w:r>
              <w:rPr>
                <w:rFonts w:hint="default"/>
                <w:color w:val="auto"/>
                <w:highlight w:val="none"/>
              </w:rPr>
              <w:t>生态环境分区管控的意见》（陕政发〔202</w:t>
            </w:r>
            <w:r>
              <w:rPr>
                <w:rFonts w:hint="eastAsia"/>
                <w:color w:val="auto"/>
                <w:highlight w:val="none"/>
              </w:rPr>
              <w:t>0</w:t>
            </w:r>
            <w:r>
              <w:rPr>
                <w:rFonts w:hint="default"/>
                <w:color w:val="auto"/>
                <w:highlight w:val="none"/>
              </w:rPr>
              <w:t>〕11号）</w:t>
            </w:r>
            <w:r>
              <w:rPr>
                <w:rFonts w:hint="eastAsia"/>
                <w:color w:val="auto"/>
                <w:highlight w:val="none"/>
              </w:rPr>
              <w:t>、《陕西省“三线一单”生态环境分区管控应用技术指南：环境影响评价（试行）》及《西安</w:t>
            </w:r>
            <w:r>
              <w:rPr>
                <w:rFonts w:hint="default"/>
                <w:color w:val="auto"/>
                <w:highlight w:val="none"/>
              </w:rPr>
              <w:t>市</w:t>
            </w:r>
            <w:r>
              <w:rPr>
                <w:rFonts w:hint="default" w:ascii="宋体" w:hAnsi="宋体"/>
                <w:color w:val="auto"/>
                <w:kern w:val="0"/>
                <w:highlight w:val="none"/>
                <w:lang w:bidi="ar"/>
              </w:rPr>
              <w:t>“三线一单”</w:t>
            </w:r>
            <w:r>
              <w:rPr>
                <w:rFonts w:hint="default"/>
                <w:color w:val="auto"/>
                <w:highlight w:val="none"/>
              </w:rPr>
              <w:t>生态环境分区管控实施方案》（</w:t>
            </w:r>
            <w:r>
              <w:rPr>
                <w:rFonts w:hint="eastAsia"/>
                <w:color w:val="auto"/>
                <w:highlight w:val="none"/>
              </w:rPr>
              <w:t>市</w:t>
            </w:r>
            <w:r>
              <w:rPr>
                <w:rFonts w:hint="default"/>
                <w:color w:val="auto"/>
                <w:highlight w:val="none"/>
              </w:rPr>
              <w:t>政发〔2021〕</w:t>
            </w:r>
            <w:r>
              <w:rPr>
                <w:rFonts w:hint="eastAsia"/>
                <w:color w:val="auto"/>
                <w:highlight w:val="none"/>
              </w:rPr>
              <w:t>22</w:t>
            </w:r>
            <w:r>
              <w:rPr>
                <w:rFonts w:hint="default"/>
                <w:color w:val="auto"/>
                <w:highlight w:val="none"/>
              </w:rPr>
              <w:t>号）</w:t>
            </w:r>
            <w:r>
              <w:rPr>
                <w:rFonts w:hint="eastAsia"/>
                <w:color w:val="auto"/>
                <w:highlight w:val="none"/>
              </w:rPr>
              <w:t>，环评文件涉及“三线一单”生态环境分区管控符合性分析应采取“一图一表一说明”的表达方式，具体如下：</w:t>
            </w:r>
          </w:p>
          <w:p>
            <w:pPr>
              <w:pStyle w:val="50"/>
              <w:keepNext w:val="0"/>
              <w:keepLines w:val="0"/>
              <w:suppressLineNumbers w:val="0"/>
              <w:spacing w:before="0" w:beforeAutospacing="0" w:after="0" w:afterAutospacing="0"/>
              <w:ind w:left="0" w:right="0" w:firstLine="480"/>
              <w:rPr>
                <w:rFonts w:hint="default"/>
                <w:color w:val="auto"/>
                <w:highlight w:val="none"/>
              </w:rPr>
            </w:pPr>
            <w:r>
              <w:rPr>
                <w:rFonts w:hint="eastAsia" w:ascii="Times New Roman" w:hAnsi="Times New Roman" w:cs="Times New Roman"/>
                <w:color w:val="auto"/>
                <w:highlight w:val="none"/>
              </w:rPr>
              <w:t>（1）</w:t>
            </w:r>
            <w:r>
              <w:rPr>
                <w:rFonts w:hint="eastAsia"/>
                <w:color w:val="auto"/>
                <w:highlight w:val="none"/>
              </w:rPr>
              <w:t>“一图”</w:t>
            </w:r>
          </w:p>
          <w:p>
            <w:pPr>
              <w:pStyle w:val="50"/>
              <w:keepNext w:val="0"/>
              <w:keepLines w:val="0"/>
              <w:suppressLineNumbers w:val="0"/>
              <w:spacing w:before="0" w:beforeAutospacing="0" w:after="0" w:afterAutospacing="0"/>
              <w:ind w:left="0" w:right="0" w:firstLine="480"/>
              <w:rPr>
                <w:rFonts w:hint="default"/>
                <w:color w:val="auto"/>
                <w:highlight w:val="none"/>
              </w:rPr>
            </w:pPr>
            <w:r>
              <w:rPr>
                <w:rFonts w:hint="eastAsia"/>
                <w:color w:val="auto"/>
                <w:highlight w:val="none"/>
              </w:rPr>
              <w:t>根据陕西省“三线一单”数据应用系统叠图分析可知，本项目属于西安市重点管控单元，不涉及生态保护红线。项目与环境管控单位对照分析示意图如下图所示：</w:t>
            </w:r>
          </w:p>
          <w:p>
            <w:pPr>
              <w:pStyle w:val="77"/>
              <w:keepNext w:val="0"/>
              <w:keepLines w:val="0"/>
              <w:widowControl/>
              <w:suppressLineNumbers w:val="0"/>
              <w:spacing w:before="0" w:beforeLines="0" w:beforeAutospacing="0" w:after="0" w:afterAutospacing="0"/>
              <w:ind w:left="0" w:right="0"/>
              <w:rPr>
                <w:rFonts w:hint="default"/>
                <w:color w:val="auto"/>
                <w:highlight w:val="none"/>
              </w:rPr>
            </w:pPr>
            <w:r>
              <w:rPr>
                <w:rFonts w:hint="default"/>
                <w:color w:val="auto"/>
              </w:rPr>
              <w:drawing>
                <wp:inline distT="0" distB="0" distL="114300" distR="114300">
                  <wp:extent cx="3959860" cy="6456045"/>
                  <wp:effectExtent l="0" t="0" r="2540" b="190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5"/>
                          <a:stretch>
                            <a:fillRect/>
                          </a:stretch>
                        </pic:blipFill>
                        <pic:spPr>
                          <a:xfrm>
                            <a:off x="0" y="0"/>
                            <a:ext cx="3959860" cy="6456045"/>
                          </a:xfrm>
                          <a:prstGeom prst="rect">
                            <a:avLst/>
                          </a:prstGeom>
                          <a:noFill/>
                          <a:ln>
                            <a:noFill/>
                          </a:ln>
                        </pic:spPr>
                      </pic:pic>
                    </a:graphicData>
                  </a:graphic>
                </wp:inline>
              </w:drawing>
            </w:r>
          </w:p>
          <w:p>
            <w:pPr>
              <w:pStyle w:val="77"/>
              <w:keepNext w:val="0"/>
              <w:keepLines w:val="0"/>
              <w:widowControl/>
              <w:suppressLineNumbers w:val="0"/>
              <w:spacing w:before="0" w:beforeLines="0" w:beforeAutospacing="0" w:after="0" w:afterAutospacing="0"/>
              <w:ind w:left="0" w:right="0"/>
              <w:rPr>
                <w:rFonts w:hint="default"/>
                <w:color w:val="auto"/>
                <w:highlight w:val="none"/>
              </w:rPr>
            </w:pPr>
            <w:r>
              <w:rPr>
                <w:rFonts w:hint="eastAsia" w:eastAsia="宋体"/>
                <w:b/>
                <w:color w:val="auto"/>
                <w:kern w:val="0"/>
                <w:szCs w:val="21"/>
                <w:highlight w:val="none"/>
              </w:rPr>
              <w:t>图1-1  本项目与“三线一单”分区管控位置关系</w:t>
            </w:r>
          </w:p>
          <w:p>
            <w:pPr>
              <w:pStyle w:val="188"/>
              <w:keepNext w:val="0"/>
              <w:keepLines w:val="0"/>
              <w:suppressLineNumbers w:val="0"/>
              <w:spacing w:before="0" w:beforeAutospacing="0" w:after="0" w:afterAutospacing="0" w:line="360" w:lineRule="auto"/>
              <w:ind w:left="0" w:right="0" w:firstLine="488"/>
              <w:rPr>
                <w:rFonts w:hint="default" w:hAnsi="Times New Roman"/>
                <w:color w:val="auto"/>
                <w:spacing w:val="2"/>
                <w:highlight w:val="none"/>
              </w:rPr>
            </w:pPr>
            <w:r>
              <w:rPr>
                <w:rFonts w:hint="eastAsia" w:hAnsi="Times New Roman"/>
                <w:color w:val="auto"/>
                <w:spacing w:val="2"/>
                <w:highlight w:val="none"/>
              </w:rPr>
              <w:t>（2）“一表”</w:t>
            </w:r>
          </w:p>
          <w:p>
            <w:pPr>
              <w:pStyle w:val="188"/>
              <w:keepNext w:val="0"/>
              <w:keepLines w:val="0"/>
              <w:suppressLineNumbers w:val="0"/>
              <w:spacing w:before="0" w:beforeAutospacing="0" w:after="0" w:afterAutospacing="0" w:line="360" w:lineRule="auto"/>
              <w:ind w:left="0" w:right="0" w:firstLine="488"/>
              <w:rPr>
                <w:rFonts w:hint="default"/>
                <w:color w:val="auto"/>
                <w:highlight w:val="none"/>
              </w:rPr>
            </w:pPr>
            <w:r>
              <w:rPr>
                <w:rFonts w:hint="eastAsia" w:ascii="Calibri" w:hAnsi="Times New Roman"/>
                <w:color w:val="auto"/>
                <w:spacing w:val="2"/>
                <w:highlight w:val="none"/>
              </w:rPr>
              <w:t>根据从陕西省“三线一单”数据应用系统（V1.0）中导出的分析文件（具体见附件</w:t>
            </w:r>
            <w:r>
              <w:rPr>
                <w:rFonts w:hint="eastAsia" w:ascii="Calibri" w:hAnsi="Times New Roman"/>
                <w:color w:val="auto"/>
                <w:spacing w:val="2"/>
                <w:highlight w:val="none"/>
                <w:lang w:val="en-US" w:eastAsia="zh-CN"/>
              </w:rPr>
              <w:t>6</w:t>
            </w:r>
            <w:r>
              <w:rPr>
                <w:rFonts w:hint="eastAsia" w:ascii="Calibri" w:hAnsi="Times New Roman"/>
                <w:color w:val="auto"/>
                <w:spacing w:val="2"/>
                <w:highlight w:val="none"/>
              </w:rPr>
              <w:t>），本项目所涉及的《西安市生态环境准入清单》如下表所示：</w:t>
            </w:r>
          </w:p>
        </w:tc>
      </w:tr>
    </w:tbl>
    <w:p>
      <w:pPr>
        <w:ind w:firstLine="480"/>
        <w:rPr>
          <w:color w:val="auto"/>
          <w:highlight w:val="none"/>
        </w:rPr>
      </w:pPr>
    </w:p>
    <w:p>
      <w:pPr>
        <w:pStyle w:val="80"/>
        <w:jc w:val="both"/>
        <w:rPr>
          <w:color w:val="auto"/>
          <w:szCs w:val="21"/>
          <w:highlight w:val="none"/>
        </w:rPr>
        <w:sectPr>
          <w:footerReference r:id="rId11" w:type="default"/>
          <w:pgSz w:w="11906" w:h="16838"/>
          <w:pgMar w:top="1701" w:right="1531" w:bottom="1701" w:left="1531" w:header="851" w:footer="1077" w:gutter="0"/>
          <w:pgBorders>
            <w:top w:val="none" w:sz="0" w:space="0"/>
            <w:left w:val="none" w:sz="0" w:space="0"/>
            <w:bottom w:val="none" w:sz="0" w:space="0"/>
            <w:right w:val="none" w:sz="0" w:space="0"/>
          </w:pgBorders>
          <w:pgNumType w:fmt="numberInDash" w:start="1"/>
          <w:cols w:space="720" w:num="1"/>
          <w:docGrid w:linePitch="312" w:charSpace="0"/>
        </w:sectPr>
      </w:pPr>
    </w:p>
    <w:tbl>
      <w:tblPr>
        <w:tblStyle w:val="37"/>
        <w:tblW w:w="501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56"/>
        <w:gridCol w:w="131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21" w:hRule="atLeast"/>
          <w:jc w:val="center"/>
        </w:trPr>
        <w:tc>
          <w:tcPr>
            <w:tcW w:w="132" w:type="pct"/>
            <w:tcBorders>
              <w:top w:val="single" w:color="000000" w:sz="12" w:space="0"/>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其他符合性分析</w:t>
            </w:r>
          </w:p>
        </w:tc>
        <w:tc>
          <w:tcPr>
            <w:tcW w:w="4867" w:type="pct"/>
            <w:tcBorders>
              <w:top w:val="single" w:color="000000" w:sz="12" w:space="0"/>
            </w:tcBorders>
            <w:vAlign w:val="center"/>
          </w:tcPr>
          <w:p>
            <w:pPr>
              <w:pStyle w:val="77"/>
              <w:keepNext w:val="0"/>
              <w:keepLines w:val="0"/>
              <w:widowControl/>
              <w:suppressLineNumbers w:val="0"/>
              <w:spacing w:before="0" w:beforeLines="0" w:beforeAutospacing="0" w:after="0" w:afterAutospacing="0" w:line="240" w:lineRule="auto"/>
              <w:ind w:left="0" w:right="0"/>
              <w:rPr>
                <w:rFonts w:hint="default" w:eastAsia="宋体"/>
                <w:b/>
                <w:color w:val="auto"/>
                <w:kern w:val="0"/>
                <w:szCs w:val="21"/>
                <w:highlight w:val="none"/>
              </w:rPr>
            </w:pPr>
            <w:r>
              <w:rPr>
                <w:rFonts w:hint="eastAsia" w:eastAsia="宋体"/>
                <w:b/>
                <w:color w:val="auto"/>
                <w:kern w:val="0"/>
                <w:szCs w:val="21"/>
                <w:highlight w:val="none"/>
              </w:rPr>
              <w:t>表1</w:t>
            </w:r>
            <w:r>
              <w:rPr>
                <w:rFonts w:hint="eastAsia" w:eastAsia="宋体"/>
                <w:b/>
                <w:color w:val="auto"/>
                <w:kern w:val="0"/>
                <w:szCs w:val="21"/>
                <w:highlight w:val="none"/>
                <w:lang w:val="en-US" w:eastAsia="zh-CN"/>
              </w:rPr>
              <w:t>-2</w:t>
            </w:r>
            <w:r>
              <w:rPr>
                <w:rFonts w:hint="eastAsia" w:eastAsia="宋体"/>
                <w:b/>
                <w:color w:val="auto"/>
                <w:kern w:val="0"/>
                <w:szCs w:val="21"/>
                <w:highlight w:val="none"/>
              </w:rPr>
              <w:t xml:space="preserve">  建设项目范围涉及的生态环境管控单元准入清单符合性分析</w:t>
            </w:r>
          </w:p>
          <w:tbl>
            <w:tblPr>
              <w:tblStyle w:val="3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20"/>
              <w:gridCol w:w="864"/>
              <w:gridCol w:w="780"/>
              <w:gridCol w:w="1020"/>
              <w:gridCol w:w="5070"/>
              <w:gridCol w:w="3773"/>
              <w:gridCol w:w="4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auto"/>
                      <w:sz w:val="21"/>
                      <w:szCs w:val="22"/>
                      <w:highlight w:val="none"/>
                    </w:rPr>
                  </w:pPr>
                  <w:r>
                    <w:rPr>
                      <w:rFonts w:hint="eastAsia"/>
                      <w:b/>
                      <w:color w:val="auto"/>
                      <w:sz w:val="21"/>
                      <w:szCs w:val="22"/>
                      <w:highlight w:val="none"/>
                    </w:rPr>
                    <w:t>市（区）</w:t>
                  </w:r>
                </w:p>
              </w:tc>
              <w:tc>
                <w:tcPr>
                  <w:tcW w:w="121"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auto"/>
                      <w:sz w:val="21"/>
                      <w:szCs w:val="22"/>
                      <w:highlight w:val="none"/>
                    </w:rPr>
                  </w:pPr>
                  <w:r>
                    <w:rPr>
                      <w:rFonts w:hint="eastAsia"/>
                      <w:b/>
                      <w:color w:val="auto"/>
                      <w:sz w:val="21"/>
                      <w:szCs w:val="22"/>
                      <w:highlight w:val="none"/>
                    </w:rPr>
                    <w:t>区县</w:t>
                  </w:r>
                </w:p>
              </w:tc>
              <w:tc>
                <w:tcPr>
                  <w:tcW w:w="329"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auto"/>
                      <w:sz w:val="21"/>
                      <w:szCs w:val="22"/>
                      <w:highlight w:val="none"/>
                    </w:rPr>
                  </w:pPr>
                  <w:r>
                    <w:rPr>
                      <w:rFonts w:hint="eastAsia"/>
                      <w:b/>
                      <w:color w:val="auto"/>
                      <w:sz w:val="21"/>
                      <w:szCs w:val="22"/>
                      <w:highlight w:val="none"/>
                    </w:rPr>
                    <w:t>环境管控单元名称</w:t>
                  </w:r>
                </w:p>
              </w:tc>
              <w:tc>
                <w:tcPr>
                  <w:tcW w:w="297"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auto"/>
                      <w:sz w:val="21"/>
                      <w:szCs w:val="22"/>
                      <w:highlight w:val="none"/>
                    </w:rPr>
                  </w:pPr>
                  <w:r>
                    <w:rPr>
                      <w:rFonts w:hint="eastAsia"/>
                      <w:b/>
                      <w:color w:val="auto"/>
                      <w:sz w:val="21"/>
                      <w:szCs w:val="22"/>
                      <w:highlight w:val="none"/>
                    </w:rPr>
                    <w:t>单元要素亲属性</w:t>
                  </w:r>
                </w:p>
              </w:tc>
              <w:tc>
                <w:tcPr>
                  <w:tcW w:w="388"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auto"/>
                      <w:sz w:val="21"/>
                      <w:szCs w:val="22"/>
                      <w:highlight w:val="none"/>
                    </w:rPr>
                  </w:pPr>
                  <w:r>
                    <w:rPr>
                      <w:rFonts w:hint="eastAsia"/>
                      <w:b/>
                      <w:color w:val="auto"/>
                      <w:sz w:val="21"/>
                      <w:szCs w:val="22"/>
                      <w:highlight w:val="none"/>
                    </w:rPr>
                    <w:t>管控单元分类</w:t>
                  </w:r>
                </w:p>
              </w:tc>
              <w:tc>
                <w:tcPr>
                  <w:tcW w:w="1932"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auto"/>
                      <w:sz w:val="21"/>
                      <w:szCs w:val="22"/>
                      <w:highlight w:val="none"/>
                    </w:rPr>
                  </w:pPr>
                  <w:r>
                    <w:rPr>
                      <w:rFonts w:hint="eastAsia"/>
                      <w:b/>
                      <w:color w:val="auto"/>
                      <w:sz w:val="21"/>
                      <w:szCs w:val="22"/>
                      <w:highlight w:val="none"/>
                    </w:rPr>
                    <w:t>管控要求</w:t>
                  </w:r>
                </w:p>
              </w:tc>
              <w:tc>
                <w:tcPr>
                  <w:tcW w:w="1438"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auto"/>
                      <w:sz w:val="21"/>
                      <w:szCs w:val="22"/>
                      <w:highlight w:val="none"/>
                    </w:rPr>
                  </w:pPr>
                  <w:r>
                    <w:rPr>
                      <w:rFonts w:hint="eastAsia"/>
                      <w:b/>
                      <w:color w:val="auto"/>
                      <w:sz w:val="21"/>
                      <w:szCs w:val="22"/>
                      <w:highlight w:val="none"/>
                    </w:rPr>
                    <w:t>本项目情况</w:t>
                  </w:r>
                </w:p>
              </w:tc>
              <w:tc>
                <w:tcPr>
                  <w:tcW w:w="168"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auto"/>
                      <w:sz w:val="21"/>
                      <w:szCs w:val="22"/>
                      <w:highlight w:val="none"/>
                    </w:rPr>
                  </w:pPr>
                  <w:r>
                    <w:rPr>
                      <w:rFonts w:hint="eastAsia"/>
                      <w:b/>
                      <w:color w:val="auto"/>
                      <w:sz w:val="21"/>
                      <w:szCs w:val="22"/>
                      <w:highlight w:val="none"/>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22" w:type="pct"/>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2"/>
                      <w:highlight w:val="none"/>
                    </w:rPr>
                  </w:pPr>
                  <w:r>
                    <w:rPr>
                      <w:rFonts w:hint="eastAsia"/>
                      <w:color w:val="auto"/>
                      <w:sz w:val="21"/>
                      <w:szCs w:val="22"/>
                      <w:highlight w:val="none"/>
                    </w:rPr>
                    <w:t>咸阳市</w:t>
                  </w:r>
                </w:p>
              </w:tc>
              <w:tc>
                <w:tcPr>
                  <w:tcW w:w="121" w:type="pct"/>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2"/>
                      <w:highlight w:val="none"/>
                    </w:rPr>
                  </w:pPr>
                  <w:r>
                    <w:rPr>
                      <w:rFonts w:hint="eastAsia"/>
                      <w:color w:val="auto"/>
                      <w:sz w:val="21"/>
                      <w:szCs w:val="22"/>
                      <w:highlight w:val="none"/>
                    </w:rPr>
                    <w:t>泾阳县</w:t>
                  </w:r>
                </w:p>
              </w:tc>
              <w:tc>
                <w:tcPr>
                  <w:tcW w:w="329" w:type="pct"/>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auto"/>
                      <w:sz w:val="21"/>
                      <w:szCs w:val="22"/>
                      <w:highlight w:val="none"/>
                      <w:lang w:val="en-US" w:eastAsia="zh-CN"/>
                    </w:rPr>
                  </w:pPr>
                  <w:r>
                    <w:rPr>
                      <w:rFonts w:hint="eastAsia"/>
                      <w:color w:val="auto"/>
                      <w:sz w:val="21"/>
                      <w:szCs w:val="22"/>
                      <w:highlight w:val="none"/>
                    </w:rPr>
                    <w:t>泾阳县重点管控单元</w:t>
                  </w:r>
                  <w:r>
                    <w:rPr>
                      <w:rFonts w:hint="eastAsia"/>
                      <w:color w:val="auto"/>
                      <w:sz w:val="21"/>
                      <w:szCs w:val="22"/>
                      <w:highlight w:val="none"/>
                      <w:lang w:val="en-US" w:eastAsia="zh-CN"/>
                    </w:rPr>
                    <w:t>11（西咸新区）</w:t>
                  </w:r>
                </w:p>
              </w:tc>
              <w:tc>
                <w:tcPr>
                  <w:tcW w:w="297" w:type="pct"/>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auto"/>
                      <w:sz w:val="21"/>
                      <w:szCs w:val="22"/>
                      <w:highlight w:val="none"/>
                      <w:lang w:val="en-US" w:eastAsia="zh-CN"/>
                    </w:rPr>
                  </w:pPr>
                  <w:r>
                    <w:rPr>
                      <w:rFonts w:hint="eastAsia"/>
                      <w:color w:val="auto"/>
                      <w:sz w:val="21"/>
                      <w:szCs w:val="22"/>
                      <w:highlight w:val="none"/>
                      <w:lang w:val="en-US" w:eastAsia="zh-CN"/>
                    </w:rPr>
                    <w:t>大气环境受体敏感重点管控区</w:t>
                  </w:r>
                </w:p>
              </w:tc>
              <w:tc>
                <w:tcPr>
                  <w:tcW w:w="388"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2"/>
                      <w:highlight w:val="none"/>
                    </w:rPr>
                  </w:pPr>
                  <w:r>
                    <w:rPr>
                      <w:rFonts w:hint="eastAsia"/>
                      <w:color w:val="auto"/>
                      <w:sz w:val="21"/>
                      <w:szCs w:val="22"/>
                      <w:highlight w:val="none"/>
                    </w:rPr>
                    <w:t>空间约束要求</w:t>
                  </w:r>
                </w:p>
              </w:tc>
              <w:tc>
                <w:tcPr>
                  <w:tcW w:w="1932"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rPr>
                      <w:rFonts w:hint="eastAsia" w:eastAsia="宋体"/>
                      <w:color w:val="auto"/>
                      <w:sz w:val="21"/>
                      <w:szCs w:val="22"/>
                      <w:highlight w:val="none"/>
                      <w:lang w:eastAsia="zh-CN"/>
                    </w:rPr>
                  </w:pPr>
                  <w:r>
                    <w:rPr>
                      <w:rFonts w:hint="eastAsia"/>
                      <w:color w:val="auto"/>
                      <w:sz w:val="21"/>
                      <w:szCs w:val="22"/>
                      <w:highlight w:val="none"/>
                    </w:rPr>
                    <w:t>严格控制新增《陕西省“两高"项目管理暂行目录》行业项目</w:t>
                  </w:r>
                  <w:r>
                    <w:rPr>
                      <w:rFonts w:hint="eastAsia"/>
                      <w:color w:val="auto"/>
                      <w:sz w:val="21"/>
                      <w:szCs w:val="22"/>
                      <w:highlight w:val="none"/>
                      <w:lang w:eastAsia="zh-CN"/>
                    </w:rPr>
                    <w:t>（</w:t>
                  </w:r>
                  <w:r>
                    <w:rPr>
                      <w:rFonts w:hint="eastAsia"/>
                      <w:color w:val="auto"/>
                      <w:sz w:val="21"/>
                      <w:szCs w:val="22"/>
                      <w:highlight w:val="none"/>
                    </w:rPr>
                    <w:t>民生等项目除外，后续对“两高"范围国家如有新规定的，从其规定</w:t>
                  </w:r>
                  <w:r>
                    <w:rPr>
                      <w:rFonts w:hint="eastAsia"/>
                      <w:color w:val="auto"/>
                      <w:sz w:val="21"/>
                      <w:szCs w:val="22"/>
                      <w:highlight w:val="none"/>
                      <w:lang w:eastAsia="zh-CN"/>
                    </w:rPr>
                    <w:t>）</w:t>
                  </w:r>
                </w:p>
              </w:tc>
              <w:tc>
                <w:tcPr>
                  <w:tcW w:w="1438"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rPr>
                      <w:rFonts w:hint="default" w:eastAsia="宋体"/>
                      <w:color w:val="auto"/>
                      <w:sz w:val="21"/>
                      <w:szCs w:val="22"/>
                      <w:highlight w:val="none"/>
                      <w:lang w:val="en-US" w:eastAsia="zh-CN"/>
                    </w:rPr>
                  </w:pPr>
                  <w:r>
                    <w:rPr>
                      <w:rFonts w:hint="eastAsia"/>
                      <w:color w:val="auto"/>
                      <w:sz w:val="21"/>
                      <w:szCs w:val="22"/>
                      <w:highlight w:val="none"/>
                      <w:lang w:val="en-US" w:eastAsia="zh-CN"/>
                    </w:rPr>
                    <w:t>本项目为塑料制品制造行业，不属于“两高”项目范围。</w:t>
                  </w:r>
                </w:p>
              </w:tc>
              <w:tc>
                <w:tcPr>
                  <w:tcW w:w="168"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2"/>
                      <w:highlight w:val="none"/>
                    </w:rPr>
                  </w:pPr>
                  <w:r>
                    <w:rPr>
                      <w:rFonts w:hint="eastAsia"/>
                      <w:color w:val="auto"/>
                      <w:sz w:val="21"/>
                      <w:szCs w:val="22"/>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322" w:type="pct"/>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auto"/>
                      <w:sz w:val="21"/>
                      <w:szCs w:val="22"/>
                      <w:highlight w:val="none"/>
                    </w:rPr>
                  </w:pPr>
                </w:p>
              </w:tc>
              <w:tc>
                <w:tcPr>
                  <w:tcW w:w="121" w:type="pct"/>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auto"/>
                      <w:sz w:val="21"/>
                      <w:szCs w:val="22"/>
                      <w:highlight w:val="none"/>
                    </w:rPr>
                  </w:pPr>
                </w:p>
              </w:tc>
              <w:tc>
                <w:tcPr>
                  <w:tcW w:w="329" w:type="pct"/>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auto"/>
                      <w:sz w:val="21"/>
                      <w:szCs w:val="22"/>
                      <w:highlight w:val="none"/>
                    </w:rPr>
                  </w:pPr>
                </w:p>
              </w:tc>
              <w:tc>
                <w:tcPr>
                  <w:tcW w:w="297" w:type="pct"/>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2"/>
                      <w:highlight w:val="none"/>
                    </w:rPr>
                  </w:pPr>
                </w:p>
              </w:tc>
              <w:tc>
                <w:tcPr>
                  <w:tcW w:w="388"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2"/>
                      <w:highlight w:val="none"/>
                    </w:rPr>
                  </w:pPr>
                  <w:r>
                    <w:rPr>
                      <w:rFonts w:hint="eastAsia"/>
                      <w:color w:val="auto"/>
                      <w:sz w:val="21"/>
                      <w:szCs w:val="22"/>
                      <w:highlight w:val="none"/>
                    </w:rPr>
                    <w:t>污染物排放管控</w:t>
                  </w:r>
                </w:p>
              </w:tc>
              <w:tc>
                <w:tcPr>
                  <w:tcW w:w="1932"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rPr>
                      <w:rFonts w:hint="default"/>
                      <w:color w:val="auto"/>
                      <w:sz w:val="21"/>
                      <w:szCs w:val="22"/>
                      <w:highlight w:val="none"/>
                    </w:rPr>
                  </w:pPr>
                  <w:r>
                    <w:rPr>
                      <w:rFonts w:hint="eastAsia"/>
                      <w:color w:val="auto"/>
                      <w:sz w:val="21"/>
                      <w:szCs w:val="22"/>
                      <w:highlight w:val="none"/>
                    </w:rPr>
                    <w:t>持续因地制宜实施“煤改气”、“油改气”、电能、地热、生物质等清洁能源取暖措施。</w:t>
                  </w:r>
                </w:p>
              </w:tc>
              <w:tc>
                <w:tcPr>
                  <w:tcW w:w="1438"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rPr>
                      <w:rFonts w:hint="default" w:eastAsia="宋体"/>
                      <w:color w:val="auto"/>
                      <w:sz w:val="21"/>
                      <w:szCs w:val="22"/>
                      <w:highlight w:val="none"/>
                      <w:lang w:val="en-US" w:eastAsia="zh-CN"/>
                    </w:rPr>
                  </w:pPr>
                  <w:r>
                    <w:rPr>
                      <w:rFonts w:hint="eastAsia"/>
                      <w:color w:val="auto"/>
                      <w:sz w:val="21"/>
                      <w:szCs w:val="22"/>
                      <w:highlight w:val="none"/>
                      <w:lang w:val="en-US" w:eastAsia="zh-CN"/>
                    </w:rPr>
                    <w:t>本项目运营全部采用清洁能源电能。</w:t>
                  </w:r>
                </w:p>
              </w:tc>
              <w:tc>
                <w:tcPr>
                  <w:tcW w:w="168"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auto"/>
                      <w:sz w:val="21"/>
                      <w:szCs w:val="22"/>
                      <w:highlight w:val="none"/>
                    </w:rPr>
                  </w:pPr>
                  <w:r>
                    <w:rPr>
                      <w:rFonts w:hint="eastAsia"/>
                      <w:color w:val="auto"/>
                      <w:sz w:val="21"/>
                      <w:szCs w:val="22"/>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32" w:hRule="atLeast"/>
                <w:jc w:val="center"/>
              </w:trPr>
              <w:tc>
                <w:tcPr>
                  <w:tcW w:w="322" w:type="pct"/>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auto"/>
                      <w:sz w:val="21"/>
                      <w:szCs w:val="22"/>
                      <w:highlight w:val="none"/>
                    </w:rPr>
                  </w:pPr>
                </w:p>
              </w:tc>
              <w:tc>
                <w:tcPr>
                  <w:tcW w:w="121" w:type="pct"/>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auto"/>
                      <w:sz w:val="21"/>
                      <w:szCs w:val="22"/>
                      <w:highlight w:val="none"/>
                    </w:rPr>
                  </w:pPr>
                </w:p>
              </w:tc>
              <w:tc>
                <w:tcPr>
                  <w:tcW w:w="329" w:type="pct"/>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auto"/>
                      <w:sz w:val="21"/>
                      <w:szCs w:val="22"/>
                      <w:highlight w:val="none"/>
                    </w:rPr>
                  </w:pPr>
                </w:p>
              </w:tc>
              <w:tc>
                <w:tcPr>
                  <w:tcW w:w="297"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auto"/>
                      <w:sz w:val="21"/>
                      <w:szCs w:val="22"/>
                      <w:highlight w:val="none"/>
                    </w:rPr>
                  </w:pPr>
                  <w:r>
                    <w:rPr>
                      <w:rFonts w:hint="eastAsia"/>
                      <w:color w:val="auto"/>
                      <w:sz w:val="21"/>
                      <w:szCs w:val="22"/>
                      <w:highlight w:val="none"/>
                    </w:rPr>
                    <w:t>水环境城镇生活污染重点管控区</w:t>
                  </w:r>
                </w:p>
              </w:tc>
              <w:tc>
                <w:tcPr>
                  <w:tcW w:w="388"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kern w:val="2"/>
                      <w:sz w:val="21"/>
                      <w:szCs w:val="22"/>
                      <w:highlight w:val="none"/>
                      <w:lang w:val="en-US" w:eastAsia="zh-CN" w:bidi="ar-SA"/>
                    </w:rPr>
                  </w:pPr>
                  <w:r>
                    <w:rPr>
                      <w:rFonts w:hint="eastAsia"/>
                      <w:color w:val="auto"/>
                      <w:sz w:val="21"/>
                      <w:szCs w:val="22"/>
                      <w:highlight w:val="none"/>
                    </w:rPr>
                    <w:t>污染物排放管控</w:t>
                  </w:r>
                </w:p>
              </w:tc>
              <w:tc>
                <w:tcPr>
                  <w:tcW w:w="1932"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rPr>
                      <w:rFonts w:hint="default"/>
                      <w:color w:val="auto"/>
                      <w:sz w:val="21"/>
                      <w:szCs w:val="22"/>
                      <w:highlight w:val="none"/>
                    </w:rPr>
                  </w:pPr>
                  <w:r>
                    <w:rPr>
                      <w:rFonts w:hint="eastAsia"/>
                      <w:color w:val="auto"/>
                      <w:sz w:val="21"/>
                      <w:szCs w:val="22"/>
                      <w:highlight w:val="none"/>
                    </w:rPr>
                    <w:t>水环境城镇生活污染重点管控区：</w:t>
                  </w:r>
                </w:p>
                <w:p>
                  <w:pPr>
                    <w:keepNext w:val="0"/>
                    <w:keepLines w:val="0"/>
                    <w:numPr>
                      <w:ilvl w:val="0"/>
                      <w:numId w:val="0"/>
                    </w:numPr>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sz w:val="21"/>
                      <w:szCs w:val="22"/>
                      <w:highlight w:val="none"/>
                    </w:rPr>
                    <w:t>加强城镇污水收集处理设施建设与提标改造。全省黄河流域城镇生活污水处理达到《陕西省黄河流域污水综合排放标准》</w:t>
                  </w:r>
                  <w:r>
                    <w:rPr>
                      <w:rFonts w:hint="eastAsia"/>
                      <w:color w:val="auto"/>
                      <w:sz w:val="21"/>
                      <w:szCs w:val="22"/>
                      <w:highlight w:val="none"/>
                      <w:lang w:eastAsia="zh-CN"/>
                    </w:rPr>
                    <w:t>（</w:t>
                  </w:r>
                  <w:r>
                    <w:rPr>
                      <w:rFonts w:hint="eastAsia"/>
                      <w:color w:val="auto"/>
                      <w:sz w:val="21"/>
                      <w:szCs w:val="22"/>
                      <w:highlight w:val="none"/>
                    </w:rPr>
                    <w:t>DB61/224-2018</w:t>
                  </w:r>
                  <w:r>
                    <w:rPr>
                      <w:rFonts w:hint="eastAsia"/>
                      <w:color w:val="auto"/>
                      <w:sz w:val="21"/>
                      <w:szCs w:val="22"/>
                      <w:highlight w:val="none"/>
                      <w:lang w:eastAsia="zh-CN"/>
                    </w:rPr>
                    <w:t>）</w:t>
                  </w:r>
                  <w:r>
                    <w:rPr>
                      <w:rFonts w:hint="eastAsia"/>
                      <w:color w:val="auto"/>
                      <w:sz w:val="21"/>
                      <w:szCs w:val="22"/>
                      <w:highlight w:val="none"/>
                    </w:rPr>
                    <w:t>排放限值要求。</w:t>
                  </w:r>
                </w:p>
              </w:tc>
              <w:tc>
                <w:tcPr>
                  <w:tcW w:w="1438"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sz w:val="21"/>
                      <w:szCs w:val="22"/>
                      <w:highlight w:val="none"/>
                    </w:rPr>
                    <w:t>本项目生</w:t>
                  </w:r>
                  <w:r>
                    <w:rPr>
                      <w:rFonts w:hint="eastAsia"/>
                      <w:color w:val="auto"/>
                      <w:sz w:val="21"/>
                      <w:szCs w:val="21"/>
                      <w:highlight w:val="none"/>
                    </w:rPr>
                    <w:t>活污水经化粪池处理后排入市政污水管网最终进入泾河新城第二污水处理厂处理，污染物排放能够达到国家控制标准。</w:t>
                  </w:r>
                </w:p>
              </w:tc>
              <w:tc>
                <w:tcPr>
                  <w:tcW w:w="168"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auto"/>
                      <w:sz w:val="21"/>
                      <w:szCs w:val="22"/>
                      <w:highlight w:val="none"/>
                    </w:rPr>
                  </w:pPr>
                  <w:r>
                    <w:rPr>
                      <w:rFonts w:hint="eastAsia"/>
                      <w:color w:val="auto"/>
                      <w:sz w:val="21"/>
                      <w:szCs w:val="22"/>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 w:type="pct"/>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2"/>
                      <w:highlight w:val="none"/>
                    </w:rPr>
                  </w:pPr>
                </w:p>
              </w:tc>
              <w:tc>
                <w:tcPr>
                  <w:tcW w:w="121" w:type="pct"/>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2"/>
                      <w:highlight w:val="none"/>
                    </w:rPr>
                  </w:pPr>
                </w:p>
              </w:tc>
              <w:tc>
                <w:tcPr>
                  <w:tcW w:w="329" w:type="pct"/>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2"/>
                      <w:highlight w:val="none"/>
                    </w:rPr>
                  </w:pPr>
                </w:p>
              </w:tc>
              <w:tc>
                <w:tcPr>
                  <w:tcW w:w="297"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2"/>
                      <w:highlight w:val="none"/>
                    </w:rPr>
                  </w:pPr>
                  <w:r>
                    <w:rPr>
                      <w:rFonts w:hint="eastAsia"/>
                      <w:color w:val="auto"/>
                      <w:sz w:val="21"/>
                      <w:szCs w:val="22"/>
                      <w:highlight w:val="none"/>
                    </w:rPr>
                    <w:t>高污染燃料禁燃区</w:t>
                  </w:r>
                </w:p>
              </w:tc>
              <w:tc>
                <w:tcPr>
                  <w:tcW w:w="388"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2"/>
                      <w:highlight w:val="none"/>
                    </w:rPr>
                  </w:pPr>
                  <w:r>
                    <w:rPr>
                      <w:rFonts w:hint="eastAsia"/>
                      <w:color w:val="auto"/>
                      <w:sz w:val="21"/>
                      <w:szCs w:val="22"/>
                      <w:highlight w:val="none"/>
                    </w:rPr>
                    <w:t>资源开发效率要求</w:t>
                  </w:r>
                </w:p>
              </w:tc>
              <w:tc>
                <w:tcPr>
                  <w:tcW w:w="1932" w:type="pct"/>
                  <w:tcBorders>
                    <w:tl2br w:val="nil"/>
                    <w:tr2bl w:val="nil"/>
                  </w:tcBorders>
                  <w:vAlign w:val="center"/>
                </w:tcPr>
                <w:p>
                  <w:pPr>
                    <w:keepNext w:val="0"/>
                    <w:keepLines w:val="0"/>
                    <w:numPr>
                      <w:ilvl w:val="0"/>
                      <w:numId w:val="0"/>
                    </w:numPr>
                    <w:suppressLineNumbers w:val="0"/>
                    <w:spacing w:before="0" w:beforeAutospacing="0" w:after="0" w:afterAutospacing="0" w:line="240" w:lineRule="auto"/>
                    <w:ind w:left="0" w:right="0"/>
                    <w:rPr>
                      <w:rFonts w:hint="eastAsia" w:eastAsia="宋体"/>
                      <w:color w:val="auto"/>
                      <w:sz w:val="21"/>
                      <w:szCs w:val="22"/>
                      <w:highlight w:val="none"/>
                      <w:lang w:eastAsia="zh-CN"/>
                    </w:rPr>
                  </w:pPr>
                  <w:r>
                    <w:rPr>
                      <w:rFonts w:hint="eastAsia"/>
                      <w:color w:val="auto"/>
                      <w:sz w:val="21"/>
                      <w:szCs w:val="22"/>
                      <w:highlight w:val="none"/>
                    </w:rPr>
                    <w:t>严格禁燃区管控。市区和南六县市全域及北五县市城镇周边划定为高污染燃料禁燃区</w:t>
                  </w:r>
                  <w:r>
                    <w:rPr>
                      <w:rFonts w:hint="eastAsia"/>
                      <w:color w:val="auto"/>
                      <w:sz w:val="21"/>
                      <w:szCs w:val="22"/>
                      <w:highlight w:val="none"/>
                      <w:lang w:eastAsia="zh-CN"/>
                    </w:rPr>
                    <w:t>，</w:t>
                  </w:r>
                  <w:r>
                    <w:rPr>
                      <w:rFonts w:hint="eastAsia"/>
                      <w:color w:val="auto"/>
                      <w:sz w:val="21"/>
                      <w:szCs w:val="22"/>
                      <w:highlight w:val="none"/>
                    </w:rPr>
                    <w:t>禁止销售、使用煤炭及其制品等高污染燃料</w:t>
                  </w:r>
                  <w:r>
                    <w:rPr>
                      <w:rFonts w:hint="eastAsia"/>
                      <w:color w:val="auto"/>
                      <w:sz w:val="21"/>
                      <w:szCs w:val="22"/>
                      <w:highlight w:val="none"/>
                      <w:lang w:eastAsia="zh-CN"/>
                    </w:rPr>
                    <w:t>（</w:t>
                  </w:r>
                  <w:r>
                    <w:rPr>
                      <w:rFonts w:hint="eastAsia"/>
                      <w:color w:val="auto"/>
                      <w:sz w:val="21"/>
                      <w:szCs w:val="22"/>
                      <w:highlight w:val="none"/>
                    </w:rPr>
                    <w:t>35 蒸吨及以上燃煤锅炉、火力发电企业、机组及水泥、砖瓦等原料煤使用企业除外</w:t>
                  </w:r>
                  <w:r>
                    <w:rPr>
                      <w:rFonts w:hint="eastAsia"/>
                      <w:color w:val="auto"/>
                      <w:sz w:val="21"/>
                      <w:szCs w:val="22"/>
                      <w:highlight w:val="none"/>
                      <w:lang w:eastAsia="zh-CN"/>
                    </w:rPr>
                    <w:t>）</w:t>
                  </w:r>
                </w:p>
              </w:tc>
              <w:tc>
                <w:tcPr>
                  <w:tcW w:w="1438"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rPr>
                      <w:rFonts w:hint="eastAsia" w:eastAsia="宋体"/>
                      <w:color w:val="auto"/>
                      <w:sz w:val="21"/>
                      <w:szCs w:val="22"/>
                      <w:highlight w:val="none"/>
                      <w:lang w:val="en-US" w:eastAsia="zh-CN"/>
                    </w:rPr>
                  </w:pPr>
                  <w:r>
                    <w:rPr>
                      <w:rFonts w:hint="eastAsia"/>
                      <w:color w:val="auto"/>
                      <w:sz w:val="21"/>
                      <w:szCs w:val="22"/>
                      <w:highlight w:val="none"/>
                      <w:lang w:val="en-US" w:eastAsia="zh-CN"/>
                    </w:rPr>
                    <w:t>本项目位于</w:t>
                  </w:r>
                  <w:r>
                    <w:rPr>
                      <w:rFonts w:hint="eastAsia"/>
                      <w:color w:val="auto"/>
                      <w:sz w:val="21"/>
                      <w:szCs w:val="22"/>
                      <w:highlight w:val="none"/>
                    </w:rPr>
                    <w:t>高污染燃料禁燃区</w:t>
                  </w:r>
                  <w:r>
                    <w:rPr>
                      <w:rFonts w:hint="eastAsia"/>
                      <w:color w:val="auto"/>
                      <w:sz w:val="21"/>
                      <w:szCs w:val="22"/>
                      <w:highlight w:val="none"/>
                      <w:lang w:eastAsia="zh-CN"/>
                    </w:rPr>
                    <w:t>，</w:t>
                  </w:r>
                  <w:r>
                    <w:rPr>
                      <w:rFonts w:hint="eastAsia"/>
                      <w:color w:val="auto"/>
                      <w:sz w:val="21"/>
                      <w:szCs w:val="22"/>
                      <w:highlight w:val="none"/>
                      <w:lang w:val="en-US" w:eastAsia="zh-CN"/>
                    </w:rPr>
                    <w:t>项目运营期间全部采用清洁能源电能，不使用</w:t>
                  </w:r>
                  <w:r>
                    <w:rPr>
                      <w:rFonts w:hint="eastAsia"/>
                      <w:color w:val="auto"/>
                      <w:sz w:val="21"/>
                      <w:szCs w:val="22"/>
                      <w:highlight w:val="none"/>
                    </w:rPr>
                    <w:t>高污染燃料</w:t>
                  </w:r>
                  <w:r>
                    <w:rPr>
                      <w:rFonts w:hint="eastAsia"/>
                      <w:color w:val="auto"/>
                      <w:sz w:val="21"/>
                      <w:szCs w:val="22"/>
                      <w:highlight w:val="none"/>
                      <w:lang w:eastAsia="zh-CN"/>
                    </w:rPr>
                    <w:t>。</w:t>
                  </w:r>
                </w:p>
              </w:tc>
              <w:tc>
                <w:tcPr>
                  <w:tcW w:w="168"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auto"/>
                      <w:sz w:val="21"/>
                      <w:szCs w:val="22"/>
                      <w:highlight w:val="none"/>
                    </w:rPr>
                  </w:pPr>
                  <w:r>
                    <w:rPr>
                      <w:rFonts w:hint="eastAsia"/>
                      <w:bCs/>
                      <w:color w:val="auto"/>
                      <w:sz w:val="21"/>
                      <w:szCs w:val="22"/>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 w:type="pct"/>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2"/>
                      <w:highlight w:val="none"/>
                    </w:rPr>
                  </w:pPr>
                  <w:r>
                    <w:rPr>
                      <w:rFonts w:hint="eastAsia"/>
                      <w:color w:val="auto"/>
                      <w:sz w:val="21"/>
                      <w:szCs w:val="22"/>
                      <w:highlight w:val="none"/>
                    </w:rPr>
                    <w:t>省域</w:t>
                  </w:r>
                </w:p>
              </w:tc>
              <w:tc>
                <w:tcPr>
                  <w:tcW w:w="121" w:type="pct"/>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2"/>
                      <w:highlight w:val="none"/>
                    </w:rPr>
                  </w:pPr>
                  <w:r>
                    <w:rPr>
                      <w:rFonts w:hint="eastAsia"/>
                      <w:color w:val="auto"/>
                      <w:sz w:val="21"/>
                      <w:szCs w:val="22"/>
                      <w:highlight w:val="none"/>
                    </w:rPr>
                    <w:t>陕西省</w:t>
                  </w:r>
                </w:p>
              </w:tc>
              <w:tc>
                <w:tcPr>
                  <w:tcW w:w="329" w:type="pct"/>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2"/>
                      <w:highlight w:val="none"/>
                    </w:rPr>
                  </w:pPr>
                  <w:r>
                    <w:rPr>
                      <w:rFonts w:hint="eastAsia"/>
                      <w:color w:val="auto"/>
                      <w:sz w:val="21"/>
                      <w:szCs w:val="22"/>
                      <w:highlight w:val="none"/>
                    </w:rPr>
                    <w:t>区域环境管控要求</w:t>
                  </w:r>
                </w:p>
              </w:tc>
              <w:tc>
                <w:tcPr>
                  <w:tcW w:w="297" w:type="pct"/>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2"/>
                      <w:highlight w:val="none"/>
                    </w:rPr>
                  </w:pPr>
                  <w:r>
                    <w:rPr>
                      <w:rFonts w:hint="eastAsia"/>
                      <w:color w:val="auto"/>
                      <w:sz w:val="21"/>
                      <w:szCs w:val="22"/>
                      <w:highlight w:val="none"/>
                    </w:rPr>
                    <w:t>/</w:t>
                  </w:r>
                </w:p>
              </w:tc>
              <w:tc>
                <w:tcPr>
                  <w:tcW w:w="388"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2"/>
                      <w:highlight w:val="none"/>
                    </w:rPr>
                  </w:pPr>
                  <w:r>
                    <w:rPr>
                      <w:rFonts w:hint="eastAsia"/>
                      <w:color w:val="auto"/>
                      <w:sz w:val="21"/>
                      <w:szCs w:val="22"/>
                      <w:highlight w:val="none"/>
                    </w:rPr>
                    <w:t>空间约束要求</w:t>
                  </w:r>
                </w:p>
              </w:tc>
              <w:tc>
                <w:tcPr>
                  <w:tcW w:w="1932"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rPr>
                      <w:rFonts w:hint="default"/>
                      <w:color w:val="auto"/>
                      <w:sz w:val="21"/>
                      <w:szCs w:val="22"/>
                      <w:highlight w:val="none"/>
                    </w:rPr>
                  </w:pPr>
                  <w:r>
                    <w:rPr>
                      <w:rFonts w:hint="eastAsia"/>
                      <w:color w:val="auto"/>
                      <w:sz w:val="21"/>
                      <w:szCs w:val="22"/>
                      <w:highlight w:val="none"/>
                    </w:rPr>
                    <w:t>1.执行国家法律法规对自然保护区、风景名胜区、森林公园、地质公园、世界自然和文化遗产、重要湿地、重要水源地等法定保护地的禁止性和限制性要求。</w:t>
                  </w:r>
                </w:p>
                <w:p>
                  <w:pPr>
                    <w:keepNext w:val="0"/>
                    <w:keepLines w:val="0"/>
                    <w:suppressLineNumbers w:val="0"/>
                    <w:spacing w:before="0" w:beforeAutospacing="0" w:after="0" w:afterAutospacing="0" w:line="240" w:lineRule="auto"/>
                    <w:ind w:left="0" w:right="0" w:firstLine="0" w:firstLineChars="0"/>
                    <w:rPr>
                      <w:rFonts w:hint="default"/>
                      <w:color w:val="auto"/>
                      <w:sz w:val="21"/>
                      <w:szCs w:val="22"/>
                      <w:highlight w:val="none"/>
                    </w:rPr>
                  </w:pPr>
                  <w:r>
                    <w:rPr>
                      <w:rFonts w:hint="eastAsia"/>
                      <w:color w:val="auto"/>
                      <w:sz w:val="21"/>
                      <w:szCs w:val="22"/>
                      <w:highlight w:val="none"/>
                    </w:rPr>
                    <w:t>2.执行《市场准入负面清单(2022年版)》《产业结构调整指导目录(2019年本)》及《国家发展改革委关于修改&lt;产业结构调整指导目录(2019年本)&gt;的决定》。</w:t>
                  </w:r>
                </w:p>
              </w:tc>
              <w:tc>
                <w:tcPr>
                  <w:tcW w:w="1438"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rPr>
                      <w:rFonts w:hint="default"/>
                      <w:color w:val="auto"/>
                      <w:sz w:val="21"/>
                      <w:szCs w:val="22"/>
                      <w:highlight w:val="none"/>
                    </w:rPr>
                  </w:pPr>
                  <w:r>
                    <w:rPr>
                      <w:rFonts w:hint="eastAsia"/>
                      <w:color w:val="auto"/>
                      <w:sz w:val="21"/>
                      <w:szCs w:val="22"/>
                      <w:highlight w:val="none"/>
                    </w:rPr>
                    <w:t>1.本项目不涉及国家规定的法定保护地；</w:t>
                  </w:r>
                </w:p>
                <w:p>
                  <w:pPr>
                    <w:keepNext w:val="0"/>
                    <w:keepLines w:val="0"/>
                    <w:suppressLineNumbers w:val="0"/>
                    <w:spacing w:before="0" w:beforeAutospacing="0" w:after="0" w:afterAutospacing="0" w:line="240" w:lineRule="auto"/>
                    <w:ind w:left="0" w:right="0" w:firstLine="0" w:firstLineChars="0"/>
                    <w:rPr>
                      <w:rFonts w:hint="default"/>
                      <w:color w:val="auto"/>
                      <w:sz w:val="21"/>
                      <w:szCs w:val="22"/>
                      <w:highlight w:val="none"/>
                    </w:rPr>
                  </w:pPr>
                  <w:r>
                    <w:rPr>
                      <w:rFonts w:hint="eastAsia"/>
                      <w:color w:val="auto"/>
                      <w:sz w:val="21"/>
                      <w:szCs w:val="22"/>
                      <w:highlight w:val="none"/>
                    </w:rPr>
                    <w:t>2.本项目不属于《市场准入负面清单（202</w:t>
                  </w:r>
                  <w:r>
                    <w:rPr>
                      <w:rFonts w:hint="eastAsia"/>
                      <w:color w:val="auto"/>
                      <w:sz w:val="21"/>
                      <w:szCs w:val="22"/>
                      <w:highlight w:val="none"/>
                      <w:lang w:val="en-US" w:eastAsia="zh-CN"/>
                    </w:rPr>
                    <w:t>2</w:t>
                  </w:r>
                  <w:r>
                    <w:rPr>
                      <w:rFonts w:hint="eastAsia"/>
                      <w:color w:val="auto"/>
                      <w:sz w:val="21"/>
                      <w:szCs w:val="22"/>
                      <w:highlight w:val="none"/>
                    </w:rPr>
                    <w:t>年版）》中禁止准入类和许可准入类。</w:t>
                  </w:r>
                  <w:r>
                    <w:rPr>
                      <w:rFonts w:hint="eastAsia"/>
                      <w:color w:val="auto"/>
                      <w:sz w:val="21"/>
                      <w:szCs w:val="22"/>
                      <w:highlight w:val="none"/>
                      <w:lang w:val="en-US" w:eastAsia="zh-CN"/>
                    </w:rPr>
                    <w:t>对照</w:t>
                  </w:r>
                  <w:r>
                    <w:rPr>
                      <w:rFonts w:hint="eastAsia"/>
                      <w:color w:val="auto"/>
                      <w:sz w:val="21"/>
                      <w:szCs w:val="22"/>
                      <w:highlight w:val="none"/>
                    </w:rPr>
                    <w:t>《产业结构调整指导目录</w:t>
                  </w:r>
                  <w:r>
                    <w:rPr>
                      <w:rFonts w:hint="eastAsia"/>
                      <w:color w:val="auto"/>
                      <w:sz w:val="21"/>
                      <w:szCs w:val="22"/>
                      <w:highlight w:val="none"/>
                      <w:lang w:eastAsia="zh-CN"/>
                    </w:rPr>
                    <w:t>（</w:t>
                  </w:r>
                  <w:r>
                    <w:rPr>
                      <w:rFonts w:hint="eastAsia"/>
                      <w:color w:val="auto"/>
                      <w:sz w:val="21"/>
                      <w:szCs w:val="22"/>
                      <w:highlight w:val="none"/>
                    </w:rPr>
                    <w:t>20</w:t>
                  </w:r>
                  <w:r>
                    <w:rPr>
                      <w:rFonts w:hint="eastAsia"/>
                      <w:color w:val="auto"/>
                      <w:sz w:val="21"/>
                      <w:szCs w:val="22"/>
                      <w:highlight w:val="none"/>
                      <w:lang w:val="en-US" w:eastAsia="zh-CN"/>
                    </w:rPr>
                    <w:t>24</w:t>
                  </w:r>
                  <w:r>
                    <w:rPr>
                      <w:rFonts w:hint="eastAsia"/>
                      <w:color w:val="auto"/>
                      <w:sz w:val="21"/>
                      <w:szCs w:val="22"/>
                      <w:highlight w:val="none"/>
                    </w:rPr>
                    <w:t>年本</w:t>
                  </w:r>
                  <w:r>
                    <w:rPr>
                      <w:rFonts w:hint="eastAsia"/>
                      <w:color w:val="auto"/>
                      <w:sz w:val="21"/>
                      <w:szCs w:val="22"/>
                      <w:highlight w:val="none"/>
                      <w:lang w:eastAsia="zh-CN"/>
                    </w:rPr>
                    <w:t>）</w:t>
                  </w:r>
                  <w:r>
                    <w:rPr>
                      <w:rFonts w:hint="eastAsia"/>
                      <w:color w:val="auto"/>
                      <w:sz w:val="21"/>
                      <w:szCs w:val="22"/>
                      <w:highlight w:val="none"/>
                    </w:rPr>
                    <w:t>》本项目不属于鼓励类、限制类、淘汰类项目，视为允许类。</w:t>
                  </w:r>
                </w:p>
              </w:tc>
              <w:tc>
                <w:tcPr>
                  <w:tcW w:w="168"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auto"/>
                      <w:sz w:val="21"/>
                      <w:szCs w:val="22"/>
                      <w:highlight w:val="none"/>
                    </w:rPr>
                  </w:pPr>
                  <w:r>
                    <w:rPr>
                      <w:rFonts w:hint="eastAsia"/>
                      <w:color w:val="auto"/>
                      <w:sz w:val="21"/>
                      <w:szCs w:val="22"/>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 w:type="pct"/>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2"/>
                      <w:highlight w:val="none"/>
                    </w:rPr>
                  </w:pPr>
                </w:p>
              </w:tc>
              <w:tc>
                <w:tcPr>
                  <w:tcW w:w="121" w:type="pct"/>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2"/>
                      <w:highlight w:val="none"/>
                    </w:rPr>
                  </w:pPr>
                </w:p>
              </w:tc>
              <w:tc>
                <w:tcPr>
                  <w:tcW w:w="329" w:type="pct"/>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2"/>
                      <w:highlight w:val="none"/>
                    </w:rPr>
                  </w:pPr>
                </w:p>
              </w:tc>
              <w:tc>
                <w:tcPr>
                  <w:tcW w:w="297" w:type="pct"/>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2"/>
                      <w:highlight w:val="none"/>
                    </w:rPr>
                  </w:pPr>
                </w:p>
              </w:tc>
              <w:tc>
                <w:tcPr>
                  <w:tcW w:w="388"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2"/>
                      <w:highlight w:val="none"/>
                    </w:rPr>
                  </w:pPr>
                  <w:r>
                    <w:rPr>
                      <w:rFonts w:hint="eastAsia"/>
                      <w:color w:val="auto"/>
                      <w:sz w:val="21"/>
                      <w:szCs w:val="22"/>
                      <w:highlight w:val="none"/>
                    </w:rPr>
                    <w:t>环境风险防控</w:t>
                  </w:r>
                </w:p>
              </w:tc>
              <w:tc>
                <w:tcPr>
                  <w:tcW w:w="1932"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rPr>
                      <w:rFonts w:hint="eastAsia"/>
                      <w:color w:val="auto"/>
                      <w:sz w:val="21"/>
                      <w:szCs w:val="22"/>
                      <w:highlight w:val="none"/>
                    </w:rPr>
                  </w:pPr>
                  <w:r>
                    <w:rPr>
                      <w:rFonts w:hint="eastAsia"/>
                      <w:color w:val="auto"/>
                      <w:sz w:val="21"/>
                      <w:szCs w:val="22"/>
                      <w:highlight w:val="none"/>
                    </w:rPr>
                    <w:t>将环境风险纳入常态化管理，推进危险废物、重金属及尾矿环境、核与辐射等重点领域环境风险防控，加强新污染物治理，健全环境应急体系，推动环境风险防控由应急管理向全过程管理转变，提升生态环境安全保障水平。</w:t>
                  </w:r>
                </w:p>
              </w:tc>
              <w:tc>
                <w:tcPr>
                  <w:tcW w:w="1438" w:type="pct"/>
                  <w:tcBorders>
                    <w:tl2br w:val="nil"/>
                    <w:tr2bl w:val="nil"/>
                  </w:tcBorders>
                  <w:vAlign w:val="center"/>
                </w:tcPr>
                <w:p>
                  <w:pPr>
                    <w:keepNext w:val="0"/>
                    <w:keepLines w:val="0"/>
                    <w:numPr>
                      <w:ilvl w:val="0"/>
                      <w:numId w:val="0"/>
                    </w:numPr>
                    <w:suppressLineNumbers w:val="0"/>
                    <w:spacing w:before="0" w:beforeAutospacing="0" w:after="0" w:afterAutospacing="0" w:line="240" w:lineRule="auto"/>
                    <w:ind w:left="0" w:right="0"/>
                    <w:rPr>
                      <w:rFonts w:hint="default"/>
                      <w:color w:val="auto"/>
                      <w:sz w:val="21"/>
                      <w:szCs w:val="22"/>
                      <w:highlight w:val="none"/>
                    </w:rPr>
                  </w:pPr>
                  <w:r>
                    <w:rPr>
                      <w:rFonts w:hint="eastAsia"/>
                      <w:color w:val="auto"/>
                      <w:sz w:val="21"/>
                      <w:szCs w:val="22"/>
                      <w:highlight w:val="none"/>
                    </w:rPr>
                    <w:t>本项目位于</w:t>
                  </w:r>
                  <w:r>
                    <w:rPr>
                      <w:rFonts w:hint="eastAsia"/>
                      <w:color w:val="auto"/>
                      <w:sz w:val="21"/>
                      <w:szCs w:val="22"/>
                      <w:highlight w:val="none"/>
                      <w:lang w:eastAsia="zh-CN"/>
                    </w:rPr>
                    <w:t>泾河新城永乐工业园尚家一街北</w:t>
                  </w:r>
                  <w:r>
                    <w:rPr>
                      <w:rFonts w:hint="eastAsia"/>
                      <w:color w:val="auto"/>
                      <w:sz w:val="21"/>
                      <w:szCs w:val="22"/>
                      <w:highlight w:val="none"/>
                    </w:rPr>
                    <w:t>。</w:t>
                  </w:r>
                  <w:r>
                    <w:rPr>
                      <w:rFonts w:hint="eastAsia"/>
                      <w:color w:val="auto"/>
                      <w:sz w:val="21"/>
                      <w:szCs w:val="22"/>
                      <w:highlight w:val="none"/>
                      <w:lang w:val="en-US" w:eastAsia="zh-CN"/>
                    </w:rPr>
                    <w:t>租赁</w:t>
                  </w:r>
                  <w:r>
                    <w:rPr>
                      <w:rFonts w:hint="eastAsia"/>
                      <w:color w:val="auto"/>
                      <w:sz w:val="21"/>
                      <w:szCs w:val="22"/>
                      <w:highlight w:val="none"/>
                    </w:rPr>
                    <w:t>场地为已建成空置厂房，地面均已硬化，危废收集暂存至</w:t>
                  </w:r>
                  <w:r>
                    <w:rPr>
                      <w:rFonts w:hint="eastAsia"/>
                      <w:color w:val="auto"/>
                      <w:sz w:val="21"/>
                      <w:szCs w:val="22"/>
                      <w:highlight w:val="none"/>
                      <w:lang w:eastAsia="zh-CN"/>
                    </w:rPr>
                    <w:t>危废贮存库</w:t>
                  </w:r>
                  <w:r>
                    <w:rPr>
                      <w:rFonts w:hint="eastAsia"/>
                      <w:color w:val="auto"/>
                      <w:sz w:val="21"/>
                      <w:szCs w:val="22"/>
                      <w:highlight w:val="none"/>
                    </w:rPr>
                    <w:t>内分类存放，设专用收集桶及托盘，地面采取重点防渗措施。</w:t>
                  </w:r>
                </w:p>
              </w:tc>
              <w:tc>
                <w:tcPr>
                  <w:tcW w:w="168"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auto"/>
                      <w:sz w:val="21"/>
                      <w:szCs w:val="22"/>
                      <w:highlight w:val="none"/>
                    </w:rPr>
                  </w:pPr>
                  <w:r>
                    <w:rPr>
                      <w:rFonts w:hint="eastAsia"/>
                      <w:color w:val="auto"/>
                      <w:sz w:val="21"/>
                      <w:szCs w:val="22"/>
                      <w:highlight w:val="none"/>
                    </w:rPr>
                    <w:t>符合</w:t>
                  </w:r>
                </w:p>
              </w:tc>
            </w:tr>
          </w:tbl>
          <w:p>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eastAsia="宋体"/>
                <w:b w:val="0"/>
                <w:bCs w:val="0"/>
                <w:color w:val="auto"/>
                <w:lang w:val="en-US" w:eastAsia="zh-CN"/>
              </w:rPr>
            </w:pPr>
            <w:r>
              <w:rPr>
                <w:rFonts w:hint="eastAsia"/>
                <w:b w:val="0"/>
                <w:bCs w:val="0"/>
                <w:color w:val="auto"/>
                <w:sz w:val="24"/>
                <w:lang w:val="en-US" w:eastAsia="zh-CN"/>
              </w:rPr>
              <w:t>项目与《西咸新区直管区环境分区管控准入清单》符合性分析见下表：</w:t>
            </w:r>
          </w:p>
          <w:p>
            <w:pPr>
              <w:keepNext w:val="0"/>
              <w:keepLines w:val="0"/>
              <w:pageBreakBefore w:val="0"/>
              <w:widowControl/>
              <w:suppressLineNumbers w:val="0"/>
              <w:kinsoku/>
              <w:overflowPunct/>
              <w:topLinePunct w:val="0"/>
              <w:bidi w:val="0"/>
              <w:spacing w:before="0" w:beforeAutospacing="0" w:after="0" w:afterAutospacing="0" w:line="240" w:lineRule="auto"/>
              <w:ind w:left="0" w:right="0" w:firstLine="482" w:firstLineChars="200"/>
              <w:jc w:val="center"/>
              <w:textAlignment w:val="auto"/>
              <w:rPr>
                <w:rFonts w:hint="eastAsia" w:eastAsia="宋体"/>
                <w:color w:val="auto"/>
                <w:spacing w:val="2"/>
                <w:sz w:val="24"/>
                <w:szCs w:val="24"/>
                <w:lang w:eastAsia="zh-CN"/>
              </w:rPr>
            </w:pPr>
            <w:r>
              <w:rPr>
                <w:rFonts w:hint="eastAsia" w:ascii="Times New Roman" w:hAnsi="Times New Roman" w:eastAsia="宋体" w:cs="Times New Roman"/>
                <w:b/>
                <w:bCs/>
                <w:color w:val="auto"/>
                <w:sz w:val="24"/>
                <w:szCs w:val="24"/>
              </w:rPr>
              <w:t>表1-</w:t>
            </w:r>
            <w:r>
              <w:rPr>
                <w:rFonts w:hint="eastAsia" w:ascii="Times New Roman" w:hAnsi="Times New Roman" w:eastAsia="宋体" w:cs="Times New Roman"/>
                <w:b/>
                <w:bCs/>
                <w:color w:val="auto"/>
                <w:sz w:val="24"/>
                <w:szCs w:val="24"/>
                <w:lang w:val="en-US" w:eastAsia="zh-CN"/>
              </w:rPr>
              <w:t>3</w:t>
            </w:r>
            <w:r>
              <w:rPr>
                <w:rFonts w:hint="eastAsia" w:ascii="Times New Roman" w:hAnsi="Times New Roman" w:eastAsia="宋体" w:cs="Times New Roman"/>
                <w:b/>
                <w:bCs/>
                <w:color w:val="auto"/>
                <w:sz w:val="24"/>
                <w:szCs w:val="24"/>
              </w:rPr>
              <w:t xml:space="preserve">  与</w:t>
            </w:r>
            <w:r>
              <w:rPr>
                <w:rFonts w:hint="eastAsia" w:ascii="Times New Roman" w:hAnsi="Times New Roman" w:eastAsia="宋体" w:cs="Times New Roman"/>
                <w:b/>
                <w:bCs/>
                <w:color w:val="auto"/>
                <w:sz w:val="24"/>
                <w:szCs w:val="24"/>
                <w:lang w:val="en-US" w:eastAsia="zh-CN"/>
              </w:rPr>
              <w:t>西咸新区直管区环境分区管控准入清单符合性分析</w:t>
            </w:r>
          </w:p>
          <w:tbl>
            <w:tblPr>
              <w:tblStyle w:val="3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965"/>
              <w:gridCol w:w="1053"/>
              <w:gridCol w:w="7947"/>
              <w:gridCol w:w="2690"/>
              <w:gridCol w:w="4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367" w:type="pct"/>
                  <w:noWrap w:val="0"/>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eastAsia="宋体"/>
                      <w:b/>
                      <w:bCs/>
                      <w:color w:val="auto"/>
                      <w:kern w:val="0"/>
                      <w:sz w:val="21"/>
                      <w:szCs w:val="21"/>
                      <w:lang w:val="en-US" w:eastAsia="zh-CN"/>
                    </w:rPr>
                  </w:pPr>
                  <w:r>
                    <w:rPr>
                      <w:rFonts w:hint="eastAsia"/>
                      <w:b/>
                      <w:bCs/>
                      <w:color w:val="auto"/>
                      <w:kern w:val="0"/>
                      <w:sz w:val="21"/>
                      <w:szCs w:val="21"/>
                      <w:lang w:val="en-US" w:eastAsia="zh-CN"/>
                    </w:rPr>
                    <w:t>行政区划</w:t>
                  </w:r>
                </w:p>
              </w:tc>
              <w:tc>
                <w:tcPr>
                  <w:tcW w:w="401" w:type="pct"/>
                  <w:noWrap w:val="0"/>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eastAsia="宋体"/>
                      <w:b/>
                      <w:bCs/>
                      <w:color w:val="auto"/>
                      <w:kern w:val="0"/>
                      <w:sz w:val="21"/>
                      <w:szCs w:val="21"/>
                      <w:lang w:val="en-US" w:eastAsia="zh-CN"/>
                    </w:rPr>
                  </w:pPr>
                  <w:r>
                    <w:rPr>
                      <w:rFonts w:hint="eastAsia"/>
                      <w:b/>
                      <w:bCs/>
                      <w:color w:val="auto"/>
                      <w:kern w:val="0"/>
                      <w:sz w:val="21"/>
                      <w:szCs w:val="21"/>
                      <w:lang w:val="en-US" w:eastAsia="zh-CN"/>
                    </w:rPr>
                    <w:t>管控纬度</w:t>
                  </w:r>
                </w:p>
              </w:tc>
              <w:tc>
                <w:tcPr>
                  <w:tcW w:w="3028" w:type="pct"/>
                  <w:noWrap w:val="0"/>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eastAsia="宋体"/>
                      <w:b/>
                      <w:bCs/>
                      <w:color w:val="auto"/>
                      <w:kern w:val="0"/>
                      <w:sz w:val="21"/>
                      <w:szCs w:val="21"/>
                      <w:lang w:val="en-US" w:eastAsia="zh-CN"/>
                    </w:rPr>
                  </w:pPr>
                  <w:r>
                    <w:rPr>
                      <w:rFonts w:hint="eastAsia"/>
                      <w:b/>
                      <w:bCs/>
                      <w:color w:val="auto"/>
                      <w:kern w:val="0"/>
                      <w:sz w:val="21"/>
                      <w:szCs w:val="21"/>
                      <w:lang w:val="en-US" w:eastAsia="zh-CN"/>
                    </w:rPr>
                    <w:t>管控要求</w:t>
                  </w:r>
                </w:p>
              </w:tc>
              <w:tc>
                <w:tcPr>
                  <w:tcW w:w="1025" w:type="pct"/>
                  <w:noWrap w:val="0"/>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eastAsia="宋体"/>
                      <w:b/>
                      <w:bCs/>
                      <w:color w:val="auto"/>
                      <w:kern w:val="0"/>
                      <w:sz w:val="21"/>
                      <w:szCs w:val="21"/>
                      <w:lang w:val="en-US" w:eastAsia="zh-CN"/>
                    </w:rPr>
                  </w:pPr>
                  <w:r>
                    <w:rPr>
                      <w:rFonts w:hint="eastAsia"/>
                      <w:b/>
                      <w:bCs/>
                      <w:color w:val="auto"/>
                      <w:kern w:val="0"/>
                      <w:sz w:val="21"/>
                      <w:szCs w:val="21"/>
                      <w:lang w:val="en-US" w:eastAsia="zh-CN"/>
                    </w:rPr>
                    <w:t>项目概况</w:t>
                  </w:r>
                </w:p>
              </w:tc>
              <w:tc>
                <w:tcPr>
                  <w:tcW w:w="177" w:type="pct"/>
                  <w:noWrap w:val="0"/>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b/>
                      <w:bCs/>
                      <w:color w:val="auto"/>
                      <w:kern w:val="0"/>
                      <w:sz w:val="21"/>
                      <w:szCs w:val="21"/>
                    </w:rPr>
                  </w:pPr>
                  <w:r>
                    <w:rPr>
                      <w:rFonts w:hint="default"/>
                      <w:b/>
                      <w:bCs/>
                      <w:color w:val="auto"/>
                      <w:kern w:val="0"/>
                      <w:sz w:val="21"/>
                      <w:szCs w:val="21"/>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67" w:type="pct"/>
                  <w:vMerge w:val="restart"/>
                  <w:noWrap w:val="0"/>
                  <w:vAlign w:val="center"/>
                </w:tcPr>
                <w:p>
                  <w:pPr>
                    <w:keepNext w:val="0"/>
                    <w:keepLines w:val="0"/>
                    <w:pageBreakBefore w:val="0"/>
                    <w:widowControl w:val="0"/>
                    <w:suppressLineNumbers w:val="0"/>
                    <w:kinsoku/>
                    <w:wordWrap w:val="0"/>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eastAsia="宋体"/>
                      <w:color w:val="auto"/>
                      <w:sz w:val="21"/>
                      <w:szCs w:val="21"/>
                      <w:lang w:val="en-US" w:eastAsia="zh-CN"/>
                    </w:rPr>
                  </w:pPr>
                  <w:r>
                    <w:rPr>
                      <w:rFonts w:hint="eastAsia"/>
                      <w:color w:val="auto"/>
                      <w:sz w:val="21"/>
                      <w:szCs w:val="21"/>
                      <w:lang w:val="en-US" w:eastAsia="zh-CN"/>
                    </w:rPr>
                    <w:t>西咸新区直管区</w:t>
                  </w:r>
                </w:p>
              </w:tc>
              <w:tc>
                <w:tcPr>
                  <w:tcW w:w="401" w:type="pct"/>
                  <w:noWrap w:val="0"/>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color w:val="auto"/>
                      <w:kern w:val="0"/>
                      <w:sz w:val="21"/>
                      <w:szCs w:val="21"/>
                    </w:rPr>
                  </w:pPr>
                  <w:r>
                    <w:rPr>
                      <w:rFonts w:hint="eastAsia"/>
                      <w:color w:val="auto"/>
                      <w:sz w:val="21"/>
                      <w:szCs w:val="21"/>
                    </w:rPr>
                    <w:t>空间布局约束</w:t>
                  </w:r>
                </w:p>
              </w:tc>
              <w:tc>
                <w:tcPr>
                  <w:tcW w:w="3028" w:type="pct"/>
                  <w:noWrap w:val="0"/>
                  <w:vAlign w:val="center"/>
                </w:tcPr>
                <w:p>
                  <w:pPr>
                    <w:keepNext w:val="0"/>
                    <w:keepLines w:val="0"/>
                    <w:pageBreakBefore w:val="0"/>
                    <w:widowControl w:val="0"/>
                    <w:numPr>
                      <w:ilvl w:val="0"/>
                      <w:numId w:val="0"/>
                    </w:numPr>
                    <w:suppressLineNumbers w:val="0"/>
                    <w:kinsoku/>
                    <w:overflowPunct/>
                    <w:topLinePunct w:val="0"/>
                    <w:bidi w:val="0"/>
                    <w:adjustRightInd w:val="0"/>
                    <w:snapToGrid w:val="0"/>
                    <w:spacing w:before="0" w:beforeAutospacing="0" w:after="0" w:afterAutospacing="0" w:line="240" w:lineRule="auto"/>
                    <w:ind w:left="0" w:right="0" w:firstLine="0" w:firstLineChars="0"/>
                    <w:textAlignment w:val="auto"/>
                    <w:rPr>
                      <w:rFonts w:hint="eastAsia"/>
                      <w:color w:val="auto"/>
                      <w:kern w:val="21"/>
                      <w:sz w:val="21"/>
                      <w:szCs w:val="21"/>
                    </w:rPr>
                  </w:pPr>
                  <w:r>
                    <w:rPr>
                      <w:rFonts w:hint="eastAsia"/>
                      <w:color w:val="auto"/>
                      <w:kern w:val="21"/>
                      <w:sz w:val="21"/>
                      <w:szCs w:val="21"/>
                      <w:lang w:val="en-US" w:eastAsia="zh-CN"/>
                    </w:rPr>
                    <w:t>1.</w:t>
                  </w:r>
                  <w:r>
                    <w:rPr>
                      <w:rFonts w:hint="eastAsia"/>
                      <w:color w:val="auto"/>
                      <w:kern w:val="21"/>
                      <w:sz w:val="21"/>
                      <w:szCs w:val="21"/>
                    </w:rPr>
                    <w:t>未列入国家批准的相关规划的新建乙烯、对二甲苯</w:t>
                  </w:r>
                  <w:r>
                    <w:rPr>
                      <w:rFonts w:hint="eastAsia"/>
                      <w:color w:val="auto"/>
                      <w:kern w:val="21"/>
                      <w:sz w:val="21"/>
                      <w:szCs w:val="21"/>
                      <w:lang w:eastAsia="zh-CN"/>
                    </w:rPr>
                    <w:t>（</w:t>
                  </w:r>
                  <w:r>
                    <w:rPr>
                      <w:rFonts w:hint="eastAsia"/>
                      <w:color w:val="auto"/>
                      <w:kern w:val="21"/>
                      <w:sz w:val="21"/>
                      <w:szCs w:val="21"/>
                    </w:rPr>
                    <w:t>PX</w:t>
                  </w:r>
                  <w:r>
                    <w:rPr>
                      <w:rFonts w:hint="eastAsia"/>
                      <w:color w:val="auto"/>
                      <w:kern w:val="21"/>
                      <w:sz w:val="21"/>
                      <w:szCs w:val="21"/>
                      <w:lang w:eastAsia="zh-CN"/>
                    </w:rPr>
                    <w:t>）</w:t>
                  </w:r>
                  <w:r>
                    <w:rPr>
                      <w:rFonts w:hint="eastAsia"/>
                      <w:color w:val="auto"/>
                      <w:kern w:val="21"/>
                      <w:sz w:val="21"/>
                      <w:szCs w:val="21"/>
                    </w:rPr>
                    <w:t>、二苯基甲烷二异氰酸酯</w:t>
                  </w:r>
                  <w:r>
                    <w:rPr>
                      <w:rFonts w:hint="eastAsia"/>
                      <w:color w:val="auto"/>
                      <w:kern w:val="21"/>
                      <w:sz w:val="21"/>
                      <w:szCs w:val="21"/>
                      <w:lang w:eastAsia="zh-CN"/>
                    </w:rPr>
                    <w:t>（</w:t>
                  </w:r>
                  <w:r>
                    <w:rPr>
                      <w:rFonts w:hint="eastAsia"/>
                      <w:color w:val="auto"/>
                      <w:kern w:val="21"/>
                      <w:sz w:val="21"/>
                      <w:szCs w:val="21"/>
                    </w:rPr>
                    <w:t>MDI</w:t>
                  </w:r>
                  <w:r>
                    <w:rPr>
                      <w:rFonts w:hint="eastAsia"/>
                      <w:color w:val="auto"/>
                      <w:kern w:val="21"/>
                      <w:sz w:val="21"/>
                      <w:szCs w:val="21"/>
                      <w:lang w:eastAsia="zh-CN"/>
                    </w:rPr>
                    <w:t>）</w:t>
                  </w:r>
                  <w:r>
                    <w:rPr>
                      <w:rFonts w:hint="eastAsia"/>
                      <w:color w:val="auto"/>
                      <w:kern w:val="21"/>
                      <w:sz w:val="21"/>
                      <w:szCs w:val="21"/>
                    </w:rPr>
                    <w:t>项目，禁止建设。</w:t>
                  </w:r>
                </w:p>
                <w:p>
                  <w:pPr>
                    <w:keepNext w:val="0"/>
                    <w:keepLines w:val="0"/>
                    <w:pageBreakBefore w:val="0"/>
                    <w:widowControl w:val="0"/>
                    <w:numPr>
                      <w:ilvl w:val="0"/>
                      <w:numId w:val="0"/>
                    </w:numPr>
                    <w:suppressLineNumbers w:val="0"/>
                    <w:kinsoku/>
                    <w:overflowPunct/>
                    <w:topLinePunct w:val="0"/>
                    <w:bidi w:val="0"/>
                    <w:adjustRightInd w:val="0"/>
                    <w:snapToGrid w:val="0"/>
                    <w:spacing w:before="0" w:beforeAutospacing="0" w:after="0" w:afterAutospacing="0" w:line="240" w:lineRule="auto"/>
                    <w:ind w:left="0" w:right="0" w:firstLine="0" w:firstLineChars="0"/>
                    <w:textAlignment w:val="auto"/>
                    <w:rPr>
                      <w:rFonts w:hint="eastAsia"/>
                      <w:color w:val="auto"/>
                      <w:kern w:val="21"/>
                      <w:sz w:val="21"/>
                      <w:szCs w:val="21"/>
                    </w:rPr>
                  </w:pPr>
                  <w:r>
                    <w:rPr>
                      <w:rFonts w:hint="eastAsia"/>
                      <w:color w:val="auto"/>
                      <w:kern w:val="21"/>
                      <w:sz w:val="21"/>
                      <w:szCs w:val="21"/>
                    </w:rPr>
                    <w:t>2.禁止新建化工园区</w:t>
                  </w:r>
                  <w:r>
                    <w:rPr>
                      <w:rFonts w:hint="eastAsia"/>
                      <w:color w:val="auto"/>
                      <w:kern w:val="21"/>
                      <w:sz w:val="21"/>
                      <w:szCs w:val="21"/>
                      <w:lang w:eastAsia="zh-CN"/>
                    </w:rPr>
                    <w:t>；</w:t>
                  </w:r>
                  <w:r>
                    <w:rPr>
                      <w:rFonts w:hint="eastAsia"/>
                      <w:color w:val="auto"/>
                      <w:kern w:val="21"/>
                      <w:sz w:val="21"/>
                      <w:szCs w:val="21"/>
                    </w:rPr>
                    <w:t>严禁高耗能、高排放产业入区</w:t>
                  </w:r>
                  <w:r>
                    <w:rPr>
                      <w:rFonts w:hint="eastAsia"/>
                      <w:color w:val="auto"/>
                      <w:kern w:val="21"/>
                      <w:sz w:val="21"/>
                      <w:szCs w:val="21"/>
                      <w:lang w:eastAsia="zh-CN"/>
                    </w:rPr>
                    <w:t>；</w:t>
                  </w:r>
                  <w:r>
                    <w:rPr>
                      <w:rFonts w:hint="eastAsia"/>
                      <w:color w:val="auto"/>
                      <w:kern w:val="21"/>
                      <w:sz w:val="21"/>
                      <w:szCs w:val="21"/>
                    </w:rPr>
                    <w:t>禁止新建、</w:t>
                  </w:r>
                  <w:r>
                    <w:rPr>
                      <w:rFonts w:hint="eastAsia"/>
                      <w:color w:val="auto"/>
                      <w:kern w:val="21"/>
                      <w:sz w:val="21"/>
                      <w:szCs w:val="21"/>
                      <w:lang w:eastAsia="zh-CN"/>
                    </w:rPr>
                    <w:t>扩建</w:t>
                  </w:r>
                  <w:r>
                    <w:rPr>
                      <w:rFonts w:hint="eastAsia"/>
                      <w:color w:val="auto"/>
                      <w:kern w:val="21"/>
                      <w:sz w:val="21"/>
                      <w:szCs w:val="21"/>
                    </w:rPr>
                    <w:t>、</w:t>
                  </w:r>
                  <w:r>
                    <w:rPr>
                      <w:rFonts w:hint="eastAsia"/>
                      <w:color w:val="auto"/>
                      <w:kern w:val="21"/>
                      <w:sz w:val="21"/>
                      <w:szCs w:val="21"/>
                      <w:lang w:eastAsia="zh-CN"/>
                    </w:rPr>
                    <w:t>扩建</w:t>
                  </w:r>
                  <w:r>
                    <w:rPr>
                      <w:rFonts w:hint="eastAsia"/>
                      <w:color w:val="auto"/>
                      <w:kern w:val="21"/>
                      <w:sz w:val="21"/>
                      <w:szCs w:val="21"/>
                    </w:rPr>
                    <w:t>任何涉煤和石油化工、煤化工等项目</w:t>
                  </w:r>
                  <w:r>
                    <w:rPr>
                      <w:rFonts w:hint="eastAsia"/>
                      <w:color w:val="auto"/>
                      <w:kern w:val="21"/>
                      <w:sz w:val="21"/>
                      <w:szCs w:val="21"/>
                      <w:lang w:eastAsia="zh-CN"/>
                    </w:rPr>
                    <w:t>；</w:t>
                  </w:r>
                  <w:r>
                    <w:rPr>
                      <w:rFonts w:hint="eastAsia"/>
                      <w:color w:val="auto"/>
                      <w:kern w:val="21"/>
                      <w:sz w:val="21"/>
                      <w:szCs w:val="21"/>
                    </w:rPr>
                    <w:t>严禁新增铸造、电解铝、平板玻璃等产能</w:t>
                  </w:r>
                  <w:r>
                    <w:rPr>
                      <w:rFonts w:hint="eastAsia"/>
                      <w:color w:val="auto"/>
                      <w:kern w:val="21"/>
                      <w:sz w:val="21"/>
                      <w:szCs w:val="21"/>
                      <w:lang w:eastAsia="zh-CN"/>
                    </w:rPr>
                    <w:t>；</w:t>
                  </w:r>
                  <w:r>
                    <w:rPr>
                      <w:rFonts w:hint="eastAsia"/>
                      <w:color w:val="auto"/>
                      <w:kern w:val="21"/>
                      <w:sz w:val="21"/>
                      <w:szCs w:val="21"/>
                    </w:rPr>
                    <w:t>禁止新建、</w:t>
                  </w:r>
                  <w:r>
                    <w:rPr>
                      <w:rFonts w:hint="eastAsia"/>
                      <w:color w:val="auto"/>
                      <w:kern w:val="21"/>
                      <w:sz w:val="21"/>
                      <w:szCs w:val="21"/>
                      <w:lang w:eastAsia="zh-CN"/>
                    </w:rPr>
                    <w:t>扩建</w:t>
                  </w:r>
                  <w:r>
                    <w:rPr>
                      <w:rFonts w:hint="eastAsia"/>
                      <w:color w:val="auto"/>
                      <w:kern w:val="21"/>
                      <w:sz w:val="21"/>
                      <w:szCs w:val="21"/>
                    </w:rPr>
                    <w:t>燃用高污染燃料的设施</w:t>
                  </w:r>
                  <w:r>
                    <w:rPr>
                      <w:rFonts w:hint="eastAsia"/>
                      <w:color w:val="auto"/>
                      <w:kern w:val="21"/>
                      <w:sz w:val="21"/>
                      <w:szCs w:val="21"/>
                      <w:lang w:eastAsia="zh-CN"/>
                    </w:rPr>
                    <w:t>；</w:t>
                  </w:r>
                  <w:r>
                    <w:rPr>
                      <w:rFonts w:hint="eastAsia"/>
                      <w:color w:val="auto"/>
                      <w:kern w:val="21"/>
                      <w:sz w:val="21"/>
                      <w:szCs w:val="21"/>
                    </w:rPr>
                    <w:t>禁止新建、</w:t>
                  </w:r>
                  <w:r>
                    <w:rPr>
                      <w:rFonts w:hint="eastAsia"/>
                      <w:color w:val="auto"/>
                      <w:kern w:val="21"/>
                      <w:sz w:val="21"/>
                      <w:szCs w:val="21"/>
                      <w:lang w:eastAsia="zh-CN"/>
                    </w:rPr>
                    <w:t>扩建</w:t>
                  </w:r>
                  <w:r>
                    <w:rPr>
                      <w:rFonts w:hint="eastAsia"/>
                      <w:color w:val="auto"/>
                      <w:kern w:val="21"/>
                      <w:sz w:val="21"/>
                      <w:szCs w:val="21"/>
                    </w:rPr>
                    <w:t>燃煤热电联产的燃煤集中供热项目</w:t>
                  </w:r>
                  <w:r>
                    <w:rPr>
                      <w:rFonts w:hint="eastAsia"/>
                      <w:color w:val="auto"/>
                      <w:kern w:val="21"/>
                      <w:sz w:val="21"/>
                      <w:szCs w:val="21"/>
                      <w:lang w:eastAsia="zh-CN"/>
                    </w:rPr>
                    <w:t>；</w:t>
                  </w:r>
                  <w:r>
                    <w:rPr>
                      <w:rFonts w:hint="eastAsia"/>
                      <w:color w:val="auto"/>
                      <w:kern w:val="21"/>
                      <w:sz w:val="21"/>
                      <w:szCs w:val="21"/>
                    </w:rPr>
                    <w:t>不得新建天然气热电联产和天然气化工项目。</w:t>
                  </w:r>
                </w:p>
                <w:p>
                  <w:pPr>
                    <w:keepNext w:val="0"/>
                    <w:keepLines w:val="0"/>
                    <w:pageBreakBefore w:val="0"/>
                    <w:widowControl w:val="0"/>
                    <w:numPr>
                      <w:ilvl w:val="0"/>
                      <w:numId w:val="0"/>
                    </w:numPr>
                    <w:suppressLineNumbers w:val="0"/>
                    <w:kinsoku/>
                    <w:overflowPunct/>
                    <w:topLinePunct w:val="0"/>
                    <w:bidi w:val="0"/>
                    <w:adjustRightInd w:val="0"/>
                    <w:snapToGrid w:val="0"/>
                    <w:spacing w:before="0" w:beforeAutospacing="0" w:after="0" w:afterAutospacing="0" w:line="240" w:lineRule="auto"/>
                    <w:ind w:left="0" w:right="0" w:firstLine="0" w:firstLineChars="0"/>
                    <w:textAlignment w:val="auto"/>
                    <w:rPr>
                      <w:rFonts w:hint="eastAsia"/>
                      <w:color w:val="auto"/>
                      <w:kern w:val="21"/>
                      <w:sz w:val="21"/>
                      <w:szCs w:val="21"/>
                    </w:rPr>
                  </w:pPr>
                  <w:r>
                    <w:rPr>
                      <w:rFonts w:hint="eastAsia"/>
                      <w:color w:val="auto"/>
                      <w:kern w:val="21"/>
                      <w:sz w:val="21"/>
                      <w:szCs w:val="21"/>
                    </w:rPr>
                    <w:t>3.严格限制生态空间内破坏生物多样性的行为，禁止建设破坏生态功能和生态环境的工程项目。</w:t>
                  </w:r>
                </w:p>
                <w:p>
                  <w:pPr>
                    <w:keepNext w:val="0"/>
                    <w:keepLines w:val="0"/>
                    <w:pageBreakBefore w:val="0"/>
                    <w:widowControl w:val="0"/>
                    <w:numPr>
                      <w:ilvl w:val="0"/>
                      <w:numId w:val="0"/>
                    </w:numPr>
                    <w:suppressLineNumbers w:val="0"/>
                    <w:kinsoku/>
                    <w:overflowPunct/>
                    <w:topLinePunct w:val="0"/>
                    <w:bidi w:val="0"/>
                    <w:adjustRightInd w:val="0"/>
                    <w:snapToGrid w:val="0"/>
                    <w:spacing w:before="0" w:beforeAutospacing="0" w:after="0" w:afterAutospacing="0" w:line="240" w:lineRule="auto"/>
                    <w:ind w:left="0" w:right="0" w:firstLine="0" w:firstLineChars="0"/>
                    <w:textAlignment w:val="auto"/>
                    <w:rPr>
                      <w:rFonts w:hint="eastAsia"/>
                      <w:color w:val="auto"/>
                      <w:kern w:val="21"/>
                      <w:sz w:val="21"/>
                      <w:szCs w:val="21"/>
                    </w:rPr>
                  </w:pPr>
                  <w:r>
                    <w:rPr>
                      <w:rFonts w:hint="eastAsia"/>
                      <w:color w:val="auto"/>
                      <w:kern w:val="21"/>
                      <w:sz w:val="21"/>
                      <w:szCs w:val="21"/>
                    </w:rPr>
                    <w:t>4.全域内已征地</w:t>
                  </w:r>
                  <w:r>
                    <w:rPr>
                      <w:rFonts w:hint="eastAsia"/>
                      <w:color w:val="auto"/>
                      <w:kern w:val="21"/>
                      <w:sz w:val="21"/>
                      <w:szCs w:val="21"/>
                      <w:lang w:eastAsia="zh-CN"/>
                    </w:rPr>
                    <w:t>范围</w:t>
                  </w:r>
                  <w:r>
                    <w:rPr>
                      <w:rFonts w:hint="eastAsia"/>
                      <w:color w:val="auto"/>
                      <w:kern w:val="21"/>
                      <w:sz w:val="21"/>
                      <w:szCs w:val="21"/>
                    </w:rPr>
                    <w:t>为高</w:t>
                  </w:r>
                  <w:r>
                    <w:rPr>
                      <w:rFonts w:hint="eastAsia"/>
                      <w:color w:val="auto"/>
                      <w:kern w:val="21"/>
                      <w:sz w:val="21"/>
                      <w:szCs w:val="21"/>
                      <w:lang w:val="en-US" w:eastAsia="zh-CN"/>
                    </w:rPr>
                    <w:t>污染</w:t>
                  </w:r>
                  <w:r>
                    <w:rPr>
                      <w:rFonts w:hint="eastAsia"/>
                      <w:color w:val="auto"/>
                      <w:kern w:val="21"/>
                      <w:sz w:val="21"/>
                      <w:szCs w:val="21"/>
                    </w:rPr>
                    <w:t>燃料</w:t>
                  </w:r>
                  <w:r>
                    <w:rPr>
                      <w:rFonts w:hint="eastAsia"/>
                      <w:color w:val="auto"/>
                      <w:kern w:val="21"/>
                      <w:sz w:val="21"/>
                      <w:szCs w:val="21"/>
                      <w:lang w:val="en-US" w:eastAsia="zh-CN"/>
                    </w:rPr>
                    <w:t>禁燃区</w:t>
                  </w:r>
                  <w:r>
                    <w:rPr>
                      <w:rFonts w:hint="eastAsia"/>
                      <w:color w:val="auto"/>
                      <w:kern w:val="21"/>
                      <w:sz w:val="21"/>
                      <w:szCs w:val="21"/>
                    </w:rPr>
                    <w:t>，并动态更新。禁燃区内禁止新建、</w:t>
                  </w:r>
                  <w:r>
                    <w:rPr>
                      <w:rFonts w:hint="eastAsia"/>
                      <w:color w:val="auto"/>
                      <w:kern w:val="21"/>
                      <w:sz w:val="21"/>
                      <w:szCs w:val="21"/>
                      <w:lang w:eastAsia="zh-CN"/>
                    </w:rPr>
                    <w:t>扩建</w:t>
                  </w:r>
                  <w:r>
                    <w:rPr>
                      <w:rFonts w:hint="eastAsia"/>
                      <w:color w:val="auto"/>
                      <w:kern w:val="21"/>
                      <w:sz w:val="21"/>
                      <w:szCs w:val="21"/>
                    </w:rPr>
                    <w:t>燃用高</w:t>
                  </w:r>
                  <w:r>
                    <w:rPr>
                      <w:rFonts w:hint="eastAsia"/>
                      <w:color w:val="auto"/>
                      <w:kern w:val="21"/>
                      <w:sz w:val="21"/>
                      <w:szCs w:val="21"/>
                      <w:lang w:val="en-US" w:eastAsia="zh-CN"/>
                    </w:rPr>
                    <w:t>污染</w:t>
                  </w:r>
                  <w:r>
                    <w:rPr>
                      <w:rFonts w:hint="eastAsia"/>
                      <w:color w:val="auto"/>
                      <w:kern w:val="21"/>
                      <w:sz w:val="21"/>
                      <w:szCs w:val="21"/>
                    </w:rPr>
                    <w:t>燃料的设施。</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firstLine="0" w:firstLineChars="0"/>
                    <w:textAlignment w:val="auto"/>
                    <w:rPr>
                      <w:rFonts w:hint="eastAsia"/>
                      <w:color w:val="auto"/>
                      <w:kern w:val="21"/>
                      <w:sz w:val="21"/>
                      <w:szCs w:val="21"/>
                    </w:rPr>
                  </w:pPr>
                  <w:r>
                    <w:rPr>
                      <w:rFonts w:hint="eastAsia"/>
                      <w:color w:val="auto"/>
                      <w:kern w:val="21"/>
                      <w:sz w:val="21"/>
                      <w:szCs w:val="21"/>
                    </w:rPr>
                    <w:t>5.渭河流域禁止新建、</w:t>
                  </w:r>
                  <w:r>
                    <w:rPr>
                      <w:rFonts w:hint="eastAsia"/>
                      <w:color w:val="auto"/>
                      <w:kern w:val="21"/>
                      <w:sz w:val="21"/>
                      <w:szCs w:val="21"/>
                      <w:lang w:eastAsia="zh-CN"/>
                    </w:rPr>
                    <w:t>扩建</w:t>
                  </w:r>
                  <w:r>
                    <w:rPr>
                      <w:rFonts w:hint="eastAsia"/>
                      <w:color w:val="auto"/>
                      <w:kern w:val="21"/>
                      <w:sz w:val="21"/>
                      <w:szCs w:val="21"/>
                    </w:rPr>
                    <w:t>化学制浆造纸、化工、印染、果汁和淀粉加工等高耗水、高污染项目</w:t>
                  </w:r>
                  <w:r>
                    <w:rPr>
                      <w:rFonts w:hint="eastAsia"/>
                      <w:color w:val="auto"/>
                      <w:kern w:val="21"/>
                      <w:sz w:val="21"/>
                      <w:szCs w:val="21"/>
                      <w:lang w:eastAsia="zh-CN"/>
                    </w:rPr>
                    <w:t>，</w:t>
                  </w:r>
                  <w:r>
                    <w:rPr>
                      <w:rFonts w:hint="eastAsia"/>
                      <w:color w:val="auto"/>
                      <w:kern w:val="21"/>
                      <w:sz w:val="21"/>
                      <w:szCs w:val="21"/>
                    </w:rPr>
                    <w:t>渭河及其支流沿岸，要严格控制化学原料和化学制品制造、医药制造、化学纤维制造、</w:t>
                  </w:r>
                  <w:r>
                    <w:rPr>
                      <w:rFonts w:hint="eastAsia"/>
                      <w:color w:val="auto"/>
                      <w:kern w:val="21"/>
                      <w:sz w:val="21"/>
                      <w:szCs w:val="21"/>
                      <w:lang w:eastAsia="zh-CN"/>
                    </w:rPr>
                    <w:t>有色金属</w:t>
                  </w:r>
                  <w:r>
                    <w:rPr>
                      <w:rFonts w:hint="eastAsia"/>
                      <w:color w:val="auto"/>
                      <w:kern w:val="21"/>
                      <w:sz w:val="21"/>
                      <w:szCs w:val="21"/>
                    </w:rPr>
                    <w:t>冶炼等项目。</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firstLine="0" w:firstLineChars="0"/>
                    <w:textAlignment w:val="auto"/>
                    <w:rPr>
                      <w:rFonts w:hint="eastAsia"/>
                      <w:color w:val="auto"/>
                      <w:kern w:val="21"/>
                      <w:sz w:val="21"/>
                      <w:szCs w:val="21"/>
                    </w:rPr>
                  </w:pPr>
                  <w:r>
                    <w:rPr>
                      <w:rFonts w:hint="eastAsia"/>
                      <w:color w:val="auto"/>
                      <w:kern w:val="21"/>
                      <w:sz w:val="21"/>
                      <w:szCs w:val="21"/>
                    </w:rPr>
                    <w:t>6.饮用水源地一级保护区内的入河排污口全部拆除关闭</w:t>
                  </w:r>
                  <w:r>
                    <w:rPr>
                      <w:rFonts w:hint="eastAsia"/>
                      <w:color w:val="auto"/>
                      <w:kern w:val="21"/>
                      <w:sz w:val="21"/>
                      <w:szCs w:val="21"/>
                      <w:lang w:eastAsia="zh-CN"/>
                    </w:rPr>
                    <w:t>；</w:t>
                  </w:r>
                  <w:r>
                    <w:rPr>
                      <w:rFonts w:hint="eastAsia"/>
                      <w:color w:val="auto"/>
                      <w:kern w:val="21"/>
                      <w:sz w:val="21"/>
                      <w:szCs w:val="21"/>
                    </w:rPr>
                    <w:t>集中式饮用水源供水水质达标率达到100</w:t>
                  </w:r>
                  <w:r>
                    <w:rPr>
                      <w:rFonts w:hint="eastAsia"/>
                      <w:color w:val="auto"/>
                      <w:kern w:val="21"/>
                      <w:sz w:val="21"/>
                      <w:szCs w:val="21"/>
                      <w:lang w:val="en-US" w:eastAsia="zh-CN"/>
                    </w:rPr>
                    <w:t>%</w:t>
                  </w:r>
                  <w:r>
                    <w:rPr>
                      <w:rFonts w:hint="eastAsia"/>
                      <w:color w:val="auto"/>
                      <w:kern w:val="21"/>
                      <w:sz w:val="21"/>
                      <w:szCs w:val="21"/>
                    </w:rPr>
                    <w:t>。加大渭河流域生态建设力度，严格划定禁采、禁伐区域。</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firstLine="0" w:firstLineChars="0"/>
                    <w:textAlignment w:val="auto"/>
                    <w:rPr>
                      <w:rFonts w:hint="default"/>
                      <w:color w:val="auto"/>
                      <w:kern w:val="0"/>
                      <w:sz w:val="21"/>
                      <w:szCs w:val="21"/>
                    </w:rPr>
                  </w:pPr>
                  <w:r>
                    <w:rPr>
                      <w:rFonts w:hint="eastAsia"/>
                      <w:color w:val="auto"/>
                      <w:kern w:val="21"/>
                      <w:sz w:val="21"/>
                      <w:szCs w:val="21"/>
                    </w:rPr>
                    <w:t>7.在地下水超采的单元内，新建、改</w:t>
                  </w:r>
                  <w:r>
                    <w:rPr>
                      <w:rFonts w:hint="eastAsia"/>
                      <w:color w:val="auto"/>
                      <w:kern w:val="21"/>
                      <w:sz w:val="21"/>
                      <w:szCs w:val="21"/>
                      <w:lang w:eastAsia="zh-CN"/>
                    </w:rPr>
                    <w:t>扩建</w:t>
                  </w:r>
                  <w:r>
                    <w:rPr>
                      <w:rFonts w:hint="eastAsia"/>
                      <w:color w:val="auto"/>
                      <w:kern w:val="21"/>
                      <w:sz w:val="21"/>
                      <w:szCs w:val="21"/>
                    </w:rPr>
                    <w:t>项目不得使用地下水作为</w:t>
                  </w:r>
                  <w:r>
                    <w:rPr>
                      <w:rFonts w:hint="eastAsia"/>
                      <w:color w:val="auto"/>
                      <w:kern w:val="21"/>
                      <w:sz w:val="21"/>
                      <w:szCs w:val="21"/>
                      <w:lang w:eastAsia="zh-CN"/>
                    </w:rPr>
                    <w:t>工程</w:t>
                  </w:r>
                  <w:r>
                    <w:rPr>
                      <w:rFonts w:hint="eastAsia"/>
                      <w:color w:val="auto"/>
                      <w:kern w:val="21"/>
                      <w:sz w:val="21"/>
                      <w:szCs w:val="21"/>
                    </w:rPr>
                    <w:t>水源</w:t>
                  </w:r>
                  <w:r>
                    <w:rPr>
                      <w:rFonts w:hint="eastAsia"/>
                      <w:color w:val="auto"/>
                      <w:kern w:val="21"/>
                      <w:sz w:val="21"/>
                      <w:szCs w:val="21"/>
                      <w:lang w:eastAsia="zh-CN"/>
                    </w:rPr>
                    <w:t>；</w:t>
                  </w:r>
                  <w:r>
                    <w:rPr>
                      <w:rFonts w:hint="eastAsia"/>
                      <w:color w:val="auto"/>
                      <w:kern w:val="21"/>
                      <w:sz w:val="21"/>
                      <w:szCs w:val="21"/>
                    </w:rPr>
                    <w:t>地下水降落漏斗范围内不得新增工业企业用水规模。</w:t>
                  </w:r>
                </w:p>
              </w:tc>
              <w:tc>
                <w:tcPr>
                  <w:tcW w:w="1025" w:type="pct"/>
                  <w:noWrap w:val="0"/>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firstLine="0" w:firstLineChars="0"/>
                    <w:jc w:val="both"/>
                    <w:textAlignment w:val="auto"/>
                    <w:rPr>
                      <w:rFonts w:hint="eastAsia" w:eastAsia="宋体"/>
                      <w:color w:val="auto"/>
                      <w:kern w:val="0"/>
                      <w:sz w:val="21"/>
                      <w:szCs w:val="21"/>
                      <w:lang w:val="en-US" w:eastAsia="zh-CN"/>
                    </w:rPr>
                  </w:pPr>
                  <w:r>
                    <w:rPr>
                      <w:rFonts w:hint="eastAsia"/>
                      <w:color w:val="auto"/>
                      <w:kern w:val="0"/>
                      <w:sz w:val="21"/>
                      <w:szCs w:val="21"/>
                    </w:rPr>
                    <w:t>本项目</w:t>
                  </w:r>
                  <w:r>
                    <w:rPr>
                      <w:rFonts w:hint="eastAsia"/>
                      <w:color w:val="auto"/>
                      <w:kern w:val="0"/>
                      <w:sz w:val="21"/>
                      <w:szCs w:val="21"/>
                      <w:lang w:val="en-US" w:eastAsia="zh-CN"/>
                    </w:rPr>
                    <w:t>属于</w:t>
                  </w:r>
                  <w:r>
                    <w:rPr>
                      <w:rFonts w:hint="eastAsia"/>
                      <w:color w:val="auto"/>
                      <w:sz w:val="21"/>
                      <w:szCs w:val="21"/>
                      <w:lang w:val="en-US" w:eastAsia="zh-CN"/>
                    </w:rPr>
                    <w:t>塑料制品</w:t>
                  </w:r>
                  <w:r>
                    <w:rPr>
                      <w:rFonts w:hint="default"/>
                      <w:color w:val="auto"/>
                      <w:sz w:val="21"/>
                      <w:szCs w:val="21"/>
                    </w:rPr>
                    <w:t>行业</w:t>
                  </w:r>
                  <w:r>
                    <w:rPr>
                      <w:rFonts w:hint="eastAsia"/>
                      <w:color w:val="auto"/>
                      <w:sz w:val="21"/>
                      <w:szCs w:val="21"/>
                      <w:lang w:eastAsia="zh-CN"/>
                    </w:rPr>
                    <w:t>，</w:t>
                  </w:r>
                  <w:r>
                    <w:rPr>
                      <w:rFonts w:hint="eastAsia"/>
                      <w:color w:val="auto"/>
                      <w:sz w:val="21"/>
                      <w:szCs w:val="21"/>
                      <w:lang w:val="en-US" w:eastAsia="zh-CN"/>
                    </w:rPr>
                    <w:t>主要进行HDPE给水管生产</w:t>
                  </w:r>
                  <w:r>
                    <w:rPr>
                      <w:rFonts w:hint="eastAsia"/>
                      <w:color w:val="auto"/>
                      <w:kern w:val="0"/>
                      <w:sz w:val="21"/>
                      <w:szCs w:val="21"/>
                    </w:rPr>
                    <w:t>，不属于</w:t>
                  </w:r>
                  <w:r>
                    <w:rPr>
                      <w:rFonts w:hint="default"/>
                      <w:color w:val="auto"/>
                      <w:kern w:val="0"/>
                      <w:sz w:val="21"/>
                      <w:szCs w:val="21"/>
                    </w:rPr>
                    <w:t>高耗能高排放项目</w:t>
                  </w:r>
                  <w:r>
                    <w:rPr>
                      <w:rFonts w:hint="eastAsia"/>
                      <w:color w:val="auto"/>
                      <w:kern w:val="0"/>
                      <w:sz w:val="21"/>
                      <w:szCs w:val="21"/>
                      <w:lang w:eastAsia="zh-CN"/>
                    </w:rPr>
                    <w:t>；</w:t>
                  </w:r>
                  <w:r>
                    <w:rPr>
                      <w:rFonts w:hint="eastAsia"/>
                      <w:color w:val="auto"/>
                      <w:kern w:val="21"/>
                      <w:sz w:val="21"/>
                      <w:szCs w:val="21"/>
                    </w:rPr>
                    <w:t>项目</w:t>
                  </w:r>
                  <w:r>
                    <w:rPr>
                      <w:rFonts w:hint="eastAsia"/>
                      <w:color w:val="auto"/>
                      <w:kern w:val="21"/>
                      <w:sz w:val="21"/>
                      <w:szCs w:val="21"/>
                      <w:lang w:val="en-US" w:eastAsia="zh-CN"/>
                    </w:rPr>
                    <w:t>所用能源为电，</w:t>
                  </w:r>
                  <w:r>
                    <w:rPr>
                      <w:rFonts w:hint="eastAsia"/>
                      <w:color w:val="auto"/>
                      <w:kern w:val="21"/>
                      <w:sz w:val="21"/>
                      <w:szCs w:val="21"/>
                    </w:rPr>
                    <w:t>属于清洁能源</w:t>
                  </w:r>
                  <w:r>
                    <w:rPr>
                      <w:rFonts w:hint="eastAsia"/>
                      <w:color w:val="auto"/>
                      <w:kern w:val="21"/>
                      <w:sz w:val="21"/>
                      <w:szCs w:val="21"/>
                      <w:lang w:eastAsia="zh-CN"/>
                    </w:rPr>
                    <w:t>，</w:t>
                  </w:r>
                  <w:r>
                    <w:rPr>
                      <w:rFonts w:hint="eastAsia"/>
                      <w:color w:val="auto"/>
                      <w:kern w:val="21"/>
                      <w:sz w:val="21"/>
                      <w:szCs w:val="21"/>
                    </w:rPr>
                    <w:t>符合要求</w:t>
                  </w:r>
                  <w:r>
                    <w:rPr>
                      <w:rFonts w:hint="eastAsia"/>
                      <w:color w:val="auto"/>
                      <w:kern w:val="21"/>
                      <w:sz w:val="21"/>
                      <w:szCs w:val="21"/>
                      <w:lang w:eastAsia="zh-CN"/>
                    </w:rPr>
                    <w:t>；</w:t>
                  </w:r>
                  <w:r>
                    <w:rPr>
                      <w:rFonts w:hint="eastAsia"/>
                      <w:color w:val="auto"/>
                      <w:kern w:val="21"/>
                      <w:sz w:val="21"/>
                      <w:szCs w:val="21"/>
                      <w:lang w:val="en-US" w:eastAsia="zh-CN"/>
                    </w:rPr>
                    <w:t>项目用水来自市政供水，</w:t>
                  </w:r>
                  <w:r>
                    <w:rPr>
                      <w:rFonts w:hint="eastAsia"/>
                      <w:color w:val="auto"/>
                      <w:sz w:val="21"/>
                      <w:szCs w:val="21"/>
                      <w:lang w:val="en-US" w:eastAsia="zh-CN"/>
                    </w:rPr>
                    <w:t>冷却水</w:t>
                  </w:r>
                  <w:r>
                    <w:rPr>
                      <w:rFonts w:hint="eastAsia"/>
                      <w:color w:val="auto"/>
                      <w:sz w:val="21"/>
                      <w:szCs w:val="21"/>
                    </w:rPr>
                    <w:t>循环</w:t>
                  </w:r>
                  <w:r>
                    <w:rPr>
                      <w:rFonts w:hint="eastAsia"/>
                      <w:color w:val="auto"/>
                      <w:sz w:val="21"/>
                      <w:szCs w:val="21"/>
                      <w:lang w:val="en-US" w:eastAsia="zh-CN"/>
                    </w:rPr>
                    <w:t>使用</w:t>
                  </w:r>
                  <w:r>
                    <w:rPr>
                      <w:rFonts w:hint="eastAsia"/>
                      <w:color w:val="auto"/>
                      <w:sz w:val="21"/>
                      <w:szCs w:val="21"/>
                    </w:rPr>
                    <w:t>，不外排</w:t>
                  </w:r>
                  <w:r>
                    <w:rPr>
                      <w:rFonts w:hint="eastAsia"/>
                      <w:color w:val="auto"/>
                      <w:sz w:val="21"/>
                      <w:szCs w:val="21"/>
                      <w:lang w:eastAsia="zh-CN"/>
                    </w:rPr>
                    <w:t>。</w:t>
                  </w:r>
                </w:p>
              </w:tc>
              <w:tc>
                <w:tcPr>
                  <w:tcW w:w="177" w:type="pct"/>
                  <w:noWrap w:val="0"/>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color w:val="auto"/>
                      <w:kern w:val="0"/>
                      <w:sz w:val="21"/>
                      <w:szCs w:val="21"/>
                    </w:rPr>
                  </w:pPr>
                  <w:r>
                    <w:rPr>
                      <w:rFonts w:hint="eastAsia"/>
                      <w:color w:val="auto"/>
                      <w:kern w:val="0"/>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67" w:type="pct"/>
                  <w:vMerge w:val="continue"/>
                  <w:noWrap w:val="0"/>
                  <w:vAlign w:val="center"/>
                </w:tcPr>
                <w:p>
                  <w:pPr>
                    <w:keepNext w:val="0"/>
                    <w:keepLines w:val="0"/>
                    <w:pageBreakBefore w:val="0"/>
                    <w:widowControl w:val="0"/>
                    <w:suppressLineNumbers w:val="0"/>
                    <w:kinsoku/>
                    <w:wordWrap w:val="0"/>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eastAsia"/>
                      <w:color w:val="auto"/>
                      <w:sz w:val="21"/>
                      <w:szCs w:val="21"/>
                      <w:lang w:val="en-US" w:eastAsia="zh-CN"/>
                    </w:rPr>
                  </w:pPr>
                </w:p>
              </w:tc>
              <w:tc>
                <w:tcPr>
                  <w:tcW w:w="401" w:type="pct"/>
                  <w:noWrap w:val="0"/>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eastAsia"/>
                      <w:color w:val="auto"/>
                      <w:sz w:val="21"/>
                      <w:szCs w:val="21"/>
                    </w:rPr>
                  </w:pPr>
                  <w:r>
                    <w:rPr>
                      <w:rFonts w:hint="eastAsia"/>
                      <w:color w:val="auto"/>
                      <w:sz w:val="21"/>
                      <w:szCs w:val="21"/>
                    </w:rPr>
                    <w:t>污染物排放管控</w:t>
                  </w:r>
                </w:p>
              </w:tc>
              <w:tc>
                <w:tcPr>
                  <w:tcW w:w="3028" w:type="pct"/>
                  <w:noWrap w:val="0"/>
                  <w:vAlign w:val="center"/>
                </w:tcPr>
                <w:p>
                  <w:pPr>
                    <w:keepNext w:val="0"/>
                    <w:keepLines w:val="0"/>
                    <w:pageBreakBefore w:val="0"/>
                    <w:widowControl w:val="0"/>
                    <w:numPr>
                      <w:ilvl w:val="0"/>
                      <w:numId w:val="0"/>
                    </w:numPr>
                    <w:suppressLineNumbers w:val="0"/>
                    <w:kinsoku/>
                    <w:overflowPunct/>
                    <w:topLinePunct w:val="0"/>
                    <w:bidi w:val="0"/>
                    <w:adjustRightInd w:val="0"/>
                    <w:snapToGrid w:val="0"/>
                    <w:spacing w:before="0" w:beforeAutospacing="0" w:after="0" w:afterAutospacing="0" w:line="240" w:lineRule="auto"/>
                    <w:ind w:left="0" w:right="0" w:firstLine="0" w:firstLineChars="0"/>
                    <w:textAlignment w:val="auto"/>
                    <w:rPr>
                      <w:rFonts w:hint="eastAsia"/>
                      <w:color w:val="auto"/>
                      <w:kern w:val="21"/>
                      <w:sz w:val="21"/>
                      <w:szCs w:val="21"/>
                      <w:highlight w:val="none"/>
                    </w:rPr>
                  </w:pPr>
                  <w:r>
                    <w:rPr>
                      <w:rFonts w:hint="eastAsia"/>
                      <w:color w:val="auto"/>
                      <w:kern w:val="21"/>
                      <w:sz w:val="21"/>
                      <w:szCs w:val="21"/>
                      <w:highlight w:val="none"/>
                      <w:lang w:val="en-US" w:eastAsia="zh-CN"/>
                    </w:rPr>
                    <w:t>1.</w:t>
                  </w:r>
                  <w:r>
                    <w:rPr>
                      <w:rFonts w:hint="eastAsia"/>
                      <w:color w:val="auto"/>
                      <w:kern w:val="21"/>
                      <w:sz w:val="21"/>
                      <w:szCs w:val="21"/>
                      <w:highlight w:val="none"/>
                    </w:rPr>
                    <w:t>建立覆盖所有固定污染源的企业排污许可制度，依证排</w:t>
                  </w:r>
                  <w:r>
                    <w:rPr>
                      <w:rFonts w:hint="eastAsia"/>
                      <w:color w:val="auto"/>
                      <w:kern w:val="21"/>
                      <w:sz w:val="21"/>
                      <w:szCs w:val="21"/>
                      <w:highlight w:val="none"/>
                      <w:lang w:val="en-US" w:eastAsia="zh-CN"/>
                    </w:rPr>
                    <w:t>污</w:t>
                  </w:r>
                  <w:r>
                    <w:rPr>
                      <w:rFonts w:hint="eastAsia"/>
                      <w:color w:val="auto"/>
                      <w:kern w:val="21"/>
                      <w:sz w:val="21"/>
                      <w:szCs w:val="21"/>
                      <w:highlight w:val="none"/>
                    </w:rPr>
                    <w:t>。</w:t>
                  </w:r>
                </w:p>
                <w:p>
                  <w:pPr>
                    <w:keepNext w:val="0"/>
                    <w:keepLines w:val="0"/>
                    <w:pageBreakBefore w:val="0"/>
                    <w:widowControl w:val="0"/>
                    <w:numPr>
                      <w:ilvl w:val="0"/>
                      <w:numId w:val="0"/>
                    </w:numPr>
                    <w:suppressLineNumbers w:val="0"/>
                    <w:kinsoku/>
                    <w:overflowPunct/>
                    <w:topLinePunct w:val="0"/>
                    <w:bidi w:val="0"/>
                    <w:adjustRightInd w:val="0"/>
                    <w:snapToGrid w:val="0"/>
                    <w:spacing w:before="0" w:beforeAutospacing="0" w:after="0" w:afterAutospacing="0" w:line="240" w:lineRule="auto"/>
                    <w:ind w:left="0" w:right="0" w:firstLine="0" w:firstLineChars="0"/>
                    <w:textAlignment w:val="auto"/>
                    <w:rPr>
                      <w:rFonts w:hint="eastAsia"/>
                      <w:color w:val="auto"/>
                      <w:kern w:val="21"/>
                      <w:sz w:val="21"/>
                      <w:szCs w:val="21"/>
                      <w:highlight w:val="none"/>
                    </w:rPr>
                  </w:pPr>
                  <w:r>
                    <w:rPr>
                      <w:rFonts w:hint="eastAsia"/>
                      <w:color w:val="auto"/>
                      <w:kern w:val="21"/>
                      <w:sz w:val="21"/>
                      <w:szCs w:val="21"/>
                      <w:highlight w:val="none"/>
                    </w:rPr>
                    <w:t>2.淘汰35蒸吨以下燃煤锅炉及茶水炉、经营性炉灶、储粮烘干设备、煤气发生炉、热风炉、导热油炉，现有燃气锅炉实施低</w:t>
                  </w:r>
                  <w:r>
                    <w:rPr>
                      <w:rFonts w:hint="eastAsia"/>
                      <w:color w:val="auto"/>
                      <w:kern w:val="21"/>
                      <w:sz w:val="21"/>
                      <w:szCs w:val="21"/>
                      <w:highlight w:val="none"/>
                      <w:lang w:val="en-US" w:eastAsia="zh-CN"/>
                    </w:rPr>
                    <w:t>氮</w:t>
                  </w:r>
                  <w:r>
                    <w:rPr>
                      <w:rFonts w:hint="eastAsia"/>
                      <w:color w:val="auto"/>
                      <w:kern w:val="21"/>
                      <w:sz w:val="21"/>
                      <w:szCs w:val="21"/>
                      <w:highlight w:val="none"/>
                    </w:rPr>
                    <w:t>燃烧器改造。</w:t>
                  </w:r>
                </w:p>
                <w:p>
                  <w:pPr>
                    <w:keepNext w:val="0"/>
                    <w:keepLines w:val="0"/>
                    <w:pageBreakBefore w:val="0"/>
                    <w:widowControl w:val="0"/>
                    <w:numPr>
                      <w:ilvl w:val="0"/>
                      <w:numId w:val="0"/>
                    </w:numPr>
                    <w:suppressLineNumbers w:val="0"/>
                    <w:kinsoku/>
                    <w:overflowPunct/>
                    <w:topLinePunct w:val="0"/>
                    <w:bidi w:val="0"/>
                    <w:adjustRightInd w:val="0"/>
                    <w:snapToGrid w:val="0"/>
                    <w:spacing w:before="0" w:beforeAutospacing="0" w:after="0" w:afterAutospacing="0" w:line="240" w:lineRule="auto"/>
                    <w:ind w:left="0" w:right="0" w:firstLine="0" w:firstLineChars="0"/>
                    <w:textAlignment w:val="auto"/>
                    <w:rPr>
                      <w:rFonts w:hint="eastAsia"/>
                      <w:color w:val="auto"/>
                      <w:kern w:val="21"/>
                      <w:sz w:val="21"/>
                      <w:szCs w:val="21"/>
                      <w:highlight w:val="none"/>
                    </w:rPr>
                  </w:pPr>
                  <w:r>
                    <w:rPr>
                      <w:rFonts w:hint="eastAsia"/>
                      <w:color w:val="auto"/>
                      <w:kern w:val="21"/>
                      <w:sz w:val="21"/>
                      <w:szCs w:val="21"/>
                      <w:highlight w:val="none"/>
                    </w:rPr>
                    <w:t>3.淘汰国三及以下营运老旧柴油车和燃气车辆</w:t>
                  </w:r>
                  <w:r>
                    <w:rPr>
                      <w:rFonts w:hint="eastAsia"/>
                      <w:color w:val="auto"/>
                      <w:kern w:val="21"/>
                      <w:sz w:val="21"/>
                      <w:szCs w:val="21"/>
                      <w:highlight w:val="none"/>
                      <w:lang w:eastAsia="zh-CN"/>
                    </w:rPr>
                    <w:t>；</w:t>
                  </w:r>
                  <w:r>
                    <w:rPr>
                      <w:rFonts w:hint="eastAsia"/>
                      <w:color w:val="auto"/>
                      <w:kern w:val="21"/>
                      <w:sz w:val="21"/>
                      <w:szCs w:val="21"/>
                      <w:highlight w:val="none"/>
                    </w:rPr>
                    <w:t>工程机械达不到《非道路柴油移动机械排气烟度限值及测量方法》</w:t>
                  </w:r>
                  <w:r>
                    <w:rPr>
                      <w:rFonts w:hint="eastAsia"/>
                      <w:color w:val="auto"/>
                      <w:kern w:val="21"/>
                      <w:sz w:val="21"/>
                      <w:szCs w:val="21"/>
                      <w:highlight w:val="none"/>
                      <w:lang w:eastAsia="zh-CN"/>
                    </w:rPr>
                    <w:t>（</w:t>
                  </w:r>
                  <w:r>
                    <w:rPr>
                      <w:rFonts w:hint="eastAsia"/>
                      <w:color w:val="auto"/>
                      <w:kern w:val="21"/>
                      <w:sz w:val="21"/>
                      <w:szCs w:val="21"/>
                      <w:highlight w:val="none"/>
                    </w:rPr>
                    <w:t>GB36886-2018</w:t>
                  </w:r>
                  <w:r>
                    <w:rPr>
                      <w:rFonts w:hint="eastAsia"/>
                      <w:color w:val="auto"/>
                      <w:kern w:val="21"/>
                      <w:sz w:val="21"/>
                      <w:szCs w:val="21"/>
                      <w:highlight w:val="none"/>
                      <w:lang w:eastAsia="zh-CN"/>
                    </w:rPr>
                    <w:t>）</w:t>
                  </w:r>
                  <w:r>
                    <w:rPr>
                      <w:rFonts w:hint="eastAsia"/>
                      <w:color w:val="auto"/>
                      <w:kern w:val="21"/>
                      <w:sz w:val="21"/>
                      <w:szCs w:val="21"/>
                      <w:highlight w:val="none"/>
                    </w:rPr>
                    <w:t>规定的</w:t>
                  </w:r>
                  <w:r>
                    <w:rPr>
                      <w:rFonts w:hint="eastAsia"/>
                      <w:color w:val="auto"/>
                      <w:kern w:val="21"/>
                      <w:sz w:val="21"/>
                      <w:szCs w:val="21"/>
                      <w:highlight w:val="none"/>
                      <w:lang w:val="en-US" w:eastAsia="zh-CN"/>
                    </w:rPr>
                    <w:t>III</w:t>
                  </w:r>
                  <w:r>
                    <w:rPr>
                      <w:rFonts w:hint="eastAsia"/>
                      <w:color w:val="auto"/>
                      <w:kern w:val="21"/>
                      <w:sz w:val="21"/>
                      <w:szCs w:val="21"/>
                      <w:highlight w:val="none"/>
                    </w:rPr>
                    <w:t>类限值标准的，禁止在新区范围内使用。坚决取缔</w:t>
                  </w:r>
                  <w:r>
                    <w:rPr>
                      <w:rFonts w:hint="eastAsia"/>
                      <w:color w:val="auto"/>
                      <w:kern w:val="21"/>
                      <w:sz w:val="21"/>
                      <w:szCs w:val="21"/>
                      <w:highlight w:val="none"/>
                      <w:lang w:val="en-US" w:eastAsia="zh-CN"/>
                    </w:rPr>
                    <w:t>黑加</w:t>
                  </w:r>
                  <w:r>
                    <w:rPr>
                      <w:rFonts w:hint="eastAsia"/>
                      <w:color w:val="auto"/>
                      <w:kern w:val="21"/>
                      <w:sz w:val="21"/>
                      <w:szCs w:val="21"/>
                      <w:highlight w:val="none"/>
                    </w:rPr>
                    <w:t>油站。</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firstLine="0" w:firstLineChars="0"/>
                    <w:textAlignment w:val="auto"/>
                    <w:rPr>
                      <w:rFonts w:hint="eastAsia"/>
                      <w:color w:val="auto"/>
                      <w:kern w:val="21"/>
                      <w:sz w:val="21"/>
                      <w:szCs w:val="21"/>
                      <w:highlight w:val="none"/>
                    </w:rPr>
                  </w:pPr>
                  <w:r>
                    <w:rPr>
                      <w:rFonts w:hint="eastAsia"/>
                      <w:color w:val="auto"/>
                      <w:kern w:val="21"/>
                      <w:sz w:val="21"/>
                      <w:szCs w:val="21"/>
                      <w:highlight w:val="none"/>
                    </w:rPr>
                    <w:t>4.严格落实周边围挡、物料堆放覆盖、土方开挖湿法作业、路面硬化、出入车辆清洗、渣土车辆密闭运输“六个百分百”防尘措施</w:t>
                  </w:r>
                  <w:r>
                    <w:rPr>
                      <w:rFonts w:hint="eastAsia"/>
                      <w:color w:val="auto"/>
                      <w:kern w:val="21"/>
                      <w:sz w:val="21"/>
                      <w:szCs w:val="21"/>
                      <w:highlight w:val="none"/>
                      <w:lang w:eastAsia="zh-CN"/>
                    </w:rPr>
                    <w:t>；</w:t>
                  </w:r>
                  <w:r>
                    <w:rPr>
                      <w:rFonts w:hint="eastAsia"/>
                      <w:color w:val="auto"/>
                      <w:kern w:val="21"/>
                      <w:sz w:val="21"/>
                      <w:szCs w:val="21"/>
                      <w:highlight w:val="none"/>
                    </w:rPr>
                    <w:t>推进“阳光运输”，积极执行优化白天渣土清运制度。</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firstLine="0" w:firstLineChars="0"/>
                    <w:textAlignment w:val="auto"/>
                    <w:rPr>
                      <w:rFonts w:hint="eastAsia"/>
                      <w:color w:val="auto"/>
                      <w:kern w:val="21"/>
                      <w:sz w:val="21"/>
                      <w:szCs w:val="21"/>
                      <w:highlight w:val="none"/>
                    </w:rPr>
                  </w:pPr>
                  <w:r>
                    <w:rPr>
                      <w:rFonts w:hint="eastAsia"/>
                      <w:color w:val="auto"/>
                      <w:kern w:val="21"/>
                      <w:sz w:val="21"/>
                      <w:szCs w:val="21"/>
                      <w:highlight w:val="none"/>
                    </w:rPr>
                    <w:t>5.将低VOCs含量产品优先纳入政府采购名录，并在</w:t>
                  </w:r>
                  <w:r>
                    <w:rPr>
                      <w:rFonts w:hint="eastAsia"/>
                      <w:color w:val="auto"/>
                      <w:kern w:val="21"/>
                      <w:sz w:val="21"/>
                      <w:szCs w:val="21"/>
                      <w:highlight w:val="none"/>
                      <w:lang w:val="en-US" w:eastAsia="zh-CN"/>
                    </w:rPr>
                    <w:t>各</w:t>
                  </w:r>
                  <w:r>
                    <w:rPr>
                      <w:rFonts w:hint="eastAsia"/>
                      <w:color w:val="auto"/>
                      <w:kern w:val="21"/>
                      <w:sz w:val="21"/>
                      <w:szCs w:val="21"/>
                      <w:highlight w:val="none"/>
                    </w:rPr>
                    <w:t>类市政工程中率先推广使用</w:t>
                  </w:r>
                  <w:r>
                    <w:rPr>
                      <w:rFonts w:hint="eastAsia"/>
                      <w:color w:val="auto"/>
                      <w:kern w:val="21"/>
                      <w:sz w:val="21"/>
                      <w:szCs w:val="21"/>
                      <w:highlight w:val="none"/>
                      <w:lang w:eastAsia="zh-CN"/>
                    </w:rPr>
                    <w:t>；</w:t>
                  </w:r>
                  <w:r>
                    <w:rPr>
                      <w:rFonts w:hint="eastAsia"/>
                      <w:color w:val="auto"/>
                      <w:kern w:val="21"/>
                      <w:sz w:val="21"/>
                      <w:szCs w:val="21"/>
                      <w:highlight w:val="none"/>
                    </w:rPr>
                    <w:t>加强含VOC.物料存储、转移和输送、设备与管线组件泄露、敞开液面逸散以及工艺过程等五类排放源管控</w:t>
                  </w:r>
                  <w:r>
                    <w:rPr>
                      <w:rFonts w:hint="eastAsia"/>
                      <w:color w:val="auto"/>
                      <w:kern w:val="21"/>
                      <w:sz w:val="21"/>
                      <w:szCs w:val="21"/>
                      <w:highlight w:val="none"/>
                      <w:lang w:eastAsia="zh-CN"/>
                    </w:rPr>
                    <w:t>，</w:t>
                  </w:r>
                  <w:r>
                    <w:rPr>
                      <w:rFonts w:hint="eastAsia"/>
                      <w:color w:val="auto"/>
                      <w:kern w:val="21"/>
                      <w:sz w:val="21"/>
                      <w:szCs w:val="21"/>
                      <w:highlight w:val="none"/>
                      <w:lang w:val="en-US" w:eastAsia="zh-CN"/>
                    </w:rPr>
                    <w:t>减</w:t>
                  </w:r>
                  <w:r>
                    <w:rPr>
                      <w:rFonts w:hint="eastAsia"/>
                      <w:color w:val="auto"/>
                      <w:kern w:val="21"/>
                      <w:sz w:val="21"/>
                      <w:szCs w:val="21"/>
                      <w:highlight w:val="none"/>
                    </w:rPr>
                    <w:t>少挥发性有机物排放。6.全域禁止使用高排放非道路移动机械，落实机动车排放检测/维护</w:t>
                  </w:r>
                  <w:r>
                    <w:rPr>
                      <w:rFonts w:hint="eastAsia"/>
                      <w:color w:val="auto"/>
                      <w:kern w:val="21"/>
                      <w:sz w:val="21"/>
                      <w:szCs w:val="21"/>
                      <w:highlight w:val="none"/>
                      <w:lang w:eastAsia="zh-CN"/>
                    </w:rPr>
                    <w:t>（</w:t>
                  </w:r>
                  <w:r>
                    <w:rPr>
                      <w:rFonts w:hint="eastAsia"/>
                      <w:color w:val="auto"/>
                      <w:kern w:val="21"/>
                      <w:sz w:val="21"/>
                      <w:szCs w:val="21"/>
                      <w:highlight w:val="none"/>
                    </w:rPr>
                    <w:t>IM</w:t>
                  </w:r>
                  <w:r>
                    <w:rPr>
                      <w:rFonts w:hint="eastAsia"/>
                      <w:color w:val="auto"/>
                      <w:kern w:val="21"/>
                      <w:sz w:val="21"/>
                      <w:szCs w:val="21"/>
                      <w:highlight w:val="none"/>
                      <w:lang w:eastAsia="zh-CN"/>
                    </w:rPr>
                    <w:t>）</w:t>
                  </w:r>
                  <w:r>
                    <w:rPr>
                      <w:rFonts w:hint="eastAsia"/>
                      <w:color w:val="auto"/>
                      <w:kern w:val="21"/>
                      <w:sz w:val="21"/>
                      <w:szCs w:val="21"/>
                      <w:highlight w:val="none"/>
                    </w:rPr>
                    <w:t>制度，在用机动车排放超标的，强制维修。</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firstLine="0" w:firstLineChars="0"/>
                    <w:textAlignment w:val="auto"/>
                    <w:rPr>
                      <w:rFonts w:hint="eastAsia"/>
                      <w:color w:val="auto"/>
                      <w:kern w:val="21"/>
                      <w:sz w:val="21"/>
                      <w:szCs w:val="21"/>
                      <w:highlight w:val="none"/>
                    </w:rPr>
                  </w:pPr>
                  <w:r>
                    <w:rPr>
                      <w:rFonts w:hint="eastAsia"/>
                      <w:color w:val="auto"/>
                      <w:kern w:val="21"/>
                      <w:sz w:val="21"/>
                      <w:szCs w:val="21"/>
                      <w:highlight w:val="none"/>
                    </w:rPr>
                    <w:t>7.全域禁止销售燃放烟花爆竹。</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firstLine="0" w:firstLineChars="0"/>
                    <w:textAlignment w:val="auto"/>
                    <w:rPr>
                      <w:rFonts w:hint="eastAsia"/>
                      <w:color w:val="auto"/>
                      <w:kern w:val="21"/>
                      <w:sz w:val="21"/>
                      <w:szCs w:val="21"/>
                      <w:highlight w:val="none"/>
                    </w:rPr>
                  </w:pPr>
                  <w:r>
                    <w:rPr>
                      <w:rFonts w:hint="eastAsia"/>
                      <w:color w:val="auto"/>
                      <w:kern w:val="21"/>
                      <w:sz w:val="21"/>
                      <w:szCs w:val="21"/>
                      <w:highlight w:val="none"/>
                    </w:rPr>
                    <w:t>8.工业</w:t>
                  </w:r>
                  <w:r>
                    <w:rPr>
                      <w:rFonts w:hint="eastAsia"/>
                      <w:color w:val="auto"/>
                      <w:kern w:val="21"/>
                      <w:sz w:val="21"/>
                      <w:szCs w:val="21"/>
                      <w:highlight w:val="none"/>
                      <w:lang w:eastAsia="zh-CN"/>
                    </w:rPr>
                    <w:t>固体废物</w:t>
                  </w:r>
                  <w:r>
                    <w:rPr>
                      <w:rFonts w:hint="eastAsia"/>
                      <w:color w:val="auto"/>
                      <w:kern w:val="21"/>
                      <w:sz w:val="21"/>
                      <w:szCs w:val="21"/>
                      <w:highlight w:val="none"/>
                    </w:rPr>
                    <w:t>综合利用处置率为100%</w:t>
                  </w:r>
                  <w:r>
                    <w:rPr>
                      <w:rFonts w:hint="eastAsia"/>
                      <w:color w:val="auto"/>
                      <w:kern w:val="21"/>
                      <w:sz w:val="21"/>
                      <w:szCs w:val="21"/>
                      <w:highlight w:val="none"/>
                      <w:lang w:eastAsia="zh-CN"/>
                    </w:rPr>
                    <w:t>；</w:t>
                  </w:r>
                  <w:r>
                    <w:rPr>
                      <w:rFonts w:hint="eastAsia"/>
                      <w:color w:val="auto"/>
                      <w:kern w:val="21"/>
                      <w:sz w:val="21"/>
                      <w:szCs w:val="21"/>
                      <w:highlight w:val="none"/>
                    </w:rPr>
                    <w:t>危险</w:t>
                  </w:r>
                  <w:r>
                    <w:rPr>
                      <w:rFonts w:hint="eastAsia"/>
                      <w:color w:val="auto"/>
                      <w:kern w:val="21"/>
                      <w:sz w:val="21"/>
                      <w:szCs w:val="21"/>
                      <w:highlight w:val="none"/>
                      <w:lang w:val="en-US" w:eastAsia="zh-CN"/>
                    </w:rPr>
                    <w:t>废物</w:t>
                  </w:r>
                  <w:r>
                    <w:rPr>
                      <w:rFonts w:hint="eastAsia"/>
                      <w:color w:val="auto"/>
                      <w:kern w:val="21"/>
                      <w:sz w:val="21"/>
                      <w:szCs w:val="21"/>
                      <w:highlight w:val="none"/>
                    </w:rPr>
                    <w:t>安全处理</w:t>
                  </w:r>
                  <w:r>
                    <w:rPr>
                      <w:rFonts w:hint="eastAsia"/>
                      <w:color w:val="auto"/>
                      <w:kern w:val="21"/>
                      <w:sz w:val="21"/>
                      <w:szCs w:val="21"/>
                      <w:highlight w:val="none"/>
                      <w:lang w:eastAsia="zh-CN"/>
                    </w:rPr>
                    <w:t>处置</w:t>
                  </w:r>
                  <w:r>
                    <w:rPr>
                      <w:rFonts w:hint="eastAsia"/>
                      <w:color w:val="auto"/>
                      <w:kern w:val="21"/>
                      <w:sz w:val="21"/>
                      <w:szCs w:val="21"/>
                      <w:highlight w:val="none"/>
                    </w:rPr>
                    <w:t>率达100%，生活垃圾无害化</w:t>
                  </w:r>
                  <w:r>
                    <w:rPr>
                      <w:rFonts w:hint="eastAsia"/>
                      <w:color w:val="auto"/>
                      <w:kern w:val="21"/>
                      <w:sz w:val="21"/>
                      <w:szCs w:val="21"/>
                      <w:highlight w:val="none"/>
                      <w:lang w:val="en-US" w:eastAsia="zh-CN"/>
                    </w:rPr>
                    <w:t>处理</w:t>
                  </w:r>
                  <w:r>
                    <w:rPr>
                      <w:rFonts w:hint="eastAsia"/>
                      <w:color w:val="auto"/>
                      <w:kern w:val="21"/>
                      <w:sz w:val="21"/>
                      <w:szCs w:val="21"/>
                      <w:highlight w:val="none"/>
                    </w:rPr>
                    <w:t>率根据区域定制不同的管控指标。</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firstLine="0" w:firstLineChars="0"/>
                    <w:textAlignment w:val="auto"/>
                    <w:rPr>
                      <w:rFonts w:hint="eastAsia"/>
                      <w:color w:val="auto"/>
                      <w:kern w:val="21"/>
                      <w:sz w:val="21"/>
                      <w:szCs w:val="21"/>
                      <w:highlight w:val="none"/>
                    </w:rPr>
                  </w:pPr>
                  <w:r>
                    <w:rPr>
                      <w:rFonts w:hint="eastAsia"/>
                      <w:color w:val="auto"/>
                      <w:kern w:val="21"/>
                      <w:sz w:val="21"/>
                      <w:szCs w:val="21"/>
                      <w:highlight w:val="none"/>
                    </w:rPr>
                    <w:t>9.新、扩、</w:t>
                  </w:r>
                  <w:r>
                    <w:rPr>
                      <w:rFonts w:hint="eastAsia"/>
                      <w:color w:val="auto"/>
                      <w:kern w:val="21"/>
                      <w:sz w:val="21"/>
                      <w:szCs w:val="21"/>
                      <w:highlight w:val="none"/>
                      <w:lang w:eastAsia="zh-CN"/>
                    </w:rPr>
                    <w:t>扩建</w:t>
                  </w:r>
                  <w:r>
                    <w:rPr>
                      <w:rFonts w:hint="eastAsia"/>
                      <w:color w:val="auto"/>
                      <w:kern w:val="21"/>
                      <w:sz w:val="21"/>
                      <w:szCs w:val="21"/>
                      <w:highlight w:val="none"/>
                    </w:rPr>
                    <w:t>项目必须实现同步规划和建设污水再生循环利用设施。新区建成区污水集中处理率达到95%以上，实现</w:t>
                  </w:r>
                  <w:r>
                    <w:rPr>
                      <w:rFonts w:hint="eastAsia"/>
                      <w:color w:val="auto"/>
                      <w:kern w:val="21"/>
                      <w:sz w:val="21"/>
                      <w:szCs w:val="21"/>
                      <w:highlight w:val="none"/>
                      <w:lang w:val="en-US" w:eastAsia="zh-CN"/>
                    </w:rPr>
                    <w:t>污泥</w:t>
                  </w:r>
                  <w:r>
                    <w:rPr>
                      <w:rFonts w:hint="eastAsia"/>
                      <w:color w:val="auto"/>
                      <w:kern w:val="21"/>
                      <w:sz w:val="21"/>
                      <w:szCs w:val="21"/>
                      <w:highlight w:val="none"/>
                    </w:rPr>
                    <w:t>无害化、资源化处置，</w:t>
                  </w:r>
                  <w:r>
                    <w:rPr>
                      <w:rFonts w:hint="eastAsia"/>
                      <w:color w:val="auto"/>
                      <w:kern w:val="21"/>
                      <w:sz w:val="21"/>
                      <w:szCs w:val="21"/>
                      <w:highlight w:val="none"/>
                      <w:lang w:val="en-US" w:eastAsia="zh-CN"/>
                    </w:rPr>
                    <w:t>污泥</w:t>
                  </w:r>
                  <w:r>
                    <w:rPr>
                      <w:rFonts w:hint="eastAsia"/>
                      <w:color w:val="auto"/>
                      <w:kern w:val="21"/>
                      <w:sz w:val="21"/>
                      <w:szCs w:val="21"/>
                      <w:highlight w:val="none"/>
                    </w:rPr>
                    <w:t>无害化处置率达 90%以上</w:t>
                  </w:r>
                  <w:r>
                    <w:rPr>
                      <w:rFonts w:hint="eastAsia"/>
                      <w:color w:val="auto"/>
                      <w:kern w:val="21"/>
                      <w:sz w:val="21"/>
                      <w:szCs w:val="21"/>
                      <w:highlight w:val="none"/>
                      <w:lang w:eastAsia="zh-CN"/>
                    </w:rPr>
                    <w:t>；</w:t>
                  </w:r>
                  <w:r>
                    <w:rPr>
                      <w:rFonts w:hint="eastAsia"/>
                      <w:color w:val="auto"/>
                      <w:kern w:val="21"/>
                      <w:sz w:val="21"/>
                      <w:szCs w:val="21"/>
                      <w:highlight w:val="none"/>
                    </w:rPr>
                    <w:t>禁止处理处置不达标的污泥进入耕地。</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firstLine="0" w:firstLineChars="0"/>
                    <w:textAlignment w:val="auto"/>
                    <w:rPr>
                      <w:rFonts w:hint="eastAsia" w:eastAsia="宋体"/>
                      <w:color w:val="auto"/>
                      <w:kern w:val="21"/>
                      <w:sz w:val="21"/>
                      <w:szCs w:val="21"/>
                      <w:highlight w:val="none"/>
                      <w:lang w:eastAsia="zh-CN"/>
                    </w:rPr>
                  </w:pPr>
                  <w:r>
                    <w:rPr>
                      <w:rFonts w:hint="eastAsia"/>
                      <w:color w:val="auto"/>
                      <w:kern w:val="21"/>
                      <w:sz w:val="21"/>
                      <w:szCs w:val="21"/>
                      <w:highlight w:val="none"/>
                    </w:rPr>
                    <w:t>10.</w:t>
                  </w:r>
                  <w:r>
                    <w:rPr>
                      <w:rFonts w:hint="eastAsia"/>
                      <w:color w:val="auto"/>
                      <w:kern w:val="21"/>
                      <w:sz w:val="21"/>
                      <w:szCs w:val="21"/>
                      <w:highlight w:val="none"/>
                      <w:lang w:val="en-US" w:eastAsia="zh-CN"/>
                    </w:rPr>
                    <w:t>做好</w:t>
                  </w:r>
                  <w:r>
                    <w:rPr>
                      <w:rFonts w:hint="eastAsia"/>
                      <w:color w:val="auto"/>
                      <w:kern w:val="21"/>
                      <w:sz w:val="21"/>
                      <w:szCs w:val="21"/>
                      <w:highlight w:val="none"/>
                    </w:rPr>
                    <w:t>土壤污染重点监管单位拆除设施、设备或者建筑物、构筑物的土壤污染防治工作方案备案</w:t>
                  </w:r>
                  <w:r>
                    <w:rPr>
                      <w:rFonts w:hint="eastAsia"/>
                      <w:color w:val="auto"/>
                      <w:kern w:val="21"/>
                      <w:sz w:val="21"/>
                      <w:szCs w:val="21"/>
                      <w:highlight w:val="none"/>
                      <w:lang w:eastAsia="zh-CN"/>
                    </w:rPr>
                    <w:t>。</w:t>
                  </w:r>
                </w:p>
              </w:tc>
              <w:tc>
                <w:tcPr>
                  <w:tcW w:w="1025" w:type="pct"/>
                  <w:noWrap w:val="0"/>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firstLine="0" w:firstLineChars="0"/>
                    <w:jc w:val="both"/>
                    <w:textAlignment w:val="auto"/>
                    <w:rPr>
                      <w:rFonts w:hint="eastAsia" w:eastAsia="宋体"/>
                      <w:color w:val="auto"/>
                      <w:kern w:val="0"/>
                      <w:sz w:val="21"/>
                      <w:szCs w:val="21"/>
                      <w:lang w:val="en-US" w:eastAsia="zh-CN"/>
                    </w:rPr>
                  </w:pPr>
                  <w:r>
                    <w:rPr>
                      <w:rFonts w:hint="eastAsia"/>
                      <w:color w:val="auto"/>
                      <w:sz w:val="21"/>
                      <w:szCs w:val="21"/>
                    </w:rPr>
                    <w:t>项目建成后依法向生态环境主管部门</w:t>
                  </w:r>
                  <w:r>
                    <w:rPr>
                      <w:rFonts w:hint="eastAsia"/>
                      <w:color w:val="auto"/>
                      <w:sz w:val="21"/>
                      <w:szCs w:val="21"/>
                      <w:lang w:val="en-US" w:eastAsia="zh-CN"/>
                    </w:rPr>
                    <w:t>申请变更</w:t>
                  </w:r>
                  <w:r>
                    <w:rPr>
                      <w:rFonts w:hint="eastAsia"/>
                      <w:color w:val="auto"/>
                      <w:sz w:val="21"/>
                      <w:szCs w:val="21"/>
                    </w:rPr>
                    <w:t>排污</w:t>
                  </w:r>
                  <w:r>
                    <w:rPr>
                      <w:rFonts w:hint="eastAsia"/>
                      <w:color w:val="auto"/>
                      <w:sz w:val="21"/>
                      <w:szCs w:val="21"/>
                      <w:lang w:val="en-US" w:eastAsia="zh-CN"/>
                    </w:rPr>
                    <w:t>许可登记</w:t>
                  </w:r>
                  <w:r>
                    <w:rPr>
                      <w:rFonts w:hint="eastAsia"/>
                      <w:color w:val="auto"/>
                      <w:sz w:val="21"/>
                      <w:szCs w:val="21"/>
                    </w:rPr>
                    <w:t>，并按申请许可的污染物排放类别进行排放</w:t>
                  </w:r>
                  <w:r>
                    <w:rPr>
                      <w:rFonts w:hint="eastAsia"/>
                      <w:color w:val="auto"/>
                      <w:kern w:val="0"/>
                      <w:sz w:val="21"/>
                      <w:szCs w:val="21"/>
                      <w:lang w:val="en-US" w:eastAsia="zh-CN"/>
                    </w:rPr>
                    <w:t>；</w:t>
                  </w:r>
                  <w:r>
                    <w:rPr>
                      <w:rFonts w:hint="eastAsia"/>
                      <w:color w:val="auto"/>
                      <w:kern w:val="21"/>
                      <w:sz w:val="21"/>
                      <w:szCs w:val="21"/>
                      <w:lang w:val="en-US" w:eastAsia="zh-CN"/>
                    </w:rPr>
                    <w:t>鼓励企业运营期</w:t>
                  </w:r>
                  <w:r>
                    <w:rPr>
                      <w:rFonts w:hint="default"/>
                      <w:color w:val="auto"/>
                      <w:kern w:val="21"/>
                      <w:sz w:val="21"/>
                      <w:szCs w:val="21"/>
                    </w:rPr>
                    <w:t>运输</w:t>
                  </w:r>
                  <w:r>
                    <w:rPr>
                      <w:rFonts w:hint="eastAsia"/>
                      <w:color w:val="auto"/>
                      <w:kern w:val="21"/>
                      <w:sz w:val="21"/>
                      <w:szCs w:val="21"/>
                    </w:rPr>
                    <w:t>的</w:t>
                  </w:r>
                  <w:r>
                    <w:rPr>
                      <w:rFonts w:hint="default"/>
                      <w:color w:val="auto"/>
                      <w:kern w:val="21"/>
                      <w:sz w:val="21"/>
                      <w:szCs w:val="21"/>
                    </w:rPr>
                    <w:t>车辆使用国</w:t>
                  </w:r>
                  <w:r>
                    <w:rPr>
                      <w:rFonts w:hint="eastAsia"/>
                      <w:color w:val="auto"/>
                      <w:kern w:val="21"/>
                      <w:sz w:val="21"/>
                      <w:szCs w:val="21"/>
                      <w:lang w:val="en-US" w:eastAsia="zh-CN"/>
                    </w:rPr>
                    <w:t>六</w:t>
                  </w:r>
                  <w:r>
                    <w:rPr>
                      <w:rFonts w:hint="default"/>
                      <w:color w:val="auto"/>
                      <w:kern w:val="21"/>
                      <w:sz w:val="21"/>
                      <w:szCs w:val="21"/>
                    </w:rPr>
                    <w:t>排放标准车辆</w:t>
                  </w:r>
                  <w:r>
                    <w:rPr>
                      <w:rFonts w:hint="eastAsia"/>
                      <w:color w:val="auto"/>
                      <w:kern w:val="21"/>
                      <w:sz w:val="21"/>
                      <w:szCs w:val="21"/>
                      <w:lang w:eastAsia="zh-CN"/>
                    </w:rPr>
                    <w:t>（</w:t>
                  </w:r>
                  <w:r>
                    <w:rPr>
                      <w:rFonts w:hint="default"/>
                      <w:color w:val="auto"/>
                      <w:kern w:val="21"/>
                      <w:sz w:val="21"/>
                      <w:szCs w:val="21"/>
                    </w:rPr>
                    <w:t>含燃气</w:t>
                  </w:r>
                  <w:r>
                    <w:rPr>
                      <w:rFonts w:hint="eastAsia"/>
                      <w:color w:val="auto"/>
                      <w:kern w:val="21"/>
                      <w:sz w:val="21"/>
                      <w:szCs w:val="21"/>
                      <w:lang w:eastAsia="zh-CN"/>
                    </w:rPr>
                    <w:t>）</w:t>
                  </w:r>
                  <w:r>
                    <w:rPr>
                      <w:rFonts w:hint="eastAsia"/>
                      <w:color w:val="auto"/>
                      <w:sz w:val="21"/>
                      <w:szCs w:val="21"/>
                      <w:lang w:eastAsia="zh-CN"/>
                    </w:rPr>
                    <w:t>；</w:t>
                  </w:r>
                  <w:r>
                    <w:rPr>
                      <w:rFonts w:hint="eastAsia"/>
                      <w:color w:val="auto"/>
                      <w:kern w:val="0"/>
                      <w:sz w:val="21"/>
                      <w:szCs w:val="21"/>
                    </w:rPr>
                    <w:t>本项目运营期固体废物</w:t>
                  </w:r>
                  <w:r>
                    <w:rPr>
                      <w:rFonts w:hint="eastAsia"/>
                      <w:color w:val="auto"/>
                      <w:kern w:val="0"/>
                      <w:sz w:val="21"/>
                      <w:szCs w:val="21"/>
                      <w:lang w:val="en-US" w:eastAsia="zh-CN"/>
                    </w:rPr>
                    <w:t>包括</w:t>
                  </w:r>
                  <w:r>
                    <w:rPr>
                      <w:rFonts w:hint="eastAsia"/>
                      <w:color w:val="auto"/>
                      <w:kern w:val="0"/>
                      <w:sz w:val="21"/>
                      <w:szCs w:val="21"/>
                    </w:rPr>
                    <w:t>不合格产品、</w:t>
                  </w:r>
                  <w:r>
                    <w:rPr>
                      <w:rFonts w:hint="eastAsia"/>
                      <w:color w:val="auto"/>
                      <w:kern w:val="0"/>
                      <w:sz w:val="21"/>
                      <w:szCs w:val="21"/>
                      <w:lang w:val="en-US" w:eastAsia="zh-CN"/>
                    </w:rPr>
                    <w:t>废边料、</w:t>
                  </w:r>
                  <w:r>
                    <w:rPr>
                      <w:rFonts w:hint="eastAsia"/>
                      <w:color w:val="auto"/>
                      <w:kern w:val="0"/>
                      <w:sz w:val="21"/>
                      <w:szCs w:val="21"/>
                    </w:rPr>
                    <w:t>废包装、废活性炭、废机油、废油桶、含油</w:t>
                  </w:r>
                  <w:r>
                    <w:rPr>
                      <w:rFonts w:hint="eastAsia"/>
                      <w:color w:val="auto"/>
                      <w:kern w:val="0"/>
                      <w:sz w:val="21"/>
                      <w:szCs w:val="21"/>
                      <w:lang w:val="en-US" w:eastAsia="zh-CN"/>
                    </w:rPr>
                    <w:t>抹布</w:t>
                  </w:r>
                  <w:r>
                    <w:rPr>
                      <w:rFonts w:hint="eastAsia"/>
                      <w:color w:val="auto"/>
                      <w:kern w:val="0"/>
                      <w:sz w:val="21"/>
                      <w:szCs w:val="21"/>
                    </w:rPr>
                    <w:t>手套，其中不合格品</w:t>
                  </w:r>
                  <w:r>
                    <w:rPr>
                      <w:rFonts w:hint="eastAsia"/>
                      <w:color w:val="auto"/>
                      <w:kern w:val="0"/>
                      <w:sz w:val="21"/>
                      <w:szCs w:val="21"/>
                      <w:lang w:eastAsia="zh-CN"/>
                    </w:rPr>
                    <w:t>、</w:t>
                  </w:r>
                  <w:r>
                    <w:rPr>
                      <w:rFonts w:hint="eastAsia"/>
                      <w:color w:val="auto"/>
                      <w:kern w:val="0"/>
                      <w:sz w:val="21"/>
                      <w:szCs w:val="21"/>
                      <w:lang w:val="en-US" w:eastAsia="zh-CN"/>
                    </w:rPr>
                    <w:t>废边料</w:t>
                  </w:r>
                  <w:r>
                    <w:rPr>
                      <w:rFonts w:hint="eastAsia"/>
                      <w:color w:val="auto"/>
                      <w:kern w:val="0"/>
                      <w:sz w:val="21"/>
                      <w:szCs w:val="21"/>
                      <w:lang w:eastAsia="zh-CN"/>
                    </w:rPr>
                    <w:t>、</w:t>
                  </w:r>
                  <w:r>
                    <w:rPr>
                      <w:rFonts w:hint="eastAsia"/>
                      <w:color w:val="auto"/>
                      <w:kern w:val="0"/>
                      <w:sz w:val="21"/>
                      <w:szCs w:val="21"/>
                    </w:rPr>
                    <w:t>废包装统一收集，定期由环卫部门进行清运；废活性炭、废机油、废油桶、含油</w:t>
                  </w:r>
                  <w:r>
                    <w:rPr>
                      <w:rFonts w:hint="eastAsia"/>
                      <w:color w:val="auto"/>
                      <w:kern w:val="0"/>
                      <w:sz w:val="21"/>
                      <w:szCs w:val="21"/>
                      <w:lang w:val="en-US" w:eastAsia="zh-CN"/>
                    </w:rPr>
                    <w:t>抹布</w:t>
                  </w:r>
                  <w:r>
                    <w:rPr>
                      <w:rFonts w:hint="eastAsia"/>
                      <w:color w:val="auto"/>
                      <w:kern w:val="0"/>
                      <w:sz w:val="21"/>
                      <w:szCs w:val="21"/>
                    </w:rPr>
                    <w:t>手套暂存危废贮存库，定期交由资质单位处置。</w:t>
                  </w:r>
                </w:p>
              </w:tc>
              <w:tc>
                <w:tcPr>
                  <w:tcW w:w="177" w:type="pct"/>
                  <w:noWrap w:val="0"/>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eastAsia" w:eastAsia="宋体"/>
                      <w:color w:val="auto"/>
                      <w:kern w:val="0"/>
                      <w:sz w:val="21"/>
                      <w:szCs w:val="21"/>
                      <w:lang w:val="en-US" w:eastAsia="zh-CN"/>
                    </w:rPr>
                  </w:pPr>
                  <w:r>
                    <w:rPr>
                      <w:rFonts w:hint="eastAsia"/>
                      <w:color w:val="auto"/>
                      <w:kern w:val="0"/>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67" w:type="pct"/>
                  <w:vMerge w:val="continue"/>
                  <w:noWrap w:val="0"/>
                  <w:vAlign w:val="center"/>
                </w:tcPr>
                <w:p>
                  <w:pPr>
                    <w:keepNext w:val="0"/>
                    <w:keepLines w:val="0"/>
                    <w:pageBreakBefore w:val="0"/>
                    <w:widowControl w:val="0"/>
                    <w:suppressLineNumbers w:val="0"/>
                    <w:kinsoku/>
                    <w:wordWrap w:val="0"/>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eastAsia"/>
                      <w:color w:val="auto"/>
                      <w:sz w:val="21"/>
                      <w:szCs w:val="21"/>
                      <w:lang w:val="en-US" w:eastAsia="zh-CN"/>
                    </w:rPr>
                  </w:pPr>
                </w:p>
              </w:tc>
              <w:tc>
                <w:tcPr>
                  <w:tcW w:w="401" w:type="pct"/>
                  <w:noWrap w:val="0"/>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eastAsia" w:eastAsia="宋体"/>
                      <w:color w:val="auto"/>
                      <w:sz w:val="21"/>
                      <w:szCs w:val="21"/>
                      <w:lang w:eastAsia="zh-CN"/>
                    </w:rPr>
                  </w:pPr>
                  <w:r>
                    <w:rPr>
                      <w:rFonts w:hint="eastAsia"/>
                      <w:color w:val="auto"/>
                      <w:sz w:val="21"/>
                      <w:szCs w:val="21"/>
                    </w:rPr>
                    <w:t>环境风险</w:t>
                  </w:r>
                  <w:r>
                    <w:rPr>
                      <w:rFonts w:hint="eastAsia"/>
                      <w:color w:val="auto"/>
                      <w:sz w:val="21"/>
                      <w:szCs w:val="21"/>
                      <w:lang w:val="en-US" w:eastAsia="zh-CN"/>
                    </w:rPr>
                    <w:t>防控</w:t>
                  </w:r>
                </w:p>
              </w:tc>
              <w:tc>
                <w:tcPr>
                  <w:tcW w:w="3028" w:type="pct"/>
                  <w:noWrap w:val="0"/>
                  <w:vAlign w:val="center"/>
                </w:tcPr>
                <w:p>
                  <w:pPr>
                    <w:keepNext w:val="0"/>
                    <w:keepLines w:val="0"/>
                    <w:pageBreakBefore w:val="0"/>
                    <w:widowControl w:val="0"/>
                    <w:numPr>
                      <w:ilvl w:val="0"/>
                      <w:numId w:val="0"/>
                    </w:numPr>
                    <w:suppressLineNumbers w:val="0"/>
                    <w:kinsoku/>
                    <w:overflowPunct/>
                    <w:topLinePunct w:val="0"/>
                    <w:bidi w:val="0"/>
                    <w:adjustRightInd w:val="0"/>
                    <w:snapToGrid w:val="0"/>
                    <w:spacing w:before="0" w:beforeAutospacing="0" w:after="0" w:afterAutospacing="0" w:line="240" w:lineRule="auto"/>
                    <w:ind w:left="0" w:right="0" w:firstLine="0" w:firstLineChars="0"/>
                    <w:textAlignment w:val="auto"/>
                    <w:rPr>
                      <w:rFonts w:hint="eastAsia"/>
                      <w:color w:val="auto"/>
                      <w:kern w:val="21"/>
                      <w:sz w:val="21"/>
                      <w:szCs w:val="21"/>
                    </w:rPr>
                  </w:pPr>
                  <w:r>
                    <w:rPr>
                      <w:rFonts w:hint="eastAsia"/>
                      <w:color w:val="auto"/>
                      <w:kern w:val="21"/>
                      <w:sz w:val="21"/>
                      <w:szCs w:val="21"/>
                      <w:lang w:val="en-US" w:eastAsia="zh-CN"/>
                    </w:rPr>
                    <w:t>1.</w:t>
                  </w:r>
                  <w:r>
                    <w:rPr>
                      <w:rFonts w:hint="eastAsia"/>
                      <w:color w:val="auto"/>
                      <w:kern w:val="21"/>
                      <w:sz w:val="21"/>
                      <w:szCs w:val="21"/>
                    </w:rPr>
                    <w:t>渭河干流沿岸要严格控制石油加工、化学原料和化学制品制造、医药制造、化学纤维制造、有色金属冶炼、纺织印染等项目，合理布局生产装置及危险化学品仓储等设施。</w:t>
                  </w:r>
                </w:p>
                <w:p>
                  <w:pPr>
                    <w:keepNext w:val="0"/>
                    <w:keepLines w:val="0"/>
                    <w:pageBreakBefore w:val="0"/>
                    <w:widowControl w:val="0"/>
                    <w:numPr>
                      <w:ilvl w:val="0"/>
                      <w:numId w:val="0"/>
                    </w:numPr>
                    <w:suppressLineNumbers w:val="0"/>
                    <w:kinsoku/>
                    <w:overflowPunct/>
                    <w:topLinePunct w:val="0"/>
                    <w:bidi w:val="0"/>
                    <w:adjustRightInd w:val="0"/>
                    <w:snapToGrid w:val="0"/>
                    <w:spacing w:before="0" w:beforeAutospacing="0" w:after="0" w:afterAutospacing="0" w:line="240" w:lineRule="auto"/>
                    <w:ind w:left="0" w:right="0" w:firstLine="0" w:firstLineChars="0"/>
                    <w:textAlignment w:val="auto"/>
                    <w:rPr>
                      <w:rFonts w:hint="eastAsia"/>
                      <w:color w:val="auto"/>
                      <w:kern w:val="21"/>
                      <w:sz w:val="21"/>
                      <w:szCs w:val="21"/>
                    </w:rPr>
                  </w:pPr>
                  <w:r>
                    <w:rPr>
                      <w:rFonts w:hint="eastAsia"/>
                      <w:color w:val="auto"/>
                      <w:kern w:val="21"/>
                      <w:sz w:val="21"/>
                      <w:szCs w:val="21"/>
                    </w:rPr>
                    <w:t>2.定期评估辖区内渭河干流、沣河和新河流域工业企业、工业集聚区环境和健康风险，落实防控措施。</w:t>
                  </w:r>
                </w:p>
                <w:p>
                  <w:pPr>
                    <w:keepNext w:val="0"/>
                    <w:keepLines w:val="0"/>
                    <w:pageBreakBefore w:val="0"/>
                    <w:widowControl w:val="0"/>
                    <w:numPr>
                      <w:ilvl w:val="0"/>
                      <w:numId w:val="0"/>
                    </w:numPr>
                    <w:suppressLineNumbers w:val="0"/>
                    <w:kinsoku/>
                    <w:overflowPunct/>
                    <w:topLinePunct w:val="0"/>
                    <w:bidi w:val="0"/>
                    <w:adjustRightInd w:val="0"/>
                    <w:snapToGrid w:val="0"/>
                    <w:spacing w:before="0" w:beforeAutospacing="0" w:after="0" w:afterAutospacing="0" w:line="240" w:lineRule="auto"/>
                    <w:ind w:left="0" w:right="0" w:firstLine="0" w:firstLineChars="0"/>
                    <w:textAlignment w:val="auto"/>
                    <w:rPr>
                      <w:rFonts w:hint="eastAsia"/>
                      <w:color w:val="auto"/>
                      <w:kern w:val="21"/>
                      <w:sz w:val="21"/>
                      <w:szCs w:val="21"/>
                    </w:rPr>
                  </w:pPr>
                  <w:r>
                    <w:rPr>
                      <w:rFonts w:hint="eastAsia"/>
                      <w:color w:val="auto"/>
                      <w:kern w:val="21"/>
                      <w:sz w:val="21"/>
                      <w:szCs w:val="21"/>
                    </w:rPr>
                    <w:t>3.各类环境风险企业必须建立突发环境应急预案，强化内部管理和风险意识，落实事故污染的治理和</w:t>
                  </w:r>
                  <w:r>
                    <w:rPr>
                      <w:rFonts w:hint="eastAsia"/>
                      <w:color w:val="auto"/>
                      <w:kern w:val="21"/>
                      <w:sz w:val="21"/>
                      <w:szCs w:val="21"/>
                      <w:lang w:val="en-US" w:eastAsia="zh-CN"/>
                    </w:rPr>
                    <w:t>修复</w:t>
                  </w:r>
                  <w:r>
                    <w:rPr>
                      <w:rFonts w:hint="eastAsia"/>
                      <w:color w:val="auto"/>
                      <w:kern w:val="21"/>
                      <w:sz w:val="21"/>
                      <w:szCs w:val="21"/>
                    </w:rPr>
                    <w:t>责任。</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firstLine="0" w:firstLineChars="0"/>
                    <w:textAlignment w:val="auto"/>
                    <w:rPr>
                      <w:rFonts w:hint="eastAsia"/>
                      <w:color w:val="auto"/>
                      <w:kern w:val="21"/>
                      <w:sz w:val="21"/>
                      <w:szCs w:val="21"/>
                    </w:rPr>
                  </w:pPr>
                  <w:r>
                    <w:rPr>
                      <w:rFonts w:hint="eastAsia"/>
                      <w:color w:val="auto"/>
                      <w:kern w:val="21"/>
                      <w:sz w:val="21"/>
                      <w:szCs w:val="21"/>
                    </w:rPr>
                    <w:t>4.加强涉水涉重企业和危化品运输等环节风险源的管控治理，降低次生水污染突发事故发生风险</w:t>
                  </w:r>
                  <w:r>
                    <w:rPr>
                      <w:rFonts w:hint="eastAsia"/>
                      <w:color w:val="auto"/>
                      <w:kern w:val="21"/>
                      <w:sz w:val="21"/>
                      <w:szCs w:val="21"/>
                      <w:lang w:eastAsia="zh-CN"/>
                    </w:rPr>
                    <w:t>，</w:t>
                  </w:r>
                  <w:r>
                    <w:rPr>
                      <w:rFonts w:hint="eastAsia"/>
                      <w:color w:val="auto"/>
                      <w:kern w:val="21"/>
                      <w:sz w:val="21"/>
                      <w:szCs w:val="21"/>
                    </w:rPr>
                    <w:t>提高突发事故应急能力。各类环境风险企业必须建立突发环境应急预案，强化内部管理和风险意识，落实事故污染的治理和修复责任。</w:t>
                  </w:r>
                </w:p>
              </w:tc>
              <w:tc>
                <w:tcPr>
                  <w:tcW w:w="1025" w:type="pct"/>
                  <w:noWrap w:val="0"/>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firstLine="0" w:firstLineChars="0"/>
                    <w:jc w:val="both"/>
                    <w:textAlignment w:val="auto"/>
                    <w:rPr>
                      <w:rFonts w:hint="default" w:eastAsia="宋体"/>
                      <w:color w:val="auto"/>
                      <w:kern w:val="0"/>
                      <w:sz w:val="21"/>
                      <w:szCs w:val="21"/>
                      <w:lang w:val="en-US" w:eastAsia="zh-CN"/>
                    </w:rPr>
                  </w:pPr>
                  <w:r>
                    <w:rPr>
                      <w:rFonts w:hint="eastAsia"/>
                      <w:color w:val="auto"/>
                      <w:kern w:val="0"/>
                      <w:sz w:val="21"/>
                      <w:szCs w:val="21"/>
                    </w:rPr>
                    <w:t>本项目</w:t>
                  </w:r>
                  <w:r>
                    <w:rPr>
                      <w:rFonts w:hint="eastAsia"/>
                      <w:color w:val="auto"/>
                      <w:kern w:val="0"/>
                      <w:sz w:val="21"/>
                      <w:szCs w:val="21"/>
                      <w:lang w:val="en-US" w:eastAsia="zh-CN"/>
                    </w:rPr>
                    <w:t>属于</w:t>
                  </w:r>
                  <w:r>
                    <w:rPr>
                      <w:rFonts w:hint="eastAsia"/>
                      <w:color w:val="auto"/>
                      <w:sz w:val="21"/>
                      <w:szCs w:val="21"/>
                      <w:lang w:val="en-US" w:eastAsia="zh-CN"/>
                    </w:rPr>
                    <w:t>塑料制品</w:t>
                  </w:r>
                  <w:r>
                    <w:rPr>
                      <w:rFonts w:hint="default"/>
                      <w:color w:val="auto"/>
                      <w:sz w:val="21"/>
                      <w:szCs w:val="21"/>
                    </w:rPr>
                    <w:t>行业</w:t>
                  </w:r>
                  <w:r>
                    <w:rPr>
                      <w:rFonts w:hint="eastAsia"/>
                      <w:color w:val="auto"/>
                      <w:sz w:val="21"/>
                      <w:szCs w:val="21"/>
                      <w:lang w:eastAsia="zh-CN"/>
                    </w:rPr>
                    <w:t>，</w:t>
                  </w:r>
                  <w:r>
                    <w:rPr>
                      <w:rFonts w:hint="eastAsia"/>
                      <w:color w:val="auto"/>
                      <w:sz w:val="21"/>
                      <w:szCs w:val="21"/>
                      <w:lang w:val="en-US" w:eastAsia="zh-CN"/>
                    </w:rPr>
                    <w:t>主要进行HDPE给水管生产</w:t>
                  </w:r>
                  <w:r>
                    <w:rPr>
                      <w:rFonts w:hint="eastAsia"/>
                      <w:color w:val="auto"/>
                      <w:kern w:val="0"/>
                      <w:sz w:val="21"/>
                      <w:szCs w:val="21"/>
                    </w:rPr>
                    <w:t>，</w:t>
                  </w:r>
                  <w:r>
                    <w:rPr>
                      <w:rFonts w:hint="eastAsia"/>
                      <w:color w:val="auto"/>
                      <w:kern w:val="0"/>
                      <w:sz w:val="21"/>
                      <w:szCs w:val="21"/>
                      <w:lang w:val="en-US" w:eastAsia="zh-CN"/>
                    </w:rPr>
                    <w:t>不属于石化、医药制造等高污染项目；项目建成后根据厂区实际情况编制突发环境事件应急预案并进行备案，加强内部管理和风险意识，配备必要的危险品事故防范和应急技术装备。</w:t>
                  </w:r>
                </w:p>
              </w:tc>
              <w:tc>
                <w:tcPr>
                  <w:tcW w:w="177" w:type="pct"/>
                  <w:noWrap w:val="0"/>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eastAsia="宋体"/>
                      <w:color w:val="auto"/>
                      <w:kern w:val="0"/>
                      <w:sz w:val="21"/>
                      <w:szCs w:val="21"/>
                      <w:lang w:val="en-US" w:eastAsia="zh-CN"/>
                    </w:rPr>
                  </w:pPr>
                  <w:r>
                    <w:rPr>
                      <w:rFonts w:hint="eastAsia"/>
                      <w:color w:val="auto"/>
                      <w:kern w:val="0"/>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67" w:type="pct"/>
                  <w:vMerge w:val="continue"/>
                  <w:noWrap w:val="0"/>
                  <w:vAlign w:val="center"/>
                </w:tcPr>
                <w:p>
                  <w:pPr>
                    <w:keepNext w:val="0"/>
                    <w:keepLines w:val="0"/>
                    <w:pageBreakBefore w:val="0"/>
                    <w:widowControl w:val="0"/>
                    <w:suppressLineNumbers w:val="0"/>
                    <w:kinsoku/>
                    <w:wordWrap w:val="0"/>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eastAsia"/>
                      <w:color w:val="auto"/>
                      <w:sz w:val="21"/>
                      <w:szCs w:val="21"/>
                      <w:lang w:val="en-US" w:eastAsia="zh-CN"/>
                    </w:rPr>
                  </w:pPr>
                </w:p>
              </w:tc>
              <w:tc>
                <w:tcPr>
                  <w:tcW w:w="401" w:type="pct"/>
                  <w:noWrap w:val="0"/>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eastAsia"/>
                      <w:color w:val="auto"/>
                      <w:sz w:val="21"/>
                      <w:szCs w:val="21"/>
                    </w:rPr>
                  </w:pPr>
                  <w:r>
                    <w:rPr>
                      <w:rFonts w:hint="eastAsia"/>
                      <w:color w:val="auto"/>
                      <w:sz w:val="21"/>
                      <w:szCs w:val="21"/>
                    </w:rPr>
                    <w:t>资源开发效率要求</w:t>
                  </w:r>
                </w:p>
              </w:tc>
              <w:tc>
                <w:tcPr>
                  <w:tcW w:w="3028" w:type="pct"/>
                  <w:noWrap w:val="0"/>
                  <w:vAlign w:val="center"/>
                </w:tcPr>
                <w:p>
                  <w:pPr>
                    <w:keepNext w:val="0"/>
                    <w:keepLines w:val="0"/>
                    <w:pageBreakBefore w:val="0"/>
                    <w:widowControl w:val="0"/>
                    <w:numPr>
                      <w:ilvl w:val="0"/>
                      <w:numId w:val="0"/>
                    </w:numPr>
                    <w:suppressLineNumbers w:val="0"/>
                    <w:kinsoku/>
                    <w:overflowPunct/>
                    <w:topLinePunct w:val="0"/>
                    <w:bidi w:val="0"/>
                    <w:adjustRightInd w:val="0"/>
                    <w:snapToGrid w:val="0"/>
                    <w:spacing w:before="0" w:beforeAutospacing="0" w:after="0" w:afterAutospacing="0" w:line="240" w:lineRule="auto"/>
                    <w:ind w:left="0" w:right="0" w:firstLine="0" w:firstLineChars="0"/>
                    <w:textAlignment w:val="auto"/>
                    <w:rPr>
                      <w:rFonts w:hint="eastAsia" w:ascii="Times New Roman" w:hAnsi="Times New Roman" w:eastAsia="宋体" w:cs="Times New Roman"/>
                      <w:color w:val="auto"/>
                      <w:kern w:val="21"/>
                      <w:sz w:val="21"/>
                      <w:szCs w:val="21"/>
                      <w:lang w:val="en-US" w:eastAsia="zh-CN"/>
                    </w:rPr>
                  </w:pPr>
                  <w:r>
                    <w:rPr>
                      <w:rFonts w:hint="eastAsia" w:ascii="Times New Roman" w:hAnsi="Times New Roman" w:eastAsia="宋体" w:cs="Times New Roman"/>
                      <w:color w:val="auto"/>
                      <w:kern w:val="21"/>
                      <w:sz w:val="21"/>
                      <w:szCs w:val="21"/>
                      <w:lang w:val="en-US" w:eastAsia="zh-CN"/>
                    </w:rPr>
                    <w:t>1.提高工业废水回用率，火电、煤炭等行业废水全部回用，达到零排放。</w:t>
                  </w:r>
                </w:p>
                <w:p>
                  <w:pPr>
                    <w:keepNext w:val="0"/>
                    <w:keepLines w:val="0"/>
                    <w:pageBreakBefore w:val="0"/>
                    <w:widowControl w:val="0"/>
                    <w:numPr>
                      <w:ilvl w:val="0"/>
                      <w:numId w:val="0"/>
                    </w:numPr>
                    <w:suppressLineNumbers w:val="0"/>
                    <w:kinsoku/>
                    <w:overflowPunct/>
                    <w:topLinePunct w:val="0"/>
                    <w:bidi w:val="0"/>
                    <w:adjustRightInd w:val="0"/>
                    <w:snapToGrid w:val="0"/>
                    <w:spacing w:before="0" w:beforeAutospacing="0" w:after="0" w:afterAutospacing="0" w:line="240" w:lineRule="auto"/>
                    <w:ind w:left="0" w:right="0" w:firstLine="0" w:firstLineChars="0"/>
                    <w:textAlignment w:val="auto"/>
                    <w:rPr>
                      <w:rFonts w:hint="eastAsia" w:ascii="Times New Roman" w:hAnsi="Times New Roman" w:eastAsia="宋体" w:cs="Times New Roman"/>
                      <w:color w:val="auto"/>
                      <w:kern w:val="21"/>
                      <w:sz w:val="21"/>
                      <w:szCs w:val="21"/>
                      <w:lang w:val="en-US" w:eastAsia="zh-CN"/>
                    </w:rPr>
                  </w:pPr>
                  <w:r>
                    <w:rPr>
                      <w:rFonts w:hint="eastAsia" w:ascii="Times New Roman" w:hAnsi="Times New Roman" w:eastAsia="宋体" w:cs="Times New Roman"/>
                      <w:color w:val="auto"/>
                      <w:kern w:val="21"/>
                      <w:sz w:val="21"/>
                      <w:szCs w:val="21"/>
                      <w:lang w:val="en-US" w:eastAsia="zh-CN"/>
                    </w:rPr>
                    <w:t>2.大力推广应用中深层无干扰地热供热技术，具备条件的新建建筑全部优先采用无干扰地热供热。</w:t>
                  </w:r>
                </w:p>
                <w:p>
                  <w:pPr>
                    <w:keepNext w:val="0"/>
                    <w:keepLines w:val="0"/>
                    <w:pageBreakBefore w:val="0"/>
                    <w:widowControl w:val="0"/>
                    <w:numPr>
                      <w:ilvl w:val="0"/>
                      <w:numId w:val="0"/>
                    </w:numPr>
                    <w:suppressLineNumbers w:val="0"/>
                    <w:kinsoku/>
                    <w:overflowPunct/>
                    <w:topLinePunct w:val="0"/>
                    <w:bidi w:val="0"/>
                    <w:adjustRightInd w:val="0"/>
                    <w:snapToGrid w:val="0"/>
                    <w:spacing w:before="0" w:beforeAutospacing="0" w:after="0" w:afterAutospacing="0" w:line="240" w:lineRule="auto"/>
                    <w:ind w:left="0" w:right="0" w:firstLine="0" w:firstLineChars="0"/>
                    <w:textAlignment w:val="auto"/>
                    <w:rPr>
                      <w:rFonts w:hint="eastAsia" w:ascii="Times New Roman" w:hAnsi="Times New Roman" w:eastAsia="宋体" w:cs="Times New Roman"/>
                      <w:color w:val="auto"/>
                      <w:kern w:val="21"/>
                      <w:sz w:val="21"/>
                      <w:szCs w:val="21"/>
                      <w:lang w:val="en-US" w:eastAsia="zh-CN"/>
                    </w:rPr>
                  </w:pPr>
                  <w:r>
                    <w:rPr>
                      <w:rFonts w:hint="eastAsia" w:ascii="Times New Roman" w:hAnsi="Times New Roman" w:eastAsia="宋体" w:cs="Times New Roman"/>
                      <w:color w:val="auto"/>
                      <w:kern w:val="21"/>
                      <w:sz w:val="21"/>
                      <w:szCs w:val="21"/>
                      <w:lang w:val="en-US" w:eastAsia="zh-CN"/>
                    </w:rPr>
                    <w:t>3.推进电力、纺织、石油石化、化工、食品发酵等高耗水行业20%的企业达到先进定额标准。提高水资源利用水平，再生水利用率达到20%以上。</w:t>
                  </w:r>
                </w:p>
              </w:tc>
              <w:tc>
                <w:tcPr>
                  <w:tcW w:w="1025" w:type="pct"/>
                  <w:noWrap w:val="0"/>
                  <w:vAlign w:val="center"/>
                </w:tcPr>
                <w:p>
                  <w:pPr>
                    <w:keepNext w:val="0"/>
                    <w:keepLines w:val="0"/>
                    <w:pageBreakBefore w:val="0"/>
                    <w:widowControl w:val="0"/>
                    <w:numPr>
                      <w:ilvl w:val="0"/>
                      <w:numId w:val="0"/>
                    </w:numPr>
                    <w:suppressLineNumbers w:val="0"/>
                    <w:kinsoku/>
                    <w:overflowPunct/>
                    <w:topLinePunct w:val="0"/>
                    <w:bidi w:val="0"/>
                    <w:adjustRightInd w:val="0"/>
                    <w:snapToGrid w:val="0"/>
                    <w:spacing w:before="0" w:beforeAutospacing="0" w:after="0" w:afterAutospacing="0" w:line="240" w:lineRule="auto"/>
                    <w:ind w:left="0" w:right="0" w:firstLine="0" w:firstLineChars="0"/>
                    <w:textAlignment w:val="auto"/>
                    <w:rPr>
                      <w:rFonts w:hint="eastAsia" w:ascii="Times New Roman" w:hAnsi="Times New Roman" w:eastAsia="宋体" w:cs="Times New Roman"/>
                      <w:color w:val="auto"/>
                      <w:kern w:val="21"/>
                      <w:sz w:val="21"/>
                      <w:szCs w:val="21"/>
                      <w:lang w:val="en-US" w:eastAsia="zh-CN"/>
                    </w:rPr>
                  </w:pPr>
                  <w:r>
                    <w:rPr>
                      <w:rFonts w:hint="eastAsia" w:ascii="Times New Roman" w:hAnsi="Times New Roman" w:eastAsia="宋体" w:cs="Times New Roman"/>
                      <w:color w:val="auto"/>
                      <w:kern w:val="21"/>
                      <w:sz w:val="21"/>
                      <w:szCs w:val="21"/>
                      <w:lang w:val="en-US" w:eastAsia="zh-CN"/>
                    </w:rPr>
                    <w:t>本项目生活污水经已建成化粪池处理后经市政管网排入泾河新城第二污水处理厂；冷却水循环使用，不外排。</w:t>
                  </w:r>
                </w:p>
              </w:tc>
              <w:tc>
                <w:tcPr>
                  <w:tcW w:w="177" w:type="pct"/>
                  <w:noWrap w:val="0"/>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eastAsia" w:eastAsia="宋体"/>
                      <w:color w:val="auto"/>
                      <w:kern w:val="0"/>
                      <w:sz w:val="21"/>
                      <w:szCs w:val="21"/>
                      <w:lang w:val="en-US" w:eastAsia="zh-CN"/>
                    </w:rPr>
                  </w:pPr>
                  <w:r>
                    <w:rPr>
                      <w:rFonts w:hint="eastAsia"/>
                      <w:color w:val="auto"/>
                      <w:kern w:val="0"/>
                      <w:sz w:val="21"/>
                      <w:szCs w:val="21"/>
                      <w:lang w:val="en-US" w:eastAsia="zh-CN"/>
                    </w:rPr>
                    <w:t>符合</w:t>
                  </w:r>
                </w:p>
              </w:tc>
            </w:tr>
          </w:tbl>
          <w:p>
            <w:pPr>
              <w:pStyle w:val="188"/>
              <w:keepNext w:val="0"/>
              <w:keepLines w:val="0"/>
              <w:suppressLineNumbers w:val="0"/>
              <w:spacing w:before="0" w:beforeAutospacing="0" w:after="0" w:afterAutospacing="0" w:line="360" w:lineRule="auto"/>
              <w:ind w:left="0" w:right="0" w:firstLine="488"/>
              <w:rPr>
                <w:rFonts w:hint="default"/>
                <w:color w:val="auto"/>
                <w:highlight w:val="none"/>
              </w:rPr>
            </w:pPr>
          </w:p>
        </w:tc>
      </w:tr>
    </w:tbl>
    <w:p>
      <w:pPr>
        <w:ind w:firstLine="482"/>
        <w:jc w:val="center"/>
        <w:rPr>
          <w:b/>
          <w:color w:val="auto"/>
          <w:szCs w:val="22"/>
          <w:highlight w:val="none"/>
        </w:rPr>
      </w:pPr>
    </w:p>
    <w:p>
      <w:pPr>
        <w:pStyle w:val="80"/>
        <w:jc w:val="both"/>
        <w:rPr>
          <w:color w:val="auto"/>
          <w:szCs w:val="21"/>
          <w:highlight w:val="none"/>
        </w:rPr>
        <w:sectPr>
          <w:pgSz w:w="16838" w:h="11906" w:orient="landscape"/>
          <w:pgMar w:top="1531" w:right="1701" w:bottom="1531" w:left="1701" w:header="851" w:footer="1077" w:gutter="0"/>
          <w:pgBorders>
            <w:top w:val="none" w:sz="0" w:space="0"/>
            <w:left w:val="none" w:sz="0" w:space="0"/>
            <w:bottom w:val="none" w:sz="0" w:space="0"/>
            <w:right w:val="none" w:sz="0" w:space="0"/>
          </w:pgBorders>
          <w:pgNumType w:fmt="numberInDash"/>
          <w:cols w:space="720" w:num="1"/>
          <w:docGrid w:linePitch="312" w:charSpace="0"/>
        </w:sectPr>
      </w:pPr>
    </w:p>
    <w:p>
      <w:pPr>
        <w:pStyle w:val="80"/>
        <w:jc w:val="both"/>
        <w:rPr>
          <w:color w:val="auto"/>
          <w:szCs w:val="21"/>
          <w:highlight w:val="none"/>
        </w:rPr>
      </w:pPr>
    </w:p>
    <w:tbl>
      <w:tblPr>
        <w:tblStyle w:val="37"/>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0" w:type="dxa"/>
          <w:bottom w:w="0" w:type="dxa"/>
          <w:right w:w="0" w:type="dxa"/>
        </w:tblCellMar>
      </w:tblPr>
      <w:tblGrid>
        <w:gridCol w:w="554"/>
        <w:gridCol w:w="83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PrEx>
        <w:trPr>
          <w:trHeight w:val="1021" w:hRule="atLeast"/>
          <w:jc w:val="center"/>
        </w:trPr>
        <w:tc>
          <w:tcPr>
            <w:tcW w:w="554"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1"/>
                <w:highlight w:val="none"/>
              </w:rPr>
            </w:pPr>
            <w:r>
              <w:rPr>
                <w:rFonts w:hint="default"/>
                <w:color w:val="auto"/>
                <w:szCs w:val="20"/>
                <w:highlight w:val="none"/>
              </w:rPr>
              <w:t>其他符合性分析</w:t>
            </w:r>
          </w:p>
        </w:tc>
        <w:tc>
          <w:tcPr>
            <w:tcW w:w="8316" w:type="dxa"/>
            <w:tcBorders>
              <w:tl2br w:val="nil"/>
              <w:tr2bl w:val="nil"/>
            </w:tcBorders>
            <w:vAlign w:val="center"/>
          </w:tcPr>
          <w:p>
            <w:pPr>
              <w:pStyle w:val="188"/>
              <w:keepNext w:val="0"/>
              <w:keepLines w:val="0"/>
              <w:suppressLineNumbers w:val="0"/>
              <w:spacing w:before="120" w:beforeLines="50" w:beforeAutospacing="0" w:after="0" w:afterAutospacing="0" w:line="360" w:lineRule="auto"/>
              <w:ind w:left="0" w:right="0" w:firstLine="488"/>
              <w:rPr>
                <w:rFonts w:hint="default" w:hAnsi="Times New Roman"/>
                <w:color w:val="auto"/>
                <w:spacing w:val="2"/>
                <w:highlight w:val="none"/>
              </w:rPr>
            </w:pPr>
            <w:r>
              <w:rPr>
                <w:rFonts w:hint="eastAsia" w:hAnsi="Times New Roman"/>
                <w:color w:val="auto"/>
                <w:spacing w:val="2"/>
                <w:highlight w:val="none"/>
              </w:rPr>
              <w:t>（</w:t>
            </w:r>
            <w:r>
              <w:rPr>
                <w:rFonts w:hint="default" w:hAnsi="Times New Roman"/>
                <w:color w:val="auto"/>
                <w:spacing w:val="2"/>
                <w:highlight w:val="none"/>
              </w:rPr>
              <w:t>3</w:t>
            </w:r>
            <w:r>
              <w:rPr>
                <w:rFonts w:hint="eastAsia" w:hAnsi="Times New Roman"/>
                <w:color w:val="auto"/>
                <w:spacing w:val="2"/>
                <w:highlight w:val="none"/>
              </w:rPr>
              <w:t>）“一说明”</w:t>
            </w:r>
          </w:p>
          <w:p>
            <w:pPr>
              <w:pStyle w:val="188"/>
              <w:keepNext w:val="0"/>
              <w:keepLines w:val="0"/>
              <w:suppressLineNumbers w:val="0"/>
              <w:spacing w:before="0" w:beforeAutospacing="0" w:after="0" w:afterAutospacing="0" w:line="360" w:lineRule="auto"/>
              <w:ind w:left="0" w:right="0" w:firstLine="488"/>
              <w:rPr>
                <w:rFonts w:hint="default" w:hAnsi="Times New Roman"/>
                <w:color w:val="auto"/>
                <w:spacing w:val="2"/>
                <w:highlight w:val="none"/>
              </w:rPr>
            </w:pPr>
            <w:r>
              <w:rPr>
                <w:rFonts w:hint="eastAsia" w:hAnsi="Times New Roman"/>
                <w:color w:val="auto"/>
                <w:spacing w:val="2"/>
                <w:highlight w:val="none"/>
              </w:rPr>
              <w:t>本项目位于陕西省西咸新区</w:t>
            </w:r>
            <w:r>
              <w:rPr>
                <w:rFonts w:hint="eastAsia" w:hAnsi="Times New Roman"/>
                <w:color w:val="auto"/>
                <w:spacing w:val="2"/>
                <w:highlight w:val="none"/>
                <w:lang w:eastAsia="zh-CN"/>
              </w:rPr>
              <w:t>泾河新城工业密集区永乐工业园尚家一街北</w:t>
            </w:r>
            <w:r>
              <w:rPr>
                <w:rFonts w:hint="eastAsia" w:hAnsi="Times New Roman"/>
                <w:color w:val="auto"/>
                <w:spacing w:val="2"/>
                <w:highlight w:val="none"/>
              </w:rPr>
              <w:t>，项目用地为工业用地，本项目与泾河新城土地利用规划图位置关系见附图</w:t>
            </w:r>
            <w:r>
              <w:rPr>
                <w:rFonts w:hint="eastAsia" w:hAnsi="Times New Roman"/>
                <w:color w:val="auto"/>
                <w:spacing w:val="2"/>
                <w:highlight w:val="none"/>
                <w:lang w:val="en-US" w:eastAsia="zh-CN"/>
              </w:rPr>
              <w:t>7</w:t>
            </w:r>
            <w:r>
              <w:rPr>
                <w:rFonts w:hint="eastAsia" w:hAnsi="Times New Roman"/>
                <w:color w:val="auto"/>
                <w:spacing w:val="2"/>
                <w:highlight w:val="none"/>
              </w:rPr>
              <w:t>。</w:t>
            </w:r>
          </w:p>
          <w:p>
            <w:pPr>
              <w:pStyle w:val="188"/>
              <w:keepNext w:val="0"/>
              <w:keepLines w:val="0"/>
              <w:suppressLineNumbers w:val="0"/>
              <w:spacing w:before="0" w:beforeAutospacing="0" w:after="0" w:afterAutospacing="0" w:line="360" w:lineRule="auto"/>
              <w:ind w:left="0" w:right="0" w:firstLine="488"/>
              <w:rPr>
                <w:rFonts w:hint="default" w:hAnsi="Times New Roman"/>
                <w:color w:val="auto"/>
                <w:spacing w:val="2"/>
                <w:highlight w:val="none"/>
              </w:rPr>
            </w:pPr>
            <w:r>
              <w:rPr>
                <w:rFonts w:hint="eastAsia" w:hAnsi="Times New Roman"/>
                <w:color w:val="auto"/>
                <w:spacing w:val="2"/>
                <w:highlight w:val="none"/>
              </w:rPr>
              <w:t>本项目主要使用清洁能源电能，不属于“两高”项目；项目生活污水</w:t>
            </w:r>
            <w:r>
              <w:rPr>
                <w:rFonts w:hint="eastAsia" w:hAnsi="Times New Roman"/>
                <w:color w:val="auto"/>
                <w:spacing w:val="2"/>
                <w:highlight w:val="none"/>
                <w:lang w:val="en-US" w:eastAsia="zh-CN"/>
              </w:rPr>
              <w:t>利用已建成</w:t>
            </w:r>
            <w:r>
              <w:rPr>
                <w:rFonts w:hint="eastAsia" w:hAnsi="Times New Roman"/>
                <w:color w:val="auto"/>
                <w:spacing w:val="2"/>
                <w:highlight w:val="none"/>
              </w:rPr>
              <w:t>化粪池处理后进市政污水管网，</w:t>
            </w:r>
            <w:r>
              <w:rPr>
                <w:rFonts w:hint="eastAsia"/>
                <w:color w:val="auto"/>
                <w:szCs w:val="21"/>
                <w:highlight w:val="none"/>
              </w:rPr>
              <w:t>最终进</w:t>
            </w:r>
            <w:r>
              <w:rPr>
                <w:rFonts w:hint="eastAsia"/>
                <w:color w:val="auto"/>
                <w:highlight w:val="none"/>
              </w:rPr>
              <w:t>入泾河新城第二污水处理厂处理</w:t>
            </w:r>
            <w:r>
              <w:rPr>
                <w:rFonts w:hint="eastAsia" w:hAnsi="Times New Roman"/>
                <w:color w:val="auto"/>
                <w:spacing w:val="2"/>
                <w:highlight w:val="none"/>
              </w:rPr>
              <w:t>。</w:t>
            </w:r>
          </w:p>
          <w:p>
            <w:pPr>
              <w:pStyle w:val="188"/>
              <w:keepNext w:val="0"/>
              <w:keepLines w:val="0"/>
              <w:suppressLineNumbers w:val="0"/>
              <w:spacing w:before="0" w:beforeAutospacing="0" w:after="0" w:afterAutospacing="0" w:line="360" w:lineRule="auto"/>
              <w:ind w:left="0" w:right="0" w:firstLine="488"/>
              <w:rPr>
                <w:rFonts w:hint="default" w:hAnsi="Times New Roman"/>
                <w:color w:val="auto"/>
                <w:spacing w:val="2"/>
                <w:highlight w:val="none"/>
              </w:rPr>
            </w:pPr>
            <w:r>
              <w:rPr>
                <w:rFonts w:hint="eastAsia" w:hAnsi="Times New Roman"/>
                <w:color w:val="auto"/>
                <w:spacing w:val="2"/>
                <w:highlight w:val="none"/>
              </w:rPr>
              <w:t>综上所述，本项目符合《西安市生态环境分区管控准入清单》之中的各项要求。</w:t>
            </w:r>
          </w:p>
          <w:p>
            <w:pPr>
              <w:keepNext w:val="0"/>
              <w:keepLines w:val="0"/>
              <w:suppressLineNumbers w:val="0"/>
              <w:spacing w:before="0" w:beforeAutospacing="0" w:after="0" w:afterAutospacing="0"/>
              <w:ind w:left="0" w:right="0" w:firstLine="482"/>
              <w:rPr>
                <w:rFonts w:hint="default"/>
                <w:b/>
                <w:color w:val="auto"/>
                <w:highlight w:val="none"/>
              </w:rPr>
            </w:pPr>
            <w:r>
              <w:rPr>
                <w:rFonts w:hint="eastAsia"/>
                <w:b/>
                <w:color w:val="auto"/>
                <w:highlight w:val="none"/>
              </w:rPr>
              <w:t>2、</w:t>
            </w:r>
            <w:r>
              <w:rPr>
                <w:rFonts w:hint="default"/>
                <w:b/>
                <w:color w:val="auto"/>
                <w:highlight w:val="none"/>
              </w:rPr>
              <w:t>产业政策符合性</w:t>
            </w:r>
          </w:p>
          <w:p>
            <w:pPr>
              <w:keepNext w:val="0"/>
              <w:keepLines w:val="0"/>
              <w:suppressLineNumbers w:val="0"/>
              <w:spacing w:before="0" w:beforeAutospacing="0" w:after="0" w:afterAutospacing="0"/>
              <w:ind w:left="0" w:right="0" w:firstLine="482"/>
              <w:rPr>
                <w:rFonts w:hint="eastAsia" w:hAnsi="Times New Roman"/>
                <w:color w:val="auto"/>
                <w:spacing w:val="2"/>
                <w:highlight w:val="none"/>
                <w:lang w:val="zh-CN"/>
              </w:rPr>
            </w:pPr>
            <w:r>
              <w:rPr>
                <w:rFonts w:hint="eastAsia" w:hAnsi="Times New Roman"/>
                <w:color w:val="auto"/>
                <w:spacing w:val="2"/>
                <w:highlight w:val="none"/>
              </w:rPr>
              <w:t>本项目属于塑料制品行业，根据中华人民共和国国家发展和改革委员会令2024年第7号《产业结构调整指导目录（2024年本）》，本项目不属于</w:t>
            </w:r>
            <w:r>
              <w:rPr>
                <w:rFonts w:hint="eastAsia"/>
                <w:color w:val="auto"/>
                <w:spacing w:val="2"/>
                <w:highlight w:val="none"/>
                <w:lang w:val="en-US" w:eastAsia="zh-CN"/>
              </w:rPr>
              <w:t>其中的</w:t>
            </w:r>
            <w:r>
              <w:rPr>
                <w:rFonts w:hint="eastAsia" w:hAnsi="Times New Roman"/>
                <w:color w:val="auto"/>
                <w:spacing w:val="2"/>
                <w:highlight w:val="none"/>
              </w:rPr>
              <w:t>鼓励类、限制类、淘汰类项目，视为允许类。同时对照国家发改委和商务部发布的《市场准入负面清单（2022年版）》</w:t>
            </w:r>
            <w:r>
              <w:rPr>
                <w:rFonts w:hint="eastAsia"/>
                <w:color w:val="auto"/>
                <w:spacing w:val="2"/>
                <w:highlight w:val="none"/>
                <w:lang w:eastAsia="zh-CN"/>
              </w:rPr>
              <w:t>（</w:t>
            </w:r>
            <w:r>
              <w:rPr>
                <w:rFonts w:hint="eastAsia" w:hAnsi="Times New Roman"/>
                <w:color w:val="auto"/>
                <w:spacing w:val="2"/>
                <w:highlight w:val="none"/>
              </w:rPr>
              <w:t>发改体改规〔2022〕397号</w:t>
            </w:r>
            <w:r>
              <w:rPr>
                <w:rFonts w:hint="eastAsia"/>
                <w:color w:val="auto"/>
                <w:spacing w:val="2"/>
                <w:highlight w:val="none"/>
                <w:lang w:eastAsia="zh-CN"/>
              </w:rPr>
              <w:t>）</w:t>
            </w:r>
            <w:r>
              <w:rPr>
                <w:rFonts w:hint="eastAsia" w:hAnsi="Times New Roman"/>
                <w:color w:val="auto"/>
                <w:spacing w:val="2"/>
                <w:highlight w:val="none"/>
              </w:rPr>
              <w:t>，项目不属于禁止准入类和许可准入类</w:t>
            </w:r>
            <w:r>
              <w:rPr>
                <w:rFonts w:hint="eastAsia" w:hAnsi="Times New Roman"/>
                <w:color w:val="auto"/>
                <w:spacing w:val="2"/>
                <w:highlight w:val="none"/>
                <w:lang w:val="zh-CN"/>
              </w:rPr>
              <w:t>。</w:t>
            </w:r>
          </w:p>
          <w:p>
            <w:pPr>
              <w:keepNext w:val="0"/>
              <w:keepLines w:val="0"/>
              <w:suppressLineNumbers w:val="0"/>
              <w:spacing w:before="0" w:beforeAutospacing="0" w:after="0" w:afterAutospacing="0"/>
              <w:ind w:left="0" w:right="0" w:firstLine="482"/>
              <w:rPr>
                <w:rFonts w:hint="default"/>
                <w:b/>
                <w:color w:val="auto"/>
                <w:highlight w:val="none"/>
              </w:rPr>
            </w:pPr>
            <w:r>
              <w:rPr>
                <w:rFonts w:hint="eastAsia"/>
                <w:b/>
                <w:color w:val="auto"/>
                <w:highlight w:val="none"/>
              </w:rPr>
              <w:t>3、</w:t>
            </w:r>
            <w:r>
              <w:rPr>
                <w:rFonts w:hint="default"/>
                <w:b/>
                <w:color w:val="auto"/>
                <w:highlight w:val="none"/>
              </w:rPr>
              <w:t>相关政策的符合性</w:t>
            </w:r>
          </w:p>
          <w:p>
            <w:pPr>
              <w:pStyle w:val="77"/>
              <w:keepNext w:val="0"/>
              <w:keepLines w:val="0"/>
              <w:widowControl/>
              <w:suppressLineNumbers w:val="0"/>
              <w:spacing w:before="0" w:beforeLines="0" w:beforeAutospacing="0" w:after="0" w:afterAutospacing="0" w:line="240" w:lineRule="auto"/>
              <w:ind w:left="0" w:right="0"/>
              <w:rPr>
                <w:rFonts w:hint="default" w:eastAsia="宋体"/>
                <w:b/>
                <w:color w:val="auto"/>
                <w:kern w:val="0"/>
                <w:szCs w:val="21"/>
                <w:highlight w:val="none"/>
              </w:rPr>
            </w:pPr>
            <w:r>
              <w:rPr>
                <w:rFonts w:hint="eastAsia" w:eastAsia="宋体"/>
                <w:b/>
                <w:color w:val="auto"/>
                <w:kern w:val="0"/>
                <w:szCs w:val="21"/>
                <w:highlight w:val="none"/>
              </w:rPr>
              <w:t>表1-</w:t>
            </w:r>
            <w:r>
              <w:rPr>
                <w:rFonts w:hint="eastAsia" w:eastAsia="宋体"/>
                <w:b/>
                <w:color w:val="auto"/>
                <w:kern w:val="0"/>
                <w:szCs w:val="21"/>
                <w:highlight w:val="none"/>
                <w:lang w:val="en-US" w:eastAsia="zh-CN"/>
              </w:rPr>
              <w:t>4</w:t>
            </w:r>
            <w:r>
              <w:rPr>
                <w:rFonts w:hint="eastAsia" w:eastAsia="宋体"/>
                <w:b/>
                <w:color w:val="auto"/>
                <w:kern w:val="0"/>
                <w:szCs w:val="21"/>
                <w:highlight w:val="none"/>
              </w:rPr>
              <w:t xml:space="preserve">  相关</w:t>
            </w:r>
            <w:r>
              <w:rPr>
                <w:rFonts w:hint="eastAsia" w:eastAsia="宋体"/>
                <w:b/>
                <w:color w:val="auto"/>
                <w:kern w:val="0"/>
                <w:szCs w:val="21"/>
                <w:highlight w:val="none"/>
                <w:lang w:val="en-US" w:eastAsia="zh-CN"/>
              </w:rPr>
              <w:t>环保</w:t>
            </w:r>
            <w:r>
              <w:rPr>
                <w:rFonts w:hint="eastAsia" w:eastAsia="宋体"/>
                <w:b/>
                <w:color w:val="auto"/>
                <w:kern w:val="0"/>
                <w:szCs w:val="21"/>
                <w:highlight w:val="none"/>
              </w:rPr>
              <w:t>政策相符性分析</w:t>
            </w:r>
          </w:p>
          <w:tbl>
            <w:tblPr>
              <w:tblStyle w:val="3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28" w:type="dxa"/>
                <w:left w:w="108" w:type="dxa"/>
                <w:bottom w:w="28" w:type="dxa"/>
                <w:right w:w="108" w:type="dxa"/>
              </w:tblCellMar>
            </w:tblPr>
            <w:tblGrid>
              <w:gridCol w:w="1886"/>
              <w:gridCol w:w="3126"/>
              <w:gridCol w:w="2756"/>
              <w:gridCol w:w="52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jc w:val="center"/>
              </w:trPr>
              <w:tc>
                <w:tcPr>
                  <w:tcW w:w="1136"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文件</w:t>
                  </w:r>
                </w:p>
              </w:tc>
              <w:tc>
                <w:tcPr>
                  <w:tcW w:w="1884"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政策要求</w:t>
                  </w:r>
                </w:p>
              </w:tc>
              <w:tc>
                <w:tcPr>
                  <w:tcW w:w="1661"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拟采取措施</w:t>
                  </w:r>
                </w:p>
              </w:tc>
              <w:tc>
                <w:tcPr>
                  <w:tcW w:w="31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符合</w:t>
                  </w:r>
                  <w:r>
                    <w:rPr>
                      <w:rFonts w:hint="default"/>
                      <w:color w:val="auto"/>
                      <w:szCs w:val="20"/>
                      <w:highlight w:val="none"/>
                    </w:rPr>
                    <w:t>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jc w:val="center"/>
              </w:trPr>
              <w:tc>
                <w:tcPr>
                  <w:tcW w:w="1136"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bCs/>
                      <w:color w:val="auto"/>
                      <w:szCs w:val="20"/>
                      <w:highlight w:val="none"/>
                    </w:rPr>
                    <w:t>《空气质量持续改善行动计划》（国发[2023]24 号）</w:t>
                  </w:r>
                </w:p>
              </w:tc>
              <w:tc>
                <w:tcPr>
                  <w:tcW w:w="1884" w:type="pct"/>
                  <w:tcBorders>
                    <w:tl2br w:val="nil"/>
                    <w:tr2bl w:val="nil"/>
                  </w:tcBorders>
                  <w:vAlign w:val="center"/>
                </w:tcPr>
                <w:p>
                  <w:pPr>
                    <w:pStyle w:val="32"/>
                    <w:keepNext w:val="0"/>
                    <w:keepLines w:val="0"/>
                    <w:suppressLineNumbers w:val="0"/>
                    <w:adjustRightInd w:val="0"/>
                    <w:snapToGrid w:val="0"/>
                    <w:spacing w:line="240" w:lineRule="auto"/>
                    <w:ind w:left="0" w:right="0" w:firstLine="420"/>
                    <w:rPr>
                      <w:rFonts w:hint="default" w:ascii="Times New Roman" w:hAnsi="Times New Roman"/>
                      <w:color w:val="auto"/>
                      <w:sz w:val="21"/>
                      <w:szCs w:val="21"/>
                      <w:highlight w:val="none"/>
                    </w:rPr>
                  </w:pPr>
                  <w:r>
                    <w:rPr>
                      <w:rFonts w:hint="eastAsia" w:ascii="Times New Roman" w:hAnsi="Times New Roman"/>
                      <w:color w:val="auto"/>
                      <w:sz w:val="21"/>
                      <w:szCs w:val="21"/>
                      <w:highlight w:val="none"/>
                    </w:rPr>
                    <w:t>新改扩建项目严格落实国家产业规划、产业政策、生态环境分区管控方案、规划环评、项目环评、节能审查、产能置换、重点污染物总量控制、污染物排放区域削减、碳排放达峰目标等相关要求，原则上采用清洁运输方式。</w:t>
                  </w:r>
                </w:p>
              </w:tc>
              <w:tc>
                <w:tcPr>
                  <w:tcW w:w="1661" w:type="pct"/>
                  <w:tcBorders>
                    <w:tl2br w:val="nil"/>
                    <w:tr2bl w:val="nil"/>
                  </w:tcBorders>
                  <w:vAlign w:val="center"/>
                </w:tcPr>
                <w:p>
                  <w:pPr>
                    <w:pStyle w:val="32"/>
                    <w:keepNext w:val="0"/>
                    <w:keepLines w:val="0"/>
                    <w:suppressLineNumbers w:val="0"/>
                    <w:adjustRightInd w:val="0"/>
                    <w:snapToGrid w:val="0"/>
                    <w:spacing w:line="240" w:lineRule="auto"/>
                    <w:ind w:left="0" w:right="0" w:firstLine="420"/>
                    <w:rPr>
                      <w:rFonts w:hint="default" w:ascii="Times New Roman" w:hAnsi="Times New Roman"/>
                      <w:color w:val="auto"/>
                      <w:sz w:val="21"/>
                      <w:szCs w:val="21"/>
                      <w:highlight w:val="none"/>
                    </w:rPr>
                  </w:pPr>
                  <w:r>
                    <w:rPr>
                      <w:rFonts w:hint="eastAsia" w:ascii="Times New Roman" w:hAnsi="Times New Roman"/>
                      <w:color w:val="auto"/>
                      <w:sz w:val="21"/>
                      <w:szCs w:val="21"/>
                      <w:highlight w:val="none"/>
                    </w:rPr>
                    <w:t>本项目</w:t>
                  </w:r>
                  <w:r>
                    <w:rPr>
                      <w:rFonts w:hint="eastAsia"/>
                      <w:color w:val="auto"/>
                      <w:sz w:val="21"/>
                      <w:szCs w:val="21"/>
                      <w:highlight w:val="none"/>
                    </w:rPr>
                    <w:t>为新建项目，位于西咸新区</w:t>
                  </w:r>
                  <w:r>
                    <w:rPr>
                      <w:rFonts w:hint="eastAsia"/>
                      <w:color w:val="auto"/>
                      <w:sz w:val="21"/>
                      <w:szCs w:val="21"/>
                      <w:highlight w:val="none"/>
                      <w:lang w:eastAsia="zh-CN"/>
                    </w:rPr>
                    <w:t>泾河新城工业密集区永乐工业园尚家一街北</w:t>
                  </w:r>
                  <w:r>
                    <w:rPr>
                      <w:rFonts w:hint="eastAsia"/>
                      <w:color w:val="auto"/>
                      <w:sz w:val="21"/>
                      <w:szCs w:val="21"/>
                      <w:highlight w:val="none"/>
                    </w:rPr>
                    <w:t>，切实严格落实相关要求；项目符合产业政策、符合</w:t>
                  </w:r>
                  <w:r>
                    <w:rPr>
                      <w:rFonts w:hint="default"/>
                      <w:color w:val="auto"/>
                      <w:sz w:val="21"/>
                      <w:szCs w:val="21"/>
                      <w:highlight w:val="none"/>
                    </w:rPr>
                    <w:t>《西咸新区泾河</w:t>
                  </w:r>
                  <w:r>
                    <w:rPr>
                      <w:rFonts w:hint="default" w:ascii="Times New Roman" w:hAnsi="Times New Roman"/>
                      <w:color w:val="auto"/>
                      <w:sz w:val="21"/>
                      <w:szCs w:val="21"/>
                      <w:highlight w:val="none"/>
                    </w:rPr>
                    <w:t>新城分区规划（2016-2035）</w:t>
                  </w:r>
                  <w:r>
                    <w:rPr>
                      <w:rFonts w:hint="default"/>
                      <w:color w:val="auto"/>
                      <w:sz w:val="21"/>
                      <w:szCs w:val="21"/>
                      <w:highlight w:val="none"/>
                    </w:rPr>
                    <w:t>环境影响报告书》</w:t>
                  </w:r>
                  <w:r>
                    <w:rPr>
                      <w:rFonts w:hint="eastAsia"/>
                      <w:color w:val="auto"/>
                      <w:sz w:val="21"/>
                      <w:szCs w:val="21"/>
                      <w:highlight w:val="none"/>
                    </w:rPr>
                    <w:t>要求，项目在落实环评提出的各项污染防治措施后，污染物可达标排放。</w:t>
                  </w:r>
                </w:p>
              </w:tc>
              <w:tc>
                <w:tcPr>
                  <w:tcW w:w="31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268" w:hRule="atLeast"/>
                <w:jc w:val="center"/>
              </w:trPr>
              <w:tc>
                <w:tcPr>
                  <w:tcW w:w="1136"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hAnsi="宋体"/>
                      <w:bCs/>
                      <w:color w:val="auto"/>
                      <w:szCs w:val="20"/>
                      <w:highlight w:val="none"/>
                    </w:rPr>
                  </w:pPr>
                  <w:r>
                    <w:rPr>
                      <w:rFonts w:hint="eastAsia"/>
                      <w:color w:val="auto"/>
                      <w:szCs w:val="21"/>
                      <w:highlight w:val="none"/>
                    </w:rPr>
                    <w:t>陕西省西咸新区开发建设管理委员会关于印发《西咸新区“十四五”生态环境保护规划》的通知（陕西咸发）[</w:t>
                  </w:r>
                  <w:r>
                    <w:rPr>
                      <w:rFonts w:hint="eastAsia"/>
                      <w:color w:val="auto"/>
                      <w:kern w:val="2"/>
                      <w:szCs w:val="24"/>
                      <w:highlight w:val="none"/>
                    </w:rPr>
                    <w:t>2021</w:t>
                  </w:r>
                  <w:r>
                    <w:rPr>
                      <w:rFonts w:hint="eastAsia"/>
                      <w:color w:val="auto"/>
                      <w:szCs w:val="21"/>
                      <w:highlight w:val="none"/>
                    </w:rPr>
                    <w:t>]4号</w:t>
                  </w:r>
                </w:p>
              </w:tc>
              <w:tc>
                <w:tcPr>
                  <w:tcW w:w="1884" w:type="pct"/>
                  <w:tcBorders>
                    <w:tl2br w:val="nil"/>
                    <w:tr2bl w:val="nil"/>
                  </w:tcBorders>
                  <w:vAlign w:val="center"/>
                </w:tcPr>
                <w:p>
                  <w:pPr>
                    <w:pStyle w:val="32"/>
                    <w:keepNext w:val="0"/>
                    <w:keepLines w:val="0"/>
                    <w:suppressLineNumbers w:val="0"/>
                    <w:adjustRightInd w:val="0"/>
                    <w:snapToGrid w:val="0"/>
                    <w:spacing w:line="240" w:lineRule="auto"/>
                    <w:ind w:left="0" w:right="0" w:firstLine="420"/>
                    <w:rPr>
                      <w:rFonts w:hint="default"/>
                      <w:bCs/>
                      <w:color w:val="auto"/>
                      <w:highlight w:val="none"/>
                    </w:rPr>
                  </w:pPr>
                  <w:r>
                    <w:rPr>
                      <w:rFonts w:hint="eastAsia" w:ascii="Times New Roman" w:hAnsi="Times New Roman"/>
                      <w:color w:val="auto"/>
                      <w:sz w:val="21"/>
                      <w:szCs w:val="21"/>
                      <w:highlight w:val="none"/>
                    </w:rPr>
                    <w:t>实施重点领域VOCs综合治理。建立石化、包装印刷、家具、电子制造、工程机械制造等重点行业及工业园区的源头替代、过程控制和末端治理全过程治理体系，实施VOCs排放总量控制。全面落实《挥发性有机物无组织排放控制标准》要求，加强含VOCs物料密闭管理。</w:t>
                  </w:r>
                </w:p>
              </w:tc>
              <w:tc>
                <w:tcPr>
                  <w:tcW w:w="1661"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rPr>
                      <w:rFonts w:hint="default"/>
                      <w:color w:val="auto"/>
                      <w:highlight w:val="none"/>
                    </w:rPr>
                  </w:pPr>
                  <w:r>
                    <w:rPr>
                      <w:rFonts w:hint="eastAsia"/>
                      <w:color w:val="auto"/>
                      <w:sz w:val="21"/>
                      <w:szCs w:val="21"/>
                      <w:highlight w:val="none"/>
                    </w:rPr>
                    <w:t>本项目为塑料制品业，不属于石化、包装印刷、家具、电子制造、工程机械制造等重点行业。本项目涉及VOCs的原辅料储存于密封包装袋内，存放于</w:t>
                  </w:r>
                  <w:r>
                    <w:rPr>
                      <w:rFonts w:hint="eastAsia"/>
                      <w:color w:val="auto"/>
                      <w:sz w:val="21"/>
                      <w:szCs w:val="21"/>
                      <w:highlight w:val="none"/>
                      <w:lang w:eastAsia="zh-CN"/>
                    </w:rPr>
                    <w:t>原料区</w:t>
                  </w:r>
                  <w:r>
                    <w:rPr>
                      <w:rFonts w:hint="eastAsia"/>
                      <w:color w:val="auto"/>
                      <w:sz w:val="21"/>
                      <w:szCs w:val="21"/>
                      <w:highlight w:val="none"/>
                    </w:rPr>
                    <w:t>内，在非取用状态时封口、保持密闭。</w:t>
                  </w:r>
                </w:p>
              </w:tc>
              <w:tc>
                <w:tcPr>
                  <w:tcW w:w="31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112" w:hRule="atLeast"/>
                <w:jc w:val="center"/>
              </w:trPr>
              <w:tc>
                <w:tcPr>
                  <w:tcW w:w="1136" w:type="pct"/>
                  <w:vMerge w:val="restar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hAnsi="宋体"/>
                      <w:bCs/>
                      <w:color w:val="auto"/>
                      <w:szCs w:val="20"/>
                      <w:highlight w:val="none"/>
                    </w:rPr>
                  </w:pPr>
                  <w:r>
                    <w:rPr>
                      <w:rFonts w:hint="eastAsia"/>
                      <w:color w:val="auto"/>
                      <w:szCs w:val="20"/>
                      <w:highlight w:val="none"/>
                    </w:rPr>
                    <w:t>《</w:t>
                  </w:r>
                  <w:r>
                    <w:rPr>
                      <w:rFonts w:hint="default"/>
                      <w:color w:val="auto"/>
                      <w:szCs w:val="20"/>
                      <w:highlight w:val="none"/>
                    </w:rPr>
                    <w:t>西安市人民政府关于印发“十四五”生态环境保护规划的通知</w:t>
                  </w:r>
                  <w:r>
                    <w:rPr>
                      <w:rFonts w:hint="eastAsia"/>
                      <w:color w:val="auto"/>
                      <w:szCs w:val="20"/>
                      <w:highlight w:val="none"/>
                    </w:rPr>
                    <w:t>》</w:t>
                  </w:r>
                  <w:r>
                    <w:rPr>
                      <w:rFonts w:hint="default"/>
                      <w:color w:val="auto"/>
                      <w:szCs w:val="20"/>
                      <w:highlight w:val="none"/>
                    </w:rPr>
                    <w:t>（市政发〔2021〕21号）</w:t>
                  </w:r>
                </w:p>
              </w:tc>
              <w:tc>
                <w:tcPr>
                  <w:tcW w:w="1884"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default" w:hAnsi="宋体"/>
                      <w:bCs/>
                      <w:color w:val="auto"/>
                      <w:szCs w:val="20"/>
                      <w:highlight w:val="none"/>
                    </w:rPr>
                  </w:pPr>
                  <w:r>
                    <w:rPr>
                      <w:rFonts w:hint="default"/>
                      <w:color w:val="auto"/>
                      <w:szCs w:val="20"/>
                      <w:highlight w:val="none"/>
                    </w:rPr>
                    <w:t>加强扬尘面源管控。督导建设工地严格落实建设工地扬尘污染防治措施</w:t>
                  </w:r>
                  <w:r>
                    <w:rPr>
                      <w:rFonts w:hint="eastAsia"/>
                      <w:color w:val="auto"/>
                      <w:szCs w:val="20"/>
                      <w:highlight w:val="none"/>
                    </w:rPr>
                    <w:t>。</w:t>
                  </w:r>
                </w:p>
              </w:tc>
              <w:tc>
                <w:tcPr>
                  <w:tcW w:w="1661"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default"/>
                      <w:color w:val="auto"/>
                      <w:szCs w:val="20"/>
                      <w:highlight w:val="none"/>
                    </w:rPr>
                  </w:pPr>
                  <w:r>
                    <w:rPr>
                      <w:rFonts w:hint="eastAsia"/>
                      <w:color w:val="auto"/>
                      <w:szCs w:val="20"/>
                      <w:highlight w:val="none"/>
                    </w:rPr>
                    <w:t>项目购置已建成厂房，仅对厂房内部进行简单装修，施工扬尘主要为装修垃圾清理扬尘，装修期间每日洒水抑尘，可减少扬尘产生。</w:t>
                  </w:r>
                </w:p>
              </w:tc>
              <w:tc>
                <w:tcPr>
                  <w:tcW w:w="31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173" w:hRule="atLeast"/>
                <w:jc w:val="center"/>
              </w:trPr>
              <w:tc>
                <w:tcPr>
                  <w:tcW w:w="1136"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hAnsi="宋体"/>
                      <w:bCs/>
                      <w:color w:val="auto"/>
                      <w:szCs w:val="20"/>
                      <w:highlight w:val="none"/>
                    </w:rPr>
                  </w:pPr>
                </w:p>
              </w:tc>
              <w:tc>
                <w:tcPr>
                  <w:tcW w:w="1884"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default" w:hAnsi="宋体"/>
                      <w:bCs/>
                      <w:color w:val="auto"/>
                      <w:szCs w:val="20"/>
                      <w:highlight w:val="none"/>
                    </w:rPr>
                  </w:pPr>
                  <w:r>
                    <w:rPr>
                      <w:rFonts w:hint="default"/>
                      <w:color w:val="auto"/>
                      <w:szCs w:val="20"/>
                      <w:highlight w:val="none"/>
                    </w:rPr>
                    <w:t>强化VOCs综合整治。以建材、有色等行业带动工业窑炉的综合整治，从源头上对氮氧化物和挥发性有机物进行控制。</w:t>
                  </w:r>
                </w:p>
              </w:tc>
              <w:tc>
                <w:tcPr>
                  <w:tcW w:w="1661"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default"/>
                      <w:color w:val="auto"/>
                      <w:szCs w:val="20"/>
                      <w:highlight w:val="none"/>
                    </w:rPr>
                  </w:pPr>
                  <w:r>
                    <w:rPr>
                      <w:rFonts w:hint="eastAsia"/>
                      <w:color w:val="auto"/>
                      <w:szCs w:val="20"/>
                      <w:highlight w:val="none"/>
                    </w:rPr>
                    <w:t>本项目挤出工序产生的有机废气采用集气罩收集后经两级活性炭吸附装置处理后通过15m排气筒排放。</w:t>
                  </w:r>
                </w:p>
              </w:tc>
              <w:tc>
                <w:tcPr>
                  <w:tcW w:w="31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134" w:hRule="atLeast"/>
                <w:jc w:val="center"/>
              </w:trPr>
              <w:tc>
                <w:tcPr>
                  <w:tcW w:w="1136"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hAnsi="宋体"/>
                      <w:bCs/>
                      <w:color w:val="auto"/>
                      <w:szCs w:val="20"/>
                      <w:highlight w:val="none"/>
                    </w:rPr>
                  </w:pPr>
                </w:p>
              </w:tc>
              <w:tc>
                <w:tcPr>
                  <w:tcW w:w="1884"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default" w:hAnsi="宋体"/>
                      <w:bCs/>
                      <w:color w:val="auto"/>
                      <w:szCs w:val="20"/>
                      <w:highlight w:val="none"/>
                    </w:rPr>
                  </w:pPr>
                  <w:r>
                    <w:rPr>
                      <w:rFonts w:hint="eastAsia"/>
                      <w:color w:val="auto"/>
                      <w:szCs w:val="20"/>
                      <w:highlight w:val="none"/>
                    </w:rPr>
                    <w:t>全面落实《挥发性有机物无组织排放控制标准》要求，引导企业加强对含VOCs物料的存储、转移和输送等环节的全方位密闭管理。</w:t>
                  </w:r>
                </w:p>
              </w:tc>
              <w:tc>
                <w:tcPr>
                  <w:tcW w:w="1661"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default"/>
                      <w:color w:val="auto"/>
                      <w:szCs w:val="20"/>
                      <w:highlight w:val="none"/>
                    </w:rPr>
                  </w:pPr>
                  <w:r>
                    <w:rPr>
                      <w:rFonts w:hint="eastAsia"/>
                      <w:color w:val="auto"/>
                      <w:szCs w:val="20"/>
                      <w:highlight w:val="none"/>
                    </w:rPr>
                    <w:t>本项目原辅料均为外购，采用密封袋包装，日常储存在各车间</w:t>
                  </w:r>
                  <w:r>
                    <w:rPr>
                      <w:rFonts w:hint="eastAsia"/>
                      <w:color w:val="auto"/>
                      <w:szCs w:val="20"/>
                      <w:highlight w:val="none"/>
                      <w:lang w:eastAsia="zh-CN"/>
                    </w:rPr>
                    <w:t>原料区</w:t>
                  </w:r>
                  <w:r>
                    <w:rPr>
                      <w:rFonts w:hint="eastAsia"/>
                      <w:color w:val="auto"/>
                      <w:szCs w:val="20"/>
                      <w:highlight w:val="none"/>
                    </w:rPr>
                    <w:t>房内，生产中物料输送通过密闭管道输送。</w:t>
                  </w:r>
                </w:p>
              </w:tc>
              <w:tc>
                <w:tcPr>
                  <w:tcW w:w="31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366" w:hRule="atLeast"/>
                <w:jc w:val="center"/>
              </w:trPr>
              <w:tc>
                <w:tcPr>
                  <w:tcW w:w="1136" w:type="pct"/>
                  <w:vMerge w:val="restar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《陕西省大气污染治理专项行动方案（2023-2027年）》（陕发[2023]4号）</w:t>
                  </w:r>
                </w:p>
              </w:tc>
              <w:tc>
                <w:tcPr>
                  <w:tcW w:w="1884"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default"/>
                      <w:color w:val="auto"/>
                      <w:szCs w:val="20"/>
                      <w:highlight w:val="none"/>
                    </w:rPr>
                  </w:pPr>
                  <w:r>
                    <w:rPr>
                      <w:rFonts w:hint="eastAsia"/>
                      <w:color w:val="auto"/>
                      <w:szCs w:val="20"/>
                      <w:highlight w:val="none"/>
                    </w:rPr>
                    <w:t>3.产业发展结构调整。关中地区严禁新增钢铁、焦化、水泥熟料、平板玻璃、电解铝、氧化铝、煤化工产能...</w:t>
                  </w:r>
                  <w:r>
                    <w:rPr>
                      <w:rFonts w:hint="eastAsia"/>
                      <w:color w:val="auto"/>
                      <w:kern w:val="2"/>
                      <w:szCs w:val="24"/>
                      <w:highlight w:val="none"/>
                    </w:rPr>
                    <w:t>关中地区市辖区及开发区范围内新、改、扩建涉气重点行业企业应达到环保绩效A级、绩效引领性水平，西安市、咸阳市、渭南市的其他区域应达到环保绩效B级及以上水平</w:t>
                  </w:r>
                </w:p>
              </w:tc>
              <w:tc>
                <w:tcPr>
                  <w:tcW w:w="1661"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default"/>
                      <w:color w:val="auto"/>
                      <w:szCs w:val="20"/>
                      <w:highlight w:val="none"/>
                    </w:rPr>
                  </w:pPr>
                  <w:r>
                    <w:rPr>
                      <w:rFonts w:hint="eastAsia"/>
                      <w:color w:val="auto"/>
                      <w:szCs w:val="20"/>
                      <w:highlight w:val="none"/>
                    </w:rPr>
                    <w:t>本项目</w:t>
                  </w:r>
                  <w:r>
                    <w:rPr>
                      <w:rFonts w:hint="eastAsia"/>
                      <w:color w:val="auto"/>
                      <w:szCs w:val="21"/>
                      <w:highlight w:val="none"/>
                    </w:rPr>
                    <w:t>属于</w:t>
                  </w:r>
                  <w:r>
                    <w:rPr>
                      <w:rFonts w:hint="eastAsia"/>
                      <w:color w:val="auto"/>
                      <w:szCs w:val="20"/>
                      <w:highlight w:val="none"/>
                    </w:rPr>
                    <w:t>塑料制品业，</w:t>
                  </w:r>
                  <w:r>
                    <w:rPr>
                      <w:rFonts w:hint="default"/>
                      <w:color w:val="auto"/>
                      <w:szCs w:val="21"/>
                      <w:highlight w:val="none"/>
                    </w:rPr>
                    <w:t>不属于禁止类项目</w:t>
                  </w:r>
                  <w:r>
                    <w:rPr>
                      <w:rFonts w:hint="eastAsia"/>
                      <w:color w:val="auto"/>
                      <w:szCs w:val="21"/>
                      <w:highlight w:val="none"/>
                    </w:rPr>
                    <w:t>。</w:t>
                  </w:r>
                  <w:r>
                    <w:rPr>
                      <w:rFonts w:hint="eastAsia"/>
                      <w:color w:val="auto"/>
                      <w:kern w:val="2"/>
                      <w:szCs w:val="24"/>
                      <w:highlight w:val="none"/>
                    </w:rPr>
                    <w:t>且本项目不属于《</w:t>
                  </w:r>
                  <w:bookmarkStart w:id="2" w:name="_Toc44493931"/>
                  <w:r>
                    <w:rPr>
                      <w:rFonts w:hint="eastAsia"/>
                      <w:color w:val="auto"/>
                      <w:kern w:val="2"/>
                      <w:szCs w:val="24"/>
                      <w:highlight w:val="none"/>
                    </w:rPr>
                    <w:t>重污染天气重点行业应急减排措施制定</w:t>
                  </w:r>
                  <w:bookmarkEnd w:id="2"/>
                  <w:bookmarkStart w:id="3" w:name="_Toc44493932"/>
                  <w:r>
                    <w:rPr>
                      <w:rFonts w:hint="eastAsia"/>
                      <w:color w:val="auto"/>
                      <w:kern w:val="2"/>
                      <w:szCs w:val="24"/>
                      <w:highlight w:val="none"/>
                    </w:rPr>
                    <w:t>技术指南</w:t>
                  </w:r>
                  <w:bookmarkEnd w:id="3"/>
                  <w:r>
                    <w:rPr>
                      <w:rFonts w:hint="eastAsia"/>
                      <w:color w:val="auto"/>
                      <w:kern w:val="2"/>
                      <w:szCs w:val="24"/>
                      <w:highlight w:val="none"/>
                    </w:rPr>
                    <w:t>（2020年修订版）》中规定的39个涉气重点行业</w:t>
                  </w:r>
                </w:p>
              </w:tc>
              <w:tc>
                <w:tcPr>
                  <w:tcW w:w="31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321" w:hRule="atLeast"/>
                <w:jc w:val="center"/>
              </w:trPr>
              <w:tc>
                <w:tcPr>
                  <w:tcW w:w="1136"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1884"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default"/>
                      <w:color w:val="auto"/>
                      <w:szCs w:val="20"/>
                      <w:highlight w:val="none"/>
                    </w:rPr>
                  </w:pPr>
                  <w:r>
                    <w:rPr>
                      <w:rFonts w:hint="eastAsia"/>
                      <w:color w:val="auto"/>
                      <w:szCs w:val="20"/>
                      <w:highlight w:val="none"/>
                    </w:rPr>
                    <w:t>12.夏季臭氧应对行动。...动态更新挥发性有机物治理设施台账，开展简易低效挥发性有机物治理设施清理整治、涉活性炭挥发性有机物处理工艺专项整治行动，强化挥发性有机物无组织排放整治，确保达到相关标准要求。新建挥发性有机物治理设施不再采用单一低温等离子、光氧化、光催化等治理技术，非水溶性挥发性有机物废气不再采用单一喷淋吸收方式处理</w:t>
                  </w:r>
                </w:p>
              </w:tc>
              <w:tc>
                <w:tcPr>
                  <w:tcW w:w="1661"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default"/>
                      <w:color w:val="auto"/>
                      <w:szCs w:val="20"/>
                      <w:highlight w:val="none"/>
                    </w:rPr>
                  </w:pPr>
                  <w:r>
                    <w:rPr>
                      <w:rFonts w:hint="eastAsia"/>
                      <w:color w:val="auto"/>
                      <w:szCs w:val="20"/>
                      <w:highlight w:val="none"/>
                    </w:rPr>
                    <w:t>本项目挤出工艺产生有机废气，采用集气罩收集后经两级活性炭吸附装置处理后通过15m排气筒排放。不属于简易低效挥发性有机物治理设施</w:t>
                  </w:r>
                </w:p>
              </w:tc>
              <w:tc>
                <w:tcPr>
                  <w:tcW w:w="31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1270" w:hRule="atLeast"/>
                <w:jc w:val="center"/>
              </w:trPr>
              <w:tc>
                <w:tcPr>
                  <w:tcW w:w="1136" w:type="pct"/>
                  <w:vMerge w:val="restar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kern w:val="2"/>
                      <w:szCs w:val="24"/>
                      <w:highlight w:val="none"/>
                    </w:rPr>
                    <w:t>关于印发</w:t>
                  </w:r>
                  <w:r>
                    <w:rPr>
                      <w:rFonts w:hint="default"/>
                      <w:color w:val="auto"/>
                      <w:kern w:val="2"/>
                      <w:szCs w:val="24"/>
                      <w:highlight w:val="none"/>
                    </w:rPr>
                    <w:t>《</w:t>
                  </w:r>
                  <w:r>
                    <w:rPr>
                      <w:rFonts w:hint="eastAsia"/>
                      <w:color w:val="auto"/>
                      <w:kern w:val="2"/>
                      <w:szCs w:val="24"/>
                      <w:highlight w:val="none"/>
                    </w:rPr>
                    <w:t>西咸新区</w:t>
                  </w:r>
                  <w:r>
                    <w:rPr>
                      <w:rFonts w:hint="default"/>
                      <w:color w:val="auto"/>
                      <w:kern w:val="2"/>
                      <w:szCs w:val="24"/>
                      <w:highlight w:val="none"/>
                    </w:rPr>
                    <w:t>大气污染治理专项行动方案（2023-2027年）</w:t>
                  </w:r>
                  <w:r>
                    <w:rPr>
                      <w:rFonts w:hint="eastAsia"/>
                      <w:color w:val="auto"/>
                      <w:kern w:val="2"/>
                      <w:szCs w:val="24"/>
                      <w:highlight w:val="none"/>
                    </w:rPr>
                    <w:t>的通知（陕西咸党发[2023]4号）</w:t>
                  </w:r>
                </w:p>
              </w:tc>
              <w:tc>
                <w:tcPr>
                  <w:tcW w:w="1884"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default"/>
                      <w:color w:val="auto"/>
                      <w:szCs w:val="21"/>
                      <w:highlight w:val="none"/>
                    </w:rPr>
                  </w:pPr>
                  <w:r>
                    <w:rPr>
                      <w:rFonts w:hint="default"/>
                      <w:color w:val="auto"/>
                      <w:szCs w:val="21"/>
                      <w:highlight w:val="none"/>
                    </w:rPr>
                    <w:t>（一）推动结构调整</w:t>
                  </w:r>
                </w:p>
                <w:p>
                  <w:pPr>
                    <w:pStyle w:val="80"/>
                    <w:keepNext w:val="0"/>
                    <w:keepLines w:val="0"/>
                    <w:widowControl/>
                    <w:suppressLineNumbers w:val="0"/>
                    <w:spacing w:before="0" w:beforeAutospacing="0" w:after="0" w:afterAutospacing="0"/>
                    <w:ind w:left="0" w:right="0"/>
                    <w:jc w:val="both"/>
                    <w:rPr>
                      <w:rFonts w:hint="default"/>
                      <w:color w:val="auto"/>
                      <w:szCs w:val="21"/>
                      <w:highlight w:val="none"/>
                    </w:rPr>
                  </w:pPr>
                  <w:r>
                    <w:rPr>
                      <w:rFonts w:hint="default"/>
                      <w:color w:val="auto"/>
                      <w:szCs w:val="21"/>
                      <w:highlight w:val="none"/>
                    </w:rPr>
                    <w:t>3.产业发展结构调整。</w:t>
                  </w:r>
                </w:p>
                <w:p>
                  <w:pPr>
                    <w:pStyle w:val="80"/>
                    <w:keepNext w:val="0"/>
                    <w:keepLines w:val="0"/>
                    <w:widowControl/>
                    <w:suppressLineNumbers w:val="0"/>
                    <w:spacing w:before="0" w:beforeAutospacing="0" w:after="0" w:afterAutospacing="0"/>
                    <w:ind w:left="0" w:right="0"/>
                    <w:jc w:val="both"/>
                    <w:rPr>
                      <w:rFonts w:hint="default"/>
                      <w:color w:val="auto"/>
                      <w:szCs w:val="21"/>
                      <w:highlight w:val="none"/>
                    </w:rPr>
                  </w:pPr>
                  <w:r>
                    <w:rPr>
                      <w:rFonts w:hint="eastAsia"/>
                      <w:color w:val="auto"/>
                      <w:szCs w:val="21"/>
                      <w:highlight w:val="none"/>
                    </w:rPr>
                    <w:t>严格新、改、扩建涉气重点行业绩效评级限制条件。新区范围内新、改、扩建涉气重点行业企业应达到环保绩效</w:t>
                  </w:r>
                  <w:r>
                    <w:rPr>
                      <w:rFonts w:hint="default"/>
                      <w:color w:val="auto"/>
                      <w:szCs w:val="21"/>
                      <w:highlight w:val="none"/>
                    </w:rPr>
                    <w:t>A</w:t>
                  </w:r>
                  <w:r>
                    <w:rPr>
                      <w:rFonts w:hint="eastAsia"/>
                      <w:color w:val="auto"/>
                      <w:szCs w:val="21"/>
                      <w:highlight w:val="none"/>
                    </w:rPr>
                    <w:t>级、绩效引领性水平</w:t>
                  </w:r>
                </w:p>
              </w:tc>
              <w:tc>
                <w:tcPr>
                  <w:tcW w:w="1661"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default"/>
                      <w:color w:val="auto"/>
                      <w:szCs w:val="21"/>
                      <w:highlight w:val="none"/>
                    </w:rPr>
                  </w:pPr>
                  <w:r>
                    <w:rPr>
                      <w:rFonts w:hint="default"/>
                      <w:color w:val="auto"/>
                      <w:szCs w:val="21"/>
                      <w:highlight w:val="none"/>
                    </w:rPr>
                    <w:t>本项目为</w:t>
                  </w:r>
                  <w:r>
                    <w:rPr>
                      <w:rFonts w:hint="eastAsia"/>
                      <w:color w:val="auto"/>
                      <w:szCs w:val="21"/>
                      <w:highlight w:val="none"/>
                    </w:rPr>
                    <w:t>塑料制品业</w:t>
                  </w:r>
                  <w:r>
                    <w:rPr>
                      <w:rFonts w:hint="default"/>
                      <w:color w:val="auto"/>
                      <w:szCs w:val="21"/>
                      <w:highlight w:val="none"/>
                    </w:rPr>
                    <w:t>，不属于</w:t>
                  </w:r>
                  <w:r>
                    <w:rPr>
                      <w:rFonts w:hint="eastAsia"/>
                      <w:color w:val="auto"/>
                      <w:szCs w:val="21"/>
                      <w:highlight w:val="none"/>
                    </w:rPr>
                    <w:t>《重污染天气重点行业应急减排措施制定技术指南（2020年修订版）》中规定的39个涉气重点行业</w:t>
                  </w:r>
                </w:p>
              </w:tc>
              <w:tc>
                <w:tcPr>
                  <w:tcW w:w="31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974" w:hRule="atLeast"/>
                <w:jc w:val="center"/>
              </w:trPr>
              <w:tc>
                <w:tcPr>
                  <w:tcW w:w="1136"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kern w:val="2"/>
                      <w:szCs w:val="24"/>
                      <w:highlight w:val="none"/>
                    </w:rPr>
                  </w:pPr>
                </w:p>
              </w:tc>
              <w:tc>
                <w:tcPr>
                  <w:tcW w:w="1884"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default"/>
                      <w:color w:val="auto"/>
                      <w:szCs w:val="21"/>
                      <w:highlight w:val="none"/>
                    </w:rPr>
                  </w:pPr>
                  <w:r>
                    <w:rPr>
                      <w:rFonts w:hint="default"/>
                      <w:color w:val="auto"/>
                      <w:szCs w:val="21"/>
                      <w:highlight w:val="none"/>
                    </w:rPr>
                    <w:t>（三）开展</w:t>
                  </w:r>
                  <w:r>
                    <w:rPr>
                      <w:rFonts w:hint="eastAsia"/>
                      <w:color w:val="auto"/>
                      <w:szCs w:val="21"/>
                      <w:highlight w:val="none"/>
                    </w:rPr>
                    <w:t>专项</w:t>
                  </w:r>
                  <w:r>
                    <w:rPr>
                      <w:rFonts w:hint="default"/>
                      <w:color w:val="auto"/>
                      <w:szCs w:val="21"/>
                      <w:highlight w:val="none"/>
                    </w:rPr>
                    <w:t>行动</w:t>
                  </w:r>
                </w:p>
                <w:p>
                  <w:pPr>
                    <w:pStyle w:val="80"/>
                    <w:keepNext w:val="0"/>
                    <w:keepLines w:val="0"/>
                    <w:widowControl/>
                    <w:suppressLineNumbers w:val="0"/>
                    <w:spacing w:before="0" w:beforeAutospacing="0" w:after="0" w:afterAutospacing="0"/>
                    <w:ind w:left="0" w:right="0"/>
                    <w:jc w:val="both"/>
                    <w:rPr>
                      <w:rFonts w:hint="default"/>
                      <w:color w:val="auto"/>
                      <w:szCs w:val="21"/>
                      <w:highlight w:val="none"/>
                    </w:rPr>
                  </w:pPr>
                  <w:r>
                    <w:rPr>
                      <w:rFonts w:hint="eastAsia"/>
                      <w:color w:val="auto"/>
                      <w:szCs w:val="21"/>
                      <w:highlight w:val="none"/>
                    </w:rPr>
                    <w:t>强化</w:t>
                  </w:r>
                  <w:r>
                    <w:rPr>
                      <w:rFonts w:hint="default"/>
                      <w:color w:val="auto"/>
                      <w:szCs w:val="21"/>
                      <w:highlight w:val="none"/>
                    </w:rPr>
                    <w:t xml:space="preserve">VOCs </w:t>
                  </w:r>
                  <w:r>
                    <w:rPr>
                      <w:rFonts w:hint="eastAsia"/>
                      <w:color w:val="auto"/>
                      <w:szCs w:val="21"/>
                      <w:highlight w:val="none"/>
                    </w:rPr>
                    <w:t xml:space="preserve">末端处理工艺治理。动态更新挥发性有机物治理设施台账，开展简易低效挥发性有机物治理设施清理整治、涉活性炭挥发性有机物处理工艺专项整治行动，强化挥发性有机物无组织排放整治，确保达到相关标准要求。新建项目不再采用低温等离子、光氧化、光催化等处理方式，非水溶性 </w:t>
                  </w:r>
                  <w:r>
                    <w:rPr>
                      <w:rFonts w:hint="default"/>
                      <w:color w:val="auto"/>
                      <w:szCs w:val="21"/>
                      <w:highlight w:val="none"/>
                    </w:rPr>
                    <w:t xml:space="preserve">VOCs </w:t>
                  </w:r>
                  <w:r>
                    <w:rPr>
                      <w:rFonts w:hint="eastAsia"/>
                      <w:color w:val="auto"/>
                      <w:szCs w:val="21"/>
                      <w:highlight w:val="none"/>
                    </w:rPr>
                    <w:t>废气不再采用喷淋吸收方式处理</w:t>
                  </w:r>
                </w:p>
              </w:tc>
              <w:tc>
                <w:tcPr>
                  <w:tcW w:w="1661"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default"/>
                      <w:color w:val="auto"/>
                      <w:szCs w:val="21"/>
                      <w:highlight w:val="none"/>
                      <w:lang w:val="en-US" w:eastAsia="zh-CN"/>
                    </w:rPr>
                  </w:pPr>
                  <w:r>
                    <w:rPr>
                      <w:rFonts w:hint="default"/>
                      <w:color w:val="auto"/>
                      <w:szCs w:val="21"/>
                      <w:highlight w:val="none"/>
                    </w:rPr>
                    <w:t>项目</w:t>
                  </w:r>
                  <w:r>
                    <w:rPr>
                      <w:rFonts w:hint="eastAsia"/>
                      <w:color w:val="auto"/>
                      <w:szCs w:val="21"/>
                      <w:highlight w:val="none"/>
                    </w:rPr>
                    <w:t>生产</w:t>
                  </w:r>
                  <w:r>
                    <w:rPr>
                      <w:rFonts w:hint="default"/>
                      <w:color w:val="auto"/>
                      <w:szCs w:val="21"/>
                      <w:highlight w:val="none"/>
                    </w:rPr>
                    <w:t>过程产生的有机废气</w:t>
                  </w:r>
                  <w:r>
                    <w:rPr>
                      <w:rFonts w:hint="eastAsia"/>
                      <w:color w:val="auto"/>
                      <w:szCs w:val="21"/>
                      <w:highlight w:val="none"/>
                    </w:rPr>
                    <w:t>采用二级</w:t>
                  </w:r>
                  <w:r>
                    <w:rPr>
                      <w:rFonts w:hint="default"/>
                      <w:color w:val="auto"/>
                      <w:szCs w:val="21"/>
                      <w:highlight w:val="none"/>
                    </w:rPr>
                    <w:t>活性炭吸附装置处理</w:t>
                  </w:r>
                  <w:r>
                    <w:rPr>
                      <w:rFonts w:hint="eastAsia"/>
                      <w:color w:val="auto"/>
                      <w:szCs w:val="21"/>
                      <w:highlight w:val="none"/>
                      <w:lang w:eastAsia="zh-CN"/>
                    </w:rPr>
                    <w:t>，</w:t>
                  </w:r>
                  <w:r>
                    <w:rPr>
                      <w:rFonts w:hint="eastAsia"/>
                      <w:color w:val="auto"/>
                      <w:szCs w:val="21"/>
                      <w:highlight w:val="none"/>
                      <w:lang w:val="en-US" w:eastAsia="zh-CN"/>
                    </w:rPr>
                    <w:t>不属于简易低效的</w:t>
                  </w:r>
                  <w:r>
                    <w:rPr>
                      <w:rFonts w:hint="eastAsia"/>
                      <w:color w:val="auto"/>
                      <w:szCs w:val="21"/>
                      <w:highlight w:val="none"/>
                    </w:rPr>
                    <w:t>挥发性有机物治理设施</w:t>
                  </w:r>
                </w:p>
              </w:tc>
              <w:tc>
                <w:tcPr>
                  <w:tcW w:w="31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1039" w:hRule="atLeast"/>
                <w:jc w:val="center"/>
              </w:trPr>
              <w:tc>
                <w:tcPr>
                  <w:tcW w:w="1136" w:type="pct"/>
                  <w:vMerge w:val="restar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kern w:val="2"/>
                      <w:szCs w:val="24"/>
                      <w:highlight w:val="none"/>
                    </w:rPr>
                    <w:t>关于印发</w:t>
                  </w:r>
                  <w:r>
                    <w:rPr>
                      <w:rFonts w:hint="default"/>
                      <w:color w:val="auto"/>
                      <w:kern w:val="2"/>
                      <w:szCs w:val="24"/>
                      <w:highlight w:val="none"/>
                    </w:rPr>
                    <w:t>《</w:t>
                  </w:r>
                  <w:r>
                    <w:rPr>
                      <w:rFonts w:hint="eastAsia"/>
                      <w:color w:val="auto"/>
                      <w:kern w:val="2"/>
                      <w:szCs w:val="24"/>
                      <w:highlight w:val="none"/>
                    </w:rPr>
                    <w:t>泾河新城</w:t>
                  </w:r>
                  <w:r>
                    <w:rPr>
                      <w:rFonts w:hint="default"/>
                      <w:color w:val="auto"/>
                      <w:kern w:val="2"/>
                      <w:szCs w:val="24"/>
                      <w:highlight w:val="none"/>
                    </w:rPr>
                    <w:t>大气污染治理专项行动方案（2023-2027年）</w:t>
                  </w:r>
                  <w:r>
                    <w:rPr>
                      <w:rFonts w:hint="eastAsia"/>
                      <w:color w:val="auto"/>
                      <w:kern w:val="2"/>
                      <w:szCs w:val="24"/>
                      <w:highlight w:val="none"/>
                    </w:rPr>
                    <w:t>的通知（陕泾河发[2023]22号）</w:t>
                  </w:r>
                </w:p>
              </w:tc>
              <w:tc>
                <w:tcPr>
                  <w:tcW w:w="1884"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default"/>
                      <w:color w:val="auto"/>
                      <w:szCs w:val="21"/>
                      <w:highlight w:val="none"/>
                    </w:rPr>
                  </w:pPr>
                  <w:r>
                    <w:rPr>
                      <w:rFonts w:hint="default"/>
                      <w:color w:val="auto"/>
                      <w:szCs w:val="21"/>
                      <w:highlight w:val="none"/>
                    </w:rPr>
                    <w:t>产业发展结构调整。</w:t>
                  </w:r>
                </w:p>
                <w:p>
                  <w:pPr>
                    <w:pStyle w:val="80"/>
                    <w:keepNext w:val="0"/>
                    <w:keepLines w:val="0"/>
                    <w:widowControl/>
                    <w:suppressLineNumbers w:val="0"/>
                    <w:spacing w:before="0" w:beforeAutospacing="0" w:after="0" w:afterAutospacing="0"/>
                    <w:ind w:left="0" w:right="0"/>
                    <w:jc w:val="both"/>
                    <w:rPr>
                      <w:rFonts w:hint="default"/>
                      <w:color w:val="auto"/>
                      <w:szCs w:val="21"/>
                      <w:highlight w:val="none"/>
                    </w:rPr>
                  </w:pPr>
                  <w:r>
                    <w:rPr>
                      <w:rFonts w:hint="eastAsia"/>
                      <w:color w:val="auto"/>
                      <w:szCs w:val="21"/>
                      <w:highlight w:val="none"/>
                    </w:rPr>
                    <w:t>严格新、改、扩建涉气重点行业绩效评级限制条件。新城范围内</w:t>
                  </w:r>
                </w:p>
                <w:p>
                  <w:pPr>
                    <w:pStyle w:val="80"/>
                    <w:keepNext w:val="0"/>
                    <w:keepLines w:val="0"/>
                    <w:widowControl/>
                    <w:suppressLineNumbers w:val="0"/>
                    <w:spacing w:before="0" w:beforeAutospacing="0" w:after="0" w:afterAutospacing="0"/>
                    <w:ind w:left="0" w:right="0"/>
                    <w:jc w:val="both"/>
                    <w:rPr>
                      <w:rFonts w:hint="default"/>
                      <w:color w:val="auto"/>
                      <w:szCs w:val="21"/>
                      <w:highlight w:val="none"/>
                    </w:rPr>
                  </w:pPr>
                  <w:r>
                    <w:rPr>
                      <w:rFonts w:hint="eastAsia"/>
                      <w:color w:val="auto"/>
                      <w:szCs w:val="21"/>
                      <w:highlight w:val="none"/>
                    </w:rPr>
                    <w:t>新、改、扩建涉气重点行业企业应达到环保绩效A级、绩效引领性水平</w:t>
                  </w:r>
                </w:p>
              </w:tc>
              <w:tc>
                <w:tcPr>
                  <w:tcW w:w="1661"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default"/>
                      <w:color w:val="auto"/>
                      <w:szCs w:val="21"/>
                      <w:highlight w:val="none"/>
                    </w:rPr>
                  </w:pPr>
                  <w:r>
                    <w:rPr>
                      <w:rFonts w:hint="default"/>
                      <w:color w:val="auto"/>
                      <w:szCs w:val="21"/>
                      <w:highlight w:val="none"/>
                    </w:rPr>
                    <w:t>本项目为</w:t>
                  </w:r>
                  <w:r>
                    <w:rPr>
                      <w:rFonts w:hint="eastAsia"/>
                      <w:color w:val="auto"/>
                      <w:szCs w:val="20"/>
                      <w:highlight w:val="none"/>
                    </w:rPr>
                    <w:t>塑料制品业</w:t>
                  </w:r>
                  <w:r>
                    <w:rPr>
                      <w:rFonts w:hint="eastAsia"/>
                      <w:color w:val="auto"/>
                      <w:szCs w:val="21"/>
                      <w:highlight w:val="none"/>
                    </w:rPr>
                    <w:t>，不属于《重污染天气重点行业应急减排措施制定技术指南（2020年修订版）》中规定的39个涉气重点行业</w:t>
                  </w:r>
                </w:p>
              </w:tc>
              <w:tc>
                <w:tcPr>
                  <w:tcW w:w="31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1136"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kern w:val="2"/>
                      <w:szCs w:val="24"/>
                      <w:highlight w:val="none"/>
                    </w:rPr>
                  </w:pPr>
                </w:p>
              </w:tc>
              <w:tc>
                <w:tcPr>
                  <w:tcW w:w="1884"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default"/>
                      <w:color w:val="auto"/>
                      <w:szCs w:val="21"/>
                      <w:highlight w:val="none"/>
                    </w:rPr>
                  </w:pPr>
                  <w:r>
                    <w:rPr>
                      <w:rFonts w:hint="eastAsia"/>
                      <w:color w:val="auto"/>
                      <w:szCs w:val="21"/>
                      <w:highlight w:val="none"/>
                    </w:rPr>
                    <w:t>强化</w:t>
                  </w:r>
                  <w:r>
                    <w:rPr>
                      <w:rFonts w:hint="default"/>
                      <w:color w:val="auto"/>
                      <w:szCs w:val="21"/>
                      <w:highlight w:val="none"/>
                    </w:rPr>
                    <w:t xml:space="preserve">VOCs </w:t>
                  </w:r>
                  <w:r>
                    <w:rPr>
                      <w:rFonts w:hint="eastAsia"/>
                      <w:color w:val="auto"/>
                      <w:szCs w:val="21"/>
                      <w:highlight w:val="none"/>
                    </w:rPr>
                    <w:t xml:space="preserve">末端处理工艺治理。动态更新挥发性有机物治理设施台账，开展简易低效挥发性有机物治理设施清理整治、涉活性炭挥发性有机物处理工艺专项整治行动，强化挥发性有机物无组织排放整治，确保达到相关标准要求。新建项目不再采用低温等离子、光氧化、光催化等处理方式，非水溶性 </w:t>
                  </w:r>
                  <w:r>
                    <w:rPr>
                      <w:rFonts w:hint="default"/>
                      <w:color w:val="auto"/>
                      <w:szCs w:val="21"/>
                      <w:highlight w:val="none"/>
                    </w:rPr>
                    <w:t xml:space="preserve">VOCs </w:t>
                  </w:r>
                  <w:r>
                    <w:rPr>
                      <w:rFonts w:hint="eastAsia"/>
                      <w:color w:val="auto"/>
                      <w:szCs w:val="21"/>
                      <w:highlight w:val="none"/>
                    </w:rPr>
                    <w:t>废气不再采用喷淋吸收方式处理</w:t>
                  </w:r>
                </w:p>
              </w:tc>
              <w:tc>
                <w:tcPr>
                  <w:tcW w:w="1661"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eastAsia" w:eastAsia="宋体"/>
                      <w:color w:val="auto"/>
                      <w:szCs w:val="21"/>
                      <w:highlight w:val="none"/>
                      <w:lang w:eastAsia="zh-CN"/>
                    </w:rPr>
                  </w:pPr>
                  <w:r>
                    <w:rPr>
                      <w:rFonts w:hint="default"/>
                      <w:color w:val="auto"/>
                      <w:szCs w:val="21"/>
                      <w:highlight w:val="none"/>
                    </w:rPr>
                    <w:t>项目</w:t>
                  </w:r>
                  <w:r>
                    <w:rPr>
                      <w:rFonts w:hint="eastAsia"/>
                      <w:color w:val="auto"/>
                      <w:szCs w:val="21"/>
                      <w:highlight w:val="none"/>
                    </w:rPr>
                    <w:t>生产</w:t>
                  </w:r>
                  <w:r>
                    <w:rPr>
                      <w:rFonts w:hint="default"/>
                      <w:color w:val="auto"/>
                      <w:szCs w:val="21"/>
                      <w:highlight w:val="none"/>
                    </w:rPr>
                    <w:t>过程产生的有机废气</w:t>
                  </w:r>
                  <w:r>
                    <w:rPr>
                      <w:rFonts w:hint="eastAsia"/>
                      <w:color w:val="auto"/>
                      <w:szCs w:val="21"/>
                      <w:highlight w:val="none"/>
                    </w:rPr>
                    <w:t>采用</w:t>
                  </w:r>
                  <w:r>
                    <w:rPr>
                      <w:rFonts w:hint="eastAsia"/>
                      <w:color w:val="auto"/>
                      <w:szCs w:val="21"/>
                      <w:highlight w:val="none"/>
                      <w:lang w:val="en-US" w:eastAsia="zh-CN"/>
                    </w:rPr>
                    <w:t>二级</w:t>
                  </w:r>
                  <w:r>
                    <w:rPr>
                      <w:rFonts w:hint="default"/>
                      <w:color w:val="auto"/>
                      <w:szCs w:val="21"/>
                      <w:highlight w:val="none"/>
                    </w:rPr>
                    <w:t>活性炭吸附装置处理</w:t>
                  </w:r>
                  <w:r>
                    <w:rPr>
                      <w:rFonts w:hint="eastAsia"/>
                      <w:color w:val="auto"/>
                      <w:szCs w:val="20"/>
                      <w:lang w:eastAsia="zh-CN"/>
                    </w:rPr>
                    <w:t>，</w:t>
                  </w:r>
                  <w:r>
                    <w:rPr>
                      <w:rFonts w:hint="eastAsia"/>
                      <w:color w:val="auto"/>
                      <w:szCs w:val="20"/>
                      <w:lang w:val="en-US" w:eastAsia="zh-CN"/>
                    </w:rPr>
                    <w:t>不属于</w:t>
                  </w:r>
                  <w:r>
                    <w:rPr>
                      <w:rFonts w:hint="eastAsia"/>
                      <w:color w:val="auto"/>
                      <w:szCs w:val="21"/>
                      <w:highlight w:val="none"/>
                    </w:rPr>
                    <w:t>简易低效挥发性有机物治理设施</w:t>
                  </w:r>
                </w:p>
              </w:tc>
              <w:tc>
                <w:tcPr>
                  <w:tcW w:w="31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792" w:hRule="atLeast"/>
                <w:jc w:val="center"/>
              </w:trPr>
              <w:tc>
                <w:tcPr>
                  <w:tcW w:w="1136" w:type="pct"/>
                  <w:vMerge w:val="restar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关于印发《</w:t>
                  </w:r>
                  <w:r>
                    <w:rPr>
                      <w:rFonts w:hint="default"/>
                      <w:color w:val="auto"/>
                      <w:szCs w:val="20"/>
                      <w:highlight w:val="none"/>
                    </w:rPr>
                    <w:t>西安市挥发性有机物污染整治专项实施方案</w:t>
                  </w:r>
                  <w:r>
                    <w:rPr>
                      <w:rFonts w:hint="eastAsia"/>
                      <w:color w:val="auto"/>
                      <w:szCs w:val="20"/>
                      <w:highlight w:val="none"/>
                    </w:rPr>
                    <w:t>》的通知</w:t>
                  </w:r>
                </w:p>
              </w:tc>
              <w:tc>
                <w:tcPr>
                  <w:tcW w:w="1884"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default"/>
                      <w:color w:val="auto"/>
                      <w:szCs w:val="21"/>
                      <w:highlight w:val="none"/>
                    </w:rPr>
                  </w:pPr>
                  <w:r>
                    <w:rPr>
                      <w:rFonts w:hint="default"/>
                      <w:color w:val="auto"/>
                      <w:szCs w:val="21"/>
                      <w:highlight w:val="none"/>
                    </w:rPr>
                    <w:t>低效治理设施升级改造行动。组织开展企业VOCs治理设施排查，对涉及使用低温等离子、光氧化、光催化技术的废气治理设施，非水溶性 VOCs废气采用单一喷淋吸收等治理技术，以及有机化工生产企业使用简易低效污染治理设施的，逐一进行排查，2023年6月底前基本完成 VOCs 治理低效设施升级改造</w:t>
                  </w:r>
                </w:p>
              </w:tc>
              <w:tc>
                <w:tcPr>
                  <w:tcW w:w="1661"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default"/>
                      <w:color w:val="auto"/>
                      <w:szCs w:val="21"/>
                      <w:highlight w:val="none"/>
                    </w:rPr>
                  </w:pPr>
                  <w:r>
                    <w:rPr>
                      <w:rFonts w:hint="eastAsia"/>
                      <w:color w:val="auto"/>
                      <w:szCs w:val="21"/>
                      <w:highlight w:val="none"/>
                    </w:rPr>
                    <w:t>本项目有机废气采用</w:t>
                  </w:r>
                  <w:r>
                    <w:rPr>
                      <w:rFonts w:hint="eastAsia"/>
                      <w:color w:val="auto"/>
                      <w:szCs w:val="21"/>
                      <w:highlight w:val="none"/>
                      <w:lang w:val="en-US" w:eastAsia="zh-CN"/>
                    </w:rPr>
                    <w:t>二级</w:t>
                  </w:r>
                  <w:r>
                    <w:rPr>
                      <w:rFonts w:hint="eastAsia"/>
                      <w:color w:val="auto"/>
                      <w:szCs w:val="21"/>
                      <w:highlight w:val="none"/>
                    </w:rPr>
                    <w:t>活性炭吸附工艺，不属于低效处理工艺</w:t>
                  </w:r>
                </w:p>
              </w:tc>
              <w:tc>
                <w:tcPr>
                  <w:tcW w:w="31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745" w:hRule="atLeast"/>
                <w:jc w:val="center"/>
              </w:trPr>
              <w:tc>
                <w:tcPr>
                  <w:tcW w:w="1136"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1884"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default"/>
                      <w:color w:val="auto"/>
                      <w:szCs w:val="21"/>
                      <w:highlight w:val="none"/>
                    </w:rPr>
                  </w:pPr>
                  <w:r>
                    <w:rPr>
                      <w:rFonts w:hint="default"/>
                      <w:color w:val="auto"/>
                      <w:szCs w:val="21"/>
                      <w:highlight w:val="none"/>
                    </w:rPr>
                    <w:t>强化涉活性炭 VOCs 处理工艺治理。采用活性炭吸附技术的，其中颗粒碳碘吸附值不低于800mg/g或四氯化碳吸附率不低于60%，蜂窝活性炭碘吸附值不低于600mg/g 或四氯化碳吸附率不低于30%，按设计要求足量添加、定期更换，动态更新挥发性有机物治理设施台账</w:t>
                  </w:r>
                </w:p>
              </w:tc>
              <w:tc>
                <w:tcPr>
                  <w:tcW w:w="1661"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default"/>
                      <w:color w:val="auto"/>
                      <w:szCs w:val="21"/>
                      <w:highlight w:val="none"/>
                    </w:rPr>
                  </w:pPr>
                  <w:r>
                    <w:rPr>
                      <w:rFonts w:hint="eastAsia"/>
                      <w:color w:val="auto"/>
                      <w:szCs w:val="21"/>
                      <w:highlight w:val="none"/>
                    </w:rPr>
                    <w:t>环评要求：建设单位采用的蜂窝活性炭</w:t>
                  </w:r>
                  <w:r>
                    <w:rPr>
                      <w:rFonts w:hint="default"/>
                      <w:color w:val="auto"/>
                      <w:szCs w:val="21"/>
                      <w:highlight w:val="none"/>
                    </w:rPr>
                    <w:t>碘吸附值不低于</w:t>
                  </w:r>
                  <w:r>
                    <w:rPr>
                      <w:rFonts w:hint="eastAsia"/>
                      <w:color w:val="auto"/>
                      <w:szCs w:val="21"/>
                      <w:highlight w:val="none"/>
                    </w:rPr>
                    <w:t>6</w:t>
                  </w:r>
                  <w:r>
                    <w:rPr>
                      <w:rFonts w:hint="default"/>
                      <w:color w:val="auto"/>
                      <w:szCs w:val="21"/>
                      <w:highlight w:val="none"/>
                    </w:rPr>
                    <w:t>00mg/g</w:t>
                  </w:r>
                  <w:r>
                    <w:rPr>
                      <w:rFonts w:hint="eastAsia"/>
                      <w:color w:val="auto"/>
                      <w:szCs w:val="21"/>
                      <w:highlight w:val="none"/>
                    </w:rPr>
                    <w:t>，并</w:t>
                  </w:r>
                  <w:r>
                    <w:rPr>
                      <w:rFonts w:hint="default"/>
                      <w:color w:val="auto"/>
                      <w:szCs w:val="21"/>
                      <w:highlight w:val="none"/>
                    </w:rPr>
                    <w:t>按设计要求足量添加、定期更换，动态更新挥发性有机物治理设施台账</w:t>
                  </w:r>
                </w:p>
              </w:tc>
              <w:tc>
                <w:tcPr>
                  <w:tcW w:w="31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173" w:hRule="atLeast"/>
                <w:jc w:val="center"/>
              </w:trPr>
              <w:tc>
                <w:tcPr>
                  <w:tcW w:w="1136" w:type="pct"/>
                  <w:vMerge w:val="restar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《西安市生态环境局</w:t>
                  </w:r>
                  <w:r>
                    <w:rPr>
                      <w:rFonts w:hint="default"/>
                      <w:color w:val="auto"/>
                      <w:szCs w:val="20"/>
                      <w:highlight w:val="none"/>
                    </w:rPr>
                    <w:t>关于加强挥发性有机物活性炭吸附处理设施运行管理工作的通知</w:t>
                  </w:r>
                  <w:r>
                    <w:rPr>
                      <w:rFonts w:hint="eastAsia"/>
                      <w:color w:val="auto"/>
                      <w:szCs w:val="20"/>
                      <w:highlight w:val="none"/>
                    </w:rPr>
                    <w:t>》（市环发[2022]65号）</w:t>
                  </w:r>
                </w:p>
              </w:tc>
              <w:tc>
                <w:tcPr>
                  <w:tcW w:w="1884"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default"/>
                      <w:color w:val="auto"/>
                      <w:szCs w:val="21"/>
                      <w:highlight w:val="none"/>
                    </w:rPr>
                  </w:pPr>
                  <w:r>
                    <w:rPr>
                      <w:rFonts w:hint="eastAsia"/>
                      <w:color w:val="auto"/>
                      <w:szCs w:val="20"/>
                      <w:highlight w:val="none"/>
                    </w:rPr>
                    <w:t>规范治理技术。涉气企业根据当前有关VOCs治理的法律法规、技术规范、政策文件等要求，选择合理的治理工艺，除恶臭异味治理外，淘汰单一使用低温等离子、光催化氧化、活性炭吸附棉、水喷淋等低效处理工艺或其组合工艺。原料VOCs浓度高、排放总量较大的生产工艺原则上采用RTO、RCO等高效处理技术</w:t>
                  </w:r>
                </w:p>
              </w:tc>
              <w:tc>
                <w:tcPr>
                  <w:tcW w:w="1661"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default"/>
                      <w:color w:val="auto"/>
                      <w:szCs w:val="21"/>
                      <w:highlight w:val="none"/>
                    </w:rPr>
                  </w:pPr>
                  <w:r>
                    <w:rPr>
                      <w:rFonts w:hint="eastAsia"/>
                      <w:color w:val="auto"/>
                      <w:szCs w:val="20"/>
                      <w:highlight w:val="none"/>
                    </w:rPr>
                    <w:t>本项目有机废气采用</w:t>
                  </w:r>
                  <w:r>
                    <w:rPr>
                      <w:rFonts w:hint="eastAsia"/>
                      <w:color w:val="auto"/>
                      <w:szCs w:val="20"/>
                      <w:highlight w:val="none"/>
                      <w:lang w:val="en-US" w:eastAsia="zh-CN"/>
                    </w:rPr>
                    <w:t>二级</w:t>
                  </w:r>
                  <w:r>
                    <w:rPr>
                      <w:rFonts w:hint="eastAsia"/>
                      <w:color w:val="auto"/>
                      <w:szCs w:val="20"/>
                      <w:highlight w:val="none"/>
                    </w:rPr>
                    <w:t>活性炭吸附工艺，不属于低效处理工艺，项目产生的VOCs浓度低、排放总量较小</w:t>
                  </w:r>
                </w:p>
              </w:tc>
              <w:tc>
                <w:tcPr>
                  <w:tcW w:w="31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133" w:hRule="atLeast"/>
                <w:jc w:val="center"/>
              </w:trPr>
              <w:tc>
                <w:tcPr>
                  <w:tcW w:w="1136"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1884"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default"/>
                      <w:color w:val="auto"/>
                      <w:szCs w:val="21"/>
                      <w:highlight w:val="none"/>
                    </w:rPr>
                  </w:pPr>
                  <w:r>
                    <w:rPr>
                      <w:rFonts w:hint="eastAsia"/>
                      <w:color w:val="auto"/>
                      <w:szCs w:val="20"/>
                      <w:highlight w:val="none"/>
                    </w:rPr>
                    <w:t>保证活性炭质量：企业购置活性炭必须提供活性炭检测报告，技术指标至少应包括水分含量、耐磨强度（颗粒活性炭）、抗压强度（蜂窝活性炭）、碘吸附值、四氯化碳吸附率、着火点等。活性炭技术指标应符合《工业有机废气净化用活性炭技术指标及试验方法》（LY/T3284）规定的优级活性炭指标要求</w:t>
                  </w:r>
                </w:p>
              </w:tc>
              <w:tc>
                <w:tcPr>
                  <w:tcW w:w="1661"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default"/>
                      <w:color w:val="auto"/>
                      <w:szCs w:val="21"/>
                      <w:highlight w:val="none"/>
                    </w:rPr>
                  </w:pPr>
                  <w:r>
                    <w:rPr>
                      <w:rFonts w:hint="eastAsia"/>
                      <w:color w:val="auto"/>
                      <w:szCs w:val="20"/>
                      <w:highlight w:val="none"/>
                    </w:rPr>
                    <w:t>环评要求企业购置符合《工业有机废气净化用活性炭技术指标及试验方法》（LY/T3284）规定的优级活性炭指标要求的活性炭，并要求出售方提供活性炭检测报告</w:t>
                  </w:r>
                </w:p>
              </w:tc>
              <w:tc>
                <w:tcPr>
                  <w:tcW w:w="31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174" w:hRule="atLeast"/>
                <w:jc w:val="center"/>
              </w:trPr>
              <w:tc>
                <w:tcPr>
                  <w:tcW w:w="1136"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1884"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default"/>
                      <w:color w:val="auto"/>
                      <w:szCs w:val="21"/>
                      <w:highlight w:val="none"/>
                    </w:rPr>
                  </w:pPr>
                  <w:r>
                    <w:rPr>
                      <w:rFonts w:hint="eastAsia"/>
                      <w:color w:val="auto"/>
                      <w:szCs w:val="20"/>
                      <w:highlight w:val="none"/>
                    </w:rPr>
                    <w:t>明确填充量并及时更换：企业应当根据风量和初始浓度范围，明确活性炭的填充量、填充厚度和更换时间</w:t>
                  </w:r>
                </w:p>
              </w:tc>
              <w:tc>
                <w:tcPr>
                  <w:tcW w:w="1661"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default"/>
                      <w:color w:val="auto"/>
                      <w:szCs w:val="21"/>
                      <w:highlight w:val="none"/>
                    </w:rPr>
                  </w:pPr>
                  <w:r>
                    <w:rPr>
                      <w:rFonts w:hint="eastAsia"/>
                      <w:color w:val="auto"/>
                      <w:szCs w:val="20"/>
                      <w:highlight w:val="none"/>
                    </w:rPr>
                    <w:t>报告中明确了活性炭填充量并要求建设单位按要求及时更换</w:t>
                  </w:r>
                </w:p>
              </w:tc>
              <w:tc>
                <w:tcPr>
                  <w:tcW w:w="31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232" w:hRule="atLeast"/>
                <w:jc w:val="center"/>
              </w:trPr>
              <w:tc>
                <w:tcPr>
                  <w:tcW w:w="1136"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1884"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eastAsia" w:eastAsia="宋体"/>
                      <w:color w:val="auto"/>
                      <w:szCs w:val="21"/>
                      <w:highlight w:val="none"/>
                      <w:lang w:eastAsia="zh-CN"/>
                    </w:rPr>
                  </w:pPr>
                  <w:r>
                    <w:rPr>
                      <w:rFonts w:hint="eastAsia"/>
                      <w:color w:val="auto"/>
                      <w:szCs w:val="20"/>
                      <w:highlight w:val="none"/>
                    </w:rPr>
                    <w:t>严格控制无组织排放。涂料、稀释剂、固化剂、清洗剂、胶粘剂等VOCs物料应密闭储存。盛装VOCs物料的容器或包装袋应密闭储存于室内，或存放于设置有雨棚、遮阳和防渗设施的专用场地，非取用状态时应加盖、封口、保持封闭。</w:t>
                  </w:r>
                </w:p>
              </w:tc>
              <w:tc>
                <w:tcPr>
                  <w:tcW w:w="1661"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eastAsia" w:eastAsia="宋体"/>
                      <w:color w:val="auto"/>
                      <w:szCs w:val="21"/>
                      <w:highlight w:val="none"/>
                      <w:lang w:eastAsia="zh-CN"/>
                    </w:rPr>
                  </w:pPr>
                  <w:r>
                    <w:rPr>
                      <w:rFonts w:hint="eastAsia"/>
                      <w:color w:val="auto"/>
                      <w:szCs w:val="20"/>
                      <w:highlight w:val="none"/>
                    </w:rPr>
                    <w:t>项目涉及VOCs的物料密闭储存于包装袋内，包装袋密闭储存于</w:t>
                  </w:r>
                  <w:r>
                    <w:rPr>
                      <w:rFonts w:hint="eastAsia"/>
                      <w:color w:val="auto"/>
                      <w:szCs w:val="20"/>
                      <w:highlight w:val="none"/>
                      <w:lang w:eastAsia="zh-CN"/>
                    </w:rPr>
                    <w:t>原料区</w:t>
                  </w:r>
                  <w:r>
                    <w:rPr>
                      <w:rFonts w:hint="eastAsia"/>
                      <w:color w:val="auto"/>
                      <w:szCs w:val="20"/>
                      <w:highlight w:val="none"/>
                    </w:rPr>
                    <w:t>内，非取用状态时封口、保持封闭。</w:t>
                  </w:r>
                </w:p>
              </w:tc>
              <w:tc>
                <w:tcPr>
                  <w:tcW w:w="31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153" w:hRule="atLeast"/>
                <w:jc w:val="center"/>
              </w:trPr>
              <w:tc>
                <w:tcPr>
                  <w:tcW w:w="1136"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1884"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default"/>
                      <w:color w:val="auto"/>
                      <w:szCs w:val="21"/>
                      <w:highlight w:val="none"/>
                    </w:rPr>
                  </w:pPr>
                  <w:r>
                    <w:rPr>
                      <w:rFonts w:hint="eastAsia"/>
                      <w:color w:val="auto"/>
                      <w:szCs w:val="20"/>
                      <w:highlight w:val="none"/>
                    </w:rPr>
                    <w:t>严格危废管理：产生废活性炭的企业，必须与有许可证的危废经营单位签订危废处置协议</w:t>
                  </w:r>
                </w:p>
              </w:tc>
              <w:tc>
                <w:tcPr>
                  <w:tcW w:w="1661"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default"/>
                      <w:color w:val="auto"/>
                      <w:szCs w:val="21"/>
                      <w:highlight w:val="none"/>
                    </w:rPr>
                  </w:pPr>
                  <w:r>
                    <w:rPr>
                      <w:rFonts w:hint="eastAsia"/>
                      <w:color w:val="auto"/>
                      <w:szCs w:val="20"/>
                      <w:highlight w:val="none"/>
                    </w:rPr>
                    <w:t>建设单位与有资质单位签订危废处置协议，活性炭交有资质单位处置</w:t>
                  </w:r>
                </w:p>
              </w:tc>
              <w:tc>
                <w:tcPr>
                  <w:tcW w:w="31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153" w:hRule="atLeast"/>
                <w:jc w:val="center"/>
              </w:trPr>
              <w:tc>
                <w:tcPr>
                  <w:tcW w:w="1136" w:type="pct"/>
                  <w:vMerge w:val="restar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《挥发性有机物（</w:t>
                  </w:r>
                  <w:r>
                    <w:rPr>
                      <w:rFonts w:hint="default" w:eastAsia="Times New Roman"/>
                      <w:color w:val="auto"/>
                      <w:szCs w:val="20"/>
                      <w:highlight w:val="none"/>
                    </w:rPr>
                    <w:t>VOCs</w:t>
                  </w:r>
                  <w:r>
                    <w:rPr>
                      <w:rFonts w:hint="default"/>
                      <w:color w:val="auto"/>
                      <w:szCs w:val="20"/>
                      <w:highlight w:val="none"/>
                    </w:rPr>
                    <w:t>）污染防治技术政策》（环境</w:t>
                  </w:r>
                  <w:r>
                    <w:rPr>
                      <w:rFonts w:hint="default"/>
                      <w:color w:val="auto"/>
                      <w:spacing w:val="17"/>
                      <w:szCs w:val="20"/>
                      <w:highlight w:val="none"/>
                    </w:rPr>
                    <w:t>保护部公告</w:t>
                  </w:r>
                  <w:r>
                    <w:rPr>
                      <w:rFonts w:hint="default" w:eastAsia="Times New Roman"/>
                      <w:color w:val="auto"/>
                      <w:spacing w:val="17"/>
                      <w:szCs w:val="20"/>
                      <w:highlight w:val="none"/>
                    </w:rPr>
                    <w:t>2013</w:t>
                  </w:r>
                  <w:r>
                    <w:rPr>
                      <w:rFonts w:hint="default"/>
                      <w:color w:val="auto"/>
                      <w:spacing w:val="10"/>
                      <w:szCs w:val="20"/>
                      <w:highlight w:val="none"/>
                    </w:rPr>
                    <w:t>年第</w:t>
                  </w:r>
                  <w:r>
                    <w:rPr>
                      <w:rFonts w:hint="default" w:eastAsia="Times New Roman"/>
                      <w:color w:val="auto"/>
                      <w:szCs w:val="20"/>
                      <w:highlight w:val="none"/>
                    </w:rPr>
                    <w:t>31</w:t>
                  </w:r>
                  <w:r>
                    <w:rPr>
                      <w:rFonts w:hint="default"/>
                      <w:color w:val="auto"/>
                      <w:szCs w:val="20"/>
                      <w:highlight w:val="none"/>
                    </w:rPr>
                    <w:t>号）</w:t>
                  </w:r>
                </w:p>
              </w:tc>
              <w:tc>
                <w:tcPr>
                  <w:tcW w:w="1884"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eastAsia"/>
                      <w:color w:val="auto"/>
                      <w:szCs w:val="20"/>
                      <w:highlight w:val="none"/>
                    </w:rPr>
                  </w:pPr>
                  <w:r>
                    <w:rPr>
                      <w:rFonts w:hint="default"/>
                      <w:color w:val="auto"/>
                      <w:szCs w:val="20"/>
                      <w:highlight w:val="none"/>
                    </w:rPr>
                    <w:t>含VOCs产品的使用过程中，应采取废气收集措施，提高废气收集效率，减少废气的无组织排放与逸散，并对收集后的废气进行回收或处理后达标排放</w:t>
                  </w:r>
                </w:p>
              </w:tc>
              <w:tc>
                <w:tcPr>
                  <w:tcW w:w="1661"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eastAsia"/>
                      <w:color w:val="auto"/>
                      <w:szCs w:val="20"/>
                      <w:highlight w:val="none"/>
                    </w:rPr>
                  </w:pPr>
                  <w:r>
                    <w:rPr>
                      <w:rFonts w:hint="default"/>
                      <w:color w:val="auto"/>
                      <w:szCs w:val="20"/>
                      <w:highlight w:val="none"/>
                    </w:rPr>
                    <w:t>项目运营期</w:t>
                  </w:r>
                  <w:r>
                    <w:rPr>
                      <w:rFonts w:hint="eastAsia"/>
                      <w:color w:val="auto"/>
                      <w:szCs w:val="20"/>
                      <w:highlight w:val="none"/>
                    </w:rPr>
                    <w:t>产生的</w:t>
                  </w:r>
                  <w:r>
                    <w:rPr>
                      <w:rFonts w:hint="default"/>
                      <w:color w:val="auto"/>
                      <w:szCs w:val="20"/>
                      <w:highlight w:val="none"/>
                    </w:rPr>
                    <w:t>有机废气采用</w:t>
                  </w:r>
                  <w:r>
                    <w:rPr>
                      <w:rFonts w:hint="eastAsia"/>
                      <w:color w:val="auto"/>
                      <w:szCs w:val="20"/>
                      <w:highlight w:val="none"/>
                    </w:rPr>
                    <w:t>集气罩收集+</w:t>
                  </w:r>
                  <w:r>
                    <w:rPr>
                      <w:rFonts w:hint="default"/>
                      <w:color w:val="auto"/>
                      <w:szCs w:val="20"/>
                      <w:highlight w:val="none"/>
                    </w:rPr>
                    <w:t>两级活性炭吸附</w:t>
                  </w:r>
                  <w:r>
                    <w:rPr>
                      <w:rFonts w:hint="eastAsia"/>
                      <w:color w:val="auto"/>
                      <w:szCs w:val="20"/>
                      <w:highlight w:val="none"/>
                    </w:rPr>
                    <w:t>+15m排气筒</w:t>
                  </w:r>
                  <w:r>
                    <w:rPr>
                      <w:rFonts w:hint="default"/>
                      <w:color w:val="auto"/>
                      <w:szCs w:val="20"/>
                      <w:highlight w:val="none"/>
                    </w:rPr>
                    <w:t>达标排放</w:t>
                  </w:r>
                  <w:r>
                    <w:rPr>
                      <w:rFonts w:hint="eastAsia"/>
                      <w:color w:val="auto"/>
                      <w:szCs w:val="20"/>
                      <w:highlight w:val="none"/>
                    </w:rPr>
                    <w:t>；收集效率8</w:t>
                  </w:r>
                  <w:r>
                    <w:rPr>
                      <w:rFonts w:hint="eastAsia"/>
                      <w:color w:val="auto"/>
                      <w:szCs w:val="20"/>
                      <w:highlight w:val="none"/>
                      <w:lang w:val="en-US" w:eastAsia="zh-CN"/>
                    </w:rPr>
                    <w:t>5</w:t>
                  </w:r>
                  <w:r>
                    <w:rPr>
                      <w:rFonts w:hint="eastAsia"/>
                      <w:color w:val="auto"/>
                      <w:szCs w:val="20"/>
                      <w:highlight w:val="none"/>
                    </w:rPr>
                    <w:t>%</w:t>
                  </w:r>
                </w:p>
              </w:tc>
              <w:tc>
                <w:tcPr>
                  <w:tcW w:w="31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color w:val="auto"/>
                      <w:szCs w:val="20"/>
                      <w:highlight w:val="none"/>
                    </w:rPr>
                  </w:pPr>
                  <w:r>
                    <w:rPr>
                      <w:rFonts w:hint="default"/>
                      <w:color w:val="auto"/>
                      <w:szCs w:val="20"/>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153" w:hRule="atLeast"/>
                <w:jc w:val="center"/>
              </w:trPr>
              <w:tc>
                <w:tcPr>
                  <w:tcW w:w="1136"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1884"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eastAsia"/>
                      <w:color w:val="auto"/>
                      <w:szCs w:val="20"/>
                      <w:highlight w:val="none"/>
                    </w:rPr>
                  </w:pPr>
                  <w:r>
                    <w:rPr>
                      <w:rFonts w:hint="eastAsia"/>
                      <w:color w:val="auto"/>
                      <w:szCs w:val="21"/>
                      <w:highlight w:val="none"/>
                    </w:rPr>
                    <w:t>对于含低浓度VOC</w:t>
                  </w:r>
                  <w:r>
                    <w:rPr>
                      <w:rFonts w:hint="eastAsia"/>
                      <w:color w:val="auto"/>
                      <w:szCs w:val="21"/>
                      <w:highlight w:val="none"/>
                      <w:vertAlign w:val="subscript"/>
                    </w:rPr>
                    <w:t>S</w:t>
                  </w:r>
                  <w:r>
                    <w:rPr>
                      <w:rFonts w:hint="eastAsia"/>
                      <w:color w:val="auto"/>
                      <w:szCs w:val="21"/>
                      <w:highlight w:val="none"/>
                    </w:rPr>
                    <w:t>的废气，有回收价值时可采用吸附技术、吸收技术对有机溶剂回收后达标排放；不宜回收时，可采用吸附浓缩燃烧技术、生物技术、吸收技术、等离子技术或紫外光高级氧化技术等净化后达标排放</w:t>
                  </w:r>
                </w:p>
              </w:tc>
              <w:tc>
                <w:tcPr>
                  <w:tcW w:w="1661"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eastAsia"/>
                      <w:color w:val="auto"/>
                      <w:szCs w:val="20"/>
                      <w:highlight w:val="none"/>
                    </w:rPr>
                  </w:pPr>
                  <w:r>
                    <w:rPr>
                      <w:rFonts w:hint="eastAsia"/>
                      <w:color w:val="auto"/>
                      <w:szCs w:val="20"/>
                      <w:highlight w:val="none"/>
                    </w:rPr>
                    <w:t>本项目挤出</w:t>
                  </w:r>
                  <w:r>
                    <w:rPr>
                      <w:rFonts w:hint="eastAsia"/>
                      <w:color w:val="auto"/>
                      <w:szCs w:val="20"/>
                      <w:highlight w:val="none"/>
                      <w:lang w:val="en-US" w:eastAsia="zh-CN"/>
                    </w:rPr>
                    <w:t>产生的有机</w:t>
                  </w:r>
                  <w:r>
                    <w:rPr>
                      <w:rFonts w:hint="default"/>
                      <w:color w:val="auto"/>
                      <w:szCs w:val="24"/>
                      <w:highlight w:val="none"/>
                    </w:rPr>
                    <w:t>废气中挥发性有机物浓度较低，</w:t>
                  </w:r>
                  <w:r>
                    <w:rPr>
                      <w:rFonts w:hint="eastAsia"/>
                      <w:color w:val="auto"/>
                      <w:szCs w:val="24"/>
                      <w:highlight w:val="none"/>
                    </w:rPr>
                    <w:t>采用集气罩收集后经</w:t>
                  </w:r>
                  <w:r>
                    <w:rPr>
                      <w:rFonts w:hint="eastAsia"/>
                      <w:color w:val="auto"/>
                      <w:szCs w:val="21"/>
                      <w:highlight w:val="none"/>
                    </w:rPr>
                    <w:t>两级活性炭吸附装置+15m高排气筒（DA002）达标排放</w:t>
                  </w:r>
                </w:p>
              </w:tc>
              <w:tc>
                <w:tcPr>
                  <w:tcW w:w="31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color w:val="auto"/>
                      <w:szCs w:val="20"/>
                      <w:highlight w:val="none"/>
                    </w:rPr>
                  </w:pPr>
                  <w:r>
                    <w:rPr>
                      <w:rFonts w:hint="default"/>
                      <w:color w:val="auto"/>
                      <w:szCs w:val="20"/>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153" w:hRule="atLeast"/>
                <w:jc w:val="center"/>
              </w:trPr>
              <w:tc>
                <w:tcPr>
                  <w:tcW w:w="1136"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1884"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eastAsia"/>
                      <w:color w:val="auto"/>
                      <w:szCs w:val="20"/>
                      <w:highlight w:val="none"/>
                    </w:rPr>
                  </w:pPr>
                  <w:r>
                    <w:rPr>
                      <w:rFonts w:hint="default"/>
                      <w:color w:val="auto"/>
                      <w:kern w:val="2"/>
                      <w:szCs w:val="21"/>
                      <w:highlight w:val="none"/>
                    </w:rPr>
                    <w:t>企业应建立健全VOCs治理设施的运行维护规程和台帐等日常管理制度，并根据工艺要求定期对各类设备、电气、自控仪表等进行检修维护，确保设施的稳定运行</w:t>
                  </w:r>
                </w:p>
              </w:tc>
              <w:tc>
                <w:tcPr>
                  <w:tcW w:w="1661"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eastAsia"/>
                      <w:color w:val="auto"/>
                      <w:szCs w:val="20"/>
                      <w:highlight w:val="none"/>
                    </w:rPr>
                  </w:pPr>
                  <w:r>
                    <w:rPr>
                      <w:rFonts w:hint="eastAsia"/>
                      <w:color w:val="auto"/>
                      <w:szCs w:val="21"/>
                      <w:highlight w:val="none"/>
                    </w:rPr>
                    <w:t>本项目</w:t>
                  </w:r>
                  <w:r>
                    <w:rPr>
                      <w:rFonts w:hint="default"/>
                      <w:color w:val="auto"/>
                      <w:kern w:val="2"/>
                      <w:szCs w:val="21"/>
                      <w:highlight w:val="none"/>
                    </w:rPr>
                    <w:t>VOCs治理</w:t>
                  </w:r>
                  <w:r>
                    <w:rPr>
                      <w:rFonts w:hint="eastAsia"/>
                      <w:color w:val="auto"/>
                      <w:kern w:val="2"/>
                      <w:szCs w:val="21"/>
                      <w:highlight w:val="none"/>
                    </w:rPr>
                    <w:t>采用二级</w:t>
                  </w:r>
                  <w:r>
                    <w:rPr>
                      <w:rFonts w:hint="eastAsia"/>
                      <w:color w:val="auto"/>
                      <w:szCs w:val="21"/>
                      <w:highlight w:val="none"/>
                    </w:rPr>
                    <w:t>活性炭吸附装置，更换的废活性炭属于危废，暂存于</w:t>
                  </w:r>
                  <w:r>
                    <w:rPr>
                      <w:rFonts w:hint="eastAsia"/>
                      <w:color w:val="auto"/>
                      <w:szCs w:val="21"/>
                      <w:highlight w:val="none"/>
                      <w:lang w:eastAsia="zh-CN"/>
                    </w:rPr>
                    <w:t>危废贮存库</w:t>
                  </w:r>
                  <w:r>
                    <w:rPr>
                      <w:rFonts w:hint="eastAsia"/>
                      <w:color w:val="auto"/>
                      <w:szCs w:val="21"/>
                      <w:highlight w:val="none"/>
                    </w:rPr>
                    <w:t>，并记录台账管理，后交由有资质单位处置</w:t>
                  </w:r>
                </w:p>
              </w:tc>
              <w:tc>
                <w:tcPr>
                  <w:tcW w:w="31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color w:val="auto"/>
                      <w:szCs w:val="20"/>
                      <w:highlight w:val="none"/>
                    </w:rPr>
                  </w:pPr>
                  <w:r>
                    <w:rPr>
                      <w:rFonts w:hint="eastAsia"/>
                      <w:color w:val="auto"/>
                      <w:szCs w:val="20"/>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153" w:hRule="atLeast"/>
                <w:jc w:val="center"/>
              </w:trPr>
              <w:tc>
                <w:tcPr>
                  <w:tcW w:w="1136" w:type="pct"/>
                  <w:vMerge w:val="restar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《挥发性有机物无组织排放控制标准》（GB37822-2019）</w:t>
                  </w:r>
                </w:p>
              </w:tc>
              <w:tc>
                <w:tcPr>
                  <w:tcW w:w="1884"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eastAsia"/>
                      <w:color w:val="auto"/>
                      <w:szCs w:val="20"/>
                      <w:highlight w:val="none"/>
                    </w:rPr>
                  </w:pPr>
                  <w:r>
                    <w:rPr>
                      <w:rFonts w:hint="eastAsia"/>
                      <w:color w:val="auto"/>
                      <w:szCs w:val="20"/>
                      <w:highlight w:val="none"/>
                    </w:rPr>
                    <w:t>5.1.1VOCs物料应储存与密闭的容器、包装袋、储罐、储库、料仓中</w:t>
                  </w:r>
                </w:p>
              </w:tc>
              <w:tc>
                <w:tcPr>
                  <w:tcW w:w="1661"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eastAsia"/>
                      <w:color w:val="auto"/>
                      <w:szCs w:val="20"/>
                      <w:highlight w:val="none"/>
                    </w:rPr>
                  </w:pPr>
                  <w:r>
                    <w:rPr>
                      <w:rFonts w:hint="eastAsia"/>
                      <w:color w:val="auto"/>
                      <w:szCs w:val="20"/>
                      <w:highlight w:val="none"/>
                    </w:rPr>
                    <w:t>本项目涉及VOCs的物料储存于密闭包装袋内</w:t>
                  </w:r>
                </w:p>
              </w:tc>
              <w:tc>
                <w:tcPr>
                  <w:tcW w:w="318"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eastAsia"/>
                      <w:color w:val="auto"/>
                      <w:szCs w:val="20"/>
                      <w:highlight w:val="none"/>
                    </w:rPr>
                  </w:pPr>
                  <w:r>
                    <w:rPr>
                      <w:rFonts w:hint="default"/>
                      <w:color w:val="auto"/>
                      <w:szCs w:val="20"/>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153" w:hRule="atLeast"/>
                <w:jc w:val="center"/>
              </w:trPr>
              <w:tc>
                <w:tcPr>
                  <w:tcW w:w="1136"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1884" w:type="pct"/>
                  <w:tcBorders>
                    <w:tl2br w:val="nil"/>
                    <w:tr2bl w:val="nil"/>
                  </w:tcBorders>
                  <w:vAlign w:val="center"/>
                </w:tcPr>
                <w:p>
                  <w:pPr>
                    <w:pStyle w:val="32"/>
                    <w:keepNext w:val="0"/>
                    <w:keepLines w:val="0"/>
                    <w:widowControl w:val="0"/>
                    <w:suppressLineNumbers w:val="0"/>
                    <w:adjustRightInd w:val="0"/>
                    <w:snapToGrid w:val="0"/>
                    <w:spacing w:before="0" w:beforeAutospacing="0" w:after="0" w:afterAutospacing="0" w:line="240" w:lineRule="auto"/>
                    <w:ind w:left="0" w:right="0" w:firstLine="0" w:firstLineChars="0"/>
                    <w:rPr>
                      <w:rFonts w:hint="eastAsia"/>
                      <w:color w:val="auto"/>
                      <w:highlight w:val="none"/>
                    </w:rPr>
                  </w:pPr>
                  <w:r>
                    <w:rPr>
                      <w:rFonts w:hint="eastAsia" w:ascii="Times New Roman" w:hAnsi="Times New Roman"/>
                      <w:color w:val="auto"/>
                      <w:kern w:val="2"/>
                      <w:sz w:val="21"/>
                      <w:szCs w:val="21"/>
                      <w:highlight w:val="none"/>
                    </w:rPr>
                    <w:t>5.1.2盛装VOCs物料的容器或包装袋应存放于室内，或存放于设置有雨棚、遮阳和防渗设施的专用场地。盛装VOCs物料的容器或包装在非取用状态时应加盖、封口、保持密闭</w:t>
                  </w:r>
                </w:p>
              </w:tc>
              <w:tc>
                <w:tcPr>
                  <w:tcW w:w="1661" w:type="pct"/>
                  <w:tcBorders>
                    <w:tl2br w:val="nil"/>
                    <w:tr2bl w:val="nil"/>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rPr>
                      <w:rFonts w:hint="eastAsia"/>
                      <w:color w:val="auto"/>
                      <w:highlight w:val="none"/>
                    </w:rPr>
                  </w:pPr>
                  <w:r>
                    <w:rPr>
                      <w:rFonts w:hint="eastAsia"/>
                      <w:color w:val="auto"/>
                      <w:sz w:val="21"/>
                      <w:szCs w:val="21"/>
                      <w:highlight w:val="none"/>
                    </w:rPr>
                    <w:t>盛装VOCs物料的包装袋存放于</w:t>
                  </w:r>
                  <w:r>
                    <w:rPr>
                      <w:rFonts w:hint="eastAsia"/>
                      <w:color w:val="auto"/>
                      <w:sz w:val="21"/>
                      <w:szCs w:val="21"/>
                      <w:highlight w:val="none"/>
                      <w:lang w:eastAsia="zh-CN"/>
                    </w:rPr>
                    <w:t>原料区</w:t>
                  </w:r>
                  <w:r>
                    <w:rPr>
                      <w:rFonts w:hint="eastAsia"/>
                      <w:color w:val="auto"/>
                      <w:sz w:val="21"/>
                      <w:szCs w:val="21"/>
                      <w:highlight w:val="none"/>
                    </w:rPr>
                    <w:t>内，盛装VOCs物料的容器或在非取用状态时封口、保持密闭</w:t>
                  </w:r>
                </w:p>
              </w:tc>
              <w:tc>
                <w:tcPr>
                  <w:tcW w:w="318" w:type="pct"/>
                  <w:tcBorders>
                    <w:tl2br w:val="nil"/>
                    <w:tr2bl w:val="nil"/>
                  </w:tcBorders>
                  <w:vAlign w:val="center"/>
                </w:tcPr>
                <w:p>
                  <w:pPr>
                    <w:pStyle w:val="32"/>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eastAsia"/>
                      <w:color w:val="auto"/>
                      <w:highlight w:val="none"/>
                    </w:rPr>
                  </w:pPr>
                  <w:r>
                    <w:rPr>
                      <w:rFonts w:hint="default" w:ascii="Times New Roman" w:hAnsi="Times New Roman"/>
                      <w:color w:val="auto"/>
                      <w:sz w:val="21"/>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153" w:hRule="atLeast"/>
                <w:jc w:val="center"/>
              </w:trPr>
              <w:tc>
                <w:tcPr>
                  <w:tcW w:w="1136"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1884" w:type="pct"/>
                  <w:tcBorders>
                    <w:tl2br w:val="nil"/>
                    <w:tr2bl w:val="nil"/>
                  </w:tcBorders>
                  <w:vAlign w:val="center"/>
                </w:tcPr>
                <w:p>
                  <w:pPr>
                    <w:pStyle w:val="32"/>
                    <w:keepNext w:val="0"/>
                    <w:keepLines w:val="0"/>
                    <w:widowControl w:val="0"/>
                    <w:suppressLineNumbers w:val="0"/>
                    <w:adjustRightInd w:val="0"/>
                    <w:snapToGrid w:val="0"/>
                    <w:spacing w:before="0" w:beforeAutospacing="0" w:after="0" w:afterAutospacing="0" w:line="240" w:lineRule="auto"/>
                    <w:ind w:left="0" w:right="0" w:firstLine="0" w:firstLineChars="0"/>
                    <w:rPr>
                      <w:rFonts w:hint="eastAsia"/>
                      <w:color w:val="auto"/>
                      <w:highlight w:val="none"/>
                    </w:rPr>
                  </w:pPr>
                  <w:r>
                    <w:rPr>
                      <w:rFonts w:hint="eastAsia" w:ascii="Times New Roman" w:hAnsi="Times New Roman"/>
                      <w:color w:val="auto"/>
                      <w:kern w:val="2"/>
                      <w:sz w:val="21"/>
                      <w:szCs w:val="21"/>
                      <w:highlight w:val="none"/>
                    </w:rPr>
                    <w:t>6.1.1液态VOCs物料应采用密闭管道输送</w:t>
                  </w:r>
                </w:p>
              </w:tc>
              <w:tc>
                <w:tcPr>
                  <w:tcW w:w="1661" w:type="pct"/>
                  <w:tcBorders>
                    <w:tl2br w:val="nil"/>
                    <w:tr2bl w:val="nil"/>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rPr>
                      <w:rFonts w:hint="eastAsia"/>
                      <w:color w:val="auto"/>
                      <w:highlight w:val="none"/>
                    </w:rPr>
                  </w:pPr>
                  <w:r>
                    <w:rPr>
                      <w:rFonts w:hint="eastAsia"/>
                      <w:color w:val="auto"/>
                      <w:sz w:val="21"/>
                      <w:szCs w:val="21"/>
                      <w:highlight w:val="none"/>
                    </w:rPr>
                    <w:t>项目生产中物料输送采用密闭管道输送</w:t>
                  </w:r>
                </w:p>
              </w:tc>
              <w:tc>
                <w:tcPr>
                  <w:tcW w:w="31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color w:val="auto"/>
                      <w:szCs w:val="20"/>
                      <w:highlight w:val="none"/>
                    </w:rPr>
                  </w:pPr>
                  <w:r>
                    <w:rPr>
                      <w:rFonts w:hint="default"/>
                      <w:color w:val="auto"/>
                      <w:szCs w:val="20"/>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153" w:hRule="atLeast"/>
                <w:jc w:val="center"/>
              </w:trPr>
              <w:tc>
                <w:tcPr>
                  <w:tcW w:w="1136"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1884" w:type="pct"/>
                  <w:tcBorders>
                    <w:tl2br w:val="nil"/>
                    <w:tr2bl w:val="nil"/>
                  </w:tcBorders>
                  <w:vAlign w:val="center"/>
                </w:tcPr>
                <w:p>
                  <w:pPr>
                    <w:pStyle w:val="32"/>
                    <w:keepNext w:val="0"/>
                    <w:keepLines w:val="0"/>
                    <w:widowControl w:val="0"/>
                    <w:suppressLineNumbers w:val="0"/>
                    <w:adjustRightInd w:val="0"/>
                    <w:snapToGrid w:val="0"/>
                    <w:spacing w:before="0" w:beforeAutospacing="0" w:after="0" w:afterAutospacing="0" w:line="240" w:lineRule="auto"/>
                    <w:ind w:left="0" w:right="0" w:firstLine="0" w:firstLineChars="0"/>
                    <w:rPr>
                      <w:rFonts w:hint="eastAsia"/>
                      <w:color w:val="auto"/>
                      <w:highlight w:val="none"/>
                    </w:rPr>
                  </w:pPr>
                  <w:r>
                    <w:rPr>
                      <w:rFonts w:hint="eastAsia" w:ascii="Times New Roman" w:hAnsi="Times New Roman"/>
                      <w:color w:val="auto"/>
                      <w:kern w:val="2"/>
                      <w:sz w:val="21"/>
                      <w:szCs w:val="21"/>
                      <w:highlight w:val="none"/>
                    </w:rPr>
                    <w:t>10.2.2废气收集系统排风罩（集气罩）的设置应符合GB/T16758的规定。采用外部排风罩的....控制风速不应低于0.3m/s</w:t>
                  </w:r>
                </w:p>
              </w:tc>
              <w:tc>
                <w:tcPr>
                  <w:tcW w:w="1661" w:type="pct"/>
                  <w:tcBorders>
                    <w:tl2br w:val="nil"/>
                    <w:tr2bl w:val="nil"/>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rPr>
                      <w:rFonts w:hint="eastAsia"/>
                      <w:color w:val="auto"/>
                      <w:highlight w:val="none"/>
                    </w:rPr>
                  </w:pPr>
                  <w:r>
                    <w:rPr>
                      <w:rFonts w:hint="eastAsia"/>
                      <w:color w:val="auto"/>
                      <w:sz w:val="21"/>
                      <w:szCs w:val="21"/>
                      <w:highlight w:val="none"/>
                    </w:rPr>
                    <w:t>项目有机废气收集系统集气罩收集风速不应低于0.3m/s</w:t>
                  </w:r>
                </w:p>
              </w:tc>
              <w:tc>
                <w:tcPr>
                  <w:tcW w:w="31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color w:val="auto"/>
                      <w:szCs w:val="20"/>
                      <w:highlight w:val="none"/>
                    </w:rPr>
                  </w:pPr>
                  <w:r>
                    <w:rPr>
                      <w:rFonts w:hint="default"/>
                      <w:color w:val="auto"/>
                      <w:szCs w:val="20"/>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153" w:hRule="atLeast"/>
                <w:jc w:val="center"/>
              </w:trPr>
              <w:tc>
                <w:tcPr>
                  <w:tcW w:w="1136"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1884"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eastAsia"/>
                      <w:color w:val="auto"/>
                      <w:szCs w:val="20"/>
                      <w:highlight w:val="none"/>
                    </w:rPr>
                  </w:pPr>
                  <w:r>
                    <w:rPr>
                      <w:rFonts w:hint="eastAsia"/>
                      <w:color w:val="auto"/>
                      <w:szCs w:val="20"/>
                      <w:highlight w:val="none"/>
                    </w:rPr>
                    <w:t>10.3.2收集的废气中NMHC初始排放速率≥3kg/h时，应配置VOCs处理设施，处理效率不应低于80%；对于重点地区，收集的废气中NMHC初始排放速率≥2kg/h时，应配置VOCs处理设施，处理效率不应低于80%</w:t>
                  </w:r>
                </w:p>
              </w:tc>
              <w:tc>
                <w:tcPr>
                  <w:tcW w:w="1661"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eastAsia"/>
                      <w:color w:val="auto"/>
                      <w:szCs w:val="20"/>
                      <w:highlight w:val="none"/>
                    </w:rPr>
                  </w:pPr>
                  <w:r>
                    <w:rPr>
                      <w:rFonts w:hint="default"/>
                      <w:color w:val="auto"/>
                      <w:szCs w:val="21"/>
                      <w:highlight w:val="none"/>
                    </w:rPr>
                    <w:t>经计算本项目</w:t>
                  </w:r>
                  <w:r>
                    <w:rPr>
                      <w:rFonts w:hint="eastAsia"/>
                      <w:color w:val="auto"/>
                      <w:szCs w:val="21"/>
                      <w:highlight w:val="none"/>
                    </w:rPr>
                    <w:t>NMHC初始排放速率为</w:t>
                  </w:r>
                  <w:r>
                    <w:rPr>
                      <w:rFonts w:hint="eastAsia"/>
                      <w:color w:val="auto"/>
                      <w:szCs w:val="21"/>
                      <w:highlight w:val="none"/>
                      <w:lang w:val="en-US" w:eastAsia="zh-CN"/>
                    </w:rPr>
                    <w:t>0.53</w:t>
                  </w:r>
                  <w:r>
                    <w:rPr>
                      <w:rFonts w:hint="eastAsia"/>
                      <w:color w:val="auto"/>
                      <w:szCs w:val="21"/>
                      <w:highlight w:val="none"/>
                    </w:rPr>
                    <w:t>kg/h</w:t>
                  </w:r>
                  <w:r>
                    <w:rPr>
                      <w:rFonts w:hint="eastAsia"/>
                      <w:color w:val="auto"/>
                      <w:szCs w:val="21"/>
                      <w:highlight w:val="none"/>
                      <w:lang w:val="en-US" w:eastAsia="zh-CN"/>
                    </w:rPr>
                    <w:t>小</w:t>
                  </w:r>
                  <w:r>
                    <w:rPr>
                      <w:rFonts w:hint="eastAsia"/>
                      <w:color w:val="auto"/>
                      <w:szCs w:val="21"/>
                      <w:highlight w:val="none"/>
                    </w:rPr>
                    <w:t>于</w:t>
                  </w:r>
                  <w:r>
                    <w:rPr>
                      <w:rFonts w:hint="eastAsia"/>
                      <w:color w:val="auto"/>
                      <w:szCs w:val="21"/>
                      <w:highlight w:val="none"/>
                      <w:lang w:val="en-US" w:eastAsia="zh-CN"/>
                    </w:rPr>
                    <w:t>2</w:t>
                  </w:r>
                  <w:r>
                    <w:rPr>
                      <w:rFonts w:hint="eastAsia"/>
                      <w:color w:val="auto"/>
                      <w:szCs w:val="21"/>
                      <w:highlight w:val="none"/>
                    </w:rPr>
                    <w:t>kg/h</w:t>
                  </w:r>
                  <w:r>
                    <w:rPr>
                      <w:rFonts w:hint="eastAsia"/>
                      <w:color w:val="auto"/>
                      <w:szCs w:val="21"/>
                      <w:highlight w:val="none"/>
                      <w:lang w:eastAsia="zh-CN"/>
                    </w:rPr>
                    <w:t>；</w:t>
                  </w:r>
                  <w:r>
                    <w:rPr>
                      <w:rFonts w:hint="eastAsia"/>
                      <w:color w:val="auto"/>
                      <w:szCs w:val="21"/>
                      <w:highlight w:val="none"/>
                      <w:lang w:val="en-US" w:eastAsia="zh-CN"/>
                    </w:rPr>
                    <w:t>为进一步减少有机废气的排放，</w:t>
                  </w:r>
                  <w:r>
                    <w:rPr>
                      <w:rFonts w:hint="eastAsia"/>
                      <w:color w:val="auto"/>
                      <w:szCs w:val="21"/>
                      <w:highlight w:val="none"/>
                    </w:rPr>
                    <w:t>有机废气采用</w:t>
                  </w:r>
                  <w:r>
                    <w:rPr>
                      <w:rFonts w:hint="eastAsia"/>
                      <w:color w:val="auto"/>
                      <w:szCs w:val="20"/>
                      <w:highlight w:val="none"/>
                    </w:rPr>
                    <w:t>集气罩</w:t>
                  </w:r>
                  <w:r>
                    <w:rPr>
                      <w:rFonts w:hint="eastAsia"/>
                      <w:color w:val="auto"/>
                      <w:szCs w:val="21"/>
                      <w:highlight w:val="none"/>
                    </w:rPr>
                    <w:t>收集（收集效率为8</w:t>
                  </w:r>
                  <w:r>
                    <w:rPr>
                      <w:rFonts w:hint="eastAsia"/>
                      <w:color w:val="auto"/>
                      <w:szCs w:val="21"/>
                      <w:highlight w:val="none"/>
                      <w:lang w:val="en-US" w:eastAsia="zh-CN"/>
                    </w:rPr>
                    <w:t>5</w:t>
                  </w:r>
                  <w:r>
                    <w:rPr>
                      <w:rFonts w:hint="eastAsia"/>
                      <w:color w:val="auto"/>
                      <w:szCs w:val="21"/>
                      <w:highlight w:val="none"/>
                    </w:rPr>
                    <w:t>%）后经两级活性炭吸附后经15m排气筒排放，处理效率为</w:t>
                  </w:r>
                  <w:r>
                    <w:rPr>
                      <w:rFonts w:hint="eastAsia"/>
                      <w:color w:val="auto"/>
                      <w:szCs w:val="21"/>
                      <w:highlight w:val="none"/>
                      <w:lang w:val="en-US" w:eastAsia="zh-CN"/>
                    </w:rPr>
                    <w:t>38%</w:t>
                  </w:r>
                  <w:r>
                    <w:rPr>
                      <w:rFonts w:hint="eastAsia"/>
                      <w:color w:val="auto"/>
                      <w:szCs w:val="21"/>
                      <w:highlight w:val="none"/>
                    </w:rPr>
                    <w:t>。</w:t>
                  </w:r>
                </w:p>
              </w:tc>
              <w:tc>
                <w:tcPr>
                  <w:tcW w:w="31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color w:val="auto"/>
                      <w:szCs w:val="20"/>
                      <w:highlight w:val="none"/>
                    </w:rPr>
                  </w:pPr>
                  <w:r>
                    <w:rPr>
                      <w:rFonts w:hint="default"/>
                      <w:color w:val="auto"/>
                      <w:szCs w:val="20"/>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153" w:hRule="atLeast"/>
                <w:jc w:val="center"/>
              </w:trPr>
              <w:tc>
                <w:tcPr>
                  <w:tcW w:w="1136"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1884"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eastAsia"/>
                      <w:color w:val="auto"/>
                      <w:szCs w:val="20"/>
                      <w:highlight w:val="none"/>
                    </w:rPr>
                  </w:pPr>
                  <w:r>
                    <w:rPr>
                      <w:rFonts w:hint="default"/>
                      <w:color w:val="auto"/>
                      <w:szCs w:val="20"/>
                      <w:highlight w:val="none"/>
                    </w:rPr>
                    <w:t>VOCs废气收集处理系统应与生产工艺设备同步运行。VOCs废气收集处理系统发生故障或检修时，对应的生产工艺设备应停止运行，待检修完毕后同步投入使用；生产工艺设备不能停止运行或不能及时停止运行的，应设置废气应急处理设施或采取其他替代措施</w:t>
                  </w:r>
                  <w:r>
                    <w:rPr>
                      <w:rFonts w:hint="eastAsia"/>
                      <w:color w:val="auto"/>
                      <w:szCs w:val="20"/>
                      <w:highlight w:val="none"/>
                    </w:rPr>
                    <w:t>。</w:t>
                  </w:r>
                </w:p>
              </w:tc>
              <w:tc>
                <w:tcPr>
                  <w:tcW w:w="1661"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eastAsia"/>
                      <w:color w:val="auto"/>
                      <w:szCs w:val="20"/>
                      <w:highlight w:val="none"/>
                    </w:rPr>
                  </w:pPr>
                  <w:r>
                    <w:rPr>
                      <w:rFonts w:hint="default"/>
                      <w:color w:val="auto"/>
                      <w:szCs w:val="20"/>
                      <w:highlight w:val="none"/>
                    </w:rPr>
                    <w:t>项目按要求将VOCs废气收集处理系统应与生产工艺设备同步运行。VOCs废气收集处理系统发生故障或检修时，对应的生产工艺设备应停止运行，待检修完毕后同步投入使用</w:t>
                  </w:r>
                  <w:r>
                    <w:rPr>
                      <w:rFonts w:hint="eastAsia"/>
                      <w:color w:val="auto"/>
                      <w:szCs w:val="20"/>
                      <w:highlight w:val="none"/>
                    </w:rPr>
                    <w:t>。</w:t>
                  </w:r>
                </w:p>
              </w:tc>
              <w:tc>
                <w:tcPr>
                  <w:tcW w:w="31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color w:val="auto"/>
                      <w:szCs w:val="20"/>
                      <w:highlight w:val="none"/>
                    </w:rPr>
                  </w:pPr>
                  <w:r>
                    <w:rPr>
                      <w:rFonts w:hint="default"/>
                      <w:color w:val="auto"/>
                      <w:szCs w:val="20"/>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153" w:hRule="atLeast"/>
                <w:jc w:val="center"/>
              </w:trPr>
              <w:tc>
                <w:tcPr>
                  <w:tcW w:w="1136"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default" w:ascii="Times New Roman" w:hAnsi="Times New Roman" w:eastAsia="宋体" w:cs="Times New Roman"/>
                      <w:color w:val="auto"/>
                      <w:sz w:val="21"/>
                      <w:szCs w:val="20"/>
                      <w:highlight w:val="none"/>
                      <w:lang w:val="en-US" w:eastAsia="zh-CN" w:bidi="ar-SA"/>
                    </w:rPr>
                  </w:pPr>
                  <w:r>
                    <w:rPr>
                      <w:rFonts w:hint="default"/>
                      <w:color w:val="auto"/>
                      <w:szCs w:val="20"/>
                      <w:highlight w:val="none"/>
                    </w:rPr>
                    <w:t>《</w:t>
                  </w:r>
                  <w:r>
                    <w:rPr>
                      <w:rFonts w:hint="eastAsia"/>
                      <w:color w:val="auto"/>
                      <w:szCs w:val="20"/>
                      <w:highlight w:val="none"/>
                    </w:rPr>
                    <w:t>关于加快解决当前挥发性有机物治理突出问题的通知》（环大气〔2021〕65号）</w:t>
                  </w:r>
                </w:p>
              </w:tc>
              <w:tc>
                <w:tcPr>
                  <w:tcW w:w="1884"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eastAsia" w:ascii="Times New Roman" w:hAnsi="Times New Roman" w:eastAsia="宋体" w:cs="Times New Roman"/>
                      <w:color w:val="auto"/>
                      <w:sz w:val="21"/>
                      <w:szCs w:val="20"/>
                      <w:highlight w:val="none"/>
                      <w:lang w:val="en-US" w:eastAsia="zh-CN" w:bidi="ar-SA"/>
                    </w:rPr>
                  </w:pPr>
                  <w:r>
                    <w:rPr>
                      <w:rFonts w:hint="eastAsia"/>
                      <w:color w:val="auto"/>
                      <w:szCs w:val="20"/>
                      <w:highlight w:val="none"/>
                    </w:rPr>
                    <w:t>加强对企业自行监测的监督管理，提高企业自行监测数据质量；联合有关部门对第三方检测机构实施“双随机、一公开”监督抽查。</w:t>
                  </w:r>
                </w:p>
              </w:tc>
              <w:tc>
                <w:tcPr>
                  <w:tcW w:w="1661" w:type="pct"/>
                  <w:tcBorders>
                    <w:tl2br w:val="nil"/>
                    <w:tr2bl w:val="nil"/>
                  </w:tcBorders>
                  <w:vAlign w:val="center"/>
                </w:tcPr>
                <w:p>
                  <w:pPr>
                    <w:pStyle w:val="80"/>
                    <w:keepNext w:val="0"/>
                    <w:keepLines w:val="0"/>
                    <w:widowControl/>
                    <w:suppressLineNumbers w:val="0"/>
                    <w:spacing w:before="0" w:beforeAutospacing="0" w:after="0" w:afterAutospacing="0"/>
                    <w:ind w:left="0" w:right="0"/>
                    <w:jc w:val="both"/>
                    <w:rPr>
                      <w:rFonts w:hint="eastAsia" w:ascii="Times New Roman" w:hAnsi="Times New Roman" w:eastAsia="宋体" w:cs="Times New Roman"/>
                      <w:color w:val="auto"/>
                      <w:sz w:val="21"/>
                      <w:szCs w:val="20"/>
                      <w:highlight w:val="none"/>
                      <w:lang w:val="en-US" w:eastAsia="zh-CN" w:bidi="ar-SA"/>
                    </w:rPr>
                  </w:pPr>
                  <w:r>
                    <w:rPr>
                      <w:rFonts w:hint="eastAsia"/>
                      <w:color w:val="auto"/>
                      <w:szCs w:val="20"/>
                      <w:highlight w:val="none"/>
                    </w:rPr>
                    <w:t>本项目建设单位严格按照要求落实自行监测，加强环保设施运行管理，提高监测数据质量；积极配合与第三方检测机构环保检查工作。</w:t>
                  </w:r>
                </w:p>
              </w:tc>
              <w:tc>
                <w:tcPr>
                  <w:tcW w:w="31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ascii="Times New Roman" w:hAnsi="Times New Roman" w:eastAsia="宋体" w:cs="Times New Roman"/>
                      <w:color w:val="auto"/>
                      <w:sz w:val="21"/>
                      <w:szCs w:val="20"/>
                      <w:highlight w:val="none"/>
                      <w:lang w:val="en-US" w:eastAsia="zh-CN" w:bidi="ar-SA"/>
                    </w:rPr>
                  </w:pPr>
                  <w:r>
                    <w:rPr>
                      <w:rFonts w:hint="eastAsia"/>
                      <w:color w:val="auto"/>
                      <w:szCs w:val="20"/>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153" w:hRule="atLeast"/>
                <w:jc w:val="center"/>
              </w:trPr>
              <w:tc>
                <w:tcPr>
                  <w:tcW w:w="1136" w:type="pct"/>
                  <w:tcBorders>
                    <w:tl2br w:val="nil"/>
                    <w:tr2bl w:val="nil"/>
                  </w:tcBorders>
                  <w:vAlign w:val="center"/>
                </w:tcPr>
                <w:p>
                  <w:pPr>
                    <w:pStyle w:val="80"/>
                    <w:keepNext w:val="0"/>
                    <w:keepLines w:val="0"/>
                    <w:pageBreakBefore w:val="0"/>
                    <w:widowControl/>
                    <w:suppressLineNumbers w:val="0"/>
                    <w:kinsoku/>
                    <w:wordWrap/>
                    <w:overflowPunct/>
                    <w:topLinePunct w:val="0"/>
                    <w:bidi w:val="0"/>
                    <w:spacing w:before="0" w:beforeAutospacing="0" w:after="0" w:afterAutospacing="0"/>
                    <w:ind w:left="0" w:right="0" w:firstLine="0" w:firstLineChars="0"/>
                    <w:jc w:val="center"/>
                    <w:rPr>
                      <w:rFonts w:hint="default" w:ascii="Times New Roman" w:hAnsi="Times New Roman" w:eastAsia="宋体" w:cs="Times New Roman"/>
                      <w:color w:val="auto"/>
                      <w:sz w:val="21"/>
                      <w:szCs w:val="20"/>
                      <w:highlight w:val="none"/>
                      <w:lang w:val="en-US" w:eastAsia="zh-CN" w:bidi="ar-SA"/>
                    </w:rPr>
                  </w:pPr>
                  <w:r>
                    <w:rPr>
                      <w:rFonts w:hint="eastAsia"/>
                      <w:bCs/>
                      <w:color w:val="auto"/>
                      <w:szCs w:val="21"/>
                      <w:highlight w:val="none"/>
                    </w:rPr>
                    <w:t>《重点行业挥发性有机物综合治理方案》（环大气〔2019〕53号）</w:t>
                  </w:r>
                </w:p>
              </w:tc>
              <w:tc>
                <w:tcPr>
                  <w:tcW w:w="1884" w:type="pct"/>
                  <w:tcBorders>
                    <w:tl2br w:val="nil"/>
                    <w:tr2bl w:val="nil"/>
                  </w:tcBorders>
                  <w:vAlign w:val="center"/>
                </w:tcPr>
                <w:p>
                  <w:pPr>
                    <w:pStyle w:val="80"/>
                    <w:keepNext w:val="0"/>
                    <w:keepLines w:val="0"/>
                    <w:pageBreakBefore w:val="0"/>
                    <w:widowControl/>
                    <w:suppressLineNumbers w:val="0"/>
                    <w:kinsoku/>
                    <w:wordWrap/>
                    <w:overflowPunct/>
                    <w:topLinePunct w:val="0"/>
                    <w:bidi w:val="0"/>
                    <w:spacing w:before="0" w:beforeAutospacing="0" w:after="0" w:afterAutospacing="0"/>
                    <w:ind w:left="0" w:right="0" w:firstLine="0" w:firstLineChars="0"/>
                    <w:jc w:val="both"/>
                    <w:rPr>
                      <w:rFonts w:hint="eastAsia" w:ascii="Times New Roman" w:hAnsi="Times New Roman" w:eastAsia="宋体" w:cs="Times New Roman"/>
                      <w:color w:val="auto"/>
                      <w:sz w:val="21"/>
                      <w:szCs w:val="20"/>
                      <w:highlight w:val="none"/>
                      <w:lang w:val="en-US" w:eastAsia="zh-CN" w:bidi="ar-SA"/>
                    </w:rPr>
                  </w:pPr>
                  <w:r>
                    <w:rPr>
                      <w:rFonts w:hint="eastAsia" w:ascii="Times New Roman" w:hAnsi="Times New Roman" w:eastAsia="宋体" w:cs="Times New Roman"/>
                      <w:color w:val="auto"/>
                      <w:szCs w:val="20"/>
                      <w:highlight w:val="none"/>
                    </w:rPr>
                    <w:t>相对于颗粒物、二氧化硫、氮氧化物污染控制，VOCs管理基础薄弱，已成为大气环境管理短板。石化、化工、工业涂装、包装印刷、油品储运销等行业（以下简称重点行业）是我国VOCs重点排放源。为打赢蓝天保卫战、进一步改善环境空气质量，迫切需要全面加强重点行业VOCs综合治理。</w:t>
                  </w:r>
                </w:p>
              </w:tc>
              <w:tc>
                <w:tcPr>
                  <w:tcW w:w="1661" w:type="pct"/>
                  <w:tcBorders>
                    <w:tl2br w:val="nil"/>
                    <w:tr2bl w:val="nil"/>
                  </w:tcBorders>
                  <w:vAlign w:val="center"/>
                </w:tcPr>
                <w:p>
                  <w:pPr>
                    <w:pStyle w:val="80"/>
                    <w:keepNext w:val="0"/>
                    <w:keepLines w:val="0"/>
                    <w:pageBreakBefore w:val="0"/>
                    <w:widowControl/>
                    <w:suppressLineNumbers w:val="0"/>
                    <w:kinsoku/>
                    <w:wordWrap/>
                    <w:overflowPunct/>
                    <w:topLinePunct w:val="0"/>
                    <w:bidi w:val="0"/>
                    <w:spacing w:before="0" w:beforeAutospacing="0" w:after="0" w:afterAutospacing="0"/>
                    <w:ind w:left="0" w:right="0" w:firstLine="0" w:firstLineChars="0"/>
                    <w:jc w:val="both"/>
                    <w:rPr>
                      <w:rFonts w:hint="eastAsia" w:ascii="Times New Roman" w:hAnsi="Times New Roman" w:eastAsia="宋体" w:cs="Times New Roman"/>
                      <w:color w:val="auto"/>
                      <w:sz w:val="21"/>
                      <w:szCs w:val="20"/>
                      <w:highlight w:val="none"/>
                      <w:lang w:val="en-US" w:eastAsia="zh-CN" w:bidi="ar-SA"/>
                    </w:rPr>
                  </w:pPr>
                  <w:r>
                    <w:rPr>
                      <w:rFonts w:hint="eastAsia"/>
                      <w:color w:val="auto"/>
                      <w:sz w:val="21"/>
                      <w:szCs w:val="21"/>
                      <w:highlight w:val="none"/>
                    </w:rPr>
                    <w:t>本项目为塑料制品业，不属于</w:t>
                  </w:r>
                  <w:r>
                    <w:rPr>
                      <w:rFonts w:hint="eastAsia" w:ascii="Times New Roman" w:hAnsi="Times New Roman" w:eastAsia="宋体" w:cs="Times New Roman"/>
                      <w:color w:val="auto"/>
                      <w:szCs w:val="20"/>
                      <w:highlight w:val="none"/>
                    </w:rPr>
                    <w:t>石化、化工、工业涂装、包装印刷、油品储运销等</w:t>
                  </w:r>
                  <w:r>
                    <w:rPr>
                      <w:rFonts w:hint="eastAsia"/>
                      <w:color w:val="auto"/>
                      <w:sz w:val="21"/>
                      <w:szCs w:val="21"/>
                      <w:highlight w:val="none"/>
                    </w:rPr>
                    <w:t>重点行业。</w:t>
                  </w:r>
                </w:p>
              </w:tc>
              <w:tc>
                <w:tcPr>
                  <w:tcW w:w="318" w:type="pct"/>
                  <w:tcBorders>
                    <w:tl2br w:val="nil"/>
                    <w:tr2bl w:val="nil"/>
                  </w:tcBorders>
                  <w:vAlign w:val="center"/>
                </w:tcPr>
                <w:p>
                  <w:pPr>
                    <w:pStyle w:val="80"/>
                    <w:keepNext w:val="0"/>
                    <w:keepLines w:val="0"/>
                    <w:pageBreakBefore w:val="0"/>
                    <w:widowControl/>
                    <w:suppressLineNumbers w:val="0"/>
                    <w:kinsoku/>
                    <w:wordWrap/>
                    <w:overflowPunct/>
                    <w:topLinePunct w:val="0"/>
                    <w:bidi w:val="0"/>
                    <w:spacing w:before="0" w:beforeAutospacing="0" w:after="0" w:afterAutospacing="0"/>
                    <w:ind w:left="0" w:right="0" w:firstLine="0" w:firstLineChars="0"/>
                    <w:jc w:val="both"/>
                    <w:rPr>
                      <w:rFonts w:hint="eastAsia" w:ascii="Times New Roman" w:hAnsi="Times New Roman" w:eastAsia="宋体" w:cs="Times New Roman"/>
                      <w:color w:val="auto"/>
                      <w:sz w:val="21"/>
                      <w:szCs w:val="20"/>
                      <w:highlight w:val="none"/>
                      <w:lang w:val="en-US" w:eastAsia="zh-CN" w:bidi="ar-SA"/>
                    </w:rPr>
                  </w:pPr>
                  <w:r>
                    <w:rPr>
                      <w:rFonts w:hint="eastAsia"/>
                      <w:color w:val="auto"/>
                      <w:szCs w:val="20"/>
                      <w:highlight w:val="none"/>
                    </w:rPr>
                    <w:t>符合</w:t>
                  </w:r>
                </w:p>
              </w:tc>
            </w:tr>
          </w:tbl>
          <w:p>
            <w:pPr>
              <w:keepNext w:val="0"/>
              <w:keepLines w:val="0"/>
              <w:suppressLineNumbers w:val="0"/>
              <w:spacing w:before="0" w:beforeAutospacing="0" w:after="0" w:afterAutospacing="0"/>
              <w:ind w:left="0" w:right="0" w:firstLine="482"/>
              <w:rPr>
                <w:rFonts w:hint="eastAsia"/>
                <w:b/>
                <w:color w:val="auto"/>
                <w:highlight w:val="none"/>
              </w:rPr>
            </w:pPr>
          </w:p>
          <w:p>
            <w:pPr>
              <w:keepNext w:val="0"/>
              <w:keepLines w:val="0"/>
              <w:suppressLineNumbers w:val="0"/>
              <w:spacing w:before="0" w:beforeAutospacing="0" w:after="0" w:afterAutospacing="0"/>
              <w:ind w:left="0" w:right="0" w:firstLine="482"/>
              <w:rPr>
                <w:rFonts w:hint="default"/>
                <w:b/>
                <w:color w:val="auto"/>
                <w:highlight w:val="none"/>
              </w:rPr>
            </w:pPr>
            <w:r>
              <w:rPr>
                <w:rFonts w:hint="eastAsia"/>
                <w:b/>
                <w:color w:val="auto"/>
                <w:highlight w:val="none"/>
              </w:rPr>
              <w:t>4、</w:t>
            </w:r>
            <w:r>
              <w:rPr>
                <w:rFonts w:hint="default"/>
                <w:b/>
                <w:color w:val="auto"/>
                <w:highlight w:val="none"/>
              </w:rPr>
              <w:t>选址合理性分析</w:t>
            </w:r>
          </w:p>
          <w:p>
            <w:pPr>
              <w:keepNext w:val="0"/>
              <w:keepLines w:val="0"/>
              <w:suppressLineNumbers w:val="0"/>
              <w:spacing w:before="0" w:beforeAutospacing="0" w:after="0" w:afterAutospacing="0"/>
              <w:ind w:left="0" w:right="0" w:firstLine="480"/>
              <w:rPr>
                <w:rFonts w:hint="default"/>
                <w:color w:val="auto"/>
                <w:highlight w:val="none"/>
              </w:rPr>
            </w:pPr>
            <w:r>
              <w:rPr>
                <w:rFonts w:hint="eastAsia" w:cs="Times New Roman"/>
                <w:color w:val="auto"/>
                <w:sz w:val="24"/>
                <w:highlight w:val="none"/>
                <w:lang w:val="en-US" w:eastAsia="zh-CN"/>
              </w:rPr>
              <w:t>本项目</w:t>
            </w:r>
            <w:r>
              <w:rPr>
                <w:rFonts w:hint="default" w:ascii="Times New Roman" w:hAnsi="Times New Roman" w:cs="Times New Roman"/>
                <w:color w:val="auto"/>
                <w:sz w:val="24"/>
                <w:szCs w:val="28"/>
                <w:highlight w:val="none"/>
              </w:rPr>
              <w:t>租赁陕西</w:t>
            </w:r>
            <w:r>
              <w:rPr>
                <w:rFonts w:hint="eastAsia" w:ascii="Times New Roman" w:hAnsi="Times New Roman" w:cs="Times New Roman"/>
                <w:color w:val="auto"/>
                <w:sz w:val="24"/>
                <w:szCs w:val="28"/>
                <w:highlight w:val="none"/>
                <w:lang w:val="en-US" w:eastAsia="zh-CN"/>
              </w:rPr>
              <w:t>泓泽智业科技</w:t>
            </w:r>
            <w:r>
              <w:rPr>
                <w:rFonts w:hint="default" w:ascii="Times New Roman" w:hAnsi="Times New Roman" w:eastAsia="宋体" w:cs="Times New Roman"/>
                <w:color w:val="auto"/>
                <w:sz w:val="24"/>
                <w:szCs w:val="28"/>
                <w:highlight w:val="none"/>
              </w:rPr>
              <w:t>有限公司</w:t>
            </w:r>
            <w:r>
              <w:rPr>
                <w:rFonts w:hint="eastAsia" w:ascii="Times New Roman" w:hAnsi="Times New Roman" w:eastAsia="宋体" w:cs="Times New Roman"/>
                <w:color w:val="auto"/>
                <w:sz w:val="24"/>
                <w:szCs w:val="28"/>
                <w:highlight w:val="none"/>
                <w:lang w:val="en-US" w:eastAsia="zh-CN"/>
              </w:rPr>
              <w:t>空置</w:t>
            </w:r>
            <w:r>
              <w:rPr>
                <w:rFonts w:hint="default" w:ascii="Times New Roman" w:hAnsi="Times New Roman" w:eastAsia="宋体" w:cs="Times New Roman"/>
                <w:color w:val="auto"/>
                <w:sz w:val="24"/>
                <w:szCs w:val="28"/>
                <w:highlight w:val="none"/>
              </w:rPr>
              <w:t>厂房</w:t>
            </w:r>
            <w:r>
              <w:rPr>
                <w:rFonts w:hint="eastAsia" w:cs="Times New Roman"/>
                <w:color w:val="auto"/>
                <w:sz w:val="24"/>
                <w:szCs w:val="28"/>
                <w:highlight w:val="none"/>
                <w:lang w:eastAsia="zh-CN"/>
              </w:rPr>
              <w:t>，</w:t>
            </w:r>
            <w:r>
              <w:rPr>
                <w:rFonts w:hint="eastAsia" w:cs="Times New Roman"/>
                <w:color w:val="auto"/>
                <w:sz w:val="24"/>
                <w:szCs w:val="28"/>
                <w:highlight w:val="none"/>
                <w:lang w:val="en-US" w:eastAsia="zh-CN"/>
              </w:rPr>
              <w:t>根据不动产权登记证书（陕2023西咸新区不动产权第0043290号，具体见附件3，</w:t>
            </w:r>
            <w:r>
              <w:rPr>
                <w:rFonts w:hint="eastAsia"/>
                <w:color w:val="auto"/>
                <w:highlight w:val="none"/>
              </w:rPr>
              <w:t>项目租赁合同见附件</w:t>
            </w:r>
            <w:r>
              <w:rPr>
                <w:rFonts w:hint="eastAsia"/>
                <w:color w:val="auto"/>
                <w:highlight w:val="none"/>
                <w:lang w:val="en-US" w:eastAsia="zh-CN"/>
              </w:rPr>
              <w:t>4</w:t>
            </w:r>
            <w:r>
              <w:rPr>
                <w:rFonts w:hint="eastAsia" w:cs="Times New Roman"/>
                <w:color w:val="auto"/>
                <w:sz w:val="24"/>
                <w:szCs w:val="28"/>
                <w:highlight w:val="none"/>
                <w:lang w:val="en-US" w:eastAsia="zh-CN"/>
              </w:rPr>
              <w:t>），项目用地为工业用地</w:t>
            </w:r>
            <w:r>
              <w:rPr>
                <w:rFonts w:hint="default"/>
                <w:color w:val="auto"/>
                <w:highlight w:val="none"/>
              </w:rPr>
              <w:t>；</w:t>
            </w:r>
            <w:r>
              <w:rPr>
                <w:rFonts w:hint="eastAsia"/>
                <w:color w:val="auto"/>
                <w:highlight w:val="none"/>
                <w:lang w:val="en-US" w:eastAsia="zh-CN"/>
              </w:rPr>
              <w:t>根据《西咸新区</w:t>
            </w:r>
            <w:r>
              <w:rPr>
                <w:rFonts w:hint="eastAsia" w:ascii="Times New Roman" w:hAnsi="Times New Roman" w:eastAsia="宋体" w:cs="Times New Roman"/>
                <w:color w:val="auto"/>
                <w:highlight w:val="none"/>
                <w:lang w:val="en-US" w:eastAsia="zh-CN"/>
              </w:rPr>
              <w:t>泾河新城控制性详细规划》，</w:t>
            </w:r>
            <w:r>
              <w:rPr>
                <w:rFonts w:hint="eastAsia" w:cs="Times New Roman"/>
                <w:color w:val="auto"/>
                <w:highlight w:val="none"/>
                <w:lang w:val="en-US" w:eastAsia="zh-CN"/>
              </w:rPr>
              <w:t>项目所在地规划用地性质为二类工业用地，因此，</w:t>
            </w:r>
            <w:r>
              <w:rPr>
                <w:rFonts w:hint="eastAsia"/>
                <w:color w:val="auto"/>
                <w:highlight w:val="none"/>
              </w:rPr>
              <w:t>项目选址符合规划</w:t>
            </w:r>
            <w:r>
              <w:rPr>
                <w:rFonts w:hint="eastAsia"/>
                <w:color w:val="auto"/>
                <w:highlight w:val="none"/>
                <w:lang w:val="en-US" w:eastAsia="zh-CN"/>
              </w:rPr>
              <w:t>要求</w:t>
            </w:r>
            <w:r>
              <w:rPr>
                <w:rFonts w:hint="default"/>
                <w:color w:val="auto"/>
                <w:highlight w:val="none"/>
              </w:rPr>
              <w:t>。</w:t>
            </w:r>
          </w:p>
          <w:p>
            <w:pPr>
              <w:keepNext w:val="0"/>
              <w:keepLines/>
              <w:suppressLineNumbers w:val="0"/>
              <w:tabs>
                <w:tab w:val="left" w:pos="3150"/>
                <w:tab w:val="left" w:pos="4305"/>
              </w:tabs>
              <w:adjustRightInd w:val="0"/>
              <w:snapToGrid w:val="0"/>
              <w:spacing w:before="0" w:beforeAutospacing="0" w:after="0" w:afterAutospacing="0"/>
              <w:ind w:left="0" w:right="0" w:firstLine="480"/>
              <w:rPr>
                <w:rFonts w:hint="default"/>
                <w:color w:val="auto"/>
                <w:highlight w:val="none"/>
              </w:rPr>
            </w:pPr>
            <w:r>
              <w:rPr>
                <w:rFonts w:hint="default"/>
                <w:color w:val="auto"/>
                <w:highlight w:val="none"/>
              </w:rPr>
              <w:t>本项目</w:t>
            </w:r>
            <w:r>
              <w:rPr>
                <w:rFonts w:hint="eastAsia"/>
                <w:color w:val="auto"/>
                <w:highlight w:val="none"/>
                <w:lang w:val="en-US" w:eastAsia="zh-CN"/>
              </w:rPr>
              <w:t>迁建后</w:t>
            </w:r>
            <w:r>
              <w:rPr>
                <w:rFonts w:hint="eastAsia"/>
                <w:color w:val="auto"/>
                <w:highlight w:val="none"/>
              </w:rPr>
              <w:t>位于陕西省西咸新区</w:t>
            </w:r>
            <w:r>
              <w:rPr>
                <w:rFonts w:hint="eastAsia"/>
                <w:color w:val="auto"/>
                <w:highlight w:val="none"/>
                <w:lang w:eastAsia="zh-CN"/>
              </w:rPr>
              <w:t>泾河新城工业密集区永乐工业园尚家一街北</w:t>
            </w:r>
            <w:r>
              <w:rPr>
                <w:rFonts w:hint="eastAsia"/>
                <w:color w:val="auto"/>
                <w:highlight w:val="none"/>
              </w:rPr>
              <w:t>，项目</w:t>
            </w:r>
            <w:r>
              <w:rPr>
                <w:rFonts w:hint="default"/>
                <w:color w:val="auto"/>
                <w:highlight w:val="none"/>
              </w:rPr>
              <w:t>进厂道路与</w:t>
            </w:r>
            <w:r>
              <w:rPr>
                <w:rFonts w:hint="eastAsia"/>
                <w:color w:val="auto"/>
                <w:highlight w:val="none"/>
              </w:rPr>
              <w:t>园区道路</w:t>
            </w:r>
            <w:r>
              <w:rPr>
                <w:rFonts w:hint="default"/>
                <w:color w:val="auto"/>
                <w:highlight w:val="none"/>
              </w:rPr>
              <w:t>连接，所在区域路网完善、交通便利</w:t>
            </w:r>
            <w:r>
              <w:rPr>
                <w:rFonts w:hint="eastAsia"/>
                <w:color w:val="auto"/>
                <w:highlight w:val="none"/>
              </w:rPr>
              <w:t>。</w:t>
            </w:r>
            <w:r>
              <w:rPr>
                <w:rFonts w:hint="default"/>
                <w:color w:val="auto"/>
                <w:highlight w:val="none"/>
              </w:rPr>
              <w:t>项目所在地给水、供电、排水等基础设施完善，能满足本项目需求。</w:t>
            </w:r>
          </w:p>
          <w:p>
            <w:pPr>
              <w:keepNext w:val="0"/>
              <w:keepLines w:val="0"/>
              <w:suppressLineNumbers w:val="0"/>
              <w:spacing w:before="0" w:beforeAutospacing="0" w:after="0" w:afterAutospacing="0"/>
              <w:ind w:left="0" w:right="0" w:firstLine="480"/>
              <w:rPr>
                <w:rFonts w:hint="default"/>
                <w:color w:val="auto"/>
                <w:highlight w:val="none"/>
              </w:rPr>
            </w:pPr>
            <w:r>
              <w:rPr>
                <w:rFonts w:hint="default"/>
                <w:color w:val="auto"/>
                <w:highlight w:val="none"/>
              </w:rPr>
              <w:t>项目</w:t>
            </w:r>
            <w:r>
              <w:rPr>
                <w:rFonts w:hint="eastAsia"/>
                <w:color w:val="auto"/>
                <w:highlight w:val="none"/>
              </w:rPr>
              <w:t>落实</w:t>
            </w:r>
            <w:r>
              <w:rPr>
                <w:rFonts w:hint="default"/>
                <w:color w:val="auto"/>
                <w:highlight w:val="none"/>
              </w:rPr>
              <w:t>环评提出各项措施后，废气、废水及噪声均能达标排放，固体废物做到了合理处置</w:t>
            </w:r>
            <w:r>
              <w:rPr>
                <w:rFonts w:hint="eastAsia"/>
                <w:color w:val="auto"/>
                <w:highlight w:val="none"/>
              </w:rPr>
              <w:t>。</w:t>
            </w:r>
            <w:r>
              <w:rPr>
                <w:rFonts w:hint="default"/>
                <w:color w:val="auto"/>
                <w:highlight w:val="none"/>
              </w:rPr>
              <w:t>从环境影响角度分析</w:t>
            </w:r>
            <w:r>
              <w:rPr>
                <w:rFonts w:hint="eastAsia"/>
                <w:color w:val="auto"/>
                <w:highlight w:val="none"/>
              </w:rPr>
              <w:t>，</w:t>
            </w:r>
            <w:r>
              <w:rPr>
                <w:rFonts w:hint="default"/>
                <w:color w:val="auto"/>
                <w:highlight w:val="none"/>
              </w:rPr>
              <w:t>对周围环境造成的影响</w:t>
            </w:r>
            <w:r>
              <w:rPr>
                <w:rFonts w:hint="eastAsia"/>
                <w:color w:val="auto"/>
                <w:highlight w:val="none"/>
              </w:rPr>
              <w:t>较</w:t>
            </w:r>
            <w:r>
              <w:rPr>
                <w:rFonts w:hint="default"/>
                <w:color w:val="auto"/>
                <w:highlight w:val="none"/>
              </w:rPr>
              <w:t>小。</w:t>
            </w:r>
          </w:p>
          <w:p>
            <w:pPr>
              <w:keepNext w:val="0"/>
              <w:keepLines w:val="0"/>
              <w:suppressLineNumbers w:val="0"/>
              <w:spacing w:before="0" w:beforeAutospacing="0" w:after="0" w:afterAutospacing="0"/>
              <w:ind w:left="0" w:right="0" w:firstLine="480"/>
              <w:rPr>
                <w:rFonts w:hint="default"/>
                <w:color w:val="auto"/>
                <w:highlight w:val="none"/>
              </w:rPr>
            </w:pPr>
            <w:r>
              <w:rPr>
                <w:rFonts w:hint="default"/>
                <w:color w:val="auto"/>
                <w:highlight w:val="none"/>
              </w:rPr>
              <w:t>项目选址无重点保护野生动植物分布，也不涉及风景名胜区、自然保护区、基本农田、文物保护单位、饮用水水源地等敏感区域。</w:t>
            </w:r>
          </w:p>
          <w:p>
            <w:pPr>
              <w:keepNext w:val="0"/>
              <w:keepLines w:val="0"/>
              <w:suppressLineNumbers w:val="0"/>
              <w:spacing w:before="0" w:beforeAutospacing="0" w:after="0" w:afterAutospacing="0"/>
              <w:ind w:left="0" w:right="0" w:firstLine="480"/>
              <w:rPr>
                <w:rFonts w:hint="default"/>
                <w:color w:val="auto"/>
                <w:highlight w:val="none"/>
              </w:rPr>
            </w:pPr>
            <w:r>
              <w:rPr>
                <w:rFonts w:hint="default"/>
                <w:color w:val="auto"/>
                <w:highlight w:val="none"/>
              </w:rPr>
              <w:t>因此在严格落实本报告提出的环保措施后，项目的建设和运行不会对外环境产</w:t>
            </w:r>
            <w:r>
              <w:rPr>
                <w:rFonts w:hint="eastAsia"/>
                <w:color w:val="auto"/>
                <w:highlight w:val="none"/>
              </w:rPr>
              <w:t>生</w:t>
            </w:r>
            <w:r>
              <w:rPr>
                <w:rFonts w:hint="default"/>
                <w:color w:val="auto"/>
                <w:highlight w:val="none"/>
              </w:rPr>
              <w:t>较大影响，</w:t>
            </w:r>
            <w:r>
              <w:rPr>
                <w:rFonts w:hint="eastAsia"/>
                <w:color w:val="auto"/>
                <w:highlight w:val="none"/>
              </w:rPr>
              <w:t>项目</w:t>
            </w:r>
            <w:r>
              <w:rPr>
                <w:rFonts w:hint="default"/>
                <w:color w:val="auto"/>
                <w:highlight w:val="none"/>
              </w:rPr>
              <w:t>选址</w:t>
            </w:r>
            <w:r>
              <w:rPr>
                <w:rFonts w:hint="eastAsia"/>
                <w:color w:val="auto"/>
                <w:highlight w:val="none"/>
              </w:rPr>
              <w:t>可行</w:t>
            </w:r>
            <w:r>
              <w:rPr>
                <w:rFonts w:hint="default"/>
                <w:color w:val="auto"/>
                <w:highlight w:val="none"/>
              </w:rPr>
              <w:t>。</w:t>
            </w:r>
          </w:p>
        </w:tc>
      </w:tr>
    </w:tbl>
    <w:p>
      <w:pPr>
        <w:ind w:firstLine="600"/>
        <w:outlineLvl w:val="0"/>
        <w:rPr>
          <w:rFonts w:eastAsia="黑体"/>
          <w:color w:val="auto"/>
          <w:sz w:val="30"/>
          <w:highlight w:val="none"/>
        </w:rPr>
        <w:sectPr>
          <w:pgSz w:w="11906" w:h="16838"/>
          <w:pgMar w:top="1701" w:right="1531" w:bottom="1701" w:left="1531" w:header="851" w:footer="1077" w:gutter="0"/>
          <w:pgBorders>
            <w:top w:val="none" w:sz="0" w:space="0"/>
            <w:left w:val="none" w:sz="0" w:space="0"/>
            <w:bottom w:val="none" w:sz="0" w:space="0"/>
            <w:right w:val="none" w:sz="0" w:space="0"/>
          </w:pgBorders>
          <w:pgNumType w:fmt="numberInDash"/>
          <w:cols w:space="720" w:num="1"/>
          <w:docGrid w:linePitch="312" w:charSpace="0"/>
        </w:sectPr>
      </w:pPr>
    </w:p>
    <w:p>
      <w:pPr>
        <w:pStyle w:val="32"/>
        <w:spacing w:line="240" w:lineRule="auto"/>
        <w:ind w:firstLine="0" w:firstLineChars="0"/>
        <w:jc w:val="center"/>
        <w:outlineLvl w:val="0"/>
        <w:rPr>
          <w:rFonts w:ascii="Times New Roman" w:hAnsi="Times New Roman" w:eastAsia="黑体"/>
          <w:snapToGrid w:val="0"/>
          <w:color w:val="auto"/>
          <w:sz w:val="30"/>
          <w:szCs w:val="30"/>
          <w:highlight w:val="none"/>
        </w:rPr>
      </w:pPr>
      <w:r>
        <w:rPr>
          <w:rFonts w:ascii="Times New Roman" w:hAnsi="Times New Roman" w:eastAsia="黑体"/>
          <w:snapToGrid w:val="0"/>
          <w:color w:val="auto"/>
          <w:sz w:val="30"/>
          <w:szCs w:val="30"/>
          <w:highlight w:val="none"/>
        </w:rPr>
        <w:t>二、建设项目工程分析</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
        <w:gridCol w:w="8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32" w:hRule="atLeast"/>
        </w:trPr>
        <w:tc>
          <w:tcPr>
            <w:tcW w:w="817" w:type="dxa"/>
          </w:tcPr>
          <w:p>
            <w:pPr>
              <w:pStyle w:val="80"/>
              <w:keepNext w:val="0"/>
              <w:keepLines w:val="0"/>
              <w:widowControl/>
              <w:suppressLineNumbers w:val="0"/>
              <w:spacing w:before="0" w:beforeAutospacing="0" w:after="0" w:afterAutospacing="0"/>
              <w:ind w:left="0" w:right="0"/>
              <w:rPr>
                <w:rFonts w:hint="default"/>
                <w:color w:val="auto"/>
                <w:sz w:val="24"/>
                <w:szCs w:val="21"/>
                <w:highlight w:val="none"/>
              </w:rPr>
            </w:pPr>
            <w:r>
              <w:rPr>
                <w:rFonts w:hint="default"/>
                <w:color w:val="auto"/>
                <w:sz w:val="24"/>
                <w:szCs w:val="20"/>
                <w:highlight w:val="none"/>
              </w:rPr>
              <w:t>建设内容</w:t>
            </w:r>
          </w:p>
        </w:tc>
        <w:tc>
          <w:tcPr>
            <w:tcW w:w="8300" w:type="dxa"/>
          </w:tcPr>
          <w:p>
            <w:pPr>
              <w:keepNext w:val="0"/>
              <w:keepLines w:val="0"/>
              <w:suppressLineNumbers w:val="0"/>
              <w:spacing w:before="120" w:beforeLines="50" w:beforeAutospacing="0" w:after="0" w:afterAutospacing="0"/>
              <w:ind w:left="0" w:right="0" w:firstLine="482"/>
              <w:rPr>
                <w:rFonts w:hint="default"/>
                <w:b/>
                <w:bCs/>
                <w:color w:val="auto"/>
                <w:highlight w:val="none"/>
              </w:rPr>
            </w:pPr>
            <w:r>
              <w:rPr>
                <w:rFonts w:hint="eastAsia"/>
                <w:b/>
                <w:bCs/>
                <w:color w:val="auto"/>
                <w:highlight w:val="none"/>
              </w:rPr>
              <w:t>一</w:t>
            </w:r>
            <w:r>
              <w:rPr>
                <w:rFonts w:hint="default"/>
                <w:b/>
                <w:bCs/>
                <w:color w:val="auto"/>
                <w:highlight w:val="none"/>
              </w:rPr>
              <w:t>、项目</w:t>
            </w:r>
            <w:r>
              <w:rPr>
                <w:rFonts w:hint="eastAsia"/>
                <w:b/>
                <w:bCs/>
                <w:color w:val="auto"/>
                <w:highlight w:val="none"/>
              </w:rPr>
              <w:t>依据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8"/>
              </w:rPr>
            </w:pPr>
            <w:r>
              <w:rPr>
                <w:rFonts w:hint="eastAsia"/>
                <w:color w:val="auto"/>
                <w:highlight w:val="none"/>
                <w:lang w:eastAsia="zh-CN"/>
              </w:rPr>
              <w:t>陕西佳茂管业工程股份有限公司</w:t>
            </w:r>
            <w:r>
              <w:rPr>
                <w:rFonts w:hint="default" w:ascii="Times New Roman" w:hAnsi="Times New Roman" w:eastAsia="宋体" w:cs="Times New Roman"/>
                <w:color w:val="auto"/>
                <w:sz w:val="24"/>
                <w:szCs w:val="24"/>
                <w:lang w:val="en-US" w:eastAsia="zh-CN"/>
              </w:rPr>
              <w:t>成立于201</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月2</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日，</w:t>
            </w:r>
            <w:r>
              <w:rPr>
                <w:rFonts w:hint="default" w:ascii="Times New Roman" w:hAnsi="Times New Roman" w:cs="Times New Roman"/>
                <w:color w:val="auto"/>
                <w:sz w:val="24"/>
                <w:szCs w:val="28"/>
              </w:rPr>
              <w:t>主要经营</w:t>
            </w:r>
            <w:r>
              <w:rPr>
                <w:rFonts w:hint="eastAsia" w:ascii="Times New Roman" w:hAnsi="Times New Roman" w:cs="Times New Roman"/>
                <w:color w:val="auto"/>
                <w:sz w:val="24"/>
                <w:szCs w:val="28"/>
                <w:lang w:val="en-US" w:eastAsia="zh-CN"/>
              </w:rPr>
              <w:t>高密度</w:t>
            </w:r>
            <w:r>
              <w:rPr>
                <w:rFonts w:hint="eastAsia" w:ascii="Times New Roman" w:hAnsi="Times New Roman" w:cs="Times New Roman"/>
                <w:color w:val="auto"/>
                <w:sz w:val="24"/>
                <w:szCs w:val="28"/>
                <w:lang w:eastAsia="zh-CN"/>
              </w:rPr>
              <w:t>高密度聚乙烯</w:t>
            </w:r>
            <w:r>
              <w:rPr>
                <w:rFonts w:hint="eastAsia" w:ascii="Times New Roman" w:hAnsi="Times New Roman" w:cs="Times New Roman"/>
                <w:color w:val="auto"/>
                <w:sz w:val="24"/>
                <w:szCs w:val="28"/>
                <w:lang w:val="en-US" w:eastAsia="zh-CN"/>
              </w:rPr>
              <w:t>管道</w:t>
            </w:r>
            <w:r>
              <w:rPr>
                <w:rFonts w:hint="default" w:ascii="Times New Roman" w:hAnsi="Times New Roman" w:cs="Times New Roman"/>
                <w:color w:val="auto"/>
                <w:sz w:val="24"/>
                <w:szCs w:val="28"/>
              </w:rPr>
              <w:t>的生产及销售</w:t>
            </w:r>
            <w:r>
              <w:rPr>
                <w:rFonts w:hint="default" w:ascii="Times New Roman" w:hAnsi="Times New Roman" w:cs="Times New Roman"/>
                <w:color w:val="auto"/>
                <w:sz w:val="24"/>
                <w:szCs w:val="28"/>
                <w:lang w:eastAsia="zh-CN"/>
              </w:rPr>
              <w:t>。</w:t>
            </w:r>
            <w:r>
              <w:rPr>
                <w:rFonts w:hint="default" w:ascii="Times New Roman" w:hAnsi="Times New Roman" w:cs="Times New Roman"/>
                <w:color w:val="auto"/>
                <w:sz w:val="24"/>
                <w:szCs w:val="28"/>
                <w:lang w:val="en-US" w:eastAsia="zh-CN"/>
              </w:rPr>
              <w:t>原</w:t>
            </w:r>
            <w:r>
              <w:rPr>
                <w:rFonts w:hint="eastAsia" w:ascii="Times New Roman" w:hAnsi="Times New Roman" w:cs="Times New Roman"/>
                <w:color w:val="auto"/>
                <w:sz w:val="24"/>
                <w:szCs w:val="28"/>
                <w:lang w:val="en-US" w:eastAsia="zh-CN"/>
              </w:rPr>
              <w:t>有</w:t>
            </w:r>
            <w:r>
              <w:rPr>
                <w:rFonts w:hint="default" w:ascii="Times New Roman" w:hAnsi="Times New Roman" w:cs="Times New Roman"/>
                <w:color w:val="auto"/>
                <w:sz w:val="24"/>
                <w:szCs w:val="28"/>
                <w:lang w:val="en-US" w:eastAsia="zh-CN"/>
              </w:rPr>
              <w:t>项目地址</w:t>
            </w:r>
            <w:r>
              <w:rPr>
                <w:rFonts w:hint="default" w:ascii="Times New Roman" w:hAnsi="Times New Roman" w:cs="Times New Roman"/>
                <w:color w:val="auto"/>
                <w:sz w:val="24"/>
                <w:szCs w:val="28"/>
              </w:rPr>
              <w:t>位于陕西省西咸新区</w:t>
            </w:r>
            <w:r>
              <w:rPr>
                <w:rFonts w:hint="eastAsia"/>
                <w:color w:val="auto"/>
                <w:sz w:val="24"/>
                <w:szCs w:val="24"/>
              </w:rPr>
              <w:t>泾河新城永乐工业园区波士特实业有限公司厂区内</w:t>
            </w:r>
            <w:r>
              <w:rPr>
                <w:rFonts w:hint="default" w:ascii="Times New Roman" w:hAnsi="Times New Roman" w:cs="Times New Roman"/>
                <w:color w:val="auto"/>
                <w:sz w:val="24"/>
                <w:szCs w:val="28"/>
                <w:lang w:eastAsia="zh-CN"/>
              </w:rPr>
              <w:t>，</w:t>
            </w:r>
            <w:r>
              <w:rPr>
                <w:rFonts w:hint="default" w:ascii="Times New Roman" w:hAnsi="Times New Roman" w:cs="Times New Roman"/>
                <w:color w:val="auto"/>
                <w:sz w:val="24"/>
                <w:szCs w:val="28"/>
              </w:rPr>
              <w:t>租赁</w:t>
            </w:r>
            <w:r>
              <w:rPr>
                <w:rFonts w:hint="eastAsia" w:ascii="Times New Roman" w:hAnsi="Times New Roman" w:cs="Times New Roman"/>
                <w:color w:val="auto"/>
                <w:sz w:val="24"/>
                <w:szCs w:val="28"/>
                <w:lang w:val="en-US" w:eastAsia="zh-CN"/>
              </w:rPr>
              <w:t>其</w:t>
            </w:r>
            <w:r>
              <w:rPr>
                <w:rFonts w:hint="default" w:ascii="Times New Roman" w:hAnsi="Times New Roman" w:cs="Times New Roman"/>
                <w:color w:val="auto"/>
                <w:sz w:val="24"/>
                <w:szCs w:val="28"/>
              </w:rPr>
              <w:t>厂区内闲置工业厂房，建设</w:t>
            </w:r>
            <w:r>
              <w:rPr>
                <w:rFonts w:hint="eastAsia"/>
                <w:color w:val="auto"/>
                <w:sz w:val="24"/>
                <w:szCs w:val="24"/>
              </w:rPr>
              <w:t>陕西佳茂管业工程有限公司生产给排水管道项</w:t>
            </w:r>
            <w:r>
              <w:rPr>
                <w:rFonts w:hint="default" w:ascii="Times New Roman" w:hAnsi="Times New Roman" w:cs="Times New Roman"/>
                <w:color w:val="auto"/>
                <w:sz w:val="24"/>
                <w:szCs w:val="28"/>
              </w:rPr>
              <w:t>目</w:t>
            </w:r>
            <w:r>
              <w:rPr>
                <w:rFonts w:hint="eastAsia" w:ascii="Times New Roman" w:hAnsi="Times New Roman" w:cs="Times New Roman"/>
                <w:color w:val="auto"/>
                <w:sz w:val="24"/>
                <w:szCs w:val="28"/>
                <w:lang w:val="en-US" w:eastAsia="zh-CN"/>
              </w:rPr>
              <w:t>和</w:t>
            </w:r>
            <w:r>
              <w:rPr>
                <w:rFonts w:hint="eastAsia"/>
                <w:color w:val="auto"/>
                <w:sz w:val="24"/>
                <w:szCs w:val="24"/>
              </w:rPr>
              <w:t>陕西佳茂管业工程有限公司生产</w:t>
            </w:r>
            <w:r>
              <w:rPr>
                <w:rFonts w:hint="eastAsia"/>
                <w:color w:val="auto"/>
                <w:sz w:val="24"/>
                <w:szCs w:val="24"/>
                <w:lang w:val="en-US" w:eastAsia="zh-CN"/>
              </w:rPr>
              <w:t>双壁波纹管、给水管道项目</w:t>
            </w:r>
            <w:r>
              <w:rPr>
                <w:rFonts w:hint="default" w:ascii="Times New Roman" w:hAnsi="Times New Roman" w:cs="Times New Roman"/>
                <w:color w:val="auto"/>
                <w:sz w:val="24"/>
                <w:szCs w:val="28"/>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8"/>
                <w:lang w:val="en-US" w:eastAsia="zh-CN"/>
              </w:rPr>
              <w:t>由于原有项目租赁合同到期，企业决定将建设地址由</w:t>
            </w:r>
            <w:r>
              <w:rPr>
                <w:rFonts w:hint="eastAsia"/>
                <w:color w:val="auto"/>
                <w:sz w:val="24"/>
                <w:szCs w:val="24"/>
              </w:rPr>
              <w:t>泾河新城永乐工业园区波士特实业有限公司厂区</w:t>
            </w:r>
            <w:r>
              <w:rPr>
                <w:rFonts w:hint="default" w:ascii="Times New Roman" w:hAnsi="Times New Roman" w:cs="Times New Roman"/>
                <w:color w:val="auto"/>
                <w:sz w:val="24"/>
                <w:szCs w:val="24"/>
                <w:lang w:val="en-US" w:eastAsia="zh-CN"/>
              </w:rPr>
              <w:t>迁建至</w:t>
            </w:r>
            <w:r>
              <w:rPr>
                <w:rFonts w:hint="default" w:ascii="Times New Roman" w:hAnsi="Times New Roman" w:eastAsia="宋体" w:cs="Times New Roman"/>
                <w:color w:val="auto"/>
                <w:sz w:val="24"/>
                <w:szCs w:val="24"/>
                <w:lang w:eastAsia="zh-CN"/>
              </w:rPr>
              <w:t>泾河新城</w:t>
            </w:r>
            <w:r>
              <w:rPr>
                <w:rFonts w:hint="eastAsia"/>
                <w:color w:val="auto"/>
                <w:highlight w:val="none"/>
                <w:lang w:eastAsia="zh-CN"/>
              </w:rPr>
              <w:t>永乐工业园尚家一街北</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迁建前</w:t>
            </w:r>
            <w:r>
              <w:rPr>
                <w:rFonts w:hint="eastAsia"/>
                <w:color w:val="auto"/>
                <w:sz w:val="24"/>
                <w:szCs w:val="24"/>
                <w:highlight w:val="none"/>
                <w:lang w:val="en-US" w:eastAsia="zh-CN"/>
              </w:rPr>
              <w:t>原有项目总</w:t>
            </w:r>
            <w:r>
              <w:rPr>
                <w:rFonts w:hint="eastAsia" w:ascii="Times New Roman" w:hAnsi="Times New Roman" w:eastAsia="宋体" w:cs="Times New Roman"/>
                <w:color w:val="auto"/>
                <w:sz w:val="24"/>
                <w:szCs w:val="28"/>
                <w:highlight w:val="none"/>
                <w:lang w:val="en-US" w:eastAsia="zh-CN"/>
              </w:rPr>
              <w:t>占地</w:t>
            </w:r>
            <w:r>
              <w:rPr>
                <w:rFonts w:hint="default" w:ascii="Times New Roman" w:hAnsi="Times New Roman" w:eastAsia="宋体" w:cs="Times New Roman"/>
                <w:color w:val="auto"/>
                <w:sz w:val="24"/>
                <w:szCs w:val="24"/>
                <w:highlight w:val="none"/>
                <w:lang w:val="en-US" w:eastAsia="zh-CN"/>
              </w:rPr>
              <w:t>面积</w:t>
            </w:r>
            <w:r>
              <w:rPr>
                <w:rFonts w:hint="eastAsia" w:ascii="Times New Roman" w:hAnsi="Times New Roman" w:eastAsia="宋体" w:cs="Times New Roman"/>
                <w:color w:val="auto"/>
                <w:sz w:val="24"/>
                <w:szCs w:val="24"/>
                <w:highlight w:val="none"/>
                <w:lang w:val="en-US" w:eastAsia="zh-CN"/>
              </w:rPr>
              <w:t>6651</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lang w:val="en-US" w:eastAsia="zh-CN"/>
              </w:rPr>
              <w:t>，建</w:t>
            </w:r>
            <w:r>
              <w:rPr>
                <w:rFonts w:hint="default" w:ascii="Times New Roman" w:hAnsi="Times New Roman" w:eastAsia="宋体" w:cs="Times New Roman"/>
                <w:color w:val="auto"/>
                <w:sz w:val="24"/>
                <w:szCs w:val="24"/>
                <w:highlight w:val="none"/>
              </w:rPr>
              <w:t>设</w:t>
            </w: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条</w:t>
            </w:r>
            <w:r>
              <w:rPr>
                <w:rFonts w:hint="eastAsia" w:ascii="Times New Roman" w:hAnsi="Times New Roman" w:eastAsia="宋体" w:cs="Times New Roman"/>
                <w:color w:val="auto"/>
                <w:sz w:val="24"/>
                <w:szCs w:val="24"/>
                <w:highlight w:val="none"/>
                <w:lang w:val="en-US" w:eastAsia="zh-CN"/>
              </w:rPr>
              <w:t>PE给水管材</w:t>
            </w:r>
            <w:r>
              <w:rPr>
                <w:rFonts w:hint="default" w:ascii="Times New Roman" w:hAnsi="Times New Roman" w:eastAsia="宋体" w:cs="Times New Roman"/>
                <w:color w:val="auto"/>
                <w:sz w:val="24"/>
                <w:szCs w:val="24"/>
                <w:highlight w:val="none"/>
              </w:rPr>
              <w:t>生产线</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2条</w:t>
            </w:r>
            <w:r>
              <w:rPr>
                <w:rFonts w:hint="eastAsia" w:ascii="Times New Roman" w:hAnsi="Times New Roman" w:eastAsia="宋体" w:cs="Times New Roman"/>
                <w:color w:val="auto"/>
                <w:sz w:val="24"/>
                <w:szCs w:val="24"/>
                <w:highlight w:val="none"/>
                <w:lang w:val="en-US" w:eastAsia="zh-CN"/>
              </w:rPr>
              <w:t>中空壁缠绕管</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2条钢带波纹管</w:t>
            </w:r>
            <w:r>
              <w:rPr>
                <w:rFonts w:hint="default" w:ascii="Times New Roman" w:hAnsi="Times New Roman" w:eastAsia="宋体" w:cs="Times New Roman"/>
                <w:color w:val="auto"/>
                <w:sz w:val="24"/>
                <w:szCs w:val="24"/>
                <w:highlight w:val="none"/>
              </w:rPr>
              <w:t>生产线</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条</w:t>
            </w:r>
            <w:r>
              <w:rPr>
                <w:rFonts w:hint="eastAsia"/>
                <w:color w:val="auto"/>
                <w:sz w:val="24"/>
                <w:szCs w:val="24"/>
                <w:highlight w:val="none"/>
                <w:lang w:val="en-US" w:eastAsia="zh-CN"/>
              </w:rPr>
              <w:t>双壁波纹管</w:t>
            </w:r>
            <w:r>
              <w:rPr>
                <w:rFonts w:hint="default" w:ascii="Times New Roman" w:hAnsi="Times New Roman" w:eastAsia="宋体" w:cs="Times New Roman"/>
                <w:color w:val="auto"/>
                <w:sz w:val="24"/>
                <w:szCs w:val="24"/>
                <w:highlight w:val="none"/>
              </w:rPr>
              <w:t>生产线</w:t>
            </w:r>
            <w:r>
              <w:rPr>
                <w:rFonts w:hint="default" w:ascii="Times New Roman" w:hAnsi="Times New Roman" w:eastAsia="宋体" w:cs="Times New Roman"/>
                <w:color w:val="auto"/>
                <w:sz w:val="24"/>
                <w:szCs w:val="24"/>
                <w:highlight w:val="none"/>
                <w:lang w:val="en-US" w:eastAsia="zh-CN"/>
              </w:rPr>
              <w:t>和</w:t>
            </w:r>
            <w:r>
              <w:rPr>
                <w:rFonts w:hint="default" w:ascii="Times New Roman" w:hAnsi="Times New Roman" w:eastAsia="宋体" w:cs="Times New Roman"/>
                <w:color w:val="auto"/>
                <w:sz w:val="24"/>
                <w:szCs w:val="24"/>
                <w:highlight w:val="none"/>
              </w:rPr>
              <w:t>2条</w:t>
            </w:r>
            <w:r>
              <w:rPr>
                <w:rFonts w:hint="eastAsia" w:ascii="Times New Roman" w:hAnsi="Times New Roman" w:eastAsia="宋体" w:cs="Times New Roman"/>
                <w:color w:val="auto"/>
                <w:sz w:val="24"/>
                <w:szCs w:val="24"/>
                <w:highlight w:val="none"/>
                <w:lang w:val="en-US" w:eastAsia="zh-CN"/>
              </w:rPr>
              <w:t>给水管</w:t>
            </w:r>
            <w:r>
              <w:rPr>
                <w:rFonts w:hint="default" w:ascii="Times New Roman" w:hAnsi="Times New Roman" w:eastAsia="宋体" w:cs="Times New Roman"/>
                <w:color w:val="auto"/>
                <w:sz w:val="24"/>
                <w:szCs w:val="24"/>
                <w:highlight w:val="none"/>
              </w:rPr>
              <w:t>生产线</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总</w:t>
            </w:r>
            <w:r>
              <w:rPr>
                <w:rFonts w:hint="default" w:ascii="Times New Roman" w:hAnsi="Times New Roman" w:eastAsia="宋体" w:cs="Times New Roman"/>
                <w:color w:val="auto"/>
                <w:sz w:val="24"/>
                <w:szCs w:val="24"/>
                <w:highlight w:val="none"/>
                <w:lang w:val="en-US" w:eastAsia="zh-CN"/>
              </w:rPr>
              <w:t>产</w:t>
            </w:r>
            <w:r>
              <w:rPr>
                <w:rFonts w:hint="eastAsia" w:cs="Times New Roman"/>
                <w:color w:val="auto"/>
                <w:sz w:val="24"/>
                <w:szCs w:val="24"/>
                <w:highlight w:val="none"/>
                <w:lang w:val="en-US" w:eastAsia="zh-CN"/>
              </w:rPr>
              <w:t>能135</w:t>
            </w:r>
            <w:r>
              <w:rPr>
                <w:rFonts w:hint="eastAsia"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0吨</w:t>
            </w:r>
            <w:r>
              <w:rPr>
                <w:rFonts w:hint="default" w:ascii="Times New Roman" w:hAnsi="Times New Roman" w:eastAsia="宋体" w:cs="Times New Roman"/>
                <w:color w:val="auto"/>
                <w:sz w:val="24"/>
                <w:szCs w:val="24"/>
                <w:highlight w:val="none"/>
                <w:lang w:val="en-US" w:eastAsia="zh-CN"/>
              </w:rPr>
              <w:t>。搬迁后项目租赁</w:t>
            </w:r>
            <w:r>
              <w:rPr>
                <w:rFonts w:hint="default" w:ascii="Times New Roman" w:hAnsi="Times New Roman" w:cs="Times New Roman"/>
                <w:color w:val="auto"/>
                <w:sz w:val="24"/>
                <w:szCs w:val="28"/>
                <w:highlight w:val="none"/>
              </w:rPr>
              <w:t>陕西</w:t>
            </w:r>
            <w:r>
              <w:rPr>
                <w:rFonts w:hint="eastAsia" w:ascii="Times New Roman" w:hAnsi="Times New Roman" w:cs="Times New Roman"/>
                <w:color w:val="auto"/>
                <w:sz w:val="24"/>
                <w:szCs w:val="28"/>
                <w:highlight w:val="none"/>
                <w:lang w:val="en-US" w:eastAsia="zh-CN"/>
              </w:rPr>
              <w:t>泓泽智业科技</w:t>
            </w:r>
            <w:r>
              <w:rPr>
                <w:rFonts w:hint="default" w:ascii="Times New Roman" w:hAnsi="Times New Roman" w:eastAsia="宋体" w:cs="Times New Roman"/>
                <w:color w:val="auto"/>
                <w:sz w:val="24"/>
                <w:szCs w:val="28"/>
                <w:highlight w:val="none"/>
              </w:rPr>
              <w:t>有限公司</w:t>
            </w:r>
            <w:r>
              <w:rPr>
                <w:rFonts w:hint="default" w:ascii="Times New Roman" w:hAnsi="Times New Roman" w:cs="Times New Roman"/>
                <w:color w:val="auto"/>
                <w:sz w:val="24"/>
                <w:highlight w:val="none"/>
                <w:lang w:val="en-US" w:eastAsia="zh-CN"/>
              </w:rPr>
              <w:t>部分厂房</w:t>
            </w:r>
            <w:r>
              <w:rPr>
                <w:rFonts w:hint="default" w:ascii="Times New Roman" w:hAnsi="Times New Roman" w:eastAsia="宋体" w:cs="Times New Roman"/>
                <w:color w:val="auto"/>
                <w:sz w:val="24"/>
                <w:szCs w:val="24"/>
                <w:highlight w:val="none"/>
                <w:lang w:val="en-US" w:eastAsia="zh-CN"/>
              </w:rPr>
              <w:t>，占地面积为</w:t>
            </w:r>
            <w:r>
              <w:rPr>
                <w:rFonts w:hint="eastAsia" w:ascii="Times New Roman" w:hAnsi="Times New Roman" w:eastAsia="宋体" w:cs="Times New Roman"/>
                <w:color w:val="auto"/>
                <w:sz w:val="24"/>
                <w:szCs w:val="24"/>
                <w:highlight w:val="none"/>
                <w:lang w:val="en-US" w:eastAsia="zh-CN"/>
              </w:rPr>
              <w:t>5200</w:t>
            </w:r>
            <w:r>
              <w:rPr>
                <w:rFonts w:hint="default" w:ascii="Times New Roman" w:hAnsi="Times New Roman" w:eastAsia="宋体" w:cs="Times New Roman"/>
                <w:color w:val="auto"/>
                <w:sz w:val="24"/>
                <w:szCs w:val="24"/>
                <w:highlight w:val="none"/>
                <w:lang w:val="en-US" w:eastAsia="zh-CN"/>
              </w:rPr>
              <w:t>平方米，建</w:t>
            </w:r>
            <w:r>
              <w:rPr>
                <w:rFonts w:hint="eastAsia" w:cs="Times New Roman"/>
                <w:color w:val="auto"/>
                <w:sz w:val="24"/>
                <w:szCs w:val="24"/>
                <w:highlight w:val="none"/>
                <w:lang w:val="en-US" w:eastAsia="zh-CN"/>
              </w:rPr>
              <w:t>设6条HDPE</w:t>
            </w:r>
            <w:r>
              <w:rPr>
                <w:rFonts w:hint="eastAsia"/>
                <w:color w:val="auto"/>
                <w:highlight w:val="none"/>
                <w:lang w:eastAsia="zh-CN"/>
              </w:rPr>
              <w:t>给水管</w:t>
            </w:r>
            <w:r>
              <w:rPr>
                <w:rFonts w:hint="eastAsia"/>
                <w:color w:val="auto"/>
                <w:highlight w:val="none"/>
                <w:lang w:val="en-US" w:eastAsia="zh-CN"/>
              </w:rPr>
              <w:t>生产线，</w:t>
            </w:r>
            <w:r>
              <w:rPr>
                <w:rFonts w:hint="default"/>
                <w:color w:val="auto"/>
                <w:highlight w:val="none"/>
              </w:rPr>
              <w:t>年产</w:t>
            </w:r>
            <w:r>
              <w:rPr>
                <w:rFonts w:hint="eastAsia"/>
                <w:color w:val="auto"/>
                <w:highlight w:val="none"/>
                <w:lang w:val="en-US" w:eastAsia="zh-CN"/>
              </w:rPr>
              <w:t>HDPE给水管</w:t>
            </w:r>
            <w:r>
              <w:rPr>
                <w:rFonts w:hint="default"/>
                <w:color w:val="auto"/>
                <w:highlight w:val="none"/>
              </w:rPr>
              <w:t>8000吨</w:t>
            </w:r>
            <w:r>
              <w:rPr>
                <w:rFonts w:hint="default" w:ascii="Times New Roman" w:hAnsi="Times New Roman" w:eastAsia="宋体" w:cs="Times New Roman"/>
                <w:color w:val="auto"/>
                <w:sz w:val="24"/>
                <w:szCs w:val="24"/>
                <w:highlight w:val="none"/>
                <w:lang w:val="en-US" w:eastAsia="zh-CN"/>
              </w:rPr>
              <w:t>。</w:t>
            </w:r>
          </w:p>
          <w:p>
            <w:pPr>
              <w:keepNext w:val="0"/>
              <w:keepLines w:val="0"/>
              <w:suppressLineNumbers w:val="0"/>
              <w:spacing w:before="0" w:beforeAutospacing="0" w:after="0" w:afterAutospacing="0"/>
              <w:ind w:left="0" w:right="0" w:firstLine="480"/>
              <w:rPr>
                <w:rFonts w:hint="default"/>
                <w:bCs/>
                <w:iCs/>
                <w:color w:val="auto"/>
                <w:highlight w:val="none"/>
                <w:lang w:val="zh-CN"/>
              </w:rPr>
            </w:pPr>
            <w:r>
              <w:rPr>
                <w:rFonts w:hint="default"/>
                <w:bCs/>
                <w:iCs/>
                <w:color w:val="auto"/>
                <w:highlight w:val="none"/>
                <w:lang w:val="zh-CN"/>
              </w:rPr>
              <w:t>根据《中华人民共和国环境影响评价法》（2018年12月29日修正）、《建设项目环境保护管理条例》（国务院令第682号2017年10月1日）和《建设项目环境影响评价分类管理名录》（部令第</w:t>
            </w:r>
            <w:r>
              <w:rPr>
                <w:rFonts w:hint="default"/>
                <w:bCs/>
                <w:iCs/>
                <w:color w:val="auto"/>
                <w:highlight w:val="none"/>
              </w:rPr>
              <w:t>16号</w:t>
            </w:r>
            <w:r>
              <w:rPr>
                <w:rFonts w:hint="default"/>
                <w:bCs/>
                <w:iCs/>
                <w:color w:val="auto"/>
                <w:highlight w:val="none"/>
                <w:lang w:val="zh-CN"/>
              </w:rPr>
              <w:t>）相关规定，本项目属于</w:t>
            </w:r>
            <w:r>
              <w:rPr>
                <w:rFonts w:hint="eastAsia"/>
                <w:bCs/>
                <w:iCs/>
                <w:color w:val="auto"/>
                <w:highlight w:val="none"/>
                <w:lang w:val="zh-CN"/>
              </w:rPr>
              <w:t>“</w:t>
            </w:r>
            <w:r>
              <w:rPr>
                <w:rFonts w:hint="eastAsia"/>
                <w:bCs/>
                <w:iCs/>
                <w:color w:val="auto"/>
                <w:highlight w:val="none"/>
              </w:rPr>
              <w:t>二</w:t>
            </w:r>
            <w:r>
              <w:rPr>
                <w:rFonts w:hint="eastAsia"/>
                <w:bCs/>
                <w:iCs/>
                <w:color w:val="auto"/>
                <w:highlight w:val="none"/>
                <w:lang w:val="zh-CN"/>
              </w:rPr>
              <w:t>十</w:t>
            </w:r>
            <w:r>
              <w:rPr>
                <w:rFonts w:hint="eastAsia"/>
                <w:bCs/>
                <w:iCs/>
                <w:color w:val="auto"/>
                <w:highlight w:val="none"/>
              </w:rPr>
              <w:t>六</w:t>
            </w:r>
            <w:r>
              <w:rPr>
                <w:rFonts w:hint="default"/>
                <w:bCs/>
                <w:iCs/>
                <w:color w:val="auto"/>
                <w:highlight w:val="none"/>
                <w:lang w:val="zh-CN"/>
              </w:rPr>
              <w:t>、</w:t>
            </w:r>
            <w:r>
              <w:rPr>
                <w:rFonts w:hint="eastAsia"/>
                <w:bCs/>
                <w:iCs/>
                <w:color w:val="auto"/>
                <w:highlight w:val="none"/>
              </w:rPr>
              <w:t>橡胶和塑料制品业</w:t>
            </w:r>
            <w:r>
              <w:rPr>
                <w:rFonts w:hint="eastAsia"/>
                <w:bCs/>
                <w:iCs/>
                <w:color w:val="auto"/>
                <w:highlight w:val="none"/>
                <w:lang w:val="zh-CN"/>
              </w:rPr>
              <w:t>”</w:t>
            </w:r>
            <w:r>
              <w:rPr>
                <w:rFonts w:hint="default"/>
                <w:bCs/>
                <w:iCs/>
                <w:color w:val="auto"/>
                <w:highlight w:val="none"/>
                <w:lang w:val="zh-CN"/>
              </w:rPr>
              <w:t>中</w:t>
            </w:r>
            <w:r>
              <w:rPr>
                <w:rFonts w:hint="eastAsia"/>
                <w:bCs/>
                <w:iCs/>
                <w:color w:val="auto"/>
                <w:highlight w:val="none"/>
                <w:lang w:val="zh-CN"/>
              </w:rPr>
              <w:t>“</w:t>
            </w:r>
            <w:r>
              <w:rPr>
                <w:rFonts w:hint="eastAsia"/>
                <w:bCs/>
                <w:iCs/>
                <w:color w:val="auto"/>
                <w:highlight w:val="none"/>
              </w:rPr>
              <w:t>53、塑料制品业292</w:t>
            </w:r>
            <w:r>
              <w:rPr>
                <w:rFonts w:hint="eastAsia"/>
                <w:bCs/>
                <w:iCs/>
                <w:color w:val="auto"/>
                <w:highlight w:val="none"/>
                <w:lang w:val="zh-CN"/>
              </w:rPr>
              <w:t>”。</w:t>
            </w:r>
            <w:r>
              <w:rPr>
                <w:rFonts w:hint="default"/>
                <w:bCs/>
                <w:iCs/>
                <w:color w:val="auto"/>
                <w:highlight w:val="none"/>
                <w:lang w:val="zh-CN"/>
              </w:rPr>
              <w:t>应当编制环境影响报告表</w:t>
            </w:r>
            <w:r>
              <w:rPr>
                <w:rFonts w:hint="eastAsia"/>
                <w:bCs/>
                <w:iCs/>
                <w:color w:val="auto"/>
                <w:highlight w:val="none"/>
                <w:lang w:val="zh-CN"/>
              </w:rPr>
              <w:t>。</w:t>
            </w:r>
          </w:p>
          <w:p>
            <w:pPr>
              <w:keepNext w:val="0"/>
              <w:keepLines w:val="0"/>
              <w:suppressLineNumbers w:val="0"/>
              <w:spacing w:before="0" w:beforeAutospacing="0" w:after="0" w:afterAutospacing="0"/>
              <w:ind w:left="0" w:right="0" w:firstLine="482"/>
              <w:rPr>
                <w:rFonts w:hint="default"/>
                <w:b/>
                <w:bCs/>
                <w:color w:val="auto"/>
                <w:highlight w:val="none"/>
              </w:rPr>
            </w:pPr>
            <w:r>
              <w:rPr>
                <w:rFonts w:hint="eastAsia"/>
                <w:b/>
                <w:bCs/>
                <w:color w:val="auto"/>
                <w:highlight w:val="none"/>
              </w:rPr>
              <w:t>二</w:t>
            </w:r>
            <w:r>
              <w:rPr>
                <w:rFonts w:hint="default"/>
                <w:b/>
                <w:bCs/>
                <w:color w:val="auto"/>
                <w:highlight w:val="none"/>
              </w:rPr>
              <w:t>、项目概况</w:t>
            </w:r>
          </w:p>
          <w:p>
            <w:pPr>
              <w:keepNext w:val="0"/>
              <w:keepLines w:val="0"/>
              <w:suppressLineNumbers w:val="0"/>
              <w:spacing w:before="0" w:beforeAutospacing="0" w:after="0" w:afterAutospacing="0"/>
              <w:ind w:left="1752" w:leftChars="228" w:right="0" w:hanging="1205" w:hangingChars="500"/>
              <w:rPr>
                <w:rFonts w:hint="default"/>
                <w:b/>
                <w:color w:val="auto"/>
                <w:highlight w:val="none"/>
              </w:rPr>
            </w:pPr>
            <w:r>
              <w:rPr>
                <w:rFonts w:hint="eastAsia"/>
                <w:b/>
                <w:color w:val="auto"/>
                <w:highlight w:val="none"/>
              </w:rPr>
              <w:t>1、项目基本情况</w:t>
            </w:r>
          </w:p>
          <w:p>
            <w:pPr>
              <w:keepNext w:val="0"/>
              <w:keepLines w:val="0"/>
              <w:suppressLineNumbers w:val="0"/>
              <w:spacing w:before="0" w:beforeAutospacing="0" w:after="0" w:afterAutospacing="0"/>
              <w:ind w:left="0" w:right="0" w:firstLine="480"/>
              <w:rPr>
                <w:rFonts w:hint="eastAsia" w:eastAsia="宋体"/>
                <w:color w:val="auto"/>
                <w:highlight w:val="none"/>
                <w:lang w:eastAsia="zh-CN"/>
              </w:rPr>
            </w:pPr>
            <w:r>
              <w:rPr>
                <w:rFonts w:hint="default"/>
                <w:color w:val="auto"/>
                <w:highlight w:val="none"/>
              </w:rPr>
              <w:t>项目名称：</w:t>
            </w:r>
            <w:r>
              <w:rPr>
                <w:rFonts w:hint="eastAsia"/>
                <w:color w:val="auto"/>
                <w:highlight w:val="none"/>
                <w:lang w:eastAsia="zh-CN"/>
              </w:rPr>
              <w:t>陕西佳茂管业工程股份有限公司生产给水管道项目</w:t>
            </w:r>
          </w:p>
          <w:p>
            <w:pPr>
              <w:keepNext w:val="0"/>
              <w:keepLines w:val="0"/>
              <w:suppressLineNumbers w:val="0"/>
              <w:spacing w:before="0" w:beforeAutospacing="0" w:after="0" w:afterAutospacing="0"/>
              <w:ind w:left="0" w:right="0" w:firstLine="480"/>
              <w:rPr>
                <w:rFonts w:hint="eastAsia" w:eastAsia="宋体"/>
                <w:color w:val="auto"/>
                <w:highlight w:val="none"/>
                <w:lang w:eastAsia="zh-CN"/>
              </w:rPr>
            </w:pPr>
            <w:r>
              <w:rPr>
                <w:rFonts w:hint="default"/>
                <w:color w:val="auto"/>
                <w:highlight w:val="none"/>
              </w:rPr>
              <w:t>建设单位：</w:t>
            </w:r>
            <w:r>
              <w:rPr>
                <w:rFonts w:hint="eastAsia"/>
                <w:color w:val="auto"/>
                <w:highlight w:val="none"/>
                <w:lang w:eastAsia="zh-CN"/>
              </w:rPr>
              <w:t>陕西佳茂管业工程股份有限公司</w:t>
            </w:r>
          </w:p>
          <w:p>
            <w:pPr>
              <w:keepNext w:val="0"/>
              <w:keepLines w:val="0"/>
              <w:suppressLineNumbers w:val="0"/>
              <w:spacing w:before="0" w:beforeAutospacing="0" w:after="0" w:afterAutospacing="0"/>
              <w:ind w:left="0" w:right="0" w:firstLine="480"/>
              <w:rPr>
                <w:rFonts w:hint="eastAsia" w:eastAsia="宋体"/>
                <w:color w:val="auto"/>
                <w:highlight w:val="none"/>
                <w:lang w:eastAsia="zh-CN"/>
              </w:rPr>
            </w:pPr>
            <w:r>
              <w:rPr>
                <w:rFonts w:hint="default"/>
                <w:color w:val="auto"/>
                <w:highlight w:val="none"/>
              </w:rPr>
              <w:t>建设性质：</w:t>
            </w:r>
            <w:r>
              <w:rPr>
                <w:rFonts w:hint="eastAsia"/>
                <w:color w:val="auto"/>
                <w:highlight w:val="none"/>
                <w:lang w:val="en-US" w:eastAsia="zh-CN"/>
              </w:rPr>
              <w:t>迁建</w:t>
            </w:r>
          </w:p>
          <w:p>
            <w:pPr>
              <w:keepNext w:val="0"/>
              <w:keepLines w:val="0"/>
              <w:suppressLineNumbers w:val="0"/>
              <w:spacing w:before="0" w:beforeAutospacing="0" w:after="0" w:afterAutospacing="0"/>
              <w:ind w:left="0" w:right="0" w:firstLine="480"/>
              <w:rPr>
                <w:rFonts w:hint="default"/>
                <w:color w:val="auto"/>
                <w:highlight w:val="none"/>
              </w:rPr>
            </w:pPr>
            <w:r>
              <w:rPr>
                <w:rFonts w:hint="default"/>
                <w:color w:val="auto"/>
                <w:highlight w:val="none"/>
              </w:rPr>
              <w:t>项目投资：项目总投资为</w:t>
            </w:r>
            <w:r>
              <w:rPr>
                <w:rFonts w:hint="eastAsia"/>
                <w:color w:val="auto"/>
                <w:highlight w:val="none"/>
                <w:lang w:eastAsia="zh-CN"/>
              </w:rPr>
              <w:t>1000万元</w:t>
            </w:r>
            <w:r>
              <w:rPr>
                <w:rFonts w:hint="default"/>
                <w:color w:val="auto"/>
                <w:highlight w:val="none"/>
              </w:rPr>
              <w:t>，环保投资为</w:t>
            </w:r>
            <w:r>
              <w:rPr>
                <w:rFonts w:hint="eastAsia"/>
                <w:color w:val="auto"/>
                <w:highlight w:val="none"/>
                <w:lang w:eastAsia="zh-CN"/>
              </w:rPr>
              <w:t>41.2</w:t>
            </w:r>
            <w:r>
              <w:rPr>
                <w:rFonts w:hint="default"/>
                <w:color w:val="auto"/>
                <w:highlight w:val="none"/>
              </w:rPr>
              <w:t>万元，占总投资的</w:t>
            </w:r>
            <w:r>
              <w:rPr>
                <w:rFonts w:hint="eastAsia"/>
                <w:color w:val="auto"/>
                <w:highlight w:val="none"/>
                <w:lang w:eastAsia="zh-CN"/>
              </w:rPr>
              <w:t>4.12%</w:t>
            </w:r>
            <w:r>
              <w:rPr>
                <w:rFonts w:hint="eastAsia"/>
                <w:color w:val="auto"/>
                <w:highlight w:val="none"/>
              </w:rPr>
              <w:t>，</w:t>
            </w:r>
            <w:r>
              <w:rPr>
                <w:rFonts w:hint="default"/>
                <w:color w:val="auto"/>
                <w:highlight w:val="none"/>
              </w:rPr>
              <w:t>资金来源于企业自筹。</w:t>
            </w:r>
          </w:p>
          <w:p>
            <w:pPr>
              <w:keepNext w:val="0"/>
              <w:keepLines w:val="0"/>
              <w:suppressLineNumbers w:val="0"/>
              <w:spacing w:before="0" w:beforeAutospacing="0" w:after="0" w:afterAutospacing="0"/>
              <w:ind w:left="0" w:right="0" w:firstLine="480"/>
              <w:rPr>
                <w:rFonts w:hint="default"/>
                <w:color w:val="auto"/>
                <w:highlight w:val="none"/>
              </w:rPr>
            </w:pPr>
            <w:r>
              <w:rPr>
                <w:rFonts w:hint="default"/>
                <w:color w:val="auto"/>
                <w:highlight w:val="none"/>
              </w:rPr>
              <w:t>建设地点：</w:t>
            </w:r>
            <w:r>
              <w:rPr>
                <w:rFonts w:hint="eastAsia"/>
                <w:color w:val="auto"/>
                <w:highlight w:val="none"/>
              </w:rPr>
              <w:t>陕西省西咸新区</w:t>
            </w:r>
            <w:r>
              <w:rPr>
                <w:rFonts w:hint="eastAsia"/>
                <w:color w:val="auto"/>
                <w:highlight w:val="none"/>
                <w:lang w:eastAsia="zh-CN"/>
              </w:rPr>
              <w:t>泾河新城工业密集区永乐工业园尚家一街北</w:t>
            </w:r>
            <w:r>
              <w:rPr>
                <w:rFonts w:hint="default"/>
                <w:color w:val="auto"/>
                <w:highlight w:val="none"/>
              </w:rPr>
              <w:t>，中心地理坐标为东经10</w:t>
            </w:r>
            <w:r>
              <w:rPr>
                <w:rFonts w:hint="eastAsia"/>
                <w:color w:val="auto"/>
                <w:highlight w:val="none"/>
              </w:rPr>
              <w:t>8</w:t>
            </w:r>
            <w:r>
              <w:rPr>
                <w:rFonts w:hint="default"/>
                <w:color w:val="auto"/>
                <w:highlight w:val="none"/>
              </w:rPr>
              <w:t>度</w:t>
            </w:r>
            <w:r>
              <w:rPr>
                <w:rFonts w:hint="eastAsia"/>
                <w:color w:val="auto"/>
                <w:highlight w:val="none"/>
              </w:rPr>
              <w:t>5</w:t>
            </w:r>
            <w:r>
              <w:rPr>
                <w:rFonts w:hint="eastAsia"/>
                <w:color w:val="auto"/>
                <w:highlight w:val="none"/>
                <w:lang w:val="en-US" w:eastAsia="zh-CN"/>
              </w:rPr>
              <w:t>7</w:t>
            </w:r>
            <w:r>
              <w:rPr>
                <w:rFonts w:hint="default"/>
                <w:color w:val="auto"/>
                <w:highlight w:val="none"/>
              </w:rPr>
              <w:t>分</w:t>
            </w:r>
            <w:r>
              <w:rPr>
                <w:rFonts w:hint="eastAsia"/>
                <w:color w:val="auto"/>
                <w:highlight w:val="none"/>
                <w:lang w:val="en-US" w:eastAsia="zh-CN"/>
              </w:rPr>
              <w:t>12.234</w:t>
            </w:r>
            <w:r>
              <w:rPr>
                <w:rFonts w:hint="default"/>
                <w:color w:val="auto"/>
                <w:highlight w:val="none"/>
              </w:rPr>
              <w:t>秒，北纬34度</w:t>
            </w:r>
            <w:r>
              <w:rPr>
                <w:rFonts w:hint="eastAsia"/>
                <w:color w:val="auto"/>
                <w:highlight w:val="none"/>
              </w:rPr>
              <w:t>31</w:t>
            </w:r>
            <w:r>
              <w:rPr>
                <w:rFonts w:hint="default"/>
                <w:color w:val="auto"/>
                <w:highlight w:val="none"/>
              </w:rPr>
              <w:t>分</w:t>
            </w:r>
            <w:r>
              <w:rPr>
                <w:rFonts w:hint="eastAsia"/>
                <w:color w:val="auto"/>
                <w:highlight w:val="none"/>
              </w:rPr>
              <w:t>5</w:t>
            </w:r>
            <w:r>
              <w:rPr>
                <w:rFonts w:hint="eastAsia"/>
                <w:color w:val="auto"/>
                <w:highlight w:val="none"/>
                <w:lang w:val="en-US" w:eastAsia="zh-CN"/>
              </w:rPr>
              <w:t>7.665</w:t>
            </w:r>
            <w:r>
              <w:rPr>
                <w:rFonts w:hint="default"/>
                <w:color w:val="auto"/>
                <w:highlight w:val="none"/>
              </w:rPr>
              <w:t>秒</w:t>
            </w:r>
            <w:r>
              <w:rPr>
                <w:rFonts w:hint="eastAsia"/>
                <w:color w:val="auto"/>
                <w:highlight w:val="none"/>
              </w:rPr>
              <w:t>，</w:t>
            </w:r>
            <w:r>
              <w:rPr>
                <w:rFonts w:hint="default"/>
                <w:color w:val="auto"/>
                <w:highlight w:val="none"/>
              </w:rPr>
              <w:t>详见附图</w:t>
            </w:r>
            <w:r>
              <w:rPr>
                <w:rFonts w:hint="eastAsia"/>
                <w:color w:val="auto"/>
                <w:highlight w:val="none"/>
              </w:rPr>
              <w:t>1</w:t>
            </w:r>
            <w:r>
              <w:rPr>
                <w:rFonts w:hint="default"/>
                <w:color w:val="auto"/>
                <w:highlight w:val="none"/>
              </w:rPr>
              <w:t>地理位置图。</w:t>
            </w:r>
          </w:p>
          <w:p>
            <w:pPr>
              <w:keepNext w:val="0"/>
              <w:keepLines w:val="0"/>
              <w:suppressLineNumbers w:val="0"/>
              <w:spacing w:before="0" w:beforeAutospacing="0" w:after="0" w:afterAutospacing="0"/>
              <w:ind w:left="0" w:right="0" w:firstLine="480"/>
              <w:rPr>
                <w:rFonts w:hint="default"/>
                <w:color w:val="auto"/>
                <w:highlight w:val="none"/>
              </w:rPr>
            </w:pPr>
            <w:r>
              <w:rPr>
                <w:rFonts w:hint="default"/>
                <w:color w:val="auto"/>
                <w:highlight w:val="none"/>
              </w:rPr>
              <w:t>四邻关系：</w:t>
            </w:r>
            <w:r>
              <w:rPr>
                <w:rFonts w:hint="eastAsia"/>
                <w:color w:val="auto"/>
                <w:highlight w:val="none"/>
                <w:lang w:val="en-US" w:eastAsia="zh-CN"/>
              </w:rPr>
              <w:t>迁建后</w:t>
            </w:r>
            <w:r>
              <w:rPr>
                <w:rFonts w:hint="default"/>
                <w:color w:val="auto"/>
                <w:highlight w:val="none"/>
              </w:rPr>
              <w:t>本项目位于</w:t>
            </w:r>
            <w:r>
              <w:rPr>
                <w:rFonts w:hint="eastAsia"/>
                <w:color w:val="auto"/>
                <w:highlight w:val="none"/>
                <w:lang w:eastAsia="zh-CN"/>
              </w:rPr>
              <w:t>泾河新城工业密集区永乐工业园尚家一街北</w:t>
            </w:r>
            <w:r>
              <w:rPr>
                <w:rFonts w:hint="default"/>
                <w:color w:val="auto"/>
                <w:highlight w:val="none"/>
              </w:rPr>
              <w:t>，</w:t>
            </w:r>
            <w:r>
              <w:rPr>
                <w:rFonts w:hint="eastAsia"/>
                <w:color w:val="auto"/>
                <w:highlight w:val="none"/>
              </w:rPr>
              <w:t>项目</w:t>
            </w:r>
            <w:r>
              <w:rPr>
                <w:rFonts w:hint="default"/>
                <w:color w:val="auto"/>
                <w:highlight w:val="none"/>
              </w:rPr>
              <w:t>东侧</w:t>
            </w:r>
            <w:r>
              <w:rPr>
                <w:rFonts w:hint="eastAsia"/>
                <w:color w:val="auto"/>
                <w:highlight w:val="none"/>
                <w:lang w:val="en-US" w:eastAsia="zh-CN"/>
              </w:rPr>
              <w:t>为陕西泾港沣环保建材有限公司</w:t>
            </w:r>
            <w:r>
              <w:rPr>
                <w:rFonts w:hint="eastAsia"/>
                <w:color w:val="auto"/>
                <w:highlight w:val="none"/>
                <w:lang w:eastAsia="zh-CN"/>
              </w:rPr>
              <w:t>，</w:t>
            </w:r>
            <w:r>
              <w:rPr>
                <w:rFonts w:hint="eastAsia"/>
                <w:color w:val="auto"/>
                <w:highlight w:val="none"/>
              </w:rPr>
              <w:t>南侧为空地</w:t>
            </w:r>
            <w:r>
              <w:rPr>
                <w:rFonts w:hint="default"/>
                <w:color w:val="auto"/>
                <w:highlight w:val="none"/>
              </w:rPr>
              <w:t>，</w:t>
            </w:r>
            <w:r>
              <w:rPr>
                <w:rFonts w:hint="eastAsia"/>
                <w:color w:val="auto"/>
                <w:highlight w:val="none"/>
              </w:rPr>
              <w:t>西侧为</w:t>
            </w:r>
            <w:r>
              <w:rPr>
                <w:rFonts w:hint="eastAsia"/>
                <w:color w:val="auto"/>
                <w:highlight w:val="none"/>
                <w:lang w:val="en-US" w:eastAsia="zh-CN"/>
              </w:rPr>
              <w:t>原点东五路</w:t>
            </w:r>
            <w:r>
              <w:rPr>
                <w:rFonts w:hint="eastAsia"/>
                <w:color w:val="auto"/>
                <w:highlight w:val="none"/>
              </w:rPr>
              <w:t>，北侧为</w:t>
            </w:r>
            <w:r>
              <w:rPr>
                <w:rFonts w:hint="eastAsia"/>
                <w:color w:val="auto"/>
                <w:highlight w:val="none"/>
                <w:lang w:val="en-US" w:eastAsia="zh-CN"/>
              </w:rPr>
              <w:t>空置厂房</w:t>
            </w:r>
            <w:r>
              <w:rPr>
                <w:rFonts w:hint="eastAsia"/>
                <w:color w:val="auto"/>
                <w:highlight w:val="none"/>
              </w:rPr>
              <w:t>；</w:t>
            </w:r>
            <w:r>
              <w:rPr>
                <w:rFonts w:hint="default"/>
                <w:color w:val="auto"/>
                <w:highlight w:val="none"/>
              </w:rPr>
              <w:t>详见附图</w:t>
            </w:r>
            <w:r>
              <w:rPr>
                <w:rFonts w:hint="eastAsia"/>
                <w:color w:val="auto"/>
                <w:highlight w:val="none"/>
              </w:rPr>
              <w:t>2</w:t>
            </w:r>
            <w:r>
              <w:rPr>
                <w:rFonts w:hint="default"/>
                <w:color w:val="auto"/>
                <w:highlight w:val="none"/>
              </w:rPr>
              <w:t>四邻关系图。</w:t>
            </w:r>
          </w:p>
          <w:p>
            <w:pPr>
              <w:keepNext w:val="0"/>
              <w:keepLines w:val="0"/>
              <w:suppressLineNumbers w:val="0"/>
              <w:spacing w:before="0" w:beforeAutospacing="0" w:after="0" w:afterAutospacing="0"/>
              <w:ind w:left="0" w:right="0" w:firstLine="482"/>
              <w:rPr>
                <w:rFonts w:hint="default"/>
                <w:b/>
                <w:color w:val="auto"/>
                <w:highlight w:val="none"/>
              </w:rPr>
            </w:pPr>
            <w:r>
              <w:rPr>
                <w:rFonts w:hint="eastAsia"/>
                <w:b/>
                <w:color w:val="auto"/>
                <w:highlight w:val="none"/>
              </w:rPr>
              <w:t>2</w:t>
            </w:r>
            <w:r>
              <w:rPr>
                <w:rFonts w:hint="default"/>
                <w:b/>
                <w:color w:val="auto"/>
                <w:highlight w:val="none"/>
              </w:rPr>
              <w:t>、建设规模及建设内容</w:t>
            </w:r>
          </w:p>
          <w:p>
            <w:pPr>
              <w:keepNext w:val="0"/>
              <w:keepLines w:val="0"/>
              <w:suppressLineNumbers w:val="0"/>
              <w:spacing w:before="0" w:beforeAutospacing="0" w:after="0" w:afterAutospacing="0"/>
              <w:ind w:left="0" w:right="0" w:firstLine="480"/>
              <w:rPr>
                <w:rFonts w:hint="default"/>
                <w:color w:val="auto"/>
                <w:highlight w:val="none"/>
              </w:rPr>
            </w:pPr>
            <w:r>
              <w:rPr>
                <w:rFonts w:hint="default"/>
                <w:color w:val="auto"/>
                <w:highlight w:val="none"/>
              </w:rPr>
              <w:t>项目</w:t>
            </w:r>
            <w:r>
              <w:rPr>
                <w:rFonts w:hint="eastAsia"/>
                <w:color w:val="auto"/>
                <w:highlight w:val="none"/>
              </w:rPr>
              <w:t>占地面积</w:t>
            </w:r>
            <w:r>
              <w:rPr>
                <w:rFonts w:hint="eastAsia"/>
                <w:color w:val="auto"/>
                <w:highlight w:val="none"/>
                <w:lang w:val="en-US" w:eastAsia="zh-CN"/>
              </w:rPr>
              <w:t>52</w:t>
            </w:r>
            <w:r>
              <w:rPr>
                <w:rFonts w:hint="eastAsia"/>
                <w:color w:val="auto"/>
                <w:highlight w:val="none"/>
                <w:lang w:eastAsia="zh-CN"/>
              </w:rPr>
              <w:t>00</w:t>
            </w:r>
            <w:r>
              <w:rPr>
                <w:rFonts w:hint="default"/>
                <w:color w:val="auto"/>
                <w:highlight w:val="none"/>
              </w:rPr>
              <w:t>m</w:t>
            </w:r>
            <w:r>
              <w:rPr>
                <w:rFonts w:hint="default"/>
                <w:color w:val="auto"/>
                <w:highlight w:val="none"/>
                <w:vertAlign w:val="superscript"/>
              </w:rPr>
              <w:t>2</w:t>
            </w:r>
            <w:r>
              <w:rPr>
                <w:rFonts w:hint="default"/>
                <w:color w:val="auto"/>
                <w:highlight w:val="none"/>
              </w:rPr>
              <w:t>，</w:t>
            </w:r>
            <w:r>
              <w:rPr>
                <w:rFonts w:hint="eastAsia"/>
                <w:color w:val="auto"/>
                <w:highlight w:val="none"/>
              </w:rPr>
              <w:t>其中生产厂房</w:t>
            </w:r>
            <w:r>
              <w:rPr>
                <w:rFonts w:hint="default"/>
                <w:color w:val="auto"/>
                <w:highlight w:val="none"/>
              </w:rPr>
              <w:t>面积约</w:t>
            </w:r>
            <w:r>
              <w:rPr>
                <w:rFonts w:hint="eastAsia"/>
                <w:color w:val="auto"/>
                <w:highlight w:val="none"/>
                <w:lang w:val="en-US" w:eastAsia="zh-CN"/>
              </w:rPr>
              <w:t>2124</w:t>
            </w:r>
            <w:r>
              <w:rPr>
                <w:rFonts w:hint="default"/>
                <w:color w:val="auto"/>
                <w:highlight w:val="none"/>
              </w:rPr>
              <w:t>m</w:t>
            </w:r>
            <w:r>
              <w:rPr>
                <w:rFonts w:hint="default"/>
                <w:color w:val="auto"/>
                <w:highlight w:val="none"/>
                <w:vertAlign w:val="superscript"/>
              </w:rPr>
              <w:t>2</w:t>
            </w:r>
            <w:r>
              <w:rPr>
                <w:rFonts w:hint="default"/>
                <w:color w:val="auto"/>
                <w:highlight w:val="none"/>
              </w:rPr>
              <w:t>，</w:t>
            </w:r>
            <w:r>
              <w:rPr>
                <w:rFonts w:hint="eastAsia"/>
                <w:color w:val="auto"/>
                <w:highlight w:val="none"/>
                <w:lang w:val="en-US" w:eastAsia="zh-CN"/>
              </w:rPr>
              <w:t>办公区</w:t>
            </w:r>
            <w:r>
              <w:rPr>
                <w:rFonts w:hint="default"/>
                <w:color w:val="auto"/>
                <w:highlight w:val="none"/>
              </w:rPr>
              <w:t>面积约</w:t>
            </w:r>
            <w:r>
              <w:rPr>
                <w:rFonts w:hint="eastAsia"/>
                <w:color w:val="auto"/>
                <w:highlight w:val="none"/>
                <w:lang w:val="en-US" w:eastAsia="zh-CN"/>
              </w:rPr>
              <w:t>300</w:t>
            </w:r>
            <w:r>
              <w:rPr>
                <w:rFonts w:hint="default"/>
                <w:color w:val="auto"/>
                <w:highlight w:val="none"/>
              </w:rPr>
              <w:t>m</w:t>
            </w:r>
            <w:r>
              <w:rPr>
                <w:rFonts w:hint="default"/>
                <w:color w:val="auto"/>
                <w:highlight w:val="none"/>
                <w:vertAlign w:val="superscript"/>
              </w:rPr>
              <w:t>2</w:t>
            </w:r>
            <w:r>
              <w:rPr>
                <w:rFonts w:hint="default"/>
                <w:color w:val="auto"/>
                <w:highlight w:val="none"/>
              </w:rPr>
              <w:t>，</w:t>
            </w:r>
            <w:r>
              <w:rPr>
                <w:rFonts w:hint="eastAsia"/>
                <w:color w:val="auto"/>
                <w:highlight w:val="none"/>
              </w:rPr>
              <w:t>主要建设</w:t>
            </w:r>
            <w:r>
              <w:rPr>
                <w:rFonts w:hint="eastAsia"/>
                <w:color w:val="auto"/>
                <w:highlight w:val="none"/>
                <w:lang w:val="en-US" w:eastAsia="zh-CN"/>
              </w:rPr>
              <w:t>HDPE给水管</w:t>
            </w:r>
            <w:r>
              <w:rPr>
                <w:rFonts w:hint="default"/>
                <w:color w:val="auto"/>
                <w:highlight w:val="none"/>
              </w:rPr>
              <w:t>生产线</w:t>
            </w:r>
            <w:r>
              <w:rPr>
                <w:rFonts w:hint="eastAsia"/>
                <w:color w:val="auto"/>
                <w:highlight w:val="none"/>
                <w:lang w:val="en-US" w:eastAsia="zh-CN"/>
              </w:rPr>
              <w:t>6条</w:t>
            </w:r>
            <w:r>
              <w:rPr>
                <w:rFonts w:hint="eastAsia"/>
                <w:color w:val="auto"/>
                <w:highlight w:val="none"/>
                <w:lang w:eastAsia="zh-CN"/>
              </w:rPr>
              <w:t>，</w:t>
            </w:r>
            <w:r>
              <w:rPr>
                <w:rFonts w:hint="default"/>
                <w:color w:val="auto"/>
                <w:highlight w:val="none"/>
              </w:rPr>
              <w:t>年产</w:t>
            </w:r>
            <w:r>
              <w:rPr>
                <w:rFonts w:hint="eastAsia"/>
                <w:color w:val="auto"/>
                <w:highlight w:val="none"/>
                <w:lang w:val="en-US" w:eastAsia="zh-CN"/>
              </w:rPr>
              <w:t>HDPE给水管</w:t>
            </w:r>
            <w:r>
              <w:rPr>
                <w:rFonts w:hint="default"/>
                <w:color w:val="auto"/>
                <w:highlight w:val="none"/>
              </w:rPr>
              <w:t>8000吨。</w:t>
            </w:r>
          </w:p>
          <w:p>
            <w:pPr>
              <w:keepNext w:val="0"/>
              <w:keepLines w:val="0"/>
              <w:suppressLineNumbers w:val="0"/>
              <w:spacing w:before="0" w:beforeAutospacing="0" w:after="0" w:afterAutospacing="0"/>
              <w:ind w:left="0" w:right="0" w:firstLine="480"/>
              <w:rPr>
                <w:rFonts w:hint="default"/>
                <w:color w:val="auto"/>
                <w:highlight w:val="none"/>
              </w:rPr>
            </w:pPr>
            <w:r>
              <w:rPr>
                <w:rFonts w:hint="default"/>
                <w:color w:val="auto"/>
                <w:highlight w:val="none"/>
              </w:rPr>
              <w:t>项目组成</w:t>
            </w:r>
            <w:r>
              <w:rPr>
                <w:rFonts w:hint="eastAsia"/>
                <w:color w:val="auto"/>
                <w:highlight w:val="none"/>
              </w:rPr>
              <w:t>具体</w:t>
            </w:r>
            <w:r>
              <w:rPr>
                <w:rFonts w:hint="default"/>
                <w:color w:val="auto"/>
                <w:highlight w:val="none"/>
              </w:rPr>
              <w:t>见表</w:t>
            </w:r>
            <w:r>
              <w:rPr>
                <w:rFonts w:hint="eastAsia"/>
                <w:color w:val="auto"/>
                <w:highlight w:val="none"/>
              </w:rPr>
              <w:t>2-1</w:t>
            </w:r>
            <w:r>
              <w:rPr>
                <w:rFonts w:hint="default"/>
                <w:color w:val="auto"/>
                <w:highlight w:val="none"/>
              </w:rPr>
              <w:t>。</w:t>
            </w:r>
          </w:p>
          <w:p>
            <w:pPr>
              <w:pStyle w:val="77"/>
              <w:keepNext w:val="0"/>
              <w:keepLines w:val="0"/>
              <w:widowControl/>
              <w:suppressLineNumbers w:val="0"/>
              <w:spacing w:before="0" w:beforeLines="0" w:beforeAutospacing="0" w:after="0" w:afterAutospacing="0" w:line="240" w:lineRule="auto"/>
              <w:ind w:left="0" w:right="0"/>
              <w:rPr>
                <w:rFonts w:hint="default" w:eastAsia="宋体"/>
                <w:b/>
                <w:color w:val="auto"/>
                <w:kern w:val="0"/>
                <w:szCs w:val="21"/>
                <w:highlight w:val="none"/>
              </w:rPr>
            </w:pPr>
            <w:r>
              <w:rPr>
                <w:rFonts w:hint="eastAsia" w:eastAsia="宋体"/>
                <w:b/>
                <w:color w:val="auto"/>
                <w:kern w:val="0"/>
                <w:szCs w:val="21"/>
                <w:highlight w:val="none"/>
              </w:rPr>
              <w:t>表2-1  建设项目组成表</w:t>
            </w:r>
          </w:p>
          <w:tbl>
            <w:tblPr>
              <w:tblStyle w:val="3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autofit"/>
              <w:tblCellMar>
                <w:top w:w="0" w:type="dxa"/>
                <w:left w:w="28" w:type="dxa"/>
                <w:bottom w:w="0" w:type="dxa"/>
                <w:right w:w="28" w:type="dxa"/>
              </w:tblCellMar>
            </w:tblPr>
            <w:tblGrid>
              <w:gridCol w:w="510"/>
              <w:gridCol w:w="493"/>
              <w:gridCol w:w="1263"/>
              <w:gridCol w:w="5231"/>
              <w:gridCol w:w="965"/>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510" w:hRule="atLeast"/>
                <w:jc w:val="center"/>
              </w:trPr>
              <w:tc>
                <w:tcPr>
                  <w:tcW w:w="301"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类别</w:t>
                  </w:r>
                </w:p>
              </w:tc>
              <w:tc>
                <w:tcPr>
                  <w:tcW w:w="1037" w:type="pct"/>
                  <w:gridSpan w:val="2"/>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工程名称</w:t>
                  </w:r>
                </w:p>
              </w:tc>
              <w:tc>
                <w:tcPr>
                  <w:tcW w:w="309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主要建设内容及规模</w:t>
                  </w:r>
                </w:p>
              </w:tc>
              <w:tc>
                <w:tcPr>
                  <w:tcW w:w="57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510" w:hRule="atLeast"/>
                <w:jc w:val="center"/>
              </w:trPr>
              <w:tc>
                <w:tcPr>
                  <w:tcW w:w="301"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主体工程</w:t>
                  </w:r>
                </w:p>
              </w:tc>
              <w:tc>
                <w:tcPr>
                  <w:tcW w:w="1037" w:type="pct"/>
                  <w:gridSpan w:val="2"/>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生产</w:t>
                  </w:r>
                  <w:r>
                    <w:rPr>
                      <w:rFonts w:hint="eastAsia"/>
                      <w:color w:val="auto"/>
                      <w:szCs w:val="20"/>
                      <w:highlight w:val="none"/>
                    </w:rPr>
                    <w:t>区</w:t>
                  </w:r>
                </w:p>
              </w:tc>
              <w:tc>
                <w:tcPr>
                  <w:tcW w:w="309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lang w:val="en-US" w:eastAsia="zh-CN"/>
                    </w:rPr>
                    <w:t>位于厂区中间位置，</w:t>
                  </w:r>
                  <w:r>
                    <w:rPr>
                      <w:rFonts w:hint="eastAsia"/>
                      <w:color w:val="auto"/>
                      <w:szCs w:val="20"/>
                      <w:highlight w:val="none"/>
                    </w:rPr>
                    <w:t>建筑</w:t>
                  </w:r>
                  <w:r>
                    <w:rPr>
                      <w:rFonts w:hint="default"/>
                      <w:color w:val="auto"/>
                      <w:szCs w:val="20"/>
                      <w:highlight w:val="none"/>
                    </w:rPr>
                    <w:t>面积</w:t>
                  </w:r>
                  <w:r>
                    <w:rPr>
                      <w:rFonts w:hint="eastAsia"/>
                      <w:color w:val="auto"/>
                      <w:szCs w:val="20"/>
                      <w:highlight w:val="none"/>
                      <w:lang w:val="en-US" w:eastAsia="zh-CN"/>
                    </w:rPr>
                    <w:t>2124</w:t>
                  </w:r>
                  <w:r>
                    <w:rPr>
                      <w:rFonts w:hint="default"/>
                      <w:color w:val="auto"/>
                      <w:szCs w:val="20"/>
                      <w:highlight w:val="none"/>
                    </w:rPr>
                    <w:t>m</w:t>
                  </w:r>
                  <w:r>
                    <w:rPr>
                      <w:rFonts w:hint="default"/>
                      <w:color w:val="auto"/>
                      <w:szCs w:val="20"/>
                      <w:highlight w:val="none"/>
                      <w:vertAlign w:val="superscript"/>
                    </w:rPr>
                    <w:t>2</w:t>
                  </w:r>
                  <w:r>
                    <w:rPr>
                      <w:rFonts w:hint="default"/>
                      <w:color w:val="auto"/>
                      <w:szCs w:val="20"/>
                      <w:highlight w:val="none"/>
                    </w:rPr>
                    <w:t>，</w:t>
                  </w:r>
                  <w:r>
                    <w:rPr>
                      <w:rFonts w:hint="eastAsia"/>
                      <w:color w:val="auto"/>
                      <w:szCs w:val="20"/>
                      <w:highlight w:val="none"/>
                    </w:rPr>
                    <w:t>高1</w:t>
                  </w:r>
                  <w:r>
                    <w:rPr>
                      <w:rFonts w:hint="eastAsia"/>
                      <w:color w:val="auto"/>
                      <w:szCs w:val="20"/>
                      <w:highlight w:val="none"/>
                      <w:lang w:val="en-US" w:eastAsia="zh-CN"/>
                    </w:rPr>
                    <w:t>2</w:t>
                  </w:r>
                  <w:r>
                    <w:rPr>
                      <w:rFonts w:hint="eastAsia"/>
                      <w:color w:val="auto"/>
                      <w:szCs w:val="20"/>
                      <w:highlight w:val="none"/>
                    </w:rPr>
                    <w:t>m，为钢混结构。</w:t>
                  </w:r>
                  <w:r>
                    <w:rPr>
                      <w:rFonts w:hint="eastAsia"/>
                      <w:color w:val="auto"/>
                      <w:szCs w:val="20"/>
                      <w:highlight w:val="none"/>
                      <w:lang w:val="en-US" w:eastAsia="zh-CN"/>
                    </w:rPr>
                    <w:t>布设6条HDPE给排水管生产线，主要配备吸料机、挤出机、真空定径箱、牵引机、切割机等，用于水管生产。</w:t>
                  </w:r>
                </w:p>
              </w:tc>
              <w:tc>
                <w:tcPr>
                  <w:tcW w:w="570" w:type="pct"/>
                  <w:vMerge w:val="restar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lang w:val="en-US" w:eastAsia="zh-CN"/>
                    </w:rPr>
                    <w:t>租赁已建成</w:t>
                  </w:r>
                  <w:r>
                    <w:rPr>
                      <w:rFonts w:hint="eastAsia"/>
                      <w:color w:val="auto"/>
                      <w:szCs w:val="20"/>
                      <w:highlight w:val="none"/>
                    </w:rPr>
                    <w:t>厂房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510" w:hRule="atLeast"/>
                <w:jc w:val="center"/>
              </w:trPr>
              <w:tc>
                <w:tcPr>
                  <w:tcW w:w="301"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辅助工程</w:t>
                  </w:r>
                </w:p>
              </w:tc>
              <w:tc>
                <w:tcPr>
                  <w:tcW w:w="1037" w:type="pct"/>
                  <w:gridSpan w:val="2"/>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办公区</w:t>
                  </w:r>
                </w:p>
              </w:tc>
              <w:tc>
                <w:tcPr>
                  <w:tcW w:w="309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lang w:val="en-US" w:eastAsia="zh-CN"/>
                    </w:rPr>
                    <w:t>共3层，</w:t>
                  </w:r>
                  <w:r>
                    <w:rPr>
                      <w:rFonts w:hint="eastAsia"/>
                      <w:color w:val="auto"/>
                      <w:szCs w:val="20"/>
                      <w:highlight w:val="none"/>
                    </w:rPr>
                    <w:t>位于</w:t>
                  </w:r>
                  <w:r>
                    <w:rPr>
                      <w:rFonts w:hint="eastAsia"/>
                      <w:color w:val="auto"/>
                      <w:szCs w:val="20"/>
                      <w:highlight w:val="none"/>
                      <w:lang w:val="en-US" w:eastAsia="zh-CN"/>
                    </w:rPr>
                    <w:t>生产车间</w:t>
                  </w:r>
                  <w:r>
                    <w:rPr>
                      <w:rFonts w:hint="eastAsia"/>
                      <w:color w:val="auto"/>
                      <w:szCs w:val="20"/>
                      <w:highlight w:val="none"/>
                    </w:rPr>
                    <w:t>西部，</w:t>
                  </w:r>
                  <w:r>
                    <w:rPr>
                      <w:rFonts w:hint="eastAsia"/>
                      <w:color w:val="auto"/>
                      <w:szCs w:val="20"/>
                      <w:highlight w:val="none"/>
                      <w:lang w:val="en-US" w:eastAsia="zh-CN"/>
                    </w:rPr>
                    <w:t>占地</w:t>
                  </w:r>
                  <w:r>
                    <w:rPr>
                      <w:rFonts w:hint="eastAsia"/>
                      <w:color w:val="auto"/>
                      <w:szCs w:val="20"/>
                      <w:highlight w:val="none"/>
                    </w:rPr>
                    <w:t>面积</w:t>
                  </w:r>
                  <w:r>
                    <w:rPr>
                      <w:rFonts w:hint="eastAsia"/>
                      <w:color w:val="auto"/>
                      <w:szCs w:val="20"/>
                      <w:highlight w:val="none"/>
                      <w:lang w:val="en-US" w:eastAsia="zh-CN"/>
                    </w:rPr>
                    <w:t>3</w:t>
                  </w:r>
                  <w:r>
                    <w:rPr>
                      <w:rFonts w:hint="eastAsia"/>
                      <w:color w:val="auto"/>
                      <w:szCs w:val="20"/>
                      <w:highlight w:val="none"/>
                    </w:rPr>
                    <w:t>00</w:t>
                  </w:r>
                  <w:r>
                    <w:rPr>
                      <w:rFonts w:hint="default"/>
                      <w:color w:val="auto"/>
                      <w:szCs w:val="20"/>
                      <w:highlight w:val="none"/>
                    </w:rPr>
                    <w:t>m</w:t>
                  </w:r>
                  <w:r>
                    <w:rPr>
                      <w:rFonts w:hint="default"/>
                      <w:color w:val="auto"/>
                      <w:szCs w:val="20"/>
                      <w:highlight w:val="none"/>
                      <w:vertAlign w:val="superscript"/>
                    </w:rPr>
                    <w:t>2</w:t>
                  </w:r>
                  <w:r>
                    <w:rPr>
                      <w:rFonts w:hint="eastAsia"/>
                      <w:color w:val="auto"/>
                      <w:szCs w:val="20"/>
                      <w:highlight w:val="none"/>
                    </w:rPr>
                    <w:t>；用于员工办公</w:t>
                  </w:r>
                </w:p>
              </w:tc>
              <w:tc>
                <w:tcPr>
                  <w:tcW w:w="570"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510" w:hRule="atLeast"/>
                <w:jc w:val="center"/>
              </w:trPr>
              <w:tc>
                <w:tcPr>
                  <w:tcW w:w="301" w:type="pct"/>
                  <w:vMerge w:val="restar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储运工程</w:t>
                  </w:r>
                </w:p>
              </w:tc>
              <w:tc>
                <w:tcPr>
                  <w:tcW w:w="1037" w:type="pct"/>
                  <w:gridSpan w:val="2"/>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eastAsia="宋体"/>
                      <w:color w:val="auto"/>
                      <w:szCs w:val="20"/>
                      <w:highlight w:val="none"/>
                      <w:lang w:eastAsia="zh-CN"/>
                    </w:rPr>
                  </w:pPr>
                  <w:r>
                    <w:rPr>
                      <w:rFonts w:hint="eastAsia"/>
                      <w:color w:val="auto"/>
                      <w:szCs w:val="20"/>
                      <w:highlight w:val="none"/>
                      <w:lang w:eastAsia="zh-CN"/>
                    </w:rPr>
                    <w:t>原料区</w:t>
                  </w:r>
                </w:p>
              </w:tc>
              <w:tc>
                <w:tcPr>
                  <w:tcW w:w="309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lang w:val="en-US" w:eastAsia="zh-CN"/>
                    </w:rPr>
                    <w:t>位于生产车间西南角</w:t>
                  </w:r>
                  <w:r>
                    <w:rPr>
                      <w:rFonts w:hint="eastAsia"/>
                      <w:color w:val="auto"/>
                      <w:szCs w:val="20"/>
                      <w:highlight w:val="none"/>
                    </w:rPr>
                    <w:t>，</w:t>
                  </w:r>
                  <w:r>
                    <w:rPr>
                      <w:rFonts w:hint="eastAsia"/>
                      <w:color w:val="auto"/>
                      <w:szCs w:val="20"/>
                      <w:highlight w:val="none"/>
                      <w:lang w:val="en-US" w:eastAsia="zh-CN"/>
                    </w:rPr>
                    <w:t>占地</w:t>
                  </w:r>
                  <w:r>
                    <w:rPr>
                      <w:rFonts w:hint="eastAsia"/>
                      <w:color w:val="auto"/>
                      <w:szCs w:val="20"/>
                      <w:highlight w:val="none"/>
                    </w:rPr>
                    <w:t>面积</w:t>
                  </w:r>
                  <w:r>
                    <w:rPr>
                      <w:rFonts w:hint="eastAsia"/>
                      <w:color w:val="auto"/>
                      <w:szCs w:val="20"/>
                      <w:highlight w:val="none"/>
                      <w:lang w:val="en-US" w:eastAsia="zh-CN"/>
                    </w:rPr>
                    <w:t>约500</w:t>
                  </w:r>
                  <w:r>
                    <w:rPr>
                      <w:rFonts w:hint="default"/>
                      <w:color w:val="auto"/>
                      <w:szCs w:val="20"/>
                      <w:highlight w:val="none"/>
                    </w:rPr>
                    <w:t>m</w:t>
                  </w:r>
                  <w:r>
                    <w:rPr>
                      <w:rFonts w:hint="default"/>
                      <w:color w:val="auto"/>
                      <w:szCs w:val="20"/>
                      <w:highlight w:val="none"/>
                      <w:vertAlign w:val="superscript"/>
                    </w:rPr>
                    <w:t>2</w:t>
                  </w:r>
                  <w:r>
                    <w:rPr>
                      <w:rFonts w:hint="eastAsia"/>
                      <w:color w:val="auto"/>
                      <w:szCs w:val="20"/>
                      <w:highlight w:val="none"/>
                    </w:rPr>
                    <w:t>，用于存放原辅材料</w:t>
                  </w:r>
                </w:p>
              </w:tc>
              <w:tc>
                <w:tcPr>
                  <w:tcW w:w="570"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510" w:hRule="atLeast"/>
                <w:jc w:val="center"/>
              </w:trPr>
              <w:tc>
                <w:tcPr>
                  <w:tcW w:w="301"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1037" w:type="pct"/>
                  <w:gridSpan w:val="2"/>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eastAsia="宋体"/>
                      <w:color w:val="auto"/>
                      <w:szCs w:val="20"/>
                      <w:highlight w:val="none"/>
                      <w:lang w:eastAsia="zh-CN"/>
                    </w:rPr>
                  </w:pPr>
                  <w:r>
                    <w:rPr>
                      <w:rFonts w:hint="eastAsia"/>
                      <w:color w:val="auto"/>
                      <w:szCs w:val="20"/>
                      <w:highlight w:val="none"/>
                    </w:rPr>
                    <w:t>成品</w:t>
                  </w:r>
                  <w:r>
                    <w:rPr>
                      <w:rFonts w:hint="eastAsia"/>
                      <w:color w:val="auto"/>
                      <w:szCs w:val="20"/>
                      <w:highlight w:val="none"/>
                      <w:lang w:val="en-US" w:eastAsia="zh-CN"/>
                    </w:rPr>
                    <w:t>堆场</w:t>
                  </w:r>
                </w:p>
              </w:tc>
              <w:tc>
                <w:tcPr>
                  <w:tcW w:w="309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位于</w:t>
                  </w:r>
                  <w:r>
                    <w:rPr>
                      <w:rFonts w:hint="eastAsia"/>
                      <w:color w:val="auto"/>
                      <w:szCs w:val="20"/>
                      <w:highlight w:val="none"/>
                      <w:lang w:val="en-US" w:eastAsia="zh-CN"/>
                    </w:rPr>
                    <w:t>生产车间南侧，占地</w:t>
                  </w:r>
                  <w:r>
                    <w:rPr>
                      <w:rFonts w:hint="eastAsia"/>
                      <w:color w:val="auto"/>
                      <w:szCs w:val="20"/>
                      <w:highlight w:val="none"/>
                    </w:rPr>
                    <w:t>面积</w:t>
                  </w:r>
                  <w:r>
                    <w:rPr>
                      <w:rFonts w:hint="eastAsia"/>
                      <w:color w:val="auto"/>
                      <w:szCs w:val="20"/>
                      <w:highlight w:val="none"/>
                      <w:lang w:val="en-US" w:eastAsia="zh-CN"/>
                    </w:rPr>
                    <w:t>2078.6</w:t>
                  </w:r>
                  <w:r>
                    <w:rPr>
                      <w:rFonts w:hint="default"/>
                      <w:color w:val="auto"/>
                      <w:szCs w:val="20"/>
                      <w:highlight w:val="none"/>
                    </w:rPr>
                    <w:t>m</w:t>
                  </w:r>
                  <w:r>
                    <w:rPr>
                      <w:rFonts w:hint="default"/>
                      <w:color w:val="auto"/>
                      <w:szCs w:val="20"/>
                      <w:highlight w:val="none"/>
                      <w:vertAlign w:val="superscript"/>
                    </w:rPr>
                    <w:t>2</w:t>
                  </w:r>
                  <w:r>
                    <w:rPr>
                      <w:rFonts w:hint="eastAsia"/>
                      <w:color w:val="auto"/>
                      <w:szCs w:val="20"/>
                      <w:highlight w:val="none"/>
                    </w:rPr>
                    <w:t>，用于存放成品</w:t>
                  </w:r>
                </w:p>
              </w:tc>
              <w:tc>
                <w:tcPr>
                  <w:tcW w:w="570"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510" w:hRule="atLeast"/>
                <w:jc w:val="center"/>
              </w:trPr>
              <w:tc>
                <w:tcPr>
                  <w:tcW w:w="301" w:type="pct"/>
                  <w:vMerge w:val="restar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公用工程</w:t>
                  </w:r>
                </w:p>
              </w:tc>
              <w:tc>
                <w:tcPr>
                  <w:tcW w:w="1037" w:type="pct"/>
                  <w:gridSpan w:val="2"/>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给水工程</w:t>
                  </w:r>
                </w:p>
              </w:tc>
              <w:tc>
                <w:tcPr>
                  <w:tcW w:w="309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由</w:t>
                  </w:r>
                  <w:r>
                    <w:rPr>
                      <w:rFonts w:hint="eastAsia"/>
                      <w:color w:val="auto"/>
                      <w:szCs w:val="20"/>
                      <w:highlight w:val="none"/>
                      <w:lang w:val="en-US" w:eastAsia="zh-CN"/>
                    </w:rPr>
                    <w:t>市政</w:t>
                  </w:r>
                  <w:r>
                    <w:rPr>
                      <w:rFonts w:hint="eastAsia"/>
                      <w:color w:val="auto"/>
                      <w:szCs w:val="20"/>
                      <w:highlight w:val="none"/>
                    </w:rPr>
                    <w:t>自来水供给</w:t>
                  </w:r>
                </w:p>
              </w:tc>
              <w:tc>
                <w:tcPr>
                  <w:tcW w:w="57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510" w:hRule="atLeast"/>
                <w:jc w:val="center"/>
              </w:trPr>
              <w:tc>
                <w:tcPr>
                  <w:tcW w:w="301"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1037" w:type="pct"/>
                  <w:gridSpan w:val="2"/>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排水工程</w:t>
                  </w:r>
                </w:p>
              </w:tc>
              <w:tc>
                <w:tcPr>
                  <w:tcW w:w="309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生活污水</w:t>
                  </w:r>
                  <w:r>
                    <w:rPr>
                      <w:rFonts w:hint="eastAsia"/>
                      <w:color w:val="auto"/>
                      <w:szCs w:val="20"/>
                      <w:highlight w:val="none"/>
                      <w:lang w:val="en-US" w:eastAsia="zh-CN"/>
                    </w:rPr>
                    <w:t>经</w:t>
                  </w:r>
                  <w:r>
                    <w:rPr>
                      <w:rFonts w:hint="eastAsia"/>
                      <w:color w:val="auto"/>
                      <w:szCs w:val="20"/>
                      <w:highlight w:val="none"/>
                    </w:rPr>
                    <w:t>化粪池</w:t>
                  </w:r>
                  <w:r>
                    <w:rPr>
                      <w:rFonts w:hint="eastAsia"/>
                      <w:color w:val="auto"/>
                      <w:szCs w:val="20"/>
                      <w:highlight w:val="none"/>
                      <w:lang w:val="en-US" w:eastAsia="zh-CN"/>
                    </w:rPr>
                    <w:t>处理后</w:t>
                  </w:r>
                  <w:r>
                    <w:rPr>
                      <w:rFonts w:hint="eastAsia"/>
                      <w:color w:val="auto"/>
                      <w:szCs w:val="20"/>
                      <w:highlight w:val="none"/>
                    </w:rPr>
                    <w:t>经市政管网排入泾河新城第二污水处理厂；化粪池容积</w:t>
                  </w:r>
                  <w:r>
                    <w:rPr>
                      <w:rFonts w:hint="eastAsia"/>
                      <w:color w:val="auto"/>
                      <w:szCs w:val="21"/>
                      <w:highlight w:val="none"/>
                      <w:lang w:val="en-US" w:eastAsia="zh-CN"/>
                    </w:rPr>
                    <w:t>3</w:t>
                  </w:r>
                  <w:r>
                    <w:rPr>
                      <w:rFonts w:hint="eastAsia"/>
                      <w:color w:val="auto"/>
                      <w:szCs w:val="21"/>
                      <w:highlight w:val="none"/>
                    </w:rPr>
                    <w:t>0</w:t>
                  </w:r>
                  <w:r>
                    <w:rPr>
                      <w:rFonts w:hint="default"/>
                      <w:color w:val="auto"/>
                      <w:szCs w:val="21"/>
                      <w:highlight w:val="none"/>
                    </w:rPr>
                    <w:t>m</w:t>
                  </w:r>
                  <w:r>
                    <w:rPr>
                      <w:rFonts w:hint="default"/>
                      <w:color w:val="auto"/>
                      <w:szCs w:val="21"/>
                      <w:highlight w:val="none"/>
                      <w:vertAlign w:val="superscript"/>
                    </w:rPr>
                    <w:t>3</w:t>
                  </w:r>
                  <w:r>
                    <w:rPr>
                      <w:rFonts w:hint="default"/>
                      <w:color w:val="auto"/>
                      <w:szCs w:val="21"/>
                      <w:highlight w:val="none"/>
                    </w:rPr>
                    <w:t>，</w:t>
                  </w:r>
                  <w:r>
                    <w:rPr>
                      <w:rFonts w:hint="eastAsia"/>
                      <w:color w:val="auto"/>
                      <w:szCs w:val="21"/>
                      <w:highlight w:val="none"/>
                    </w:rPr>
                    <w:t>位于</w:t>
                  </w:r>
                  <w:r>
                    <w:rPr>
                      <w:rFonts w:hint="eastAsia"/>
                      <w:color w:val="auto"/>
                      <w:szCs w:val="21"/>
                      <w:highlight w:val="none"/>
                      <w:lang w:val="en-US" w:eastAsia="zh-CN"/>
                    </w:rPr>
                    <w:t>厂区西南角</w:t>
                  </w:r>
                </w:p>
              </w:tc>
              <w:tc>
                <w:tcPr>
                  <w:tcW w:w="57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510" w:hRule="atLeast"/>
                <w:jc w:val="center"/>
              </w:trPr>
              <w:tc>
                <w:tcPr>
                  <w:tcW w:w="301"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1037" w:type="pct"/>
                  <w:gridSpan w:val="2"/>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供电工程</w:t>
                  </w:r>
                </w:p>
              </w:tc>
              <w:tc>
                <w:tcPr>
                  <w:tcW w:w="309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由市政电网供给</w:t>
                  </w:r>
                </w:p>
              </w:tc>
              <w:tc>
                <w:tcPr>
                  <w:tcW w:w="57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510" w:hRule="atLeast"/>
                <w:jc w:val="center"/>
              </w:trPr>
              <w:tc>
                <w:tcPr>
                  <w:tcW w:w="301"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1037" w:type="pct"/>
                  <w:gridSpan w:val="2"/>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供暖制冷</w:t>
                  </w:r>
                </w:p>
              </w:tc>
              <w:tc>
                <w:tcPr>
                  <w:tcW w:w="309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生产车间无需供暖制冷；办公区采用</w:t>
                  </w:r>
                  <w:r>
                    <w:rPr>
                      <w:rFonts w:hint="eastAsia"/>
                      <w:color w:val="auto"/>
                      <w:szCs w:val="20"/>
                      <w:highlight w:val="none"/>
                      <w:lang w:val="en-US" w:eastAsia="zh-CN"/>
                    </w:rPr>
                    <w:t>分体式</w:t>
                  </w:r>
                  <w:r>
                    <w:rPr>
                      <w:rFonts w:hint="eastAsia"/>
                      <w:color w:val="auto"/>
                      <w:szCs w:val="20"/>
                      <w:highlight w:val="none"/>
                    </w:rPr>
                    <w:t>空调。</w:t>
                  </w:r>
                </w:p>
              </w:tc>
              <w:tc>
                <w:tcPr>
                  <w:tcW w:w="57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510" w:hRule="atLeast"/>
                <w:jc w:val="center"/>
              </w:trPr>
              <w:tc>
                <w:tcPr>
                  <w:tcW w:w="301" w:type="pct"/>
                  <w:vMerge w:val="restar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环保工程</w:t>
                  </w:r>
                </w:p>
              </w:tc>
              <w:tc>
                <w:tcPr>
                  <w:tcW w:w="1037" w:type="pct"/>
                  <w:gridSpan w:val="2"/>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废气</w:t>
                  </w:r>
                </w:p>
              </w:tc>
              <w:tc>
                <w:tcPr>
                  <w:tcW w:w="309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有机废气采用集气罩收集+两级活性炭吸附+15m排气筒（DA00</w:t>
                  </w:r>
                  <w:r>
                    <w:rPr>
                      <w:rFonts w:hint="eastAsia"/>
                      <w:color w:val="auto"/>
                      <w:szCs w:val="20"/>
                      <w:highlight w:val="none"/>
                      <w:lang w:val="en-US" w:eastAsia="zh-CN"/>
                    </w:rPr>
                    <w:t>1</w:t>
                  </w:r>
                  <w:r>
                    <w:rPr>
                      <w:rFonts w:hint="eastAsia"/>
                      <w:color w:val="auto"/>
                      <w:szCs w:val="20"/>
                      <w:highlight w:val="none"/>
                    </w:rPr>
                    <w:t>）处理达标后排放</w:t>
                  </w:r>
                </w:p>
              </w:tc>
              <w:tc>
                <w:tcPr>
                  <w:tcW w:w="57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510" w:hRule="atLeast"/>
                <w:jc w:val="center"/>
              </w:trPr>
              <w:tc>
                <w:tcPr>
                  <w:tcW w:w="301"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1037" w:type="pct"/>
                  <w:gridSpan w:val="2"/>
                  <w:vMerge w:val="restar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废</w:t>
                  </w:r>
                  <w:r>
                    <w:rPr>
                      <w:rFonts w:hint="eastAsia"/>
                      <w:color w:val="auto"/>
                      <w:szCs w:val="20"/>
                      <w:highlight w:val="none"/>
                    </w:rPr>
                    <w:t>水</w:t>
                  </w:r>
                </w:p>
              </w:tc>
              <w:tc>
                <w:tcPr>
                  <w:tcW w:w="309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eastAsia="宋体"/>
                      <w:color w:val="auto"/>
                      <w:szCs w:val="20"/>
                      <w:highlight w:val="none"/>
                      <w:lang w:val="en-US" w:eastAsia="zh-CN"/>
                    </w:rPr>
                  </w:pPr>
                  <w:r>
                    <w:rPr>
                      <w:rFonts w:hint="eastAsia"/>
                      <w:color w:val="auto"/>
                      <w:szCs w:val="20"/>
                      <w:highlight w:val="none"/>
                      <w:lang w:val="en-US" w:eastAsia="zh-CN"/>
                    </w:rPr>
                    <w:t>设1座地埋式循环水池（</w:t>
                  </w:r>
                  <w:r>
                    <w:rPr>
                      <w:rFonts w:hint="eastAsia"/>
                      <w:color w:val="auto"/>
                      <w:szCs w:val="21"/>
                      <w:highlight w:val="none"/>
                      <w:lang w:val="en-US" w:eastAsia="zh-CN"/>
                    </w:rPr>
                    <w:t>10</w:t>
                  </w:r>
                  <w:r>
                    <w:rPr>
                      <w:rFonts w:hint="eastAsia"/>
                      <w:color w:val="auto"/>
                      <w:szCs w:val="21"/>
                      <w:highlight w:val="none"/>
                    </w:rPr>
                    <w:t>0</w:t>
                  </w:r>
                  <w:r>
                    <w:rPr>
                      <w:rFonts w:hint="default"/>
                      <w:color w:val="auto"/>
                      <w:szCs w:val="21"/>
                      <w:highlight w:val="none"/>
                    </w:rPr>
                    <w:t>m</w:t>
                  </w:r>
                  <w:r>
                    <w:rPr>
                      <w:rFonts w:hint="default"/>
                      <w:color w:val="auto"/>
                      <w:szCs w:val="21"/>
                      <w:highlight w:val="none"/>
                      <w:vertAlign w:val="superscript"/>
                    </w:rPr>
                    <w:t>3</w:t>
                  </w:r>
                  <w:r>
                    <w:rPr>
                      <w:rFonts w:hint="eastAsia"/>
                      <w:color w:val="auto"/>
                      <w:szCs w:val="20"/>
                      <w:highlight w:val="none"/>
                      <w:lang w:val="en-US" w:eastAsia="zh-CN"/>
                    </w:rPr>
                    <w:t>），冷却水循环使用，不外排</w:t>
                  </w:r>
                </w:p>
              </w:tc>
              <w:tc>
                <w:tcPr>
                  <w:tcW w:w="57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510" w:hRule="atLeast"/>
                <w:jc w:val="center"/>
              </w:trPr>
              <w:tc>
                <w:tcPr>
                  <w:tcW w:w="301"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1037" w:type="pct"/>
                  <w:gridSpan w:val="2"/>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309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生活污水</w:t>
                  </w:r>
                  <w:r>
                    <w:rPr>
                      <w:rFonts w:hint="eastAsia"/>
                      <w:color w:val="auto"/>
                      <w:szCs w:val="20"/>
                      <w:highlight w:val="none"/>
                      <w:lang w:val="en-US" w:eastAsia="zh-CN"/>
                    </w:rPr>
                    <w:t>经已建成</w:t>
                  </w:r>
                  <w:r>
                    <w:rPr>
                      <w:rFonts w:hint="eastAsia"/>
                      <w:color w:val="auto"/>
                      <w:szCs w:val="20"/>
                      <w:highlight w:val="none"/>
                    </w:rPr>
                    <w:t>化粪池</w:t>
                  </w:r>
                  <w:r>
                    <w:rPr>
                      <w:rFonts w:hint="eastAsia"/>
                      <w:color w:val="auto"/>
                      <w:szCs w:val="20"/>
                      <w:highlight w:val="none"/>
                      <w:lang w:val="en-US" w:eastAsia="zh-CN"/>
                    </w:rPr>
                    <w:t>处理后</w:t>
                  </w:r>
                  <w:r>
                    <w:rPr>
                      <w:rFonts w:hint="eastAsia"/>
                      <w:color w:val="auto"/>
                      <w:szCs w:val="20"/>
                      <w:highlight w:val="none"/>
                    </w:rPr>
                    <w:t>经市政管网排入泾河新城第二污水处理厂</w:t>
                  </w:r>
                </w:p>
              </w:tc>
              <w:tc>
                <w:tcPr>
                  <w:tcW w:w="57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510" w:hRule="atLeast"/>
                <w:jc w:val="center"/>
              </w:trPr>
              <w:tc>
                <w:tcPr>
                  <w:tcW w:w="301"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1037" w:type="pct"/>
                  <w:gridSpan w:val="2"/>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噪声</w:t>
                  </w:r>
                </w:p>
              </w:tc>
              <w:tc>
                <w:tcPr>
                  <w:tcW w:w="309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选用低噪声设备、合理布局、</w:t>
                  </w:r>
                  <w:r>
                    <w:rPr>
                      <w:rFonts w:hint="default"/>
                      <w:color w:val="auto"/>
                      <w:szCs w:val="20"/>
                      <w:highlight w:val="none"/>
                    </w:rPr>
                    <w:t>基础减</w:t>
                  </w:r>
                  <w:r>
                    <w:rPr>
                      <w:rFonts w:hint="eastAsia"/>
                      <w:color w:val="auto"/>
                      <w:szCs w:val="20"/>
                      <w:highlight w:val="none"/>
                    </w:rPr>
                    <w:t>振等措施</w:t>
                  </w:r>
                </w:p>
              </w:tc>
              <w:tc>
                <w:tcPr>
                  <w:tcW w:w="57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510" w:hRule="atLeast"/>
                <w:jc w:val="center"/>
              </w:trPr>
              <w:tc>
                <w:tcPr>
                  <w:tcW w:w="301"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291" w:type="pct"/>
                  <w:vMerge w:val="restar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固废</w:t>
                  </w:r>
                </w:p>
              </w:tc>
              <w:tc>
                <w:tcPr>
                  <w:tcW w:w="745"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生活垃圾</w:t>
                  </w:r>
                </w:p>
              </w:tc>
              <w:tc>
                <w:tcPr>
                  <w:tcW w:w="309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分类收集后交环卫部门统一处理</w:t>
                  </w:r>
                </w:p>
              </w:tc>
              <w:tc>
                <w:tcPr>
                  <w:tcW w:w="57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510" w:hRule="atLeast"/>
                <w:jc w:val="center"/>
              </w:trPr>
              <w:tc>
                <w:tcPr>
                  <w:tcW w:w="301"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291"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745"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一般固废</w:t>
                  </w:r>
                </w:p>
              </w:tc>
              <w:tc>
                <w:tcPr>
                  <w:tcW w:w="3090" w:type="pct"/>
                  <w:tcBorders>
                    <w:tl2br w:val="nil"/>
                    <w:tr2bl w:val="nil"/>
                  </w:tcBorders>
                  <w:vAlign w:val="center"/>
                </w:tcPr>
                <w:p>
                  <w:pPr>
                    <w:keepNext w:val="0"/>
                    <w:keepLines w:val="0"/>
                    <w:suppressLineNumbers w:val="0"/>
                    <w:autoSpaceDE w:val="0"/>
                    <w:autoSpaceDN w:val="0"/>
                    <w:adjustRightInd w:val="0"/>
                    <w:spacing w:before="0" w:beforeAutospacing="0" w:after="0" w:afterAutospacing="0" w:line="240" w:lineRule="auto"/>
                    <w:ind w:left="0" w:right="0" w:firstLine="420"/>
                    <w:jc w:val="center"/>
                    <w:textAlignment w:val="bottom"/>
                    <w:rPr>
                      <w:rFonts w:hint="default"/>
                      <w:color w:val="auto"/>
                      <w:highlight w:val="none"/>
                    </w:rPr>
                  </w:pPr>
                  <w:r>
                    <w:rPr>
                      <w:rFonts w:hint="eastAsia"/>
                      <w:color w:val="auto"/>
                      <w:sz w:val="21"/>
                      <w:highlight w:val="none"/>
                    </w:rPr>
                    <w:t>设1处一般固废暂存</w:t>
                  </w:r>
                  <w:r>
                    <w:rPr>
                      <w:rFonts w:hint="eastAsia"/>
                      <w:color w:val="auto"/>
                      <w:sz w:val="21"/>
                      <w:highlight w:val="none"/>
                      <w:lang w:val="en-US" w:eastAsia="zh-CN"/>
                    </w:rPr>
                    <w:t>间</w:t>
                  </w:r>
                  <w:r>
                    <w:rPr>
                      <w:rFonts w:hint="eastAsia"/>
                      <w:color w:val="auto"/>
                      <w:sz w:val="21"/>
                      <w:highlight w:val="none"/>
                    </w:rPr>
                    <w:t>（</w:t>
                  </w:r>
                  <w:r>
                    <w:rPr>
                      <w:rFonts w:hint="eastAsia"/>
                      <w:color w:val="auto"/>
                      <w:sz w:val="21"/>
                      <w:highlight w:val="none"/>
                      <w:lang w:val="en-US" w:eastAsia="zh-CN"/>
                    </w:rPr>
                    <w:t>1</w:t>
                  </w:r>
                  <w:r>
                    <w:rPr>
                      <w:rFonts w:hint="eastAsia"/>
                      <w:color w:val="auto"/>
                      <w:sz w:val="21"/>
                      <w:highlight w:val="none"/>
                    </w:rPr>
                    <w:t>0m</w:t>
                  </w:r>
                  <w:r>
                    <w:rPr>
                      <w:rFonts w:hint="eastAsia"/>
                      <w:color w:val="auto"/>
                      <w:sz w:val="21"/>
                      <w:highlight w:val="none"/>
                      <w:vertAlign w:val="superscript"/>
                    </w:rPr>
                    <w:t>2</w:t>
                  </w:r>
                  <w:r>
                    <w:rPr>
                      <w:rFonts w:hint="eastAsia"/>
                      <w:color w:val="auto"/>
                      <w:sz w:val="21"/>
                      <w:highlight w:val="none"/>
                    </w:rPr>
                    <w:t>），位于</w:t>
                  </w:r>
                  <w:r>
                    <w:rPr>
                      <w:rFonts w:hint="eastAsia"/>
                      <w:color w:val="auto"/>
                      <w:sz w:val="21"/>
                      <w:highlight w:val="none"/>
                      <w:lang w:val="en-US" w:eastAsia="zh-CN"/>
                    </w:rPr>
                    <w:t>厂区西北角</w:t>
                  </w:r>
                  <w:r>
                    <w:rPr>
                      <w:rFonts w:hint="eastAsia"/>
                      <w:color w:val="auto"/>
                      <w:sz w:val="21"/>
                      <w:highlight w:val="none"/>
                    </w:rPr>
                    <w:t>，用于堆放生产过程中产生的不合格品、</w:t>
                  </w:r>
                  <w:r>
                    <w:rPr>
                      <w:rFonts w:hint="eastAsia"/>
                      <w:color w:val="auto"/>
                      <w:sz w:val="21"/>
                      <w:highlight w:val="none"/>
                      <w:lang w:val="en-US" w:eastAsia="zh-CN"/>
                    </w:rPr>
                    <w:t>废边料、</w:t>
                  </w:r>
                  <w:r>
                    <w:rPr>
                      <w:rFonts w:hint="eastAsia"/>
                      <w:color w:val="auto"/>
                      <w:sz w:val="21"/>
                      <w:highlight w:val="none"/>
                    </w:rPr>
                    <w:t>废包材</w:t>
                  </w:r>
                  <w:r>
                    <w:rPr>
                      <w:rFonts w:hint="eastAsia"/>
                      <w:color w:val="auto"/>
                      <w:sz w:val="21"/>
                      <w:highlight w:val="none"/>
                      <w:lang w:eastAsia="zh-CN"/>
                    </w:rPr>
                    <w:t>，</w:t>
                  </w:r>
                  <w:r>
                    <w:rPr>
                      <w:rFonts w:hint="eastAsia"/>
                      <w:color w:val="auto"/>
                      <w:sz w:val="21"/>
                      <w:highlight w:val="none"/>
                    </w:rPr>
                    <w:t>收集后</w:t>
                  </w:r>
                  <w:r>
                    <w:rPr>
                      <w:rFonts w:hint="eastAsia"/>
                      <w:color w:val="auto"/>
                      <w:sz w:val="21"/>
                      <w:highlight w:val="none"/>
                      <w:lang w:val="en-US" w:eastAsia="zh-CN"/>
                    </w:rPr>
                    <w:t>统一</w:t>
                  </w:r>
                  <w:r>
                    <w:rPr>
                      <w:rFonts w:hint="eastAsia"/>
                      <w:color w:val="auto"/>
                      <w:sz w:val="21"/>
                      <w:highlight w:val="none"/>
                    </w:rPr>
                    <w:t>外售</w:t>
                  </w:r>
                </w:p>
              </w:tc>
              <w:tc>
                <w:tcPr>
                  <w:tcW w:w="57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510" w:hRule="atLeast"/>
                <w:jc w:val="center"/>
              </w:trPr>
              <w:tc>
                <w:tcPr>
                  <w:tcW w:w="301"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291"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745"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危险废物</w:t>
                  </w:r>
                </w:p>
              </w:tc>
              <w:tc>
                <w:tcPr>
                  <w:tcW w:w="3090" w:type="pct"/>
                  <w:tcBorders>
                    <w:tl2br w:val="nil"/>
                    <w:tr2bl w:val="nil"/>
                  </w:tcBorders>
                  <w:vAlign w:val="center"/>
                </w:tcPr>
                <w:p>
                  <w:pPr>
                    <w:keepNext w:val="0"/>
                    <w:keepLines w:val="0"/>
                    <w:suppressLineNumbers w:val="0"/>
                    <w:autoSpaceDE w:val="0"/>
                    <w:autoSpaceDN w:val="0"/>
                    <w:adjustRightInd w:val="0"/>
                    <w:spacing w:before="0" w:beforeAutospacing="0" w:after="0" w:afterAutospacing="0" w:line="240" w:lineRule="auto"/>
                    <w:ind w:left="0" w:right="0" w:firstLine="420"/>
                    <w:jc w:val="center"/>
                    <w:textAlignment w:val="bottom"/>
                    <w:rPr>
                      <w:rFonts w:hint="default"/>
                      <w:color w:val="auto"/>
                      <w:highlight w:val="none"/>
                    </w:rPr>
                  </w:pPr>
                  <w:r>
                    <w:rPr>
                      <w:rFonts w:hint="eastAsia"/>
                      <w:color w:val="auto"/>
                      <w:sz w:val="21"/>
                      <w:highlight w:val="none"/>
                      <w:lang w:val="en-US" w:eastAsia="zh-CN"/>
                    </w:rPr>
                    <w:t>厂区内</w:t>
                  </w:r>
                  <w:r>
                    <w:rPr>
                      <w:rFonts w:hint="default"/>
                      <w:color w:val="auto"/>
                      <w:sz w:val="21"/>
                      <w:highlight w:val="none"/>
                    </w:rPr>
                    <w:t>设1</w:t>
                  </w:r>
                  <w:r>
                    <w:rPr>
                      <w:rFonts w:hint="eastAsia"/>
                      <w:color w:val="auto"/>
                      <w:sz w:val="21"/>
                      <w:highlight w:val="none"/>
                    </w:rPr>
                    <w:t>个</w:t>
                  </w:r>
                  <w:r>
                    <w:rPr>
                      <w:rFonts w:hint="eastAsia"/>
                      <w:color w:val="auto"/>
                      <w:sz w:val="21"/>
                      <w:highlight w:val="none"/>
                      <w:lang w:eastAsia="zh-CN"/>
                    </w:rPr>
                    <w:t>危废贮存库</w:t>
                  </w:r>
                  <w:r>
                    <w:rPr>
                      <w:rFonts w:hint="eastAsia"/>
                      <w:color w:val="auto"/>
                      <w:sz w:val="21"/>
                      <w:highlight w:val="none"/>
                    </w:rPr>
                    <w:t>（10m</w:t>
                  </w:r>
                  <w:r>
                    <w:rPr>
                      <w:rFonts w:hint="eastAsia"/>
                      <w:color w:val="auto"/>
                      <w:sz w:val="21"/>
                      <w:highlight w:val="none"/>
                      <w:vertAlign w:val="superscript"/>
                    </w:rPr>
                    <w:t>2</w:t>
                  </w:r>
                  <w:r>
                    <w:rPr>
                      <w:rFonts w:hint="eastAsia"/>
                      <w:color w:val="auto"/>
                      <w:sz w:val="21"/>
                      <w:highlight w:val="none"/>
                    </w:rPr>
                    <w:t>）</w:t>
                  </w:r>
                  <w:r>
                    <w:rPr>
                      <w:rFonts w:hint="default"/>
                      <w:color w:val="auto"/>
                      <w:sz w:val="21"/>
                      <w:highlight w:val="none"/>
                    </w:rPr>
                    <w:t>，</w:t>
                  </w:r>
                  <w:r>
                    <w:rPr>
                      <w:rFonts w:hint="eastAsia"/>
                      <w:color w:val="auto"/>
                      <w:sz w:val="21"/>
                      <w:highlight w:val="none"/>
                    </w:rPr>
                    <w:t>位于</w:t>
                  </w:r>
                  <w:r>
                    <w:rPr>
                      <w:rFonts w:hint="eastAsia"/>
                      <w:color w:val="auto"/>
                      <w:sz w:val="21"/>
                      <w:highlight w:val="none"/>
                      <w:lang w:val="en-US" w:eastAsia="zh-CN"/>
                    </w:rPr>
                    <w:t>一般</w:t>
                  </w:r>
                  <w:r>
                    <w:rPr>
                      <w:rFonts w:hint="eastAsia"/>
                      <w:color w:val="auto"/>
                      <w:sz w:val="21"/>
                      <w:highlight w:val="none"/>
                    </w:rPr>
                    <w:t>固废暂存</w:t>
                  </w:r>
                  <w:r>
                    <w:rPr>
                      <w:rFonts w:hint="eastAsia"/>
                      <w:color w:val="auto"/>
                      <w:sz w:val="21"/>
                      <w:highlight w:val="none"/>
                      <w:lang w:val="en-US" w:eastAsia="zh-CN"/>
                    </w:rPr>
                    <w:t>间东侧</w:t>
                  </w:r>
                  <w:r>
                    <w:rPr>
                      <w:rFonts w:hint="eastAsia"/>
                      <w:color w:val="auto"/>
                      <w:sz w:val="21"/>
                      <w:highlight w:val="none"/>
                    </w:rPr>
                    <w:t>，生产过程产生的废机油、废油</w:t>
                  </w:r>
                  <w:r>
                    <w:rPr>
                      <w:rFonts w:hint="eastAsia"/>
                      <w:color w:val="auto"/>
                      <w:sz w:val="21"/>
                      <w:szCs w:val="21"/>
                      <w:highlight w:val="none"/>
                    </w:rPr>
                    <w:t>桶、含油抹布手套、废活性炭</w:t>
                  </w:r>
                  <w:r>
                    <w:rPr>
                      <w:rFonts w:hint="eastAsia"/>
                      <w:color w:val="auto"/>
                      <w:sz w:val="21"/>
                      <w:szCs w:val="21"/>
                      <w:highlight w:val="none"/>
                      <w:lang w:eastAsia="zh-CN"/>
                    </w:rPr>
                    <w:t>，</w:t>
                  </w:r>
                  <w:r>
                    <w:rPr>
                      <w:rFonts w:hint="eastAsia"/>
                      <w:color w:val="auto"/>
                      <w:sz w:val="21"/>
                      <w:szCs w:val="21"/>
                      <w:highlight w:val="none"/>
                    </w:rPr>
                    <w:t>均属于危险废物，暂存</w:t>
                  </w:r>
                  <w:r>
                    <w:rPr>
                      <w:rFonts w:hint="eastAsia"/>
                      <w:color w:val="auto"/>
                      <w:sz w:val="21"/>
                      <w:szCs w:val="21"/>
                      <w:highlight w:val="none"/>
                      <w:lang w:val="en-US" w:eastAsia="zh-CN"/>
                    </w:rPr>
                    <w:t>于</w:t>
                  </w:r>
                  <w:r>
                    <w:rPr>
                      <w:rFonts w:hint="eastAsia"/>
                      <w:color w:val="auto"/>
                      <w:sz w:val="21"/>
                      <w:szCs w:val="21"/>
                      <w:highlight w:val="none"/>
                      <w:lang w:eastAsia="zh-CN"/>
                    </w:rPr>
                    <w:t>危废贮存库</w:t>
                  </w:r>
                  <w:r>
                    <w:rPr>
                      <w:rFonts w:hint="eastAsia"/>
                      <w:color w:val="auto"/>
                      <w:sz w:val="21"/>
                      <w:szCs w:val="21"/>
                      <w:highlight w:val="none"/>
                    </w:rPr>
                    <w:t>，定期交有资质的</w:t>
                  </w:r>
                  <w:r>
                    <w:rPr>
                      <w:rFonts w:hint="eastAsia"/>
                      <w:color w:val="auto"/>
                      <w:sz w:val="21"/>
                      <w:highlight w:val="none"/>
                    </w:rPr>
                    <w:t>单位处置</w:t>
                  </w:r>
                </w:p>
              </w:tc>
              <w:tc>
                <w:tcPr>
                  <w:tcW w:w="57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新建</w:t>
                  </w:r>
                </w:p>
              </w:tc>
            </w:tr>
          </w:tbl>
          <w:p>
            <w:pPr>
              <w:keepNext w:val="0"/>
              <w:keepLines w:val="0"/>
              <w:suppressLineNumbers w:val="0"/>
              <w:spacing w:before="0" w:beforeAutospacing="0" w:after="0" w:afterAutospacing="0"/>
              <w:ind w:left="0" w:right="0" w:firstLine="482"/>
              <w:rPr>
                <w:rFonts w:hint="default"/>
                <w:b/>
                <w:color w:val="auto"/>
                <w:highlight w:val="none"/>
              </w:rPr>
            </w:pPr>
            <w:r>
              <w:rPr>
                <w:rFonts w:hint="eastAsia"/>
                <w:b/>
                <w:color w:val="auto"/>
                <w:highlight w:val="none"/>
              </w:rPr>
              <w:t>3</w:t>
            </w:r>
            <w:r>
              <w:rPr>
                <w:rFonts w:hint="default"/>
                <w:b/>
                <w:color w:val="auto"/>
                <w:highlight w:val="none"/>
              </w:rPr>
              <w:t>、</w:t>
            </w:r>
            <w:r>
              <w:rPr>
                <w:rFonts w:hint="eastAsia"/>
                <w:b/>
                <w:color w:val="auto"/>
                <w:highlight w:val="none"/>
              </w:rPr>
              <w:t>项目产品方案</w:t>
            </w:r>
          </w:p>
          <w:p>
            <w:pPr>
              <w:keepNext w:val="0"/>
              <w:keepLines w:val="0"/>
              <w:suppressLineNumbers w:val="0"/>
              <w:spacing w:before="0" w:beforeAutospacing="0" w:after="0" w:afterAutospacing="0"/>
              <w:ind w:left="0" w:right="0" w:firstLine="480"/>
              <w:rPr>
                <w:rFonts w:hint="default"/>
                <w:color w:val="auto"/>
                <w:highlight w:val="none"/>
              </w:rPr>
            </w:pPr>
            <w:r>
              <w:rPr>
                <w:rFonts w:hint="eastAsia"/>
                <w:color w:val="auto"/>
                <w:highlight w:val="none"/>
              </w:rPr>
              <w:t>本项目</w:t>
            </w:r>
            <w:r>
              <w:rPr>
                <w:rFonts w:hint="eastAsia"/>
                <w:color w:val="auto"/>
                <w:highlight w:val="none"/>
                <w:lang w:val="en-US" w:eastAsia="zh-CN"/>
              </w:rPr>
              <w:t>迁建后</w:t>
            </w:r>
            <w:r>
              <w:rPr>
                <w:rFonts w:hint="eastAsia"/>
                <w:color w:val="auto"/>
                <w:highlight w:val="none"/>
              </w:rPr>
              <w:t>主要产品为</w:t>
            </w:r>
            <w:r>
              <w:rPr>
                <w:rFonts w:hint="eastAsia"/>
                <w:color w:val="auto"/>
                <w:highlight w:val="none"/>
                <w:lang w:val="en-US" w:eastAsia="zh-CN"/>
              </w:rPr>
              <w:t>HDPE给水管</w:t>
            </w:r>
            <w:r>
              <w:rPr>
                <w:rFonts w:hint="eastAsia"/>
                <w:color w:val="auto"/>
                <w:highlight w:val="none"/>
              </w:rPr>
              <w:t>。产品方案见下表：</w:t>
            </w:r>
          </w:p>
          <w:p>
            <w:pPr>
              <w:pStyle w:val="77"/>
              <w:keepNext w:val="0"/>
              <w:keepLines w:val="0"/>
              <w:widowControl/>
              <w:suppressLineNumbers w:val="0"/>
              <w:spacing w:before="0" w:beforeLines="0" w:beforeAutospacing="0" w:after="0" w:afterAutospacing="0" w:line="240" w:lineRule="auto"/>
              <w:ind w:left="0" w:right="0"/>
              <w:rPr>
                <w:rFonts w:hint="default" w:eastAsia="宋体"/>
                <w:b/>
                <w:color w:val="auto"/>
                <w:kern w:val="0"/>
                <w:szCs w:val="21"/>
                <w:highlight w:val="none"/>
              </w:rPr>
            </w:pPr>
            <w:r>
              <w:rPr>
                <w:rFonts w:hint="eastAsia" w:eastAsia="宋体"/>
                <w:b/>
                <w:color w:val="auto"/>
                <w:kern w:val="0"/>
                <w:szCs w:val="21"/>
                <w:highlight w:val="none"/>
              </w:rPr>
              <w:t>表2-2  项目产品方案</w:t>
            </w:r>
          </w:p>
          <w:tbl>
            <w:tblPr>
              <w:tblStyle w:val="37"/>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58"/>
              <w:gridCol w:w="1284"/>
              <w:gridCol w:w="2731"/>
              <w:gridCol w:w="1242"/>
              <w:gridCol w:w="16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510" w:hRule="atLeast"/>
              </w:trPr>
              <w:tc>
                <w:tcPr>
                  <w:tcW w:w="921"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产品名称</w:t>
                  </w:r>
                </w:p>
              </w:tc>
              <w:tc>
                <w:tcPr>
                  <w:tcW w:w="759"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年产量</w:t>
                  </w:r>
                </w:p>
              </w:tc>
              <w:tc>
                <w:tcPr>
                  <w:tcW w:w="1614"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规格</w:t>
                  </w:r>
                </w:p>
              </w:tc>
              <w:tc>
                <w:tcPr>
                  <w:tcW w:w="734"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最大储量</w:t>
                  </w:r>
                </w:p>
              </w:tc>
              <w:tc>
                <w:tcPr>
                  <w:tcW w:w="970"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1" w:type="pct"/>
                  <w:vAlign w:val="center"/>
                </w:tcPr>
                <w:p>
                  <w:pPr>
                    <w:pStyle w:val="80"/>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1"/>
                      <w:highlight w:val="none"/>
                      <w:lang w:val="en-US" w:eastAsia="zh-CN"/>
                    </w:rPr>
                    <w:t>HDPE给水管</w:t>
                  </w:r>
                </w:p>
              </w:tc>
              <w:tc>
                <w:tcPr>
                  <w:tcW w:w="759"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1"/>
                      <w:highlight w:val="none"/>
                      <w:lang w:val="en-US" w:eastAsia="zh-CN"/>
                    </w:rPr>
                    <w:t>8</w:t>
                  </w:r>
                  <w:r>
                    <w:rPr>
                      <w:rFonts w:hint="default"/>
                      <w:color w:val="auto"/>
                      <w:szCs w:val="21"/>
                      <w:highlight w:val="none"/>
                    </w:rPr>
                    <w:t>000吨</w:t>
                  </w:r>
                </w:p>
              </w:tc>
              <w:tc>
                <w:tcPr>
                  <w:tcW w:w="1614" w:type="pct"/>
                  <w:vAlign w:val="center"/>
                </w:tcPr>
                <w:p>
                  <w:pPr>
                    <w:pStyle w:val="80"/>
                    <w:keepNext w:val="0"/>
                    <w:keepLines w:val="0"/>
                    <w:widowControl/>
                    <w:suppressLineNumbers w:val="0"/>
                    <w:spacing w:before="0" w:beforeAutospacing="0" w:after="0" w:afterAutospacing="0"/>
                    <w:ind w:left="0" w:right="0"/>
                    <w:rPr>
                      <w:rFonts w:hint="eastAsia" w:eastAsia="宋体"/>
                      <w:color w:val="auto"/>
                      <w:szCs w:val="21"/>
                      <w:highlight w:val="none"/>
                      <w:lang w:eastAsia="zh-CN"/>
                    </w:rPr>
                  </w:pPr>
                  <w:r>
                    <w:rPr>
                      <w:rFonts w:hint="eastAsia"/>
                      <w:color w:val="auto"/>
                      <w:szCs w:val="21"/>
                      <w:highlight w:val="none"/>
                      <w:lang w:val="en-US" w:eastAsia="zh-CN"/>
                    </w:rPr>
                    <w:t>φ110/315/250/630/1200</w:t>
                  </w:r>
                </w:p>
              </w:tc>
              <w:tc>
                <w:tcPr>
                  <w:tcW w:w="734" w:type="pct"/>
                  <w:vAlign w:val="center"/>
                </w:tcPr>
                <w:p>
                  <w:pPr>
                    <w:pStyle w:val="80"/>
                    <w:keepNext w:val="0"/>
                    <w:keepLines w:val="0"/>
                    <w:widowControl/>
                    <w:suppressLineNumbers w:val="0"/>
                    <w:spacing w:before="0" w:beforeAutospacing="0" w:after="0" w:afterAutospacing="0"/>
                    <w:ind w:left="0" w:right="0"/>
                    <w:rPr>
                      <w:rFonts w:hint="default"/>
                      <w:color w:val="auto"/>
                      <w:szCs w:val="21"/>
                      <w:highlight w:val="none"/>
                    </w:rPr>
                  </w:pPr>
                  <w:r>
                    <w:rPr>
                      <w:rFonts w:hint="eastAsia"/>
                      <w:color w:val="auto"/>
                      <w:szCs w:val="21"/>
                      <w:highlight w:val="none"/>
                    </w:rPr>
                    <w:t>1000吨</w:t>
                  </w:r>
                </w:p>
              </w:tc>
              <w:tc>
                <w:tcPr>
                  <w:tcW w:w="970" w:type="pct"/>
                  <w:vAlign w:val="center"/>
                </w:tcPr>
                <w:p>
                  <w:pPr>
                    <w:pStyle w:val="80"/>
                    <w:keepNext w:val="0"/>
                    <w:keepLines w:val="0"/>
                    <w:widowControl/>
                    <w:suppressLineNumbers w:val="0"/>
                    <w:spacing w:before="0" w:beforeAutospacing="0" w:after="0" w:afterAutospacing="0"/>
                    <w:ind w:left="0" w:right="0"/>
                    <w:rPr>
                      <w:rFonts w:hint="default"/>
                      <w:color w:val="auto"/>
                      <w:szCs w:val="21"/>
                      <w:highlight w:val="none"/>
                    </w:rPr>
                  </w:pPr>
                  <w:r>
                    <w:rPr>
                      <w:rFonts w:hint="eastAsia"/>
                      <w:color w:val="auto"/>
                      <w:szCs w:val="21"/>
                      <w:highlight w:val="none"/>
                    </w:rPr>
                    <w:t>产品</w:t>
                  </w:r>
                  <w:r>
                    <w:rPr>
                      <w:rFonts w:hint="eastAsia"/>
                      <w:color w:val="auto"/>
                      <w:szCs w:val="21"/>
                      <w:highlight w:val="none"/>
                      <w:lang w:val="en-US" w:eastAsia="zh-CN"/>
                    </w:rPr>
                    <w:t>全部</w:t>
                  </w:r>
                  <w:r>
                    <w:rPr>
                      <w:rFonts w:hint="eastAsia"/>
                      <w:color w:val="auto"/>
                      <w:szCs w:val="21"/>
                      <w:highlight w:val="none"/>
                    </w:rPr>
                    <w:t>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5"/>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color w:val="auto"/>
                      <w:szCs w:val="21"/>
                      <w:highlight w:val="none"/>
                    </w:rPr>
                  </w:pPr>
                  <w:r>
                    <w:rPr>
                      <w:rFonts w:hint="default" w:ascii="Times New Roman" w:hAnsi="Times New Roman" w:cs="Times New Roman"/>
                      <w:color w:val="auto"/>
                      <w:sz w:val="21"/>
                      <w:szCs w:val="21"/>
                      <w:lang w:eastAsia="zh-CN"/>
                    </w:rPr>
                    <w:t>注：</w:t>
                  </w:r>
                  <w:r>
                    <w:rPr>
                      <w:rFonts w:hint="default" w:ascii="Times New Roman" w:hAnsi="Times New Roman" w:cs="Times New Roman"/>
                      <w:color w:val="auto"/>
                      <w:sz w:val="21"/>
                      <w:szCs w:val="21"/>
                    </w:rPr>
                    <w:t>PE管材应满足《给水用</w:t>
                  </w:r>
                  <w:r>
                    <w:rPr>
                      <w:rFonts w:hint="eastAsia" w:ascii="Times New Roman" w:hAnsi="Times New Roman" w:cs="Times New Roman"/>
                      <w:color w:val="auto"/>
                      <w:sz w:val="21"/>
                      <w:szCs w:val="21"/>
                      <w:lang w:eastAsia="zh-CN"/>
                    </w:rPr>
                    <w:t>高密度聚乙烯</w:t>
                  </w:r>
                  <w:r>
                    <w:rPr>
                      <w:rFonts w:hint="default" w:ascii="Times New Roman" w:hAnsi="Times New Roman" w:cs="Times New Roman"/>
                      <w:color w:val="auto"/>
                      <w:sz w:val="21"/>
                      <w:szCs w:val="21"/>
                    </w:rPr>
                    <w:t>（PE）管材》（GB/T13663-2000）、《埋地用</w:t>
                  </w:r>
                  <w:r>
                    <w:rPr>
                      <w:rFonts w:hint="eastAsia" w:ascii="Times New Roman" w:hAnsi="Times New Roman" w:cs="Times New Roman"/>
                      <w:color w:val="auto"/>
                      <w:sz w:val="21"/>
                      <w:szCs w:val="21"/>
                      <w:lang w:eastAsia="zh-CN"/>
                    </w:rPr>
                    <w:t>高密度聚乙烯</w:t>
                  </w:r>
                  <w:r>
                    <w:rPr>
                      <w:rFonts w:hint="default" w:ascii="Times New Roman" w:hAnsi="Times New Roman" w:cs="Times New Roman"/>
                      <w:color w:val="auto"/>
                      <w:sz w:val="21"/>
                      <w:szCs w:val="21"/>
                    </w:rPr>
                    <w:t>（PE）结构壁管道系统》（GB/T19472.1-2004）等相应产品标准要求</w:t>
                  </w:r>
                  <w:r>
                    <w:rPr>
                      <w:rFonts w:hint="default" w:ascii="Times New Roman" w:hAnsi="Times New Roman" w:cs="Times New Roman"/>
                      <w:color w:val="auto"/>
                      <w:sz w:val="21"/>
                      <w:szCs w:val="21"/>
                      <w:lang w:val="en-US" w:eastAsia="zh-CN"/>
                    </w:rPr>
                    <w:t>。</w:t>
                  </w:r>
                </w:p>
              </w:tc>
            </w:tr>
          </w:tbl>
          <w:p>
            <w:pPr>
              <w:keepNext w:val="0"/>
              <w:keepLines w:val="0"/>
              <w:suppressLineNumbers w:val="0"/>
              <w:spacing w:before="0" w:beforeAutospacing="0" w:after="0" w:afterAutospacing="0"/>
              <w:ind w:left="0" w:right="0" w:firstLine="482"/>
              <w:rPr>
                <w:rFonts w:hint="default"/>
                <w:b/>
                <w:color w:val="auto"/>
                <w:highlight w:val="none"/>
              </w:rPr>
            </w:pPr>
            <w:r>
              <w:rPr>
                <w:rFonts w:hint="eastAsia"/>
                <w:b/>
                <w:color w:val="auto"/>
                <w:highlight w:val="none"/>
              </w:rPr>
              <w:t>4、</w:t>
            </w:r>
            <w:r>
              <w:rPr>
                <w:rFonts w:hint="default"/>
                <w:b/>
                <w:color w:val="auto"/>
                <w:highlight w:val="none"/>
              </w:rPr>
              <w:t>主要生产设备</w:t>
            </w:r>
          </w:p>
          <w:p>
            <w:pPr>
              <w:keepNext w:val="0"/>
              <w:keepLines w:val="0"/>
              <w:suppressLineNumbers w:val="0"/>
              <w:spacing w:before="0" w:beforeAutospacing="0" w:after="0" w:afterAutospacing="0"/>
              <w:ind w:left="0" w:right="0" w:firstLine="480"/>
              <w:rPr>
                <w:rFonts w:hint="default"/>
                <w:color w:val="auto"/>
                <w:highlight w:val="none"/>
              </w:rPr>
            </w:pPr>
            <w:r>
              <w:rPr>
                <w:rFonts w:hint="eastAsia"/>
                <w:color w:val="auto"/>
                <w:highlight w:val="none"/>
                <w:lang w:val="en-US" w:eastAsia="zh-CN"/>
              </w:rPr>
              <w:t>迁建前项目生产设备全部淘汰变卖，迁建后</w:t>
            </w:r>
            <w:r>
              <w:rPr>
                <w:rFonts w:hint="default"/>
                <w:color w:val="auto"/>
                <w:highlight w:val="none"/>
              </w:rPr>
              <w:t>本项目</w:t>
            </w:r>
            <w:r>
              <w:rPr>
                <w:rFonts w:hint="eastAsia"/>
                <w:color w:val="auto"/>
                <w:highlight w:val="none"/>
                <w:lang w:val="en-US" w:eastAsia="zh-CN"/>
              </w:rPr>
              <w:t>购置新设备，</w:t>
            </w:r>
            <w:r>
              <w:rPr>
                <w:rFonts w:hint="default"/>
                <w:color w:val="auto"/>
                <w:highlight w:val="none"/>
              </w:rPr>
              <w:t>主要生产设备见表</w:t>
            </w:r>
            <w:r>
              <w:rPr>
                <w:rFonts w:hint="eastAsia"/>
                <w:color w:val="auto"/>
                <w:highlight w:val="none"/>
              </w:rPr>
              <w:t>2-3</w:t>
            </w:r>
            <w:r>
              <w:rPr>
                <w:rFonts w:hint="default"/>
                <w:color w:val="auto"/>
                <w:highlight w:val="none"/>
              </w:rPr>
              <w:t>。</w:t>
            </w:r>
          </w:p>
          <w:p>
            <w:pPr>
              <w:pStyle w:val="77"/>
              <w:keepNext w:val="0"/>
              <w:keepLines w:val="0"/>
              <w:widowControl/>
              <w:suppressLineNumbers w:val="0"/>
              <w:spacing w:before="0" w:beforeLines="0" w:beforeAutospacing="0" w:after="0" w:afterAutospacing="0" w:line="240" w:lineRule="auto"/>
              <w:ind w:left="0" w:right="0"/>
              <w:rPr>
                <w:rFonts w:hint="default" w:eastAsia="宋体"/>
                <w:b/>
                <w:color w:val="auto"/>
                <w:kern w:val="0"/>
                <w:szCs w:val="21"/>
                <w:highlight w:val="none"/>
              </w:rPr>
            </w:pPr>
            <w:r>
              <w:rPr>
                <w:rFonts w:hint="eastAsia" w:eastAsia="宋体"/>
                <w:b/>
                <w:color w:val="auto"/>
                <w:kern w:val="0"/>
                <w:szCs w:val="21"/>
                <w:highlight w:val="none"/>
              </w:rPr>
              <w:t>表2-3  项目主要设备一览表</w:t>
            </w:r>
          </w:p>
          <w:tbl>
            <w:tblPr>
              <w:tblStyle w:val="3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1257"/>
              <w:gridCol w:w="1345"/>
              <w:gridCol w:w="4674"/>
              <w:gridCol w:w="517"/>
              <w:gridCol w:w="66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743" w:type="pct"/>
                  <w:tcBorders>
                    <w:tl2br w:val="nil"/>
                    <w:tr2bl w:val="nil"/>
                  </w:tcBorders>
                  <w:vAlign w:val="center"/>
                </w:tcPr>
                <w:p>
                  <w:pPr>
                    <w:pStyle w:val="80"/>
                    <w:keepNext w:val="0"/>
                    <w:keepLines w:val="0"/>
                    <w:widowControl/>
                    <w:suppressLineNumbers w:val="0"/>
                    <w:snapToGrid w:val="0"/>
                    <w:spacing w:before="0" w:beforeAutospacing="0" w:after="0" w:afterAutospacing="0"/>
                    <w:ind w:left="0" w:right="0"/>
                    <w:rPr>
                      <w:rFonts w:hint="default" w:eastAsia="宋体"/>
                      <w:b w:val="0"/>
                      <w:bCs w:val="0"/>
                      <w:color w:val="auto"/>
                      <w:szCs w:val="20"/>
                      <w:highlight w:val="none"/>
                      <w:lang w:val="en-US" w:eastAsia="zh-CN"/>
                    </w:rPr>
                  </w:pPr>
                  <w:r>
                    <w:rPr>
                      <w:rFonts w:hint="eastAsia"/>
                      <w:b w:val="0"/>
                      <w:bCs w:val="0"/>
                      <w:color w:val="auto"/>
                      <w:szCs w:val="20"/>
                      <w:highlight w:val="none"/>
                    </w:rPr>
                    <w:t>生产线</w:t>
                  </w:r>
                </w:p>
              </w:tc>
              <w:tc>
                <w:tcPr>
                  <w:tcW w:w="795" w:type="pct"/>
                  <w:tcBorders>
                    <w:tl2br w:val="nil"/>
                    <w:tr2bl w:val="nil"/>
                  </w:tcBorders>
                  <w:vAlign w:val="center"/>
                </w:tcPr>
                <w:p>
                  <w:pPr>
                    <w:pStyle w:val="80"/>
                    <w:keepNext w:val="0"/>
                    <w:keepLines w:val="0"/>
                    <w:widowControl/>
                    <w:suppressLineNumbers w:val="0"/>
                    <w:snapToGrid w:val="0"/>
                    <w:spacing w:before="0" w:beforeAutospacing="0" w:after="0" w:afterAutospacing="0"/>
                    <w:ind w:left="0" w:right="0"/>
                    <w:rPr>
                      <w:rFonts w:hint="default"/>
                      <w:b w:val="0"/>
                      <w:bCs w:val="0"/>
                      <w:color w:val="auto"/>
                      <w:szCs w:val="20"/>
                      <w:highlight w:val="none"/>
                    </w:rPr>
                  </w:pPr>
                  <w:r>
                    <w:rPr>
                      <w:rFonts w:hint="default"/>
                      <w:b w:val="0"/>
                      <w:bCs w:val="0"/>
                      <w:color w:val="auto"/>
                      <w:szCs w:val="20"/>
                      <w:highlight w:val="none"/>
                    </w:rPr>
                    <w:t>设备名称</w:t>
                  </w:r>
                </w:p>
              </w:tc>
              <w:tc>
                <w:tcPr>
                  <w:tcW w:w="2762" w:type="pct"/>
                  <w:tcBorders>
                    <w:tl2br w:val="nil"/>
                    <w:tr2bl w:val="nil"/>
                  </w:tcBorders>
                  <w:vAlign w:val="center"/>
                </w:tcPr>
                <w:p>
                  <w:pPr>
                    <w:pStyle w:val="80"/>
                    <w:keepNext w:val="0"/>
                    <w:keepLines w:val="0"/>
                    <w:widowControl/>
                    <w:suppressLineNumbers w:val="0"/>
                    <w:snapToGrid w:val="0"/>
                    <w:spacing w:before="0" w:beforeAutospacing="0" w:after="0" w:afterAutospacing="0"/>
                    <w:ind w:left="0" w:right="0"/>
                    <w:rPr>
                      <w:rFonts w:hint="default"/>
                      <w:b w:val="0"/>
                      <w:bCs w:val="0"/>
                      <w:color w:val="auto"/>
                      <w:szCs w:val="20"/>
                      <w:highlight w:val="none"/>
                    </w:rPr>
                  </w:pPr>
                  <w:r>
                    <w:rPr>
                      <w:rFonts w:hint="eastAsia"/>
                      <w:b w:val="0"/>
                      <w:bCs w:val="0"/>
                      <w:color w:val="auto"/>
                      <w:szCs w:val="20"/>
                      <w:highlight w:val="none"/>
                    </w:rPr>
                    <w:t>型号规格</w:t>
                  </w:r>
                </w:p>
              </w:tc>
              <w:tc>
                <w:tcPr>
                  <w:tcW w:w="305" w:type="pct"/>
                  <w:tcBorders>
                    <w:tl2br w:val="nil"/>
                    <w:tr2bl w:val="nil"/>
                  </w:tcBorders>
                  <w:vAlign w:val="center"/>
                </w:tcPr>
                <w:p>
                  <w:pPr>
                    <w:pStyle w:val="80"/>
                    <w:keepNext w:val="0"/>
                    <w:keepLines w:val="0"/>
                    <w:widowControl/>
                    <w:suppressLineNumbers w:val="0"/>
                    <w:snapToGrid w:val="0"/>
                    <w:spacing w:before="0" w:beforeAutospacing="0" w:after="0" w:afterAutospacing="0"/>
                    <w:ind w:left="0" w:right="0"/>
                    <w:rPr>
                      <w:rFonts w:hint="default"/>
                      <w:b w:val="0"/>
                      <w:bCs w:val="0"/>
                      <w:color w:val="auto"/>
                      <w:szCs w:val="20"/>
                      <w:highlight w:val="none"/>
                    </w:rPr>
                  </w:pPr>
                  <w:r>
                    <w:rPr>
                      <w:rFonts w:hint="default"/>
                      <w:b w:val="0"/>
                      <w:bCs w:val="0"/>
                      <w:color w:val="auto"/>
                      <w:szCs w:val="20"/>
                      <w:highlight w:val="none"/>
                    </w:rPr>
                    <w:t>数量</w:t>
                  </w:r>
                </w:p>
              </w:tc>
              <w:tc>
                <w:tcPr>
                  <w:tcW w:w="393" w:type="pct"/>
                  <w:tcBorders>
                    <w:tl2br w:val="nil"/>
                    <w:tr2bl w:val="nil"/>
                  </w:tcBorders>
                  <w:vAlign w:val="center"/>
                </w:tcPr>
                <w:p>
                  <w:pPr>
                    <w:pStyle w:val="80"/>
                    <w:keepNext w:val="0"/>
                    <w:keepLines w:val="0"/>
                    <w:widowControl/>
                    <w:suppressLineNumbers w:val="0"/>
                    <w:snapToGrid w:val="0"/>
                    <w:spacing w:before="0" w:beforeAutospacing="0" w:after="0" w:afterAutospacing="0"/>
                    <w:ind w:left="0" w:right="0"/>
                    <w:rPr>
                      <w:rFonts w:hint="default" w:eastAsia="宋体"/>
                      <w:b w:val="0"/>
                      <w:bCs w:val="0"/>
                      <w:color w:val="auto"/>
                      <w:szCs w:val="20"/>
                      <w:highlight w:val="none"/>
                      <w:lang w:val="en-US" w:eastAsia="zh-CN"/>
                    </w:rPr>
                  </w:pPr>
                  <w:r>
                    <w:rPr>
                      <w:rFonts w:hint="eastAsia"/>
                      <w:b w:val="0"/>
                      <w:bCs w:val="0"/>
                      <w:color w:val="auto"/>
                      <w:szCs w:val="20"/>
                      <w:highlight w:val="none"/>
                      <w:lang w:val="en-US" w:eastAsia="zh-CN"/>
                    </w:rPr>
                    <w:t>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743" w:type="pct"/>
                  <w:vMerge w:val="restart"/>
                  <w:tcBorders>
                    <w:tl2br w:val="nil"/>
                    <w:tr2bl w:val="nil"/>
                  </w:tcBorders>
                  <w:vAlign w:val="center"/>
                </w:tcPr>
                <w:p>
                  <w:pPr>
                    <w:pStyle w:val="80"/>
                    <w:keepNext w:val="0"/>
                    <w:keepLines w:val="0"/>
                    <w:widowControl/>
                    <w:suppressLineNumbers w:val="0"/>
                    <w:snapToGrid w:val="0"/>
                    <w:spacing w:before="0" w:beforeAutospacing="0" w:after="0" w:afterAutospacing="0"/>
                    <w:ind w:left="0" w:right="0"/>
                    <w:rPr>
                      <w:rFonts w:hint="default" w:eastAsia="宋体"/>
                      <w:b w:val="0"/>
                      <w:bCs w:val="0"/>
                      <w:color w:val="auto"/>
                      <w:szCs w:val="20"/>
                      <w:highlight w:val="none"/>
                      <w:lang w:val="en-US" w:eastAsia="zh-CN"/>
                    </w:rPr>
                  </w:pPr>
                  <w:r>
                    <w:rPr>
                      <w:rFonts w:hint="eastAsia"/>
                      <w:b w:val="0"/>
                      <w:bCs w:val="0"/>
                      <w:color w:val="auto"/>
                      <w:szCs w:val="20"/>
                      <w:highlight w:val="none"/>
                      <w:lang w:val="en-US" w:eastAsia="zh-CN"/>
                    </w:rPr>
                    <w:t>HDPE给水管</w:t>
                  </w:r>
                  <w:r>
                    <w:rPr>
                      <w:rFonts w:hint="eastAsia"/>
                      <w:b w:val="0"/>
                      <w:bCs w:val="0"/>
                      <w:color w:val="auto"/>
                      <w:szCs w:val="20"/>
                      <w:highlight w:val="none"/>
                    </w:rPr>
                    <w:t>生产线</w:t>
                  </w:r>
                </w:p>
              </w:tc>
              <w:tc>
                <w:tcPr>
                  <w:tcW w:w="795" w:type="pct"/>
                  <w:vMerge w:val="restart"/>
                  <w:tcBorders>
                    <w:tl2br w:val="nil"/>
                    <w:tr2bl w:val="nil"/>
                  </w:tcBorders>
                  <w:vAlign w:val="center"/>
                </w:tcPr>
                <w:p>
                  <w:pPr>
                    <w:pStyle w:val="80"/>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default"/>
                      <w:b w:val="0"/>
                      <w:bCs w:val="0"/>
                      <w:color w:val="auto"/>
                      <w:szCs w:val="20"/>
                      <w:highlight w:val="none"/>
                    </w:rPr>
                  </w:pPr>
                  <w:r>
                    <w:rPr>
                      <w:rFonts w:hint="eastAsia"/>
                      <w:b w:val="0"/>
                      <w:bCs w:val="0"/>
                      <w:color w:val="auto"/>
                      <w:szCs w:val="20"/>
                      <w:highlight w:val="none"/>
                    </w:rPr>
                    <w:t>吸料机</w:t>
                  </w:r>
                </w:p>
              </w:tc>
              <w:tc>
                <w:tcPr>
                  <w:tcW w:w="2762" w:type="pct"/>
                  <w:tcBorders>
                    <w:tl2br w:val="nil"/>
                    <w:tr2bl w:val="nil"/>
                  </w:tcBorders>
                  <w:vAlign w:val="center"/>
                </w:tcPr>
                <w:p>
                  <w:pPr>
                    <w:pStyle w:val="80"/>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eastAsia="宋体"/>
                      <w:b w:val="0"/>
                      <w:bCs w:val="0"/>
                      <w:color w:val="auto"/>
                      <w:szCs w:val="20"/>
                      <w:highlight w:val="none"/>
                      <w:lang w:eastAsia="zh-CN"/>
                    </w:rPr>
                  </w:pPr>
                  <w:r>
                    <w:rPr>
                      <w:rFonts w:hint="eastAsia"/>
                      <w:b w:val="0"/>
                      <w:bCs w:val="0"/>
                      <w:color w:val="auto"/>
                      <w:szCs w:val="20"/>
                      <w:highlight w:val="none"/>
                    </w:rPr>
                    <w:t>FAL-5HP</w:t>
                  </w:r>
                </w:p>
              </w:tc>
              <w:tc>
                <w:tcPr>
                  <w:tcW w:w="305" w:type="pct"/>
                  <w:tcBorders>
                    <w:tl2br w:val="nil"/>
                    <w:tr2bl w:val="nil"/>
                  </w:tcBorders>
                  <w:vAlign w:val="center"/>
                </w:tcPr>
                <w:p>
                  <w:pPr>
                    <w:pStyle w:val="80"/>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eastAsia="宋体"/>
                      <w:b w:val="0"/>
                      <w:bCs w:val="0"/>
                      <w:color w:val="auto"/>
                      <w:szCs w:val="20"/>
                      <w:highlight w:val="none"/>
                      <w:lang w:val="en-US" w:eastAsia="zh-CN"/>
                    </w:rPr>
                  </w:pPr>
                  <w:r>
                    <w:rPr>
                      <w:rFonts w:hint="eastAsia"/>
                      <w:b w:val="0"/>
                      <w:bCs w:val="0"/>
                      <w:color w:val="auto"/>
                      <w:szCs w:val="20"/>
                      <w:highlight w:val="none"/>
                      <w:lang w:val="en-US" w:eastAsia="zh-CN"/>
                    </w:rPr>
                    <w:t>4台</w:t>
                  </w:r>
                </w:p>
              </w:tc>
              <w:tc>
                <w:tcPr>
                  <w:tcW w:w="393" w:type="pct"/>
                  <w:vMerge w:val="restart"/>
                  <w:tcBorders>
                    <w:tl2br w:val="nil"/>
                    <w:tr2bl w:val="nil"/>
                  </w:tcBorders>
                  <w:vAlign w:val="center"/>
                </w:tcPr>
                <w:p>
                  <w:pPr>
                    <w:pStyle w:val="80"/>
                    <w:keepNext w:val="0"/>
                    <w:keepLines w:val="0"/>
                    <w:widowControl/>
                    <w:suppressLineNumbers w:val="0"/>
                    <w:snapToGrid w:val="0"/>
                    <w:spacing w:before="0" w:beforeAutospacing="0" w:after="0" w:afterAutospacing="0"/>
                    <w:ind w:left="0" w:right="0"/>
                    <w:rPr>
                      <w:rFonts w:hint="default" w:eastAsia="宋体"/>
                      <w:b w:val="0"/>
                      <w:bCs w:val="0"/>
                      <w:color w:val="auto"/>
                      <w:szCs w:val="20"/>
                      <w:highlight w:val="none"/>
                      <w:lang w:val="en-US" w:eastAsia="zh-CN"/>
                    </w:rPr>
                  </w:pPr>
                  <w:r>
                    <w:rPr>
                      <w:rFonts w:hint="eastAsia"/>
                      <w:b w:val="0"/>
                      <w:bCs w:val="0"/>
                      <w:color w:val="auto"/>
                      <w:szCs w:val="20"/>
                      <w:highlight w:val="none"/>
                      <w:lang w:val="en-US" w:eastAsia="zh-CN"/>
                    </w:rPr>
                    <w:t>置于生产车间内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743" w:type="pct"/>
                  <w:vMerge w:val="continue"/>
                  <w:tcBorders>
                    <w:tl2br w:val="nil"/>
                    <w:tr2bl w:val="nil"/>
                  </w:tcBorders>
                  <w:vAlign w:val="center"/>
                </w:tcPr>
                <w:p>
                  <w:pPr>
                    <w:pStyle w:val="80"/>
                    <w:keepNext w:val="0"/>
                    <w:keepLines w:val="0"/>
                    <w:widowControl/>
                    <w:suppressLineNumbers w:val="0"/>
                    <w:snapToGrid w:val="0"/>
                    <w:spacing w:before="0" w:beforeAutospacing="0" w:after="0" w:afterAutospacing="0"/>
                    <w:ind w:left="0" w:right="0"/>
                    <w:rPr>
                      <w:rFonts w:hint="eastAsia"/>
                      <w:b w:val="0"/>
                      <w:bCs w:val="0"/>
                      <w:color w:val="auto"/>
                      <w:szCs w:val="20"/>
                      <w:highlight w:val="none"/>
                      <w:lang w:val="en-US" w:eastAsia="zh-CN"/>
                    </w:rPr>
                  </w:pPr>
                </w:p>
              </w:tc>
              <w:tc>
                <w:tcPr>
                  <w:tcW w:w="795" w:type="pct"/>
                  <w:vMerge w:val="continue"/>
                  <w:tcBorders>
                    <w:tl2br w:val="nil"/>
                    <w:tr2bl w:val="nil"/>
                  </w:tcBorders>
                  <w:vAlign w:val="center"/>
                </w:tcPr>
                <w:p>
                  <w:pPr>
                    <w:pStyle w:val="80"/>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b w:val="0"/>
                      <w:bCs w:val="0"/>
                      <w:color w:val="auto"/>
                      <w:szCs w:val="20"/>
                      <w:highlight w:val="none"/>
                    </w:rPr>
                  </w:pPr>
                </w:p>
              </w:tc>
              <w:tc>
                <w:tcPr>
                  <w:tcW w:w="2762" w:type="pct"/>
                  <w:tcBorders>
                    <w:tl2br w:val="nil"/>
                    <w:tr2bl w:val="nil"/>
                  </w:tcBorders>
                  <w:vAlign w:val="center"/>
                </w:tcPr>
                <w:p>
                  <w:pPr>
                    <w:pStyle w:val="80"/>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b w:val="0"/>
                      <w:bCs w:val="0"/>
                      <w:color w:val="auto"/>
                      <w:szCs w:val="20"/>
                      <w:highlight w:val="none"/>
                    </w:rPr>
                  </w:pPr>
                  <w:r>
                    <w:rPr>
                      <w:rFonts w:hint="eastAsia"/>
                      <w:b w:val="0"/>
                      <w:bCs w:val="0"/>
                      <w:color w:val="auto"/>
                      <w:szCs w:val="20"/>
                      <w:highlight w:val="none"/>
                    </w:rPr>
                    <w:t>jetlQader-03</w:t>
                  </w:r>
                </w:p>
              </w:tc>
              <w:tc>
                <w:tcPr>
                  <w:tcW w:w="305" w:type="pct"/>
                  <w:tcBorders>
                    <w:tl2br w:val="nil"/>
                    <w:tr2bl w:val="nil"/>
                  </w:tcBorders>
                  <w:vAlign w:val="center"/>
                </w:tcPr>
                <w:p>
                  <w:pPr>
                    <w:pStyle w:val="80"/>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b w:val="0"/>
                      <w:bCs w:val="0"/>
                      <w:color w:val="auto"/>
                      <w:szCs w:val="20"/>
                      <w:highlight w:val="none"/>
                      <w:lang w:val="en-US" w:eastAsia="zh-CN"/>
                    </w:rPr>
                  </w:pPr>
                  <w:r>
                    <w:rPr>
                      <w:rFonts w:hint="eastAsia"/>
                      <w:b w:val="0"/>
                      <w:bCs w:val="0"/>
                      <w:color w:val="auto"/>
                      <w:szCs w:val="20"/>
                      <w:highlight w:val="none"/>
                      <w:lang w:val="en-US" w:eastAsia="zh-CN"/>
                    </w:rPr>
                    <w:t>2台</w:t>
                  </w:r>
                </w:p>
              </w:tc>
              <w:tc>
                <w:tcPr>
                  <w:tcW w:w="393" w:type="pct"/>
                  <w:vMerge w:val="continue"/>
                  <w:tcBorders>
                    <w:tl2br w:val="nil"/>
                    <w:tr2bl w:val="nil"/>
                  </w:tcBorders>
                  <w:vAlign w:val="center"/>
                </w:tcPr>
                <w:p>
                  <w:pPr>
                    <w:pStyle w:val="80"/>
                    <w:keepNext w:val="0"/>
                    <w:keepLines w:val="0"/>
                    <w:widowControl/>
                    <w:suppressLineNumbers w:val="0"/>
                    <w:snapToGrid w:val="0"/>
                    <w:spacing w:before="0" w:beforeAutospacing="0" w:after="0" w:afterAutospacing="0"/>
                    <w:ind w:left="0" w:right="0"/>
                    <w:rPr>
                      <w:rFonts w:hint="eastAsia"/>
                      <w:b w:val="0"/>
                      <w:bCs w:val="0"/>
                      <w:color w:val="auto"/>
                      <w:szCs w:val="20"/>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743" w:type="pct"/>
                  <w:vMerge w:val="continue"/>
                  <w:tcBorders>
                    <w:tl2br w:val="nil"/>
                    <w:tr2bl w:val="nil"/>
                  </w:tcBorders>
                  <w:vAlign w:val="center"/>
                </w:tcPr>
                <w:p>
                  <w:pPr>
                    <w:pStyle w:val="80"/>
                    <w:keepNext w:val="0"/>
                    <w:keepLines w:val="0"/>
                    <w:widowControl/>
                    <w:suppressLineNumbers w:val="0"/>
                    <w:snapToGrid w:val="0"/>
                    <w:spacing w:before="0" w:beforeAutospacing="0" w:after="0" w:afterAutospacing="0"/>
                    <w:ind w:left="0" w:right="0"/>
                    <w:rPr>
                      <w:rFonts w:hint="default"/>
                      <w:b w:val="0"/>
                      <w:bCs w:val="0"/>
                      <w:color w:val="auto"/>
                      <w:szCs w:val="20"/>
                      <w:highlight w:val="none"/>
                    </w:rPr>
                  </w:pPr>
                </w:p>
              </w:tc>
              <w:tc>
                <w:tcPr>
                  <w:tcW w:w="795" w:type="pct"/>
                  <w:tcBorders>
                    <w:tl2br w:val="nil"/>
                    <w:tr2bl w:val="nil"/>
                  </w:tcBorders>
                  <w:vAlign w:val="center"/>
                </w:tcPr>
                <w:p>
                  <w:pPr>
                    <w:pStyle w:val="80"/>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default"/>
                      <w:b w:val="0"/>
                      <w:bCs w:val="0"/>
                      <w:color w:val="auto"/>
                      <w:szCs w:val="20"/>
                      <w:highlight w:val="none"/>
                    </w:rPr>
                  </w:pPr>
                  <w:r>
                    <w:rPr>
                      <w:rFonts w:hint="eastAsia"/>
                      <w:b w:val="0"/>
                      <w:bCs w:val="0"/>
                      <w:color w:val="auto"/>
                      <w:szCs w:val="20"/>
                      <w:highlight w:val="none"/>
                    </w:rPr>
                    <w:t>挤出机</w:t>
                  </w:r>
                </w:p>
              </w:tc>
              <w:tc>
                <w:tcPr>
                  <w:tcW w:w="2762" w:type="pct"/>
                  <w:tcBorders>
                    <w:tl2br w:val="nil"/>
                    <w:tr2bl w:val="nil"/>
                  </w:tcBorders>
                  <w:vAlign w:val="center"/>
                </w:tcPr>
                <w:p>
                  <w:pPr>
                    <w:pStyle w:val="80"/>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eastAsia="宋体"/>
                      <w:b w:val="0"/>
                      <w:bCs w:val="0"/>
                      <w:color w:val="auto"/>
                      <w:szCs w:val="20"/>
                      <w:highlight w:val="none"/>
                      <w:lang w:val="en-US" w:eastAsia="zh-CN"/>
                    </w:rPr>
                  </w:pPr>
                  <w:r>
                    <w:rPr>
                      <w:rFonts w:hint="eastAsia"/>
                      <w:b w:val="0"/>
                      <w:bCs w:val="0"/>
                      <w:color w:val="auto"/>
                      <w:szCs w:val="20"/>
                      <w:highlight w:val="none"/>
                      <w:lang w:val="en-US" w:eastAsia="zh-CN"/>
                    </w:rPr>
                    <w:t>50_38/</w:t>
                  </w:r>
                  <w:r>
                    <w:rPr>
                      <w:rFonts w:hint="eastAsia"/>
                      <w:b w:val="0"/>
                      <w:bCs w:val="0"/>
                      <w:color w:val="auto"/>
                      <w:szCs w:val="20"/>
                      <w:highlight w:val="none"/>
                    </w:rPr>
                    <w:t>90-33</w:t>
                  </w:r>
                  <w:r>
                    <w:rPr>
                      <w:rFonts w:hint="eastAsia"/>
                      <w:b w:val="0"/>
                      <w:bCs w:val="0"/>
                      <w:color w:val="auto"/>
                      <w:szCs w:val="20"/>
                      <w:highlight w:val="none"/>
                      <w:lang w:val="en-US" w:eastAsia="zh-CN"/>
                    </w:rPr>
                    <w:t>/75</w:t>
                  </w:r>
                  <w:r>
                    <w:rPr>
                      <w:rFonts w:hint="eastAsia"/>
                      <w:b w:val="0"/>
                      <w:bCs w:val="0"/>
                      <w:color w:val="auto"/>
                      <w:szCs w:val="20"/>
                      <w:highlight w:val="none"/>
                    </w:rPr>
                    <w:t>-33</w:t>
                  </w:r>
                  <w:r>
                    <w:rPr>
                      <w:rFonts w:hint="eastAsia"/>
                      <w:b w:val="0"/>
                      <w:bCs w:val="0"/>
                      <w:color w:val="auto"/>
                      <w:szCs w:val="20"/>
                      <w:highlight w:val="none"/>
                      <w:lang w:val="en-US" w:eastAsia="zh-CN"/>
                    </w:rPr>
                    <w:t>/120</w:t>
                  </w:r>
                  <w:r>
                    <w:rPr>
                      <w:rFonts w:hint="eastAsia"/>
                      <w:b w:val="0"/>
                      <w:bCs w:val="0"/>
                      <w:color w:val="auto"/>
                      <w:szCs w:val="20"/>
                      <w:highlight w:val="none"/>
                    </w:rPr>
                    <w:t>-33</w:t>
                  </w:r>
                  <w:r>
                    <w:rPr>
                      <w:rFonts w:hint="eastAsia"/>
                      <w:b w:val="0"/>
                      <w:bCs w:val="0"/>
                      <w:color w:val="auto"/>
                      <w:szCs w:val="20"/>
                      <w:highlight w:val="none"/>
                      <w:lang w:val="en-US" w:eastAsia="zh-CN"/>
                    </w:rPr>
                    <w:t>/150_33</w:t>
                  </w:r>
                </w:p>
              </w:tc>
              <w:tc>
                <w:tcPr>
                  <w:tcW w:w="305" w:type="pct"/>
                  <w:tcBorders>
                    <w:tl2br w:val="nil"/>
                    <w:tr2bl w:val="nil"/>
                  </w:tcBorders>
                  <w:vAlign w:val="center"/>
                </w:tcPr>
                <w:p>
                  <w:pPr>
                    <w:pStyle w:val="80"/>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b w:val="0"/>
                      <w:bCs w:val="0"/>
                      <w:color w:val="auto"/>
                      <w:szCs w:val="20"/>
                      <w:highlight w:val="none"/>
                    </w:rPr>
                  </w:pPr>
                  <w:r>
                    <w:rPr>
                      <w:rFonts w:hint="eastAsia"/>
                      <w:b w:val="0"/>
                      <w:bCs w:val="0"/>
                      <w:color w:val="auto"/>
                      <w:szCs w:val="20"/>
                      <w:highlight w:val="none"/>
                      <w:lang w:val="en-US" w:eastAsia="zh-CN"/>
                    </w:rPr>
                    <w:t>6台</w:t>
                  </w:r>
                </w:p>
              </w:tc>
              <w:tc>
                <w:tcPr>
                  <w:tcW w:w="393" w:type="pct"/>
                  <w:vMerge w:val="continue"/>
                  <w:tcBorders>
                    <w:tl2br w:val="nil"/>
                    <w:tr2bl w:val="nil"/>
                  </w:tcBorders>
                  <w:vAlign w:val="center"/>
                </w:tcPr>
                <w:p>
                  <w:pPr>
                    <w:pStyle w:val="80"/>
                    <w:keepNext w:val="0"/>
                    <w:keepLines w:val="0"/>
                    <w:widowControl/>
                    <w:suppressLineNumbers w:val="0"/>
                    <w:snapToGrid w:val="0"/>
                    <w:spacing w:before="0" w:beforeAutospacing="0" w:after="0" w:afterAutospacing="0"/>
                    <w:ind w:left="0" w:right="0"/>
                    <w:rPr>
                      <w:rFonts w:hint="default"/>
                      <w:b w:val="0"/>
                      <w:bCs w:val="0"/>
                      <w:color w:val="auto"/>
                      <w:szCs w:val="20"/>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743" w:type="pct"/>
                  <w:vMerge w:val="continue"/>
                  <w:tcBorders>
                    <w:tl2br w:val="nil"/>
                    <w:tr2bl w:val="nil"/>
                  </w:tcBorders>
                  <w:vAlign w:val="center"/>
                </w:tcPr>
                <w:p>
                  <w:pPr>
                    <w:pStyle w:val="80"/>
                    <w:keepNext w:val="0"/>
                    <w:keepLines w:val="0"/>
                    <w:widowControl/>
                    <w:suppressLineNumbers w:val="0"/>
                    <w:snapToGrid w:val="0"/>
                    <w:spacing w:before="0" w:beforeAutospacing="0" w:after="0" w:afterAutospacing="0"/>
                    <w:ind w:left="0" w:right="0"/>
                    <w:rPr>
                      <w:rFonts w:hint="default"/>
                      <w:b w:val="0"/>
                      <w:bCs w:val="0"/>
                      <w:color w:val="auto"/>
                      <w:szCs w:val="20"/>
                      <w:highlight w:val="none"/>
                    </w:rPr>
                  </w:pPr>
                </w:p>
              </w:tc>
              <w:tc>
                <w:tcPr>
                  <w:tcW w:w="795" w:type="pct"/>
                  <w:tcBorders>
                    <w:tl2br w:val="nil"/>
                    <w:tr2bl w:val="nil"/>
                  </w:tcBorders>
                  <w:vAlign w:val="center"/>
                </w:tcPr>
                <w:p>
                  <w:pPr>
                    <w:pStyle w:val="80"/>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default"/>
                      <w:b w:val="0"/>
                      <w:bCs w:val="0"/>
                      <w:color w:val="auto"/>
                      <w:szCs w:val="20"/>
                      <w:highlight w:val="none"/>
                    </w:rPr>
                  </w:pPr>
                  <w:r>
                    <w:rPr>
                      <w:rFonts w:hint="eastAsia"/>
                      <w:b w:val="0"/>
                      <w:bCs w:val="0"/>
                      <w:color w:val="auto"/>
                      <w:szCs w:val="20"/>
                      <w:highlight w:val="none"/>
                    </w:rPr>
                    <w:t>模具</w:t>
                  </w:r>
                </w:p>
              </w:tc>
              <w:tc>
                <w:tcPr>
                  <w:tcW w:w="2762" w:type="pct"/>
                  <w:tcBorders>
                    <w:tl2br w:val="nil"/>
                    <w:tr2bl w:val="nil"/>
                  </w:tcBorders>
                  <w:vAlign w:val="center"/>
                </w:tcPr>
                <w:p>
                  <w:pPr>
                    <w:pStyle w:val="80"/>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default"/>
                      <w:b w:val="0"/>
                      <w:bCs w:val="0"/>
                      <w:color w:val="auto"/>
                      <w:szCs w:val="20"/>
                      <w:highlight w:val="none"/>
                      <w:lang w:val="en-US"/>
                    </w:rPr>
                  </w:pPr>
                  <w:r>
                    <w:rPr>
                      <w:rFonts w:hint="eastAsia"/>
                      <w:b w:val="0"/>
                      <w:bCs w:val="0"/>
                      <w:color w:val="auto"/>
                      <w:szCs w:val="20"/>
                      <w:highlight w:val="none"/>
                      <w:lang w:val="en-US" w:eastAsia="zh-CN"/>
                    </w:rPr>
                    <w:t>20_110/</w:t>
                  </w:r>
                  <w:r>
                    <w:rPr>
                      <w:rFonts w:hint="eastAsia"/>
                      <w:b w:val="0"/>
                      <w:bCs w:val="0"/>
                      <w:color w:val="auto"/>
                      <w:szCs w:val="20"/>
                      <w:highlight w:val="none"/>
                    </w:rPr>
                    <w:t>110-315</w:t>
                  </w:r>
                  <w:r>
                    <w:rPr>
                      <w:rFonts w:hint="eastAsia"/>
                      <w:b w:val="0"/>
                      <w:bCs w:val="0"/>
                      <w:color w:val="auto"/>
                      <w:szCs w:val="20"/>
                      <w:highlight w:val="none"/>
                      <w:lang w:val="en-US" w:eastAsia="zh-CN"/>
                    </w:rPr>
                    <w:t>/</w:t>
                  </w:r>
                  <w:r>
                    <w:rPr>
                      <w:rFonts w:hint="eastAsia"/>
                      <w:b w:val="0"/>
                      <w:bCs w:val="0"/>
                      <w:color w:val="auto"/>
                      <w:szCs w:val="20"/>
                      <w:highlight w:val="none"/>
                    </w:rPr>
                    <w:t>110-</w:t>
                  </w:r>
                  <w:r>
                    <w:rPr>
                      <w:rFonts w:hint="eastAsia"/>
                      <w:b w:val="0"/>
                      <w:bCs w:val="0"/>
                      <w:color w:val="auto"/>
                      <w:szCs w:val="20"/>
                      <w:highlight w:val="none"/>
                      <w:lang w:val="en-US" w:eastAsia="zh-CN"/>
                    </w:rPr>
                    <w:t>250/315</w:t>
                  </w:r>
                  <w:r>
                    <w:rPr>
                      <w:rFonts w:hint="eastAsia"/>
                      <w:b w:val="0"/>
                      <w:bCs w:val="0"/>
                      <w:color w:val="auto"/>
                      <w:szCs w:val="20"/>
                      <w:highlight w:val="none"/>
                    </w:rPr>
                    <w:t>-</w:t>
                  </w:r>
                  <w:r>
                    <w:rPr>
                      <w:rFonts w:hint="eastAsia"/>
                      <w:b w:val="0"/>
                      <w:bCs w:val="0"/>
                      <w:color w:val="auto"/>
                      <w:szCs w:val="20"/>
                      <w:highlight w:val="none"/>
                      <w:lang w:val="en-US" w:eastAsia="zh-CN"/>
                    </w:rPr>
                    <w:t>630/500_1200</w:t>
                  </w:r>
                </w:p>
              </w:tc>
              <w:tc>
                <w:tcPr>
                  <w:tcW w:w="305" w:type="pct"/>
                  <w:tcBorders>
                    <w:tl2br w:val="nil"/>
                    <w:tr2bl w:val="nil"/>
                  </w:tcBorders>
                  <w:vAlign w:val="center"/>
                </w:tcPr>
                <w:p>
                  <w:pPr>
                    <w:pStyle w:val="80"/>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b w:val="0"/>
                      <w:bCs w:val="0"/>
                      <w:color w:val="auto"/>
                      <w:szCs w:val="20"/>
                      <w:highlight w:val="none"/>
                    </w:rPr>
                  </w:pPr>
                  <w:r>
                    <w:rPr>
                      <w:rFonts w:hint="eastAsia"/>
                      <w:b w:val="0"/>
                      <w:bCs w:val="0"/>
                      <w:color w:val="auto"/>
                      <w:szCs w:val="20"/>
                      <w:highlight w:val="none"/>
                      <w:lang w:val="en-US" w:eastAsia="zh-CN"/>
                    </w:rPr>
                    <w:t>6台</w:t>
                  </w:r>
                </w:p>
              </w:tc>
              <w:tc>
                <w:tcPr>
                  <w:tcW w:w="393" w:type="pct"/>
                  <w:vMerge w:val="continue"/>
                  <w:tcBorders>
                    <w:tl2br w:val="nil"/>
                    <w:tr2bl w:val="nil"/>
                  </w:tcBorders>
                  <w:vAlign w:val="center"/>
                </w:tcPr>
                <w:p>
                  <w:pPr>
                    <w:pStyle w:val="80"/>
                    <w:keepNext w:val="0"/>
                    <w:keepLines w:val="0"/>
                    <w:widowControl/>
                    <w:suppressLineNumbers w:val="0"/>
                    <w:snapToGrid w:val="0"/>
                    <w:spacing w:before="0" w:beforeAutospacing="0" w:after="0" w:afterAutospacing="0"/>
                    <w:ind w:left="0" w:right="0"/>
                    <w:rPr>
                      <w:rFonts w:hint="default"/>
                      <w:b w:val="0"/>
                      <w:bCs w:val="0"/>
                      <w:color w:val="auto"/>
                      <w:szCs w:val="20"/>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743" w:type="pct"/>
                  <w:vMerge w:val="continue"/>
                  <w:tcBorders>
                    <w:tl2br w:val="nil"/>
                    <w:tr2bl w:val="nil"/>
                  </w:tcBorders>
                  <w:vAlign w:val="center"/>
                </w:tcPr>
                <w:p>
                  <w:pPr>
                    <w:pStyle w:val="80"/>
                    <w:keepNext w:val="0"/>
                    <w:keepLines w:val="0"/>
                    <w:widowControl/>
                    <w:suppressLineNumbers w:val="0"/>
                    <w:snapToGrid w:val="0"/>
                    <w:spacing w:before="0" w:beforeAutospacing="0" w:after="0" w:afterAutospacing="0"/>
                    <w:ind w:left="0" w:right="0"/>
                    <w:rPr>
                      <w:rFonts w:hint="default"/>
                      <w:b w:val="0"/>
                      <w:bCs w:val="0"/>
                      <w:color w:val="auto"/>
                      <w:szCs w:val="20"/>
                      <w:highlight w:val="none"/>
                    </w:rPr>
                  </w:pPr>
                </w:p>
              </w:tc>
              <w:tc>
                <w:tcPr>
                  <w:tcW w:w="795" w:type="pct"/>
                  <w:tcBorders>
                    <w:tl2br w:val="nil"/>
                    <w:tr2bl w:val="nil"/>
                  </w:tcBorders>
                  <w:vAlign w:val="center"/>
                </w:tcPr>
                <w:p>
                  <w:pPr>
                    <w:pStyle w:val="80"/>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default"/>
                      <w:b w:val="0"/>
                      <w:bCs w:val="0"/>
                      <w:color w:val="auto"/>
                      <w:szCs w:val="20"/>
                      <w:highlight w:val="none"/>
                    </w:rPr>
                  </w:pPr>
                  <w:r>
                    <w:rPr>
                      <w:rFonts w:hint="eastAsia"/>
                      <w:b w:val="0"/>
                      <w:bCs w:val="0"/>
                      <w:color w:val="auto"/>
                      <w:szCs w:val="20"/>
                      <w:highlight w:val="none"/>
                    </w:rPr>
                    <w:t>真空</w:t>
                  </w:r>
                  <w:r>
                    <w:rPr>
                      <w:rFonts w:hint="default"/>
                      <w:b w:val="0"/>
                      <w:bCs w:val="0"/>
                      <w:color w:val="auto"/>
                      <w:szCs w:val="20"/>
                      <w:highlight w:val="none"/>
                    </w:rPr>
                    <w:t>定径</w:t>
                  </w:r>
                  <w:r>
                    <w:rPr>
                      <w:rFonts w:hint="eastAsia"/>
                      <w:b w:val="0"/>
                      <w:bCs w:val="0"/>
                      <w:color w:val="auto"/>
                      <w:szCs w:val="20"/>
                      <w:highlight w:val="none"/>
                    </w:rPr>
                    <w:t>箱</w:t>
                  </w:r>
                </w:p>
              </w:tc>
              <w:tc>
                <w:tcPr>
                  <w:tcW w:w="2762" w:type="pct"/>
                  <w:tcBorders>
                    <w:tl2br w:val="nil"/>
                    <w:tr2bl w:val="nil"/>
                  </w:tcBorders>
                  <w:vAlign w:val="center"/>
                </w:tcPr>
                <w:p>
                  <w:pPr>
                    <w:pStyle w:val="80"/>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default"/>
                      <w:b w:val="0"/>
                      <w:bCs w:val="0"/>
                      <w:color w:val="auto"/>
                      <w:szCs w:val="20"/>
                      <w:highlight w:val="none"/>
                      <w:lang w:val="en-US"/>
                    </w:rPr>
                  </w:pPr>
                  <w:r>
                    <w:rPr>
                      <w:rFonts w:hint="eastAsia"/>
                      <w:b w:val="0"/>
                      <w:bCs w:val="0"/>
                      <w:color w:val="auto"/>
                      <w:szCs w:val="20"/>
                      <w:highlight w:val="none"/>
                      <w:lang w:val="en-US" w:eastAsia="zh-CN"/>
                    </w:rPr>
                    <w:t>110/315/250/630/1200</w:t>
                  </w:r>
                </w:p>
              </w:tc>
              <w:tc>
                <w:tcPr>
                  <w:tcW w:w="305" w:type="pct"/>
                  <w:tcBorders>
                    <w:tl2br w:val="nil"/>
                    <w:tr2bl w:val="nil"/>
                  </w:tcBorders>
                  <w:vAlign w:val="center"/>
                </w:tcPr>
                <w:p>
                  <w:pPr>
                    <w:pStyle w:val="80"/>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b w:val="0"/>
                      <w:bCs w:val="0"/>
                      <w:color w:val="auto"/>
                      <w:szCs w:val="20"/>
                      <w:highlight w:val="none"/>
                    </w:rPr>
                  </w:pPr>
                  <w:r>
                    <w:rPr>
                      <w:rFonts w:hint="eastAsia"/>
                      <w:b w:val="0"/>
                      <w:bCs w:val="0"/>
                      <w:color w:val="auto"/>
                      <w:szCs w:val="20"/>
                      <w:highlight w:val="none"/>
                      <w:lang w:val="en-US" w:eastAsia="zh-CN"/>
                    </w:rPr>
                    <w:t>6台</w:t>
                  </w:r>
                </w:p>
              </w:tc>
              <w:tc>
                <w:tcPr>
                  <w:tcW w:w="393" w:type="pct"/>
                  <w:vMerge w:val="continue"/>
                  <w:tcBorders>
                    <w:tl2br w:val="nil"/>
                    <w:tr2bl w:val="nil"/>
                  </w:tcBorders>
                  <w:vAlign w:val="center"/>
                </w:tcPr>
                <w:p>
                  <w:pPr>
                    <w:pStyle w:val="80"/>
                    <w:keepNext w:val="0"/>
                    <w:keepLines w:val="0"/>
                    <w:widowControl/>
                    <w:suppressLineNumbers w:val="0"/>
                    <w:snapToGrid w:val="0"/>
                    <w:spacing w:before="0" w:beforeAutospacing="0" w:after="0" w:afterAutospacing="0"/>
                    <w:ind w:left="0" w:right="0"/>
                    <w:rPr>
                      <w:rFonts w:hint="default"/>
                      <w:b w:val="0"/>
                      <w:bCs w:val="0"/>
                      <w:color w:val="auto"/>
                      <w:szCs w:val="20"/>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743" w:type="pct"/>
                  <w:vMerge w:val="continue"/>
                  <w:tcBorders>
                    <w:tl2br w:val="nil"/>
                    <w:tr2bl w:val="nil"/>
                  </w:tcBorders>
                  <w:vAlign w:val="center"/>
                </w:tcPr>
                <w:p>
                  <w:pPr>
                    <w:pStyle w:val="80"/>
                    <w:keepNext w:val="0"/>
                    <w:keepLines w:val="0"/>
                    <w:widowControl/>
                    <w:suppressLineNumbers w:val="0"/>
                    <w:snapToGrid w:val="0"/>
                    <w:spacing w:before="0" w:beforeAutospacing="0" w:after="0" w:afterAutospacing="0"/>
                    <w:ind w:left="0" w:right="0"/>
                    <w:rPr>
                      <w:rFonts w:hint="eastAsia" w:eastAsia="宋体"/>
                      <w:b w:val="0"/>
                      <w:bCs w:val="0"/>
                      <w:color w:val="auto"/>
                      <w:szCs w:val="20"/>
                      <w:highlight w:val="none"/>
                      <w:lang w:val="en-US" w:eastAsia="zh-CN"/>
                    </w:rPr>
                  </w:pPr>
                </w:p>
              </w:tc>
              <w:tc>
                <w:tcPr>
                  <w:tcW w:w="795" w:type="pct"/>
                  <w:tcBorders>
                    <w:tl2br w:val="nil"/>
                    <w:tr2bl w:val="nil"/>
                  </w:tcBorders>
                  <w:vAlign w:val="center"/>
                </w:tcPr>
                <w:p>
                  <w:pPr>
                    <w:pStyle w:val="80"/>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b w:val="0"/>
                      <w:bCs w:val="0"/>
                      <w:color w:val="auto"/>
                      <w:szCs w:val="20"/>
                      <w:highlight w:val="none"/>
                    </w:rPr>
                  </w:pPr>
                  <w:r>
                    <w:rPr>
                      <w:rFonts w:hint="eastAsia"/>
                      <w:b w:val="0"/>
                      <w:bCs w:val="0"/>
                      <w:color w:val="auto"/>
                      <w:szCs w:val="20"/>
                      <w:highlight w:val="none"/>
                    </w:rPr>
                    <w:t>喷淋</w:t>
                  </w:r>
                  <w:r>
                    <w:rPr>
                      <w:rFonts w:hint="default"/>
                      <w:b w:val="0"/>
                      <w:bCs w:val="0"/>
                      <w:color w:val="auto"/>
                      <w:szCs w:val="20"/>
                      <w:highlight w:val="none"/>
                    </w:rPr>
                    <w:t>箱</w:t>
                  </w:r>
                </w:p>
              </w:tc>
              <w:tc>
                <w:tcPr>
                  <w:tcW w:w="2762" w:type="pct"/>
                  <w:tcBorders>
                    <w:tl2br w:val="nil"/>
                    <w:tr2bl w:val="nil"/>
                  </w:tcBorders>
                  <w:vAlign w:val="center"/>
                </w:tcPr>
                <w:p>
                  <w:pPr>
                    <w:pStyle w:val="80"/>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b w:val="0"/>
                      <w:bCs w:val="0"/>
                      <w:color w:val="auto"/>
                      <w:szCs w:val="20"/>
                      <w:highlight w:val="none"/>
                    </w:rPr>
                  </w:pPr>
                  <w:r>
                    <w:rPr>
                      <w:rFonts w:hint="eastAsia"/>
                      <w:b w:val="0"/>
                      <w:bCs w:val="0"/>
                      <w:color w:val="auto"/>
                      <w:szCs w:val="20"/>
                      <w:highlight w:val="none"/>
                      <w:lang w:val="en-US" w:eastAsia="zh-CN"/>
                    </w:rPr>
                    <w:t>110/315/250/630/1200</w:t>
                  </w:r>
                </w:p>
              </w:tc>
              <w:tc>
                <w:tcPr>
                  <w:tcW w:w="305" w:type="pct"/>
                  <w:tcBorders>
                    <w:tl2br w:val="nil"/>
                    <w:tr2bl w:val="nil"/>
                  </w:tcBorders>
                  <w:vAlign w:val="center"/>
                </w:tcPr>
                <w:p>
                  <w:pPr>
                    <w:pStyle w:val="80"/>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b w:val="0"/>
                      <w:bCs w:val="0"/>
                      <w:color w:val="auto"/>
                      <w:szCs w:val="20"/>
                      <w:highlight w:val="none"/>
                    </w:rPr>
                  </w:pPr>
                  <w:r>
                    <w:rPr>
                      <w:rFonts w:hint="eastAsia"/>
                      <w:b w:val="0"/>
                      <w:bCs w:val="0"/>
                      <w:color w:val="auto"/>
                      <w:szCs w:val="20"/>
                      <w:highlight w:val="none"/>
                      <w:lang w:val="en-US" w:eastAsia="zh-CN"/>
                    </w:rPr>
                    <w:t>6台</w:t>
                  </w:r>
                </w:p>
              </w:tc>
              <w:tc>
                <w:tcPr>
                  <w:tcW w:w="393" w:type="pct"/>
                  <w:vMerge w:val="continue"/>
                  <w:tcBorders>
                    <w:tl2br w:val="nil"/>
                    <w:tr2bl w:val="nil"/>
                  </w:tcBorders>
                  <w:vAlign w:val="center"/>
                </w:tcPr>
                <w:p>
                  <w:pPr>
                    <w:pStyle w:val="80"/>
                    <w:keepNext w:val="0"/>
                    <w:keepLines w:val="0"/>
                    <w:widowControl/>
                    <w:suppressLineNumbers w:val="0"/>
                    <w:snapToGrid w:val="0"/>
                    <w:spacing w:before="0" w:beforeAutospacing="0" w:after="0" w:afterAutospacing="0"/>
                    <w:ind w:left="0" w:right="0"/>
                    <w:rPr>
                      <w:rFonts w:hint="default"/>
                      <w:b w:val="0"/>
                      <w:bCs w:val="0"/>
                      <w:color w:val="auto"/>
                      <w:szCs w:val="20"/>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743" w:type="pct"/>
                  <w:vMerge w:val="continue"/>
                  <w:tcBorders>
                    <w:tl2br w:val="nil"/>
                    <w:tr2bl w:val="nil"/>
                  </w:tcBorders>
                  <w:vAlign w:val="center"/>
                </w:tcPr>
                <w:p>
                  <w:pPr>
                    <w:pStyle w:val="80"/>
                    <w:keepNext w:val="0"/>
                    <w:keepLines w:val="0"/>
                    <w:widowControl/>
                    <w:suppressLineNumbers w:val="0"/>
                    <w:snapToGrid w:val="0"/>
                    <w:spacing w:before="0" w:beforeAutospacing="0" w:after="0" w:afterAutospacing="0"/>
                    <w:ind w:left="0" w:right="0"/>
                    <w:rPr>
                      <w:rFonts w:hint="eastAsia" w:eastAsia="宋体"/>
                      <w:b w:val="0"/>
                      <w:bCs w:val="0"/>
                      <w:color w:val="auto"/>
                      <w:szCs w:val="20"/>
                      <w:highlight w:val="none"/>
                      <w:lang w:val="en-US" w:eastAsia="zh-CN"/>
                    </w:rPr>
                  </w:pPr>
                </w:p>
              </w:tc>
              <w:tc>
                <w:tcPr>
                  <w:tcW w:w="795" w:type="pct"/>
                  <w:tcBorders>
                    <w:tl2br w:val="nil"/>
                    <w:tr2bl w:val="nil"/>
                  </w:tcBorders>
                  <w:vAlign w:val="center"/>
                </w:tcPr>
                <w:p>
                  <w:pPr>
                    <w:pStyle w:val="80"/>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b w:val="0"/>
                      <w:bCs w:val="0"/>
                      <w:color w:val="auto"/>
                      <w:szCs w:val="20"/>
                      <w:highlight w:val="none"/>
                    </w:rPr>
                  </w:pPr>
                  <w:r>
                    <w:rPr>
                      <w:rFonts w:hint="eastAsia"/>
                      <w:b w:val="0"/>
                      <w:bCs w:val="0"/>
                      <w:color w:val="auto"/>
                      <w:szCs w:val="20"/>
                      <w:highlight w:val="none"/>
                    </w:rPr>
                    <w:t>牵引机</w:t>
                  </w:r>
                </w:p>
              </w:tc>
              <w:tc>
                <w:tcPr>
                  <w:tcW w:w="2762" w:type="pct"/>
                  <w:tcBorders>
                    <w:tl2br w:val="nil"/>
                    <w:tr2bl w:val="nil"/>
                  </w:tcBorders>
                  <w:vAlign w:val="center"/>
                </w:tcPr>
                <w:p>
                  <w:pPr>
                    <w:pStyle w:val="80"/>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b w:val="0"/>
                      <w:bCs w:val="0"/>
                      <w:color w:val="auto"/>
                      <w:szCs w:val="20"/>
                      <w:highlight w:val="none"/>
                    </w:rPr>
                  </w:pPr>
                  <w:r>
                    <w:rPr>
                      <w:rFonts w:hint="eastAsia"/>
                      <w:b w:val="0"/>
                      <w:bCs w:val="0"/>
                      <w:color w:val="auto"/>
                      <w:szCs w:val="20"/>
                      <w:highlight w:val="none"/>
                    </w:rPr>
                    <w:t>GFQY</w:t>
                  </w:r>
                  <w:r>
                    <w:rPr>
                      <w:rFonts w:hint="eastAsia"/>
                      <w:b w:val="0"/>
                      <w:bCs w:val="0"/>
                      <w:color w:val="auto"/>
                      <w:szCs w:val="20"/>
                      <w:highlight w:val="none"/>
                      <w:lang w:val="en-US" w:eastAsia="zh-CN"/>
                    </w:rPr>
                    <w:t>110/</w:t>
                  </w:r>
                  <w:r>
                    <w:rPr>
                      <w:rFonts w:hint="eastAsia"/>
                      <w:b w:val="0"/>
                      <w:bCs w:val="0"/>
                      <w:color w:val="auto"/>
                      <w:szCs w:val="20"/>
                      <w:highlight w:val="none"/>
                    </w:rPr>
                    <w:t>GFQY</w:t>
                  </w:r>
                  <w:r>
                    <w:rPr>
                      <w:rFonts w:hint="eastAsia"/>
                      <w:b w:val="0"/>
                      <w:bCs w:val="0"/>
                      <w:color w:val="auto"/>
                      <w:szCs w:val="20"/>
                      <w:highlight w:val="none"/>
                      <w:lang w:val="en-US" w:eastAsia="zh-CN"/>
                    </w:rPr>
                    <w:t>250/</w:t>
                  </w:r>
                  <w:r>
                    <w:rPr>
                      <w:rFonts w:hint="eastAsia"/>
                      <w:b w:val="0"/>
                      <w:bCs w:val="0"/>
                      <w:color w:val="auto"/>
                      <w:szCs w:val="20"/>
                      <w:highlight w:val="none"/>
                    </w:rPr>
                    <w:t>GFQY</w:t>
                  </w:r>
                  <w:r>
                    <w:rPr>
                      <w:rFonts w:hint="eastAsia"/>
                      <w:b w:val="0"/>
                      <w:bCs w:val="0"/>
                      <w:color w:val="auto"/>
                      <w:szCs w:val="20"/>
                      <w:highlight w:val="none"/>
                      <w:lang w:val="en-US" w:eastAsia="zh-CN"/>
                    </w:rPr>
                    <w:t>630</w:t>
                  </w:r>
                  <w:r>
                    <w:rPr>
                      <w:rFonts w:hint="eastAsia"/>
                      <w:b w:val="0"/>
                      <w:bCs w:val="0"/>
                      <w:color w:val="auto"/>
                      <w:szCs w:val="20"/>
                      <w:highlight w:val="none"/>
                    </w:rPr>
                    <w:t>X</w:t>
                  </w:r>
                  <w:r>
                    <w:rPr>
                      <w:rFonts w:hint="eastAsia"/>
                      <w:b w:val="0"/>
                      <w:bCs w:val="0"/>
                      <w:color w:val="auto"/>
                      <w:szCs w:val="20"/>
                      <w:highlight w:val="none"/>
                      <w:lang w:val="en-US" w:eastAsia="zh-CN"/>
                    </w:rPr>
                    <w:t>/</w:t>
                  </w:r>
                  <w:r>
                    <w:rPr>
                      <w:rFonts w:hint="eastAsia"/>
                      <w:b w:val="0"/>
                      <w:bCs w:val="0"/>
                      <w:color w:val="auto"/>
                      <w:szCs w:val="20"/>
                      <w:highlight w:val="none"/>
                    </w:rPr>
                    <w:t>GFQY</w:t>
                  </w:r>
                  <w:r>
                    <w:rPr>
                      <w:rFonts w:hint="eastAsia"/>
                      <w:b w:val="0"/>
                      <w:bCs w:val="0"/>
                      <w:color w:val="auto"/>
                      <w:szCs w:val="20"/>
                      <w:highlight w:val="none"/>
                      <w:lang w:val="en-US" w:eastAsia="zh-CN"/>
                    </w:rPr>
                    <w:t>1200</w:t>
                  </w:r>
                  <w:r>
                    <w:rPr>
                      <w:rFonts w:hint="eastAsia"/>
                      <w:b w:val="0"/>
                      <w:bCs w:val="0"/>
                      <w:color w:val="auto"/>
                      <w:szCs w:val="20"/>
                      <w:highlight w:val="none"/>
                    </w:rPr>
                    <w:t>X</w:t>
                  </w:r>
                </w:p>
              </w:tc>
              <w:tc>
                <w:tcPr>
                  <w:tcW w:w="305" w:type="pct"/>
                  <w:tcBorders>
                    <w:tl2br w:val="nil"/>
                    <w:tr2bl w:val="nil"/>
                  </w:tcBorders>
                  <w:vAlign w:val="center"/>
                </w:tcPr>
                <w:p>
                  <w:pPr>
                    <w:pStyle w:val="80"/>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b w:val="0"/>
                      <w:bCs w:val="0"/>
                      <w:color w:val="auto"/>
                      <w:szCs w:val="20"/>
                      <w:highlight w:val="none"/>
                    </w:rPr>
                  </w:pPr>
                  <w:r>
                    <w:rPr>
                      <w:rFonts w:hint="eastAsia"/>
                      <w:b w:val="0"/>
                      <w:bCs w:val="0"/>
                      <w:color w:val="auto"/>
                      <w:szCs w:val="20"/>
                      <w:highlight w:val="none"/>
                      <w:lang w:val="en-US" w:eastAsia="zh-CN"/>
                    </w:rPr>
                    <w:t>6台</w:t>
                  </w:r>
                </w:p>
              </w:tc>
              <w:tc>
                <w:tcPr>
                  <w:tcW w:w="393" w:type="pct"/>
                  <w:vMerge w:val="continue"/>
                  <w:tcBorders>
                    <w:tl2br w:val="nil"/>
                    <w:tr2bl w:val="nil"/>
                  </w:tcBorders>
                  <w:vAlign w:val="center"/>
                </w:tcPr>
                <w:p>
                  <w:pPr>
                    <w:pStyle w:val="80"/>
                    <w:keepNext w:val="0"/>
                    <w:keepLines w:val="0"/>
                    <w:widowControl/>
                    <w:suppressLineNumbers w:val="0"/>
                    <w:snapToGrid w:val="0"/>
                    <w:spacing w:before="0" w:beforeAutospacing="0" w:after="0" w:afterAutospacing="0"/>
                    <w:ind w:left="0" w:right="0"/>
                    <w:rPr>
                      <w:rFonts w:hint="default"/>
                      <w:b w:val="0"/>
                      <w:bCs w:val="0"/>
                      <w:color w:val="auto"/>
                      <w:szCs w:val="20"/>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743" w:type="pct"/>
                  <w:vMerge w:val="continue"/>
                  <w:tcBorders>
                    <w:tl2br w:val="nil"/>
                    <w:tr2bl w:val="nil"/>
                  </w:tcBorders>
                  <w:vAlign w:val="center"/>
                </w:tcPr>
                <w:p>
                  <w:pPr>
                    <w:pStyle w:val="80"/>
                    <w:keepNext w:val="0"/>
                    <w:keepLines w:val="0"/>
                    <w:widowControl/>
                    <w:suppressLineNumbers w:val="0"/>
                    <w:snapToGrid w:val="0"/>
                    <w:spacing w:before="0" w:beforeAutospacing="0" w:after="0" w:afterAutospacing="0"/>
                    <w:ind w:left="0" w:right="0"/>
                    <w:rPr>
                      <w:rFonts w:hint="eastAsia" w:eastAsia="宋体"/>
                      <w:b w:val="0"/>
                      <w:bCs w:val="0"/>
                      <w:color w:val="auto"/>
                      <w:szCs w:val="20"/>
                      <w:highlight w:val="none"/>
                      <w:lang w:val="en-US" w:eastAsia="zh-CN"/>
                    </w:rPr>
                  </w:pPr>
                </w:p>
              </w:tc>
              <w:tc>
                <w:tcPr>
                  <w:tcW w:w="795" w:type="pct"/>
                  <w:tcBorders>
                    <w:tl2br w:val="nil"/>
                    <w:tr2bl w:val="nil"/>
                  </w:tcBorders>
                  <w:vAlign w:val="center"/>
                </w:tcPr>
                <w:p>
                  <w:pPr>
                    <w:pStyle w:val="80"/>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b w:val="0"/>
                      <w:bCs w:val="0"/>
                      <w:color w:val="auto"/>
                      <w:szCs w:val="20"/>
                      <w:highlight w:val="none"/>
                    </w:rPr>
                  </w:pPr>
                  <w:r>
                    <w:rPr>
                      <w:rFonts w:hint="eastAsia"/>
                      <w:b w:val="0"/>
                      <w:bCs w:val="0"/>
                      <w:color w:val="auto"/>
                      <w:szCs w:val="20"/>
                      <w:highlight w:val="none"/>
                    </w:rPr>
                    <w:t>切割机</w:t>
                  </w:r>
                </w:p>
              </w:tc>
              <w:tc>
                <w:tcPr>
                  <w:tcW w:w="2762" w:type="pct"/>
                  <w:tcBorders>
                    <w:tl2br w:val="nil"/>
                    <w:tr2bl w:val="nil"/>
                  </w:tcBorders>
                  <w:vAlign w:val="center"/>
                </w:tcPr>
                <w:p>
                  <w:pPr>
                    <w:pStyle w:val="80"/>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b w:val="0"/>
                      <w:bCs w:val="0"/>
                      <w:color w:val="auto"/>
                      <w:szCs w:val="20"/>
                      <w:highlight w:val="none"/>
                    </w:rPr>
                  </w:pPr>
                  <w:r>
                    <w:rPr>
                      <w:rFonts w:hint="eastAsia"/>
                      <w:b w:val="0"/>
                      <w:bCs w:val="0"/>
                      <w:color w:val="auto"/>
                      <w:szCs w:val="20"/>
                      <w:highlight w:val="none"/>
                    </w:rPr>
                    <w:t>WXQG</w:t>
                  </w:r>
                  <w:r>
                    <w:rPr>
                      <w:rFonts w:hint="eastAsia"/>
                      <w:b w:val="0"/>
                      <w:bCs w:val="0"/>
                      <w:color w:val="auto"/>
                      <w:szCs w:val="20"/>
                      <w:highlight w:val="none"/>
                      <w:lang w:val="en-US" w:eastAsia="zh-CN"/>
                    </w:rPr>
                    <w:t>110/</w:t>
                  </w:r>
                  <w:r>
                    <w:rPr>
                      <w:rFonts w:hint="eastAsia"/>
                      <w:b w:val="0"/>
                      <w:bCs w:val="0"/>
                      <w:color w:val="auto"/>
                      <w:szCs w:val="20"/>
                      <w:highlight w:val="none"/>
                    </w:rPr>
                    <w:t>WXQG</w:t>
                  </w:r>
                  <w:r>
                    <w:rPr>
                      <w:rFonts w:hint="eastAsia"/>
                      <w:b w:val="0"/>
                      <w:bCs w:val="0"/>
                      <w:color w:val="auto"/>
                      <w:szCs w:val="20"/>
                      <w:highlight w:val="none"/>
                      <w:lang w:val="en-US" w:eastAsia="zh-CN"/>
                    </w:rPr>
                    <w:t>250/</w:t>
                  </w:r>
                  <w:r>
                    <w:rPr>
                      <w:rFonts w:hint="eastAsia"/>
                      <w:b w:val="0"/>
                      <w:bCs w:val="0"/>
                      <w:color w:val="auto"/>
                      <w:szCs w:val="20"/>
                      <w:highlight w:val="none"/>
                    </w:rPr>
                    <w:t>DPQG</w:t>
                  </w:r>
                  <w:r>
                    <w:rPr>
                      <w:rFonts w:hint="eastAsia"/>
                      <w:b w:val="0"/>
                      <w:bCs w:val="0"/>
                      <w:color w:val="auto"/>
                      <w:szCs w:val="20"/>
                      <w:highlight w:val="none"/>
                      <w:lang w:val="en-US" w:eastAsia="zh-CN"/>
                    </w:rPr>
                    <w:t>630</w:t>
                  </w:r>
                  <w:r>
                    <w:rPr>
                      <w:rFonts w:hint="eastAsia"/>
                      <w:b w:val="0"/>
                      <w:bCs w:val="0"/>
                      <w:color w:val="auto"/>
                      <w:szCs w:val="20"/>
                      <w:highlight w:val="none"/>
                    </w:rPr>
                    <w:t>DT</w:t>
                  </w:r>
                  <w:r>
                    <w:rPr>
                      <w:rFonts w:hint="eastAsia"/>
                      <w:b w:val="0"/>
                      <w:bCs w:val="0"/>
                      <w:color w:val="auto"/>
                      <w:szCs w:val="20"/>
                      <w:highlight w:val="none"/>
                      <w:lang w:val="en-US" w:eastAsia="zh-CN"/>
                    </w:rPr>
                    <w:t>/</w:t>
                  </w:r>
                  <w:r>
                    <w:rPr>
                      <w:rFonts w:hint="eastAsia"/>
                      <w:b w:val="0"/>
                      <w:bCs w:val="0"/>
                      <w:color w:val="auto"/>
                      <w:szCs w:val="20"/>
                      <w:highlight w:val="none"/>
                    </w:rPr>
                    <w:t>DPQG</w:t>
                  </w:r>
                  <w:r>
                    <w:rPr>
                      <w:rFonts w:hint="eastAsia"/>
                      <w:b w:val="0"/>
                      <w:bCs w:val="0"/>
                      <w:color w:val="auto"/>
                      <w:szCs w:val="20"/>
                      <w:highlight w:val="none"/>
                      <w:lang w:val="en-US" w:eastAsia="zh-CN"/>
                    </w:rPr>
                    <w:t>1200</w:t>
                  </w:r>
                  <w:r>
                    <w:rPr>
                      <w:rFonts w:hint="eastAsia"/>
                      <w:b w:val="0"/>
                      <w:bCs w:val="0"/>
                      <w:color w:val="auto"/>
                      <w:szCs w:val="20"/>
                      <w:highlight w:val="none"/>
                    </w:rPr>
                    <w:t>DT</w:t>
                  </w:r>
                </w:p>
              </w:tc>
              <w:tc>
                <w:tcPr>
                  <w:tcW w:w="305" w:type="pct"/>
                  <w:tcBorders>
                    <w:tl2br w:val="nil"/>
                    <w:tr2bl w:val="nil"/>
                  </w:tcBorders>
                  <w:vAlign w:val="center"/>
                </w:tcPr>
                <w:p>
                  <w:pPr>
                    <w:pStyle w:val="80"/>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b w:val="0"/>
                      <w:bCs w:val="0"/>
                      <w:color w:val="auto"/>
                      <w:szCs w:val="20"/>
                      <w:highlight w:val="none"/>
                    </w:rPr>
                  </w:pPr>
                  <w:r>
                    <w:rPr>
                      <w:rFonts w:hint="eastAsia"/>
                      <w:b w:val="0"/>
                      <w:bCs w:val="0"/>
                      <w:color w:val="auto"/>
                      <w:szCs w:val="20"/>
                      <w:highlight w:val="none"/>
                      <w:lang w:val="en-US" w:eastAsia="zh-CN"/>
                    </w:rPr>
                    <w:t>6台</w:t>
                  </w:r>
                </w:p>
              </w:tc>
              <w:tc>
                <w:tcPr>
                  <w:tcW w:w="393" w:type="pct"/>
                  <w:vMerge w:val="continue"/>
                  <w:tcBorders>
                    <w:tl2br w:val="nil"/>
                    <w:tr2bl w:val="nil"/>
                  </w:tcBorders>
                  <w:vAlign w:val="center"/>
                </w:tcPr>
                <w:p>
                  <w:pPr>
                    <w:pStyle w:val="80"/>
                    <w:keepNext w:val="0"/>
                    <w:keepLines w:val="0"/>
                    <w:widowControl/>
                    <w:suppressLineNumbers w:val="0"/>
                    <w:snapToGrid w:val="0"/>
                    <w:spacing w:before="0" w:beforeAutospacing="0" w:after="0" w:afterAutospacing="0"/>
                    <w:ind w:left="0" w:right="0"/>
                    <w:rPr>
                      <w:rFonts w:hint="default"/>
                      <w:b w:val="0"/>
                      <w:bCs w:val="0"/>
                      <w:color w:val="auto"/>
                      <w:szCs w:val="20"/>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743" w:type="pct"/>
                  <w:tcBorders>
                    <w:tl2br w:val="nil"/>
                    <w:tr2bl w:val="nil"/>
                  </w:tcBorders>
                  <w:vAlign w:val="center"/>
                </w:tcPr>
                <w:p>
                  <w:pPr>
                    <w:pStyle w:val="80"/>
                    <w:keepNext w:val="0"/>
                    <w:keepLines w:val="0"/>
                    <w:widowControl/>
                    <w:suppressLineNumbers w:val="0"/>
                    <w:snapToGrid w:val="0"/>
                    <w:spacing w:before="0" w:beforeAutospacing="0" w:after="0" w:afterAutospacing="0"/>
                    <w:ind w:left="0" w:right="0"/>
                    <w:rPr>
                      <w:rFonts w:hint="default"/>
                      <w:b w:val="0"/>
                      <w:bCs w:val="0"/>
                      <w:color w:val="auto"/>
                      <w:szCs w:val="20"/>
                      <w:highlight w:val="none"/>
                    </w:rPr>
                  </w:pPr>
                  <w:r>
                    <w:rPr>
                      <w:rFonts w:hint="eastAsia"/>
                      <w:b w:val="0"/>
                      <w:bCs w:val="0"/>
                      <w:color w:val="auto"/>
                      <w:szCs w:val="20"/>
                      <w:highlight w:val="none"/>
                      <w:lang w:val="en-US" w:eastAsia="zh-CN"/>
                    </w:rPr>
                    <w:t>废气治理设施（有机废气）</w:t>
                  </w:r>
                </w:p>
              </w:tc>
              <w:tc>
                <w:tcPr>
                  <w:tcW w:w="795" w:type="pct"/>
                  <w:tcBorders>
                    <w:tl2br w:val="nil"/>
                    <w:tr2bl w:val="nil"/>
                  </w:tcBorders>
                  <w:vAlign w:val="center"/>
                </w:tcPr>
                <w:p>
                  <w:pPr>
                    <w:pStyle w:val="80"/>
                    <w:keepNext w:val="0"/>
                    <w:keepLines w:val="0"/>
                    <w:widowControl/>
                    <w:suppressLineNumbers w:val="0"/>
                    <w:snapToGrid w:val="0"/>
                    <w:spacing w:before="0" w:beforeAutospacing="0" w:after="0" w:afterAutospacing="0"/>
                    <w:ind w:left="0" w:right="0"/>
                    <w:rPr>
                      <w:rFonts w:hint="default" w:ascii="Times New Roman" w:hAnsi="Times New Roman" w:eastAsia="宋体" w:cs="Times New Roman"/>
                      <w:b w:val="0"/>
                      <w:bCs w:val="0"/>
                      <w:color w:val="auto"/>
                      <w:sz w:val="21"/>
                      <w:szCs w:val="20"/>
                      <w:highlight w:val="none"/>
                      <w:lang w:val="en-US" w:eastAsia="zh-CN" w:bidi="ar-SA"/>
                    </w:rPr>
                  </w:pPr>
                  <w:r>
                    <w:rPr>
                      <w:rFonts w:hint="eastAsia"/>
                      <w:b w:val="0"/>
                      <w:bCs w:val="0"/>
                      <w:color w:val="auto"/>
                      <w:szCs w:val="20"/>
                      <w:highlight w:val="none"/>
                    </w:rPr>
                    <w:t>二级活性炭吸附装置（含风机）</w:t>
                  </w:r>
                </w:p>
              </w:tc>
              <w:tc>
                <w:tcPr>
                  <w:tcW w:w="2762" w:type="pct"/>
                  <w:tcBorders>
                    <w:tl2br w:val="nil"/>
                    <w:tr2bl w:val="nil"/>
                  </w:tcBorders>
                  <w:vAlign w:val="center"/>
                </w:tcPr>
                <w:p>
                  <w:pPr>
                    <w:pStyle w:val="80"/>
                    <w:keepNext w:val="0"/>
                    <w:keepLines w:val="0"/>
                    <w:widowControl/>
                    <w:suppressLineNumbers w:val="0"/>
                    <w:snapToGrid w:val="0"/>
                    <w:spacing w:before="0" w:beforeAutospacing="0" w:after="0" w:afterAutospacing="0"/>
                    <w:ind w:left="0" w:right="0"/>
                    <w:rPr>
                      <w:rFonts w:hint="default" w:ascii="Times New Roman" w:hAnsi="Times New Roman" w:eastAsia="宋体" w:cs="Times New Roman"/>
                      <w:b w:val="0"/>
                      <w:bCs w:val="0"/>
                      <w:color w:val="auto"/>
                      <w:sz w:val="21"/>
                      <w:szCs w:val="20"/>
                      <w:highlight w:val="none"/>
                      <w:lang w:val="en-US" w:eastAsia="zh-CN" w:bidi="ar-SA"/>
                    </w:rPr>
                  </w:pPr>
                  <w:r>
                    <w:rPr>
                      <w:rFonts w:hint="eastAsia"/>
                      <w:b w:val="0"/>
                      <w:bCs w:val="0"/>
                      <w:color w:val="auto"/>
                      <w:szCs w:val="20"/>
                      <w:highlight w:val="none"/>
                    </w:rPr>
                    <w:t>/</w:t>
                  </w:r>
                </w:p>
              </w:tc>
              <w:tc>
                <w:tcPr>
                  <w:tcW w:w="305" w:type="pct"/>
                  <w:tcBorders>
                    <w:tl2br w:val="nil"/>
                    <w:tr2bl w:val="nil"/>
                  </w:tcBorders>
                  <w:vAlign w:val="center"/>
                </w:tcPr>
                <w:p>
                  <w:pPr>
                    <w:pStyle w:val="80"/>
                    <w:keepNext w:val="0"/>
                    <w:keepLines w:val="0"/>
                    <w:widowControl/>
                    <w:suppressLineNumbers w:val="0"/>
                    <w:snapToGrid w:val="0"/>
                    <w:spacing w:before="0" w:beforeAutospacing="0" w:after="0" w:afterAutospacing="0"/>
                    <w:ind w:left="0" w:right="0"/>
                    <w:rPr>
                      <w:rFonts w:hint="default" w:ascii="Times New Roman" w:hAnsi="Times New Roman" w:eastAsia="宋体" w:cs="Times New Roman"/>
                      <w:b w:val="0"/>
                      <w:bCs w:val="0"/>
                      <w:color w:val="auto"/>
                      <w:sz w:val="21"/>
                      <w:szCs w:val="20"/>
                      <w:highlight w:val="none"/>
                      <w:lang w:val="en-US" w:eastAsia="zh-CN" w:bidi="ar-SA"/>
                    </w:rPr>
                  </w:pPr>
                  <w:r>
                    <w:rPr>
                      <w:rFonts w:hint="eastAsia"/>
                      <w:b w:val="0"/>
                      <w:bCs w:val="0"/>
                      <w:color w:val="auto"/>
                      <w:szCs w:val="20"/>
                      <w:highlight w:val="none"/>
                    </w:rPr>
                    <w:t>1套</w:t>
                  </w:r>
                </w:p>
              </w:tc>
              <w:tc>
                <w:tcPr>
                  <w:tcW w:w="393" w:type="pct"/>
                  <w:tcBorders>
                    <w:tl2br w:val="nil"/>
                    <w:tr2bl w:val="nil"/>
                  </w:tcBorders>
                  <w:vAlign w:val="center"/>
                </w:tcPr>
                <w:p>
                  <w:pPr>
                    <w:pStyle w:val="80"/>
                    <w:keepNext w:val="0"/>
                    <w:keepLines w:val="0"/>
                    <w:widowControl/>
                    <w:suppressLineNumbers w:val="0"/>
                    <w:snapToGrid w:val="0"/>
                    <w:spacing w:before="0" w:beforeAutospacing="0" w:after="0" w:afterAutospacing="0"/>
                    <w:ind w:left="0" w:right="0"/>
                    <w:rPr>
                      <w:rFonts w:hint="default" w:ascii="Times New Roman" w:hAnsi="Times New Roman" w:eastAsia="宋体" w:cs="Times New Roman"/>
                      <w:b w:val="0"/>
                      <w:bCs w:val="0"/>
                      <w:color w:val="auto"/>
                      <w:sz w:val="21"/>
                      <w:szCs w:val="20"/>
                      <w:highlight w:val="none"/>
                      <w:lang w:val="en-US" w:eastAsia="zh-CN" w:bidi="ar-SA"/>
                    </w:rPr>
                  </w:pPr>
                  <w:r>
                    <w:rPr>
                      <w:rFonts w:hint="eastAsia"/>
                      <w:b w:val="0"/>
                      <w:bCs w:val="0"/>
                      <w:color w:val="auto"/>
                      <w:szCs w:val="20"/>
                      <w:highlight w:val="none"/>
                    </w:rPr>
                    <w:t>生产车间室外</w:t>
                  </w:r>
                  <w:r>
                    <w:rPr>
                      <w:rFonts w:hint="eastAsia"/>
                      <w:b w:val="0"/>
                      <w:bCs w:val="0"/>
                      <w:color w:val="auto"/>
                      <w:szCs w:val="20"/>
                      <w:highlight w:val="none"/>
                      <w:lang w:val="en-US" w:eastAsia="zh-CN"/>
                    </w:rPr>
                    <w:t>南</w:t>
                  </w:r>
                  <w:r>
                    <w:rPr>
                      <w:rFonts w:hint="eastAsia"/>
                      <w:b w:val="0"/>
                      <w:bCs w:val="0"/>
                      <w:color w:val="auto"/>
                      <w:szCs w:val="20"/>
                      <w:highlight w:val="none"/>
                    </w:rPr>
                    <w:t>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743" w:type="pct"/>
                  <w:vMerge w:val="restart"/>
                  <w:tcBorders>
                    <w:tl2br w:val="nil"/>
                    <w:tr2bl w:val="nil"/>
                  </w:tcBorders>
                  <w:vAlign w:val="center"/>
                </w:tcPr>
                <w:p>
                  <w:pPr>
                    <w:pStyle w:val="80"/>
                    <w:keepNext w:val="0"/>
                    <w:keepLines w:val="0"/>
                    <w:widowControl/>
                    <w:suppressLineNumbers w:val="0"/>
                    <w:snapToGrid w:val="0"/>
                    <w:spacing w:before="0" w:beforeAutospacing="0" w:after="0" w:afterAutospacing="0"/>
                    <w:ind w:left="0" w:right="0"/>
                    <w:rPr>
                      <w:rFonts w:hint="default"/>
                      <w:b w:val="0"/>
                      <w:bCs w:val="0"/>
                      <w:color w:val="auto"/>
                      <w:szCs w:val="20"/>
                      <w:highlight w:val="none"/>
                      <w:lang w:val="en-US" w:eastAsia="zh-CN"/>
                    </w:rPr>
                  </w:pPr>
                  <w:r>
                    <w:rPr>
                      <w:rFonts w:hint="eastAsia"/>
                      <w:b w:val="0"/>
                      <w:bCs w:val="0"/>
                      <w:color w:val="auto"/>
                      <w:szCs w:val="20"/>
                      <w:highlight w:val="none"/>
                      <w:lang w:val="en-US" w:eastAsia="zh-CN"/>
                    </w:rPr>
                    <w:t>冷却</w:t>
                  </w:r>
                </w:p>
              </w:tc>
              <w:tc>
                <w:tcPr>
                  <w:tcW w:w="795" w:type="pct"/>
                  <w:tcBorders>
                    <w:tl2br w:val="nil"/>
                    <w:tr2bl w:val="nil"/>
                  </w:tcBorders>
                  <w:vAlign w:val="center"/>
                </w:tcPr>
                <w:p>
                  <w:pPr>
                    <w:pStyle w:val="80"/>
                    <w:keepNext w:val="0"/>
                    <w:keepLines w:val="0"/>
                    <w:widowControl/>
                    <w:suppressLineNumbers w:val="0"/>
                    <w:snapToGrid w:val="0"/>
                    <w:spacing w:before="0" w:beforeAutospacing="0" w:after="0" w:afterAutospacing="0"/>
                    <w:ind w:left="0" w:right="0"/>
                    <w:rPr>
                      <w:rFonts w:hint="eastAsia" w:eastAsia="宋体"/>
                      <w:b w:val="0"/>
                      <w:bCs w:val="0"/>
                      <w:color w:val="auto"/>
                      <w:szCs w:val="20"/>
                      <w:highlight w:val="none"/>
                      <w:lang w:val="en-US" w:eastAsia="zh-CN"/>
                    </w:rPr>
                  </w:pPr>
                  <w:r>
                    <w:rPr>
                      <w:rFonts w:hint="eastAsia"/>
                      <w:b w:val="0"/>
                      <w:bCs w:val="0"/>
                      <w:color w:val="auto"/>
                      <w:szCs w:val="20"/>
                      <w:highlight w:val="none"/>
                      <w:lang w:val="en-US" w:eastAsia="zh-CN"/>
                    </w:rPr>
                    <w:t>冷却塔</w:t>
                  </w:r>
                </w:p>
              </w:tc>
              <w:tc>
                <w:tcPr>
                  <w:tcW w:w="2762" w:type="pct"/>
                  <w:tcBorders>
                    <w:tl2br w:val="nil"/>
                    <w:tr2bl w:val="nil"/>
                  </w:tcBorders>
                  <w:vAlign w:val="center"/>
                </w:tcPr>
                <w:p>
                  <w:pPr>
                    <w:pStyle w:val="80"/>
                    <w:keepNext w:val="0"/>
                    <w:keepLines w:val="0"/>
                    <w:widowControl/>
                    <w:suppressLineNumbers w:val="0"/>
                    <w:snapToGrid w:val="0"/>
                    <w:spacing w:before="0" w:beforeAutospacing="0" w:after="0" w:afterAutospacing="0"/>
                    <w:ind w:left="0" w:right="0"/>
                    <w:rPr>
                      <w:rFonts w:hint="eastAsia"/>
                      <w:b w:val="0"/>
                      <w:bCs w:val="0"/>
                      <w:color w:val="auto"/>
                      <w:szCs w:val="20"/>
                      <w:highlight w:val="none"/>
                    </w:rPr>
                  </w:pPr>
                  <w:r>
                    <w:rPr>
                      <w:rFonts w:hint="eastAsia"/>
                      <w:b w:val="0"/>
                      <w:bCs w:val="0"/>
                      <w:color w:val="auto"/>
                      <w:szCs w:val="20"/>
                      <w:highlight w:val="none"/>
                    </w:rPr>
                    <w:t>/</w:t>
                  </w:r>
                </w:p>
              </w:tc>
              <w:tc>
                <w:tcPr>
                  <w:tcW w:w="305" w:type="pct"/>
                  <w:tcBorders>
                    <w:tl2br w:val="nil"/>
                    <w:tr2bl w:val="nil"/>
                  </w:tcBorders>
                  <w:vAlign w:val="center"/>
                </w:tcPr>
                <w:p>
                  <w:pPr>
                    <w:pStyle w:val="80"/>
                    <w:keepNext w:val="0"/>
                    <w:keepLines w:val="0"/>
                    <w:widowControl/>
                    <w:suppressLineNumbers w:val="0"/>
                    <w:snapToGrid w:val="0"/>
                    <w:spacing w:before="0" w:beforeAutospacing="0" w:after="0" w:afterAutospacing="0"/>
                    <w:ind w:left="0" w:right="0"/>
                    <w:rPr>
                      <w:rFonts w:hint="default" w:eastAsia="宋体"/>
                      <w:b w:val="0"/>
                      <w:bCs w:val="0"/>
                      <w:color w:val="auto"/>
                      <w:szCs w:val="20"/>
                      <w:highlight w:val="none"/>
                      <w:lang w:val="en-US" w:eastAsia="zh-CN"/>
                    </w:rPr>
                  </w:pPr>
                  <w:r>
                    <w:rPr>
                      <w:rFonts w:hint="eastAsia"/>
                      <w:b w:val="0"/>
                      <w:bCs w:val="0"/>
                      <w:color w:val="auto"/>
                      <w:szCs w:val="20"/>
                      <w:highlight w:val="none"/>
                      <w:lang w:val="en-US" w:eastAsia="zh-CN"/>
                    </w:rPr>
                    <w:t>1台</w:t>
                  </w:r>
                </w:p>
              </w:tc>
              <w:tc>
                <w:tcPr>
                  <w:tcW w:w="393" w:type="pct"/>
                  <w:vMerge w:val="restart"/>
                  <w:tcBorders>
                    <w:tl2br w:val="nil"/>
                    <w:tr2bl w:val="nil"/>
                  </w:tcBorders>
                  <w:vAlign w:val="center"/>
                </w:tcPr>
                <w:p>
                  <w:pPr>
                    <w:pStyle w:val="80"/>
                    <w:keepNext w:val="0"/>
                    <w:keepLines w:val="0"/>
                    <w:widowControl/>
                    <w:suppressLineNumbers w:val="0"/>
                    <w:snapToGrid w:val="0"/>
                    <w:spacing w:before="0" w:beforeAutospacing="0" w:after="0" w:afterAutospacing="0"/>
                    <w:ind w:left="0" w:right="0"/>
                    <w:rPr>
                      <w:rFonts w:hint="eastAsia"/>
                      <w:b w:val="0"/>
                      <w:bCs w:val="0"/>
                      <w:color w:val="auto"/>
                      <w:szCs w:val="20"/>
                      <w:highlight w:val="none"/>
                    </w:rPr>
                  </w:pPr>
                  <w:r>
                    <w:rPr>
                      <w:rFonts w:hint="eastAsia"/>
                      <w:b w:val="0"/>
                      <w:bCs w:val="0"/>
                      <w:color w:val="auto"/>
                      <w:szCs w:val="20"/>
                      <w:highlight w:val="none"/>
                    </w:rPr>
                    <w:t>生产车间室外</w:t>
                  </w:r>
                  <w:r>
                    <w:rPr>
                      <w:rFonts w:hint="eastAsia"/>
                      <w:b w:val="0"/>
                      <w:bCs w:val="0"/>
                      <w:color w:val="auto"/>
                      <w:szCs w:val="20"/>
                      <w:highlight w:val="none"/>
                      <w:lang w:val="en-US" w:eastAsia="zh-CN"/>
                    </w:rPr>
                    <w:t>南</w:t>
                  </w:r>
                  <w:r>
                    <w:rPr>
                      <w:rFonts w:hint="eastAsia"/>
                      <w:b w:val="0"/>
                      <w:bCs w:val="0"/>
                      <w:color w:val="auto"/>
                      <w:szCs w:val="20"/>
                      <w:highlight w:val="none"/>
                    </w:rPr>
                    <w:t>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743" w:type="pct"/>
                  <w:vMerge w:val="continue"/>
                  <w:tcBorders>
                    <w:tl2br w:val="nil"/>
                    <w:tr2bl w:val="nil"/>
                  </w:tcBorders>
                  <w:vAlign w:val="center"/>
                </w:tcPr>
                <w:p>
                  <w:pPr>
                    <w:pStyle w:val="80"/>
                    <w:keepNext w:val="0"/>
                    <w:keepLines w:val="0"/>
                    <w:widowControl/>
                    <w:suppressLineNumbers w:val="0"/>
                    <w:snapToGrid w:val="0"/>
                    <w:spacing w:before="0" w:beforeAutospacing="0" w:after="0" w:afterAutospacing="0"/>
                    <w:ind w:left="0" w:right="0"/>
                    <w:rPr>
                      <w:rFonts w:hint="eastAsia"/>
                      <w:b w:val="0"/>
                      <w:bCs w:val="0"/>
                      <w:color w:val="auto"/>
                      <w:szCs w:val="20"/>
                      <w:highlight w:val="none"/>
                      <w:lang w:val="en-US" w:eastAsia="zh-CN"/>
                    </w:rPr>
                  </w:pPr>
                </w:p>
              </w:tc>
              <w:tc>
                <w:tcPr>
                  <w:tcW w:w="795" w:type="pct"/>
                  <w:tcBorders>
                    <w:tl2br w:val="nil"/>
                    <w:tr2bl w:val="nil"/>
                  </w:tcBorders>
                  <w:vAlign w:val="center"/>
                </w:tcPr>
                <w:p>
                  <w:pPr>
                    <w:pStyle w:val="80"/>
                    <w:keepNext w:val="0"/>
                    <w:keepLines w:val="0"/>
                    <w:widowControl/>
                    <w:suppressLineNumbers w:val="0"/>
                    <w:snapToGrid w:val="0"/>
                    <w:spacing w:before="0" w:beforeAutospacing="0" w:after="0" w:afterAutospacing="0"/>
                    <w:ind w:left="0" w:right="0"/>
                    <w:rPr>
                      <w:rFonts w:hint="eastAsia"/>
                      <w:b w:val="0"/>
                      <w:bCs w:val="0"/>
                      <w:color w:val="auto"/>
                      <w:szCs w:val="20"/>
                      <w:highlight w:val="none"/>
                      <w:lang w:val="en-US" w:eastAsia="zh-CN"/>
                    </w:rPr>
                  </w:pPr>
                  <w:r>
                    <w:rPr>
                      <w:rFonts w:hint="eastAsia"/>
                      <w:b w:val="0"/>
                      <w:bCs w:val="0"/>
                      <w:color w:val="auto"/>
                      <w:szCs w:val="20"/>
                      <w:highlight w:val="none"/>
                      <w:lang w:val="en-US" w:eastAsia="zh-CN"/>
                    </w:rPr>
                    <w:t>水泵</w:t>
                  </w:r>
                </w:p>
              </w:tc>
              <w:tc>
                <w:tcPr>
                  <w:tcW w:w="2762" w:type="pct"/>
                  <w:tcBorders>
                    <w:tl2br w:val="nil"/>
                    <w:tr2bl w:val="nil"/>
                  </w:tcBorders>
                  <w:vAlign w:val="center"/>
                </w:tcPr>
                <w:p>
                  <w:pPr>
                    <w:pStyle w:val="80"/>
                    <w:keepNext w:val="0"/>
                    <w:keepLines w:val="0"/>
                    <w:widowControl/>
                    <w:suppressLineNumbers w:val="0"/>
                    <w:snapToGrid w:val="0"/>
                    <w:spacing w:before="0" w:beforeAutospacing="0" w:after="0" w:afterAutospacing="0"/>
                    <w:ind w:left="0" w:right="0"/>
                    <w:rPr>
                      <w:rFonts w:hint="eastAsia"/>
                      <w:b w:val="0"/>
                      <w:bCs w:val="0"/>
                      <w:color w:val="auto"/>
                      <w:szCs w:val="20"/>
                      <w:highlight w:val="none"/>
                    </w:rPr>
                  </w:pPr>
                  <w:r>
                    <w:rPr>
                      <w:rFonts w:hint="eastAsia"/>
                      <w:b w:val="0"/>
                      <w:bCs w:val="0"/>
                      <w:color w:val="auto"/>
                      <w:szCs w:val="20"/>
                      <w:highlight w:val="none"/>
                    </w:rPr>
                    <w:t>/</w:t>
                  </w:r>
                </w:p>
              </w:tc>
              <w:tc>
                <w:tcPr>
                  <w:tcW w:w="305" w:type="pct"/>
                  <w:tcBorders>
                    <w:tl2br w:val="nil"/>
                    <w:tr2bl w:val="nil"/>
                  </w:tcBorders>
                  <w:vAlign w:val="center"/>
                </w:tcPr>
                <w:p>
                  <w:pPr>
                    <w:pStyle w:val="80"/>
                    <w:keepNext w:val="0"/>
                    <w:keepLines w:val="0"/>
                    <w:widowControl/>
                    <w:suppressLineNumbers w:val="0"/>
                    <w:snapToGrid w:val="0"/>
                    <w:spacing w:before="0" w:beforeAutospacing="0" w:after="0" w:afterAutospacing="0"/>
                    <w:ind w:left="0" w:right="0"/>
                    <w:rPr>
                      <w:rFonts w:hint="eastAsia"/>
                      <w:b w:val="0"/>
                      <w:bCs w:val="0"/>
                      <w:color w:val="auto"/>
                      <w:szCs w:val="20"/>
                      <w:highlight w:val="none"/>
                    </w:rPr>
                  </w:pPr>
                  <w:r>
                    <w:rPr>
                      <w:rFonts w:hint="eastAsia"/>
                      <w:b w:val="0"/>
                      <w:bCs w:val="0"/>
                      <w:color w:val="auto"/>
                      <w:szCs w:val="20"/>
                      <w:highlight w:val="none"/>
                      <w:lang w:val="en-US" w:eastAsia="zh-CN"/>
                    </w:rPr>
                    <w:t>1台</w:t>
                  </w:r>
                </w:p>
              </w:tc>
              <w:tc>
                <w:tcPr>
                  <w:tcW w:w="393" w:type="pct"/>
                  <w:vMerge w:val="continue"/>
                  <w:tcBorders>
                    <w:tl2br w:val="nil"/>
                    <w:tr2bl w:val="nil"/>
                  </w:tcBorders>
                  <w:vAlign w:val="center"/>
                </w:tcPr>
                <w:p>
                  <w:pPr>
                    <w:pStyle w:val="80"/>
                    <w:keepNext w:val="0"/>
                    <w:keepLines w:val="0"/>
                    <w:widowControl/>
                    <w:suppressLineNumbers w:val="0"/>
                    <w:snapToGrid w:val="0"/>
                    <w:spacing w:before="0" w:beforeAutospacing="0" w:after="0" w:afterAutospacing="0"/>
                    <w:ind w:left="0" w:right="0"/>
                    <w:rPr>
                      <w:rFonts w:hint="eastAsia"/>
                      <w:b w:val="0"/>
                      <w:bCs w:val="0"/>
                      <w:color w:val="auto"/>
                      <w:szCs w:val="20"/>
                      <w:highlight w:val="none"/>
                    </w:rPr>
                  </w:pPr>
                </w:p>
              </w:tc>
            </w:tr>
          </w:tbl>
          <w:p>
            <w:pPr>
              <w:keepNext w:val="0"/>
              <w:keepLines w:val="0"/>
              <w:suppressLineNumbers w:val="0"/>
              <w:spacing w:before="120" w:beforeLines="50" w:beforeAutospacing="0" w:after="0" w:afterAutospacing="0"/>
              <w:ind w:left="0" w:right="0" w:firstLine="482"/>
              <w:rPr>
                <w:rFonts w:hint="default"/>
                <w:b/>
                <w:color w:val="auto"/>
                <w:highlight w:val="none"/>
              </w:rPr>
            </w:pPr>
            <w:r>
              <w:rPr>
                <w:rFonts w:hint="eastAsia"/>
                <w:b/>
                <w:color w:val="auto"/>
                <w:highlight w:val="none"/>
              </w:rPr>
              <w:t>5、主要原辅材料及能源消耗</w:t>
            </w:r>
          </w:p>
          <w:p>
            <w:pPr>
              <w:keepNext w:val="0"/>
              <w:keepLines w:val="0"/>
              <w:suppressLineNumbers w:val="0"/>
              <w:spacing w:before="0" w:beforeAutospacing="0" w:after="0" w:afterAutospacing="0"/>
              <w:ind w:left="0" w:right="0" w:firstLine="480"/>
              <w:rPr>
                <w:rFonts w:hint="default"/>
                <w:color w:val="auto"/>
                <w:highlight w:val="none"/>
              </w:rPr>
            </w:pPr>
            <w:r>
              <w:rPr>
                <w:rFonts w:hint="default"/>
                <w:color w:val="auto"/>
                <w:highlight w:val="none"/>
              </w:rPr>
              <w:t>本项目原辅材料均储存在</w:t>
            </w:r>
            <w:r>
              <w:rPr>
                <w:rFonts w:hint="eastAsia"/>
                <w:color w:val="auto"/>
                <w:highlight w:val="none"/>
              </w:rPr>
              <w:t>1#库房内，</w:t>
            </w:r>
            <w:r>
              <w:rPr>
                <w:rFonts w:hint="default"/>
                <w:color w:val="auto"/>
                <w:highlight w:val="none"/>
              </w:rPr>
              <w:t>主要原辅材料</w:t>
            </w:r>
            <w:r>
              <w:rPr>
                <w:rFonts w:hint="eastAsia"/>
                <w:color w:val="auto"/>
                <w:highlight w:val="none"/>
              </w:rPr>
              <w:t>及能源</w:t>
            </w:r>
            <w:r>
              <w:rPr>
                <w:rFonts w:hint="default"/>
                <w:color w:val="auto"/>
                <w:highlight w:val="none"/>
              </w:rPr>
              <w:t>消耗见表</w:t>
            </w:r>
            <w:r>
              <w:rPr>
                <w:rFonts w:hint="eastAsia"/>
                <w:color w:val="auto"/>
                <w:highlight w:val="none"/>
              </w:rPr>
              <w:t>2-4</w:t>
            </w:r>
            <w:r>
              <w:rPr>
                <w:rFonts w:hint="default"/>
                <w:color w:val="auto"/>
                <w:highlight w:val="none"/>
              </w:rPr>
              <w:t>。</w:t>
            </w:r>
          </w:p>
          <w:p>
            <w:pPr>
              <w:pStyle w:val="77"/>
              <w:keepNext w:val="0"/>
              <w:keepLines w:val="0"/>
              <w:widowControl/>
              <w:suppressLineNumbers w:val="0"/>
              <w:spacing w:before="0" w:beforeLines="0" w:beforeAutospacing="0" w:after="0" w:afterAutospacing="0" w:line="240" w:lineRule="auto"/>
              <w:ind w:left="0" w:right="0"/>
              <w:rPr>
                <w:rFonts w:hint="default" w:eastAsia="宋体"/>
                <w:b/>
                <w:color w:val="auto"/>
                <w:kern w:val="0"/>
                <w:szCs w:val="21"/>
                <w:highlight w:val="none"/>
              </w:rPr>
            </w:pPr>
            <w:r>
              <w:rPr>
                <w:rFonts w:hint="eastAsia" w:eastAsia="宋体"/>
                <w:b/>
                <w:color w:val="auto"/>
                <w:kern w:val="0"/>
                <w:szCs w:val="21"/>
                <w:highlight w:val="none"/>
              </w:rPr>
              <w:t>表2-4   主要原辅材料及能源消耗</w:t>
            </w:r>
          </w:p>
          <w:tbl>
            <w:tblPr>
              <w:tblStyle w:val="37"/>
              <w:tblW w:w="8342" w:type="dxa"/>
              <w:jc w:val="center"/>
              <w:tblBorders>
                <w:top w:val="single" w:color="auto" w:sz="12" w:space="0"/>
                <w:left w:val="none" w:color="auto" w:sz="0" w:space="0"/>
                <w:bottom w:val="single" w:color="auto" w:sz="12" w:space="0"/>
                <w:right w:val="none" w:color="auto" w:sz="0" w:space="0"/>
                <w:insideH w:val="single" w:color="000000" w:sz="4" w:space="0"/>
                <w:insideV w:val="single" w:color="000000" w:sz="6" w:space="0"/>
              </w:tblBorders>
              <w:tblLayout w:type="autofit"/>
              <w:tblCellMar>
                <w:top w:w="0" w:type="dxa"/>
                <w:left w:w="108" w:type="dxa"/>
                <w:bottom w:w="0" w:type="dxa"/>
                <w:right w:w="108" w:type="dxa"/>
              </w:tblCellMar>
            </w:tblPr>
            <w:tblGrid>
              <w:gridCol w:w="499"/>
              <w:gridCol w:w="1986"/>
              <w:gridCol w:w="1612"/>
              <w:gridCol w:w="1193"/>
              <w:gridCol w:w="1619"/>
              <w:gridCol w:w="1433"/>
            </w:tblGrid>
            <w:tr>
              <w:tblPrEx>
                <w:tblBorders>
                  <w:top w:val="single" w:color="auto" w:sz="12" w:space="0"/>
                  <w:left w:val="none" w:color="auto" w:sz="0" w:space="0"/>
                  <w:bottom w:val="single" w:color="auto" w:sz="12" w:space="0"/>
                  <w:right w:val="none" w:color="auto" w:sz="0" w:space="0"/>
                  <w:insideH w:val="single" w:color="000000" w:sz="4" w:space="0"/>
                  <w:insideV w:val="single" w:color="000000" w:sz="6" w:space="0"/>
                </w:tblBorders>
                <w:tblCellMar>
                  <w:top w:w="0" w:type="dxa"/>
                  <w:left w:w="108" w:type="dxa"/>
                  <w:bottom w:w="0" w:type="dxa"/>
                  <w:right w:w="108" w:type="dxa"/>
                </w:tblCellMar>
              </w:tblPrEx>
              <w:trPr>
                <w:trHeight w:val="510" w:hRule="atLeast"/>
                <w:jc w:val="center"/>
              </w:trPr>
              <w:tc>
                <w:tcPr>
                  <w:tcW w:w="299"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序号</w:t>
                  </w:r>
                </w:p>
              </w:tc>
              <w:tc>
                <w:tcPr>
                  <w:tcW w:w="119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名称</w:t>
                  </w:r>
                </w:p>
              </w:tc>
              <w:tc>
                <w:tcPr>
                  <w:tcW w:w="966" w:type="pct"/>
                  <w:tcBorders>
                    <w:right w:val="single" w:color="auto" w:sz="4" w:space="0"/>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年用量（</w:t>
                  </w:r>
                  <w:r>
                    <w:rPr>
                      <w:rFonts w:hint="default"/>
                      <w:color w:val="auto"/>
                      <w:szCs w:val="20"/>
                      <w:highlight w:val="none"/>
                    </w:rPr>
                    <w:t>t/a</w:t>
                  </w:r>
                  <w:r>
                    <w:rPr>
                      <w:rFonts w:hint="eastAsia"/>
                      <w:color w:val="auto"/>
                      <w:szCs w:val="20"/>
                      <w:highlight w:val="none"/>
                    </w:rPr>
                    <w:t>）</w:t>
                  </w:r>
                </w:p>
              </w:tc>
              <w:tc>
                <w:tcPr>
                  <w:tcW w:w="715" w:type="pct"/>
                  <w:tcBorders>
                    <w:left w:val="single" w:color="auto" w:sz="4" w:space="0"/>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最大储量（</w:t>
                  </w:r>
                  <w:r>
                    <w:rPr>
                      <w:rFonts w:hint="default"/>
                      <w:color w:val="auto"/>
                      <w:szCs w:val="20"/>
                      <w:highlight w:val="none"/>
                    </w:rPr>
                    <w:t>t</w:t>
                  </w:r>
                  <w:r>
                    <w:rPr>
                      <w:rFonts w:hint="eastAsia"/>
                      <w:color w:val="auto"/>
                      <w:szCs w:val="20"/>
                      <w:highlight w:val="none"/>
                    </w:rPr>
                    <w:t>）</w:t>
                  </w:r>
                </w:p>
              </w:tc>
              <w:tc>
                <w:tcPr>
                  <w:tcW w:w="97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来源</w:t>
                  </w:r>
                </w:p>
              </w:tc>
              <w:tc>
                <w:tcPr>
                  <w:tcW w:w="85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形态</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6" w:space="0"/>
                </w:tblBorders>
                <w:tblCellMar>
                  <w:top w:w="0" w:type="dxa"/>
                  <w:left w:w="108" w:type="dxa"/>
                  <w:bottom w:w="0" w:type="dxa"/>
                  <w:right w:w="108" w:type="dxa"/>
                </w:tblCellMar>
              </w:tblPrEx>
              <w:trPr>
                <w:trHeight w:val="510" w:hRule="atLeast"/>
                <w:jc w:val="center"/>
              </w:trPr>
              <w:tc>
                <w:tcPr>
                  <w:tcW w:w="299"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1</w:t>
                  </w:r>
                </w:p>
              </w:tc>
              <w:tc>
                <w:tcPr>
                  <w:tcW w:w="1190" w:type="pct"/>
                  <w:tcBorders>
                    <w:bottom w:val="single" w:color="auto" w:sz="4" w:space="0"/>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kern w:val="0"/>
                      <w:szCs w:val="21"/>
                      <w:lang w:eastAsia="zh-CN"/>
                    </w:rPr>
                    <w:t>高密度聚乙烯</w:t>
                  </w:r>
                  <w:r>
                    <w:rPr>
                      <w:rFonts w:hint="eastAsia"/>
                      <w:color w:val="auto"/>
                      <w:kern w:val="0"/>
                      <w:szCs w:val="21"/>
                    </w:rPr>
                    <w:t>颗粒</w:t>
                  </w:r>
                </w:p>
              </w:tc>
              <w:tc>
                <w:tcPr>
                  <w:tcW w:w="966" w:type="pct"/>
                  <w:tcBorders>
                    <w:right w:val="single" w:color="auto" w:sz="4" w:space="0"/>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lang w:val="en-US" w:eastAsia="zh-CN"/>
                    </w:rPr>
                    <w:t>81</w:t>
                  </w:r>
                  <w:r>
                    <w:rPr>
                      <w:rFonts w:hint="eastAsia"/>
                      <w:color w:val="auto"/>
                      <w:szCs w:val="20"/>
                      <w:highlight w:val="none"/>
                    </w:rPr>
                    <w:t>00</w:t>
                  </w:r>
                </w:p>
              </w:tc>
              <w:tc>
                <w:tcPr>
                  <w:tcW w:w="715" w:type="pct"/>
                  <w:tcBorders>
                    <w:left w:val="single" w:color="auto" w:sz="4" w:space="0"/>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1000</w:t>
                  </w:r>
                </w:p>
              </w:tc>
              <w:tc>
                <w:tcPr>
                  <w:tcW w:w="97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外购新料</w:t>
                  </w:r>
                </w:p>
              </w:tc>
              <w:tc>
                <w:tcPr>
                  <w:tcW w:w="85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固态颗粒</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6" w:space="0"/>
                </w:tblBorders>
                <w:tblCellMar>
                  <w:top w:w="0" w:type="dxa"/>
                  <w:left w:w="108" w:type="dxa"/>
                  <w:bottom w:w="0" w:type="dxa"/>
                  <w:right w:w="108" w:type="dxa"/>
                </w:tblCellMar>
              </w:tblPrEx>
              <w:trPr>
                <w:trHeight w:val="510" w:hRule="atLeast"/>
                <w:jc w:val="center"/>
              </w:trPr>
              <w:tc>
                <w:tcPr>
                  <w:tcW w:w="299"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eastAsia="宋体"/>
                      <w:color w:val="auto"/>
                      <w:szCs w:val="20"/>
                      <w:highlight w:val="none"/>
                      <w:lang w:val="en-US" w:eastAsia="zh-CN"/>
                    </w:rPr>
                  </w:pPr>
                  <w:r>
                    <w:rPr>
                      <w:rFonts w:hint="eastAsia"/>
                      <w:color w:val="auto"/>
                      <w:szCs w:val="20"/>
                      <w:highlight w:val="none"/>
                      <w:lang w:val="en-US" w:eastAsia="zh-CN"/>
                    </w:rPr>
                    <w:t>2</w:t>
                  </w:r>
                </w:p>
              </w:tc>
              <w:tc>
                <w:tcPr>
                  <w:tcW w:w="1190" w:type="pct"/>
                  <w:tcBorders>
                    <w:top w:val="single" w:color="auto" w:sz="4" w:space="0"/>
                    <w:tl2br w:val="nil"/>
                    <w:tr2bl w:val="nil"/>
                  </w:tcBorders>
                  <w:vAlign w:val="center"/>
                </w:tcPr>
                <w:p>
                  <w:pPr>
                    <w:pStyle w:val="80"/>
                    <w:keepNext w:val="0"/>
                    <w:keepLines w:val="0"/>
                    <w:widowControl/>
                    <w:suppressLineNumbers w:val="0"/>
                    <w:spacing w:before="0" w:beforeAutospacing="0" w:after="0" w:afterAutospacing="0"/>
                    <w:ind w:left="0" w:right="0"/>
                    <w:rPr>
                      <w:rFonts w:hint="eastAsia"/>
                      <w:color w:val="auto"/>
                      <w:szCs w:val="20"/>
                      <w:highlight w:val="none"/>
                    </w:rPr>
                  </w:pPr>
                  <w:r>
                    <w:rPr>
                      <w:rFonts w:hint="eastAsia"/>
                      <w:color w:val="auto"/>
                      <w:kern w:val="0"/>
                      <w:szCs w:val="21"/>
                    </w:rPr>
                    <w:t>色母颗粒</w:t>
                  </w:r>
                </w:p>
              </w:tc>
              <w:tc>
                <w:tcPr>
                  <w:tcW w:w="966" w:type="pct"/>
                  <w:tcBorders>
                    <w:right w:val="single" w:color="auto" w:sz="4" w:space="0"/>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lang w:val="en-US" w:eastAsia="zh-CN"/>
                    </w:rPr>
                  </w:pPr>
                  <w:r>
                    <w:rPr>
                      <w:rFonts w:hint="eastAsia"/>
                      <w:color w:val="auto"/>
                      <w:szCs w:val="20"/>
                      <w:highlight w:val="none"/>
                      <w:lang w:val="en-US" w:eastAsia="zh-CN"/>
                    </w:rPr>
                    <w:t>200</w:t>
                  </w:r>
                </w:p>
              </w:tc>
              <w:tc>
                <w:tcPr>
                  <w:tcW w:w="715" w:type="pct"/>
                  <w:tcBorders>
                    <w:left w:val="single" w:color="auto" w:sz="4" w:space="0"/>
                    <w:tl2br w:val="nil"/>
                    <w:tr2bl w:val="nil"/>
                  </w:tcBorders>
                  <w:vAlign w:val="center"/>
                </w:tcPr>
                <w:p>
                  <w:pPr>
                    <w:pStyle w:val="80"/>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lang w:val="en-US" w:eastAsia="zh-CN"/>
                    </w:rPr>
                    <w:t>20</w:t>
                  </w:r>
                </w:p>
              </w:tc>
              <w:tc>
                <w:tcPr>
                  <w:tcW w:w="97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color w:val="auto"/>
                      <w:szCs w:val="20"/>
                      <w:highlight w:val="none"/>
                    </w:rPr>
                  </w:pPr>
                  <w:r>
                    <w:rPr>
                      <w:rFonts w:hint="eastAsia"/>
                      <w:color w:val="auto"/>
                      <w:szCs w:val="20"/>
                      <w:highlight w:val="none"/>
                    </w:rPr>
                    <w:t>外购新料</w:t>
                  </w:r>
                </w:p>
              </w:tc>
              <w:tc>
                <w:tcPr>
                  <w:tcW w:w="85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color w:val="auto"/>
                      <w:szCs w:val="20"/>
                      <w:highlight w:val="none"/>
                    </w:rPr>
                  </w:pPr>
                  <w:r>
                    <w:rPr>
                      <w:rFonts w:hint="eastAsia"/>
                      <w:color w:val="auto"/>
                      <w:szCs w:val="20"/>
                      <w:highlight w:val="none"/>
                    </w:rPr>
                    <w:t>固态颗粒</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6" w:space="0"/>
                </w:tblBorders>
                <w:tblCellMar>
                  <w:top w:w="0" w:type="dxa"/>
                  <w:left w:w="108" w:type="dxa"/>
                  <w:bottom w:w="0" w:type="dxa"/>
                  <w:right w:w="108" w:type="dxa"/>
                </w:tblCellMar>
              </w:tblPrEx>
              <w:trPr>
                <w:trHeight w:val="510" w:hRule="atLeast"/>
                <w:jc w:val="center"/>
              </w:trPr>
              <w:tc>
                <w:tcPr>
                  <w:tcW w:w="299"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9</w:t>
                  </w:r>
                </w:p>
              </w:tc>
              <w:tc>
                <w:tcPr>
                  <w:tcW w:w="1190" w:type="pct"/>
                  <w:tcBorders>
                    <w:bottom w:val="single" w:color="auto" w:sz="4" w:space="0"/>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活性炭</w:t>
                  </w:r>
                </w:p>
              </w:tc>
              <w:tc>
                <w:tcPr>
                  <w:tcW w:w="966" w:type="pct"/>
                  <w:tcBorders>
                    <w:left w:val="single" w:color="auto" w:sz="4" w:space="0"/>
                    <w:right w:val="single" w:color="auto" w:sz="4" w:space="0"/>
                    <w:tl2br w:val="nil"/>
                    <w:tr2bl w:val="nil"/>
                  </w:tcBorders>
                  <w:vAlign w:val="center"/>
                </w:tcPr>
                <w:p>
                  <w:pPr>
                    <w:pStyle w:val="80"/>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lang w:val="en-US" w:eastAsia="zh-CN"/>
                    </w:rPr>
                    <w:t>7.876</w:t>
                  </w:r>
                </w:p>
              </w:tc>
              <w:tc>
                <w:tcPr>
                  <w:tcW w:w="715" w:type="pct"/>
                  <w:tcBorders>
                    <w:left w:val="single" w:color="auto" w:sz="4" w:space="0"/>
                    <w:right w:val="single" w:color="auto" w:sz="4" w:space="0"/>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3</w:t>
                  </w:r>
                </w:p>
              </w:tc>
              <w:tc>
                <w:tcPr>
                  <w:tcW w:w="970" w:type="pct"/>
                  <w:tcBorders>
                    <w:left w:val="single" w:color="auto" w:sz="4" w:space="0"/>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外购</w:t>
                  </w:r>
                </w:p>
              </w:tc>
              <w:tc>
                <w:tcPr>
                  <w:tcW w:w="85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固态</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6" w:space="0"/>
                </w:tblBorders>
                <w:tblCellMar>
                  <w:top w:w="0" w:type="dxa"/>
                  <w:left w:w="108" w:type="dxa"/>
                  <w:bottom w:w="0" w:type="dxa"/>
                  <w:right w:w="108" w:type="dxa"/>
                </w:tblCellMar>
              </w:tblPrEx>
              <w:trPr>
                <w:trHeight w:val="510" w:hRule="atLeast"/>
                <w:jc w:val="center"/>
              </w:trPr>
              <w:tc>
                <w:tcPr>
                  <w:tcW w:w="299"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10</w:t>
                  </w:r>
                </w:p>
              </w:tc>
              <w:tc>
                <w:tcPr>
                  <w:tcW w:w="119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机油</w:t>
                  </w:r>
                </w:p>
              </w:tc>
              <w:tc>
                <w:tcPr>
                  <w:tcW w:w="966" w:type="pct"/>
                  <w:tcBorders>
                    <w:left w:val="single" w:color="auto" w:sz="4" w:space="0"/>
                    <w:right w:val="single" w:color="auto" w:sz="4" w:space="0"/>
                    <w:tl2br w:val="nil"/>
                    <w:tr2bl w:val="nil"/>
                  </w:tcBorders>
                  <w:vAlign w:val="center"/>
                </w:tcPr>
                <w:p>
                  <w:pPr>
                    <w:pStyle w:val="80"/>
                    <w:keepNext w:val="0"/>
                    <w:keepLines w:val="0"/>
                    <w:widowControl/>
                    <w:suppressLineNumbers w:val="0"/>
                    <w:spacing w:before="0" w:beforeAutospacing="0" w:after="0" w:afterAutospacing="0"/>
                    <w:ind w:left="0" w:right="0"/>
                    <w:rPr>
                      <w:rFonts w:hint="eastAsia" w:eastAsia="宋体"/>
                      <w:color w:val="auto"/>
                      <w:szCs w:val="20"/>
                      <w:highlight w:val="none"/>
                      <w:lang w:eastAsia="zh-CN"/>
                    </w:rPr>
                  </w:pPr>
                  <w:r>
                    <w:rPr>
                      <w:rFonts w:hint="eastAsia"/>
                      <w:color w:val="auto"/>
                      <w:szCs w:val="20"/>
                      <w:highlight w:val="none"/>
                    </w:rPr>
                    <w:t>0.</w:t>
                  </w:r>
                  <w:r>
                    <w:rPr>
                      <w:rFonts w:hint="eastAsia"/>
                      <w:color w:val="auto"/>
                      <w:szCs w:val="20"/>
                      <w:highlight w:val="none"/>
                      <w:lang w:val="en-US" w:eastAsia="zh-CN"/>
                    </w:rPr>
                    <w:t>2</w:t>
                  </w:r>
                </w:p>
              </w:tc>
              <w:tc>
                <w:tcPr>
                  <w:tcW w:w="715" w:type="pct"/>
                  <w:tcBorders>
                    <w:left w:val="single" w:color="auto" w:sz="4" w:space="0"/>
                    <w:right w:val="single" w:color="auto" w:sz="4" w:space="0"/>
                    <w:tl2br w:val="nil"/>
                    <w:tr2bl w:val="nil"/>
                  </w:tcBorders>
                  <w:vAlign w:val="center"/>
                </w:tcPr>
                <w:p>
                  <w:pPr>
                    <w:pStyle w:val="80"/>
                    <w:keepNext w:val="0"/>
                    <w:keepLines w:val="0"/>
                    <w:widowControl/>
                    <w:suppressLineNumbers w:val="0"/>
                    <w:spacing w:before="0" w:beforeAutospacing="0" w:after="0" w:afterAutospacing="0"/>
                    <w:ind w:left="0" w:right="0"/>
                    <w:rPr>
                      <w:rFonts w:hint="eastAsia" w:eastAsia="宋体"/>
                      <w:color w:val="auto"/>
                      <w:szCs w:val="20"/>
                      <w:highlight w:val="none"/>
                      <w:lang w:eastAsia="zh-CN"/>
                    </w:rPr>
                  </w:pPr>
                  <w:r>
                    <w:rPr>
                      <w:rFonts w:hint="eastAsia"/>
                      <w:color w:val="auto"/>
                      <w:szCs w:val="20"/>
                      <w:highlight w:val="none"/>
                    </w:rPr>
                    <w:t>0.</w:t>
                  </w:r>
                  <w:r>
                    <w:rPr>
                      <w:rFonts w:hint="eastAsia"/>
                      <w:color w:val="auto"/>
                      <w:szCs w:val="20"/>
                      <w:highlight w:val="none"/>
                      <w:lang w:val="en-US" w:eastAsia="zh-CN"/>
                    </w:rPr>
                    <w:t>1</w:t>
                  </w:r>
                </w:p>
              </w:tc>
              <w:tc>
                <w:tcPr>
                  <w:tcW w:w="970" w:type="pct"/>
                  <w:tcBorders>
                    <w:left w:val="single" w:color="auto" w:sz="4" w:space="0"/>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外购</w:t>
                  </w:r>
                </w:p>
              </w:tc>
              <w:tc>
                <w:tcPr>
                  <w:tcW w:w="858" w:type="pct"/>
                  <w:tcBorders>
                    <w:left w:val="single" w:color="auto" w:sz="4" w:space="0"/>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半固态</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6" w:space="0"/>
                </w:tblBorders>
                <w:tblCellMar>
                  <w:top w:w="0" w:type="dxa"/>
                  <w:left w:w="108" w:type="dxa"/>
                  <w:bottom w:w="0" w:type="dxa"/>
                  <w:right w:w="108" w:type="dxa"/>
                </w:tblCellMar>
              </w:tblPrEx>
              <w:trPr>
                <w:trHeight w:val="510" w:hRule="atLeast"/>
                <w:jc w:val="center"/>
              </w:trPr>
              <w:tc>
                <w:tcPr>
                  <w:tcW w:w="299"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11</w:t>
                  </w:r>
                </w:p>
              </w:tc>
              <w:tc>
                <w:tcPr>
                  <w:tcW w:w="119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水</w:t>
                  </w:r>
                </w:p>
              </w:tc>
              <w:tc>
                <w:tcPr>
                  <w:tcW w:w="966" w:type="pct"/>
                  <w:tcBorders>
                    <w:left w:val="single" w:color="auto" w:sz="4" w:space="0"/>
                    <w:right w:val="single" w:color="auto" w:sz="4" w:space="0"/>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lang w:val="en-US" w:eastAsia="zh-CN"/>
                    </w:rPr>
                    <w:t>675</w:t>
                  </w:r>
                  <w:r>
                    <w:rPr>
                      <w:rFonts w:hint="eastAsia"/>
                      <w:color w:val="auto"/>
                      <w:szCs w:val="20"/>
                      <w:highlight w:val="none"/>
                    </w:rPr>
                    <w:t>m</w:t>
                  </w:r>
                  <w:r>
                    <w:rPr>
                      <w:rFonts w:hint="eastAsia"/>
                      <w:color w:val="auto"/>
                      <w:szCs w:val="20"/>
                      <w:highlight w:val="none"/>
                      <w:vertAlign w:val="superscript"/>
                    </w:rPr>
                    <w:t>3</w:t>
                  </w:r>
                  <w:r>
                    <w:rPr>
                      <w:rFonts w:hint="eastAsia"/>
                      <w:color w:val="auto"/>
                      <w:szCs w:val="20"/>
                      <w:highlight w:val="none"/>
                    </w:rPr>
                    <w:t>/a</w:t>
                  </w:r>
                </w:p>
              </w:tc>
              <w:tc>
                <w:tcPr>
                  <w:tcW w:w="715" w:type="pct"/>
                  <w:tcBorders>
                    <w:left w:val="single" w:color="auto" w:sz="4" w:space="0"/>
                    <w:right w:val="single" w:color="auto" w:sz="4" w:space="0"/>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w:t>
                  </w:r>
                </w:p>
              </w:tc>
              <w:tc>
                <w:tcPr>
                  <w:tcW w:w="970" w:type="pct"/>
                  <w:tcBorders>
                    <w:left w:val="single" w:color="auto" w:sz="4" w:space="0"/>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lang w:val="en-US" w:eastAsia="zh-CN"/>
                    </w:rPr>
                    <w:t>市政</w:t>
                  </w:r>
                  <w:r>
                    <w:rPr>
                      <w:rFonts w:hint="eastAsia"/>
                      <w:color w:val="auto"/>
                      <w:szCs w:val="20"/>
                      <w:highlight w:val="none"/>
                    </w:rPr>
                    <w:t>自来水供给</w:t>
                  </w:r>
                </w:p>
              </w:tc>
              <w:tc>
                <w:tcPr>
                  <w:tcW w:w="858" w:type="pct"/>
                  <w:tcBorders>
                    <w:left w:val="single" w:color="auto" w:sz="4" w:space="0"/>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6" w:space="0"/>
                </w:tblBorders>
                <w:tblCellMar>
                  <w:top w:w="0" w:type="dxa"/>
                  <w:left w:w="108" w:type="dxa"/>
                  <w:bottom w:w="0" w:type="dxa"/>
                  <w:right w:w="108" w:type="dxa"/>
                </w:tblCellMar>
              </w:tblPrEx>
              <w:trPr>
                <w:trHeight w:val="510" w:hRule="atLeast"/>
                <w:jc w:val="center"/>
              </w:trPr>
              <w:tc>
                <w:tcPr>
                  <w:tcW w:w="299"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12</w:t>
                  </w:r>
                </w:p>
              </w:tc>
              <w:tc>
                <w:tcPr>
                  <w:tcW w:w="119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电</w:t>
                  </w:r>
                </w:p>
              </w:tc>
              <w:tc>
                <w:tcPr>
                  <w:tcW w:w="966" w:type="pct"/>
                  <w:tcBorders>
                    <w:left w:val="single" w:color="auto" w:sz="4" w:space="0"/>
                    <w:right w:val="single" w:color="auto" w:sz="4" w:space="0"/>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200万KWh/a</w:t>
                  </w:r>
                </w:p>
              </w:tc>
              <w:tc>
                <w:tcPr>
                  <w:tcW w:w="715" w:type="pct"/>
                  <w:tcBorders>
                    <w:left w:val="single" w:color="auto" w:sz="4" w:space="0"/>
                    <w:right w:val="single" w:color="auto" w:sz="4" w:space="0"/>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w:t>
                  </w:r>
                </w:p>
              </w:tc>
              <w:tc>
                <w:tcPr>
                  <w:tcW w:w="970" w:type="pct"/>
                  <w:tcBorders>
                    <w:left w:val="single" w:color="auto" w:sz="4" w:space="0"/>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市政电网</w:t>
                  </w:r>
                </w:p>
              </w:tc>
              <w:tc>
                <w:tcPr>
                  <w:tcW w:w="858" w:type="pct"/>
                  <w:tcBorders>
                    <w:left w:val="single" w:color="auto" w:sz="4" w:space="0"/>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w:t>
                  </w:r>
                </w:p>
              </w:tc>
            </w:tr>
          </w:tbl>
          <w:p>
            <w:pPr>
              <w:pStyle w:val="14"/>
              <w:keepNext w:val="0"/>
              <w:keepLines w:val="0"/>
              <w:suppressLineNumbers w:val="0"/>
              <w:spacing w:before="0" w:beforeAutospacing="0" w:after="0" w:afterAutospacing="0"/>
              <w:ind w:left="0" w:right="0" w:firstLine="480"/>
              <w:rPr>
                <w:rFonts w:hint="default"/>
                <w:bCs/>
                <w:color w:val="auto"/>
                <w:szCs w:val="21"/>
                <w:highlight w:val="none"/>
              </w:rPr>
            </w:pPr>
            <w:r>
              <w:rPr>
                <w:rFonts w:hint="eastAsia"/>
                <w:bCs/>
                <w:color w:val="auto"/>
                <w:szCs w:val="21"/>
                <w:highlight w:val="none"/>
              </w:rPr>
              <w:t>物料平衡见下表：</w:t>
            </w:r>
          </w:p>
          <w:p>
            <w:pPr>
              <w:keepNext w:val="0"/>
              <w:keepLines w:val="0"/>
              <w:suppressLineNumbers w:val="0"/>
              <w:spacing w:before="0" w:beforeAutospacing="0" w:after="0" w:afterAutospacing="0" w:line="240" w:lineRule="auto"/>
              <w:ind w:left="0" w:right="0" w:firstLine="482"/>
              <w:jc w:val="center"/>
              <w:rPr>
                <w:rFonts w:hint="default"/>
                <w:b/>
                <w:bCs/>
                <w:color w:val="auto"/>
                <w:highlight w:val="none"/>
              </w:rPr>
            </w:pPr>
            <w:r>
              <w:rPr>
                <w:rFonts w:hint="eastAsia"/>
                <w:b/>
                <w:bCs/>
                <w:color w:val="auto"/>
                <w:highlight w:val="none"/>
              </w:rPr>
              <w:t>表2-</w:t>
            </w:r>
            <w:r>
              <w:rPr>
                <w:rFonts w:hint="eastAsia"/>
                <w:b/>
                <w:bCs/>
                <w:color w:val="auto"/>
                <w:highlight w:val="none"/>
                <w:lang w:val="en-US" w:eastAsia="zh-CN"/>
              </w:rPr>
              <w:t>5</w:t>
            </w:r>
            <w:r>
              <w:rPr>
                <w:rFonts w:hint="eastAsia"/>
                <w:b/>
                <w:bCs/>
                <w:color w:val="auto"/>
                <w:highlight w:val="none"/>
              </w:rPr>
              <w:t xml:space="preserve">   </w:t>
            </w:r>
            <w:r>
              <w:rPr>
                <w:rFonts w:hint="eastAsia"/>
                <w:b/>
                <w:bCs/>
                <w:color w:val="auto"/>
                <w:szCs w:val="21"/>
                <w:highlight w:val="none"/>
              </w:rPr>
              <w:t>生产过程物料平衡一览表</w:t>
            </w:r>
            <w:r>
              <w:rPr>
                <w:rFonts w:hint="eastAsia"/>
                <w:color w:val="auto"/>
                <w:highlight w:val="none"/>
              </w:rPr>
              <w:t xml:space="preserve">   </w:t>
            </w:r>
            <w:r>
              <w:rPr>
                <w:rFonts w:hint="eastAsia"/>
                <w:b/>
                <w:bCs/>
                <w:color w:val="auto"/>
                <w:szCs w:val="21"/>
                <w:highlight w:val="none"/>
              </w:rPr>
              <w:t>单位：t/a</w:t>
            </w:r>
          </w:p>
          <w:tbl>
            <w:tblPr>
              <w:tblStyle w:val="38"/>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1657"/>
              <w:gridCol w:w="1684"/>
              <w:gridCol w:w="2124"/>
              <w:gridCol w:w="211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9" w:type="pct"/>
                  <w:tcBorders>
                    <w:tl2br w:val="nil"/>
                    <w:tr2bl w:val="nil"/>
                  </w:tcBorders>
                  <w:vAlign w:val="center"/>
                </w:tcPr>
                <w:p>
                  <w:pPr>
                    <w:pStyle w:val="138"/>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序号</w:t>
                  </w:r>
                </w:p>
              </w:tc>
              <w:tc>
                <w:tcPr>
                  <w:tcW w:w="1973" w:type="pct"/>
                  <w:gridSpan w:val="2"/>
                  <w:tcBorders>
                    <w:tl2br w:val="nil"/>
                    <w:tr2bl w:val="nil"/>
                  </w:tcBorders>
                  <w:vAlign w:val="center"/>
                </w:tcPr>
                <w:p>
                  <w:pPr>
                    <w:pStyle w:val="138"/>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投入</w:t>
                  </w:r>
                </w:p>
              </w:tc>
              <w:tc>
                <w:tcPr>
                  <w:tcW w:w="2506" w:type="pct"/>
                  <w:gridSpan w:val="2"/>
                  <w:tcBorders>
                    <w:tl2br w:val="nil"/>
                    <w:tr2bl w:val="nil"/>
                  </w:tcBorders>
                  <w:vAlign w:val="center"/>
                </w:tcPr>
                <w:p>
                  <w:pPr>
                    <w:pStyle w:val="138"/>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产出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9" w:type="pct"/>
                  <w:tcBorders>
                    <w:tl2br w:val="nil"/>
                    <w:tr2bl w:val="nil"/>
                  </w:tcBorders>
                  <w:vAlign w:val="center"/>
                </w:tcPr>
                <w:p>
                  <w:pPr>
                    <w:pStyle w:val="138"/>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1</w:t>
                  </w:r>
                </w:p>
              </w:tc>
              <w:tc>
                <w:tcPr>
                  <w:tcW w:w="97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eastAsia="宋体"/>
                      <w:color w:val="auto"/>
                      <w:szCs w:val="20"/>
                      <w:highlight w:val="none"/>
                      <w:lang w:val="en-US" w:eastAsia="zh-CN"/>
                    </w:rPr>
                  </w:pPr>
                  <w:r>
                    <w:rPr>
                      <w:rFonts w:hint="eastAsia"/>
                      <w:color w:val="auto"/>
                      <w:szCs w:val="20"/>
                      <w:highlight w:val="none"/>
                      <w:lang w:val="en-US" w:eastAsia="zh-CN"/>
                    </w:rPr>
                    <w:t>高密度聚乙烯颗粒</w:t>
                  </w:r>
                </w:p>
              </w:tc>
              <w:tc>
                <w:tcPr>
                  <w:tcW w:w="995"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lang w:val="en-US" w:eastAsia="zh-CN"/>
                    </w:rPr>
                    <w:t>8100</w:t>
                  </w:r>
                </w:p>
              </w:tc>
              <w:tc>
                <w:tcPr>
                  <w:tcW w:w="1255" w:type="pct"/>
                  <w:tcBorders>
                    <w:tl2br w:val="nil"/>
                    <w:tr2bl w:val="nil"/>
                  </w:tcBorders>
                  <w:vAlign w:val="center"/>
                </w:tcPr>
                <w:p>
                  <w:pPr>
                    <w:pStyle w:val="138"/>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lang w:val="en-US" w:eastAsia="zh-CN"/>
                    </w:rPr>
                    <w:t>HDPE给水管</w:t>
                  </w:r>
                </w:p>
              </w:tc>
              <w:tc>
                <w:tcPr>
                  <w:tcW w:w="1250" w:type="pct"/>
                  <w:tcBorders>
                    <w:tl2br w:val="nil"/>
                    <w:tr2bl w:val="nil"/>
                  </w:tcBorders>
                  <w:vAlign w:val="center"/>
                </w:tcPr>
                <w:p>
                  <w:pPr>
                    <w:pStyle w:val="138"/>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lang w:val="en-US" w:eastAsia="zh-CN"/>
                    </w:rPr>
                    <w:t>8000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9" w:type="pct"/>
                  <w:tcBorders>
                    <w:tl2br w:val="nil"/>
                    <w:tr2bl w:val="nil"/>
                  </w:tcBorders>
                  <w:vAlign w:val="center"/>
                </w:tcPr>
                <w:p>
                  <w:pPr>
                    <w:pStyle w:val="138"/>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2</w:t>
                  </w:r>
                </w:p>
              </w:tc>
              <w:tc>
                <w:tcPr>
                  <w:tcW w:w="97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eastAsia="宋体"/>
                      <w:color w:val="auto"/>
                      <w:szCs w:val="20"/>
                      <w:highlight w:val="none"/>
                      <w:lang w:val="en-US" w:eastAsia="zh-CN"/>
                    </w:rPr>
                  </w:pPr>
                  <w:r>
                    <w:rPr>
                      <w:rFonts w:hint="eastAsia"/>
                      <w:color w:val="auto"/>
                      <w:szCs w:val="20"/>
                      <w:highlight w:val="none"/>
                      <w:lang w:val="en-US" w:eastAsia="zh-CN"/>
                    </w:rPr>
                    <w:t>色母颗粒</w:t>
                  </w:r>
                </w:p>
              </w:tc>
              <w:tc>
                <w:tcPr>
                  <w:tcW w:w="995"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lang w:val="en-US" w:eastAsia="zh-CN"/>
                    </w:rPr>
                    <w:t>200</w:t>
                  </w:r>
                </w:p>
              </w:tc>
              <w:tc>
                <w:tcPr>
                  <w:tcW w:w="1255" w:type="pct"/>
                  <w:tcBorders>
                    <w:tl2br w:val="nil"/>
                    <w:tr2bl w:val="nil"/>
                  </w:tcBorders>
                  <w:vAlign w:val="center"/>
                </w:tcPr>
                <w:p>
                  <w:pPr>
                    <w:pStyle w:val="138"/>
                    <w:keepNext w:val="0"/>
                    <w:keepLines w:val="0"/>
                    <w:widowControl/>
                    <w:suppressLineNumbers w:val="0"/>
                    <w:spacing w:before="0" w:beforeAutospacing="0" w:after="0" w:afterAutospacing="0"/>
                    <w:ind w:left="0" w:right="0"/>
                    <w:rPr>
                      <w:rFonts w:hint="eastAsia" w:ascii="Times New Roman" w:hAnsi="Times New Roman" w:eastAsia="宋体" w:cs="Times New Roman"/>
                      <w:snapToGrid w:val="0"/>
                      <w:color w:val="auto"/>
                      <w:sz w:val="21"/>
                      <w:szCs w:val="20"/>
                      <w:highlight w:val="none"/>
                      <w:lang w:val="en-US" w:eastAsia="zh-CN" w:bidi="ar-SA"/>
                    </w:rPr>
                  </w:pPr>
                  <w:r>
                    <w:rPr>
                      <w:rFonts w:hint="eastAsia"/>
                      <w:color w:val="auto"/>
                      <w:szCs w:val="20"/>
                      <w:highlight w:val="none"/>
                      <w:lang w:val="en-US" w:eastAsia="zh-CN"/>
                    </w:rPr>
                    <w:t>不合格品</w:t>
                  </w:r>
                </w:p>
              </w:tc>
              <w:tc>
                <w:tcPr>
                  <w:tcW w:w="1250" w:type="pct"/>
                  <w:tcBorders>
                    <w:tl2br w:val="nil"/>
                    <w:tr2bl w:val="nil"/>
                  </w:tcBorders>
                  <w:vAlign w:val="center"/>
                </w:tcPr>
                <w:p>
                  <w:pPr>
                    <w:pStyle w:val="138"/>
                    <w:keepNext w:val="0"/>
                    <w:keepLines w:val="0"/>
                    <w:widowControl/>
                    <w:suppressLineNumbers w:val="0"/>
                    <w:spacing w:before="0" w:beforeAutospacing="0" w:after="0" w:afterAutospacing="0"/>
                    <w:ind w:left="0" w:right="0"/>
                    <w:rPr>
                      <w:rFonts w:hint="default" w:ascii="Times New Roman" w:hAnsi="Times New Roman" w:eastAsia="宋体" w:cs="Times New Roman"/>
                      <w:snapToGrid w:val="0"/>
                      <w:color w:val="auto"/>
                      <w:sz w:val="21"/>
                      <w:szCs w:val="20"/>
                      <w:highlight w:val="none"/>
                      <w:lang w:val="en-US" w:eastAsia="zh-CN" w:bidi="ar-SA"/>
                    </w:rPr>
                  </w:pPr>
                  <w:r>
                    <w:rPr>
                      <w:rFonts w:hint="eastAsia"/>
                      <w:color w:val="auto"/>
                      <w:szCs w:val="20"/>
                      <w:highlight w:val="none"/>
                      <w:lang w:val="en-US" w:eastAsia="zh-CN"/>
                    </w:rPr>
                    <w:t>240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9" w:type="pct"/>
                  <w:tcBorders>
                    <w:tl2br w:val="nil"/>
                    <w:tr2bl w:val="nil"/>
                  </w:tcBorders>
                  <w:vAlign w:val="center"/>
                </w:tcPr>
                <w:p>
                  <w:pPr>
                    <w:pStyle w:val="138"/>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lang w:val="en-US" w:eastAsia="zh-CN"/>
                    </w:rPr>
                    <w:t>3</w:t>
                  </w:r>
                </w:p>
              </w:tc>
              <w:tc>
                <w:tcPr>
                  <w:tcW w:w="978" w:type="pct"/>
                  <w:tcBorders>
                    <w:tl2br w:val="nil"/>
                    <w:tr2bl w:val="nil"/>
                  </w:tcBorders>
                  <w:vAlign w:val="center"/>
                </w:tcPr>
                <w:p>
                  <w:pPr>
                    <w:pStyle w:val="138"/>
                    <w:keepNext w:val="0"/>
                    <w:keepLines w:val="0"/>
                    <w:widowControl/>
                    <w:suppressLineNumbers w:val="0"/>
                    <w:spacing w:before="0" w:beforeAutospacing="0" w:after="0" w:afterAutospacing="0"/>
                    <w:ind w:left="0" w:right="0"/>
                    <w:rPr>
                      <w:rFonts w:hint="eastAsia" w:eastAsia="宋体"/>
                      <w:color w:val="auto"/>
                      <w:szCs w:val="20"/>
                      <w:highlight w:val="none"/>
                      <w:lang w:val="en-US" w:eastAsia="zh-CN"/>
                    </w:rPr>
                  </w:pPr>
                </w:p>
              </w:tc>
              <w:tc>
                <w:tcPr>
                  <w:tcW w:w="995" w:type="pct"/>
                  <w:tcBorders>
                    <w:tl2br w:val="nil"/>
                    <w:tr2bl w:val="nil"/>
                  </w:tcBorders>
                  <w:vAlign w:val="center"/>
                </w:tcPr>
                <w:p>
                  <w:pPr>
                    <w:pStyle w:val="138"/>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p>
              </w:tc>
              <w:tc>
                <w:tcPr>
                  <w:tcW w:w="1255" w:type="pct"/>
                  <w:tcBorders>
                    <w:tl2br w:val="nil"/>
                    <w:tr2bl w:val="nil"/>
                  </w:tcBorders>
                  <w:vAlign w:val="center"/>
                </w:tcPr>
                <w:p>
                  <w:pPr>
                    <w:pStyle w:val="138"/>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lang w:val="en-US" w:eastAsia="zh-CN"/>
                    </w:rPr>
                    <w:t>废边料</w:t>
                  </w:r>
                </w:p>
              </w:tc>
              <w:tc>
                <w:tcPr>
                  <w:tcW w:w="1250" w:type="pct"/>
                  <w:tcBorders>
                    <w:tl2br w:val="nil"/>
                    <w:tr2bl w:val="nil"/>
                  </w:tcBorders>
                  <w:vAlign w:val="center"/>
                </w:tcPr>
                <w:p>
                  <w:pPr>
                    <w:pStyle w:val="138"/>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lang w:val="en-US" w:eastAsia="zh-CN"/>
                    </w:rPr>
                    <w:t>48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9" w:type="pct"/>
                  <w:tcBorders>
                    <w:tl2br w:val="nil"/>
                    <w:tr2bl w:val="nil"/>
                  </w:tcBorders>
                  <w:vAlign w:val="center"/>
                </w:tcPr>
                <w:p>
                  <w:pPr>
                    <w:pStyle w:val="138"/>
                    <w:keepNext w:val="0"/>
                    <w:keepLines w:val="0"/>
                    <w:widowControl/>
                    <w:suppressLineNumbers w:val="0"/>
                    <w:spacing w:before="0" w:beforeAutospacing="0" w:after="0" w:afterAutospacing="0"/>
                    <w:ind w:left="0" w:right="0"/>
                    <w:rPr>
                      <w:rFonts w:hint="default"/>
                      <w:color w:val="auto"/>
                      <w:szCs w:val="20"/>
                      <w:highlight w:val="none"/>
                      <w:lang w:val="en-US" w:eastAsia="zh-CN"/>
                    </w:rPr>
                  </w:pPr>
                  <w:r>
                    <w:rPr>
                      <w:rFonts w:hint="eastAsia"/>
                      <w:color w:val="auto"/>
                      <w:szCs w:val="20"/>
                      <w:highlight w:val="none"/>
                      <w:lang w:val="en-US" w:eastAsia="zh-CN"/>
                    </w:rPr>
                    <w:t>4</w:t>
                  </w:r>
                </w:p>
              </w:tc>
              <w:tc>
                <w:tcPr>
                  <w:tcW w:w="978" w:type="pct"/>
                  <w:tcBorders>
                    <w:tl2br w:val="nil"/>
                    <w:tr2bl w:val="nil"/>
                  </w:tcBorders>
                  <w:vAlign w:val="center"/>
                </w:tcPr>
                <w:p>
                  <w:pPr>
                    <w:pStyle w:val="138"/>
                    <w:keepNext w:val="0"/>
                    <w:keepLines w:val="0"/>
                    <w:widowControl/>
                    <w:suppressLineNumbers w:val="0"/>
                    <w:spacing w:before="0" w:beforeAutospacing="0" w:after="0" w:afterAutospacing="0"/>
                    <w:ind w:left="0" w:right="0"/>
                    <w:rPr>
                      <w:rFonts w:hint="eastAsia" w:eastAsia="宋体"/>
                      <w:color w:val="auto"/>
                      <w:szCs w:val="20"/>
                      <w:highlight w:val="none"/>
                      <w:lang w:val="en-US" w:eastAsia="zh-CN"/>
                    </w:rPr>
                  </w:pPr>
                </w:p>
              </w:tc>
              <w:tc>
                <w:tcPr>
                  <w:tcW w:w="995" w:type="pct"/>
                  <w:tcBorders>
                    <w:tl2br w:val="nil"/>
                    <w:tr2bl w:val="nil"/>
                  </w:tcBorders>
                  <w:vAlign w:val="center"/>
                </w:tcPr>
                <w:p>
                  <w:pPr>
                    <w:pStyle w:val="138"/>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p>
              </w:tc>
              <w:tc>
                <w:tcPr>
                  <w:tcW w:w="1255" w:type="pct"/>
                  <w:tcBorders>
                    <w:tl2br w:val="nil"/>
                    <w:tr2bl w:val="nil"/>
                  </w:tcBorders>
                  <w:vAlign w:val="center"/>
                </w:tcPr>
                <w:p>
                  <w:pPr>
                    <w:pStyle w:val="138"/>
                    <w:keepNext w:val="0"/>
                    <w:keepLines w:val="0"/>
                    <w:widowControl/>
                    <w:suppressLineNumbers w:val="0"/>
                    <w:spacing w:before="0" w:beforeAutospacing="0" w:after="0" w:afterAutospacing="0"/>
                    <w:ind w:left="0" w:right="0"/>
                    <w:rPr>
                      <w:rFonts w:hint="eastAsia" w:ascii="Times New Roman" w:hAnsi="Times New Roman" w:eastAsia="宋体" w:cs="Times New Roman"/>
                      <w:snapToGrid w:val="0"/>
                      <w:color w:val="auto"/>
                      <w:sz w:val="21"/>
                      <w:szCs w:val="20"/>
                      <w:highlight w:val="none"/>
                      <w:lang w:val="en-US" w:eastAsia="zh-CN" w:bidi="ar-SA"/>
                    </w:rPr>
                  </w:pPr>
                  <w:r>
                    <w:rPr>
                      <w:rFonts w:hint="eastAsia"/>
                      <w:color w:val="auto"/>
                      <w:szCs w:val="20"/>
                      <w:highlight w:val="none"/>
                      <w:lang w:val="en-US" w:eastAsia="zh-CN"/>
                    </w:rPr>
                    <w:t>有机废气</w:t>
                  </w:r>
                </w:p>
              </w:tc>
              <w:tc>
                <w:tcPr>
                  <w:tcW w:w="1250" w:type="pct"/>
                  <w:tcBorders>
                    <w:tl2br w:val="nil"/>
                    <w:tr2bl w:val="nil"/>
                  </w:tcBorders>
                  <w:vAlign w:val="center"/>
                </w:tcPr>
                <w:p>
                  <w:pPr>
                    <w:pStyle w:val="138"/>
                    <w:keepNext w:val="0"/>
                    <w:keepLines w:val="0"/>
                    <w:widowControl/>
                    <w:suppressLineNumbers w:val="0"/>
                    <w:spacing w:before="0" w:beforeAutospacing="0" w:after="0" w:afterAutospacing="0"/>
                    <w:ind w:left="0" w:right="0"/>
                    <w:rPr>
                      <w:rFonts w:hint="eastAsia" w:ascii="Times New Roman" w:hAnsi="Times New Roman" w:eastAsia="宋体" w:cs="Times New Roman"/>
                      <w:snapToGrid w:val="0"/>
                      <w:color w:val="auto"/>
                      <w:sz w:val="21"/>
                      <w:szCs w:val="20"/>
                      <w:highlight w:val="none"/>
                      <w:lang w:val="en-US" w:eastAsia="zh-CN" w:bidi="ar-SA"/>
                    </w:rPr>
                  </w:pPr>
                  <w:r>
                    <w:rPr>
                      <w:rFonts w:hint="eastAsia"/>
                      <w:color w:val="auto"/>
                      <w:szCs w:val="20"/>
                      <w:highlight w:val="none"/>
                      <w:lang w:val="en-US" w:eastAsia="zh-CN"/>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98" w:type="pct"/>
                  <w:gridSpan w:val="2"/>
                  <w:tcBorders>
                    <w:tl2br w:val="nil"/>
                    <w:tr2bl w:val="nil"/>
                  </w:tcBorders>
                  <w:vAlign w:val="center"/>
                </w:tcPr>
                <w:p>
                  <w:pPr>
                    <w:pStyle w:val="138"/>
                    <w:keepNext w:val="0"/>
                    <w:keepLines w:val="0"/>
                    <w:widowControl/>
                    <w:suppressLineNumbers w:val="0"/>
                    <w:spacing w:before="0" w:beforeAutospacing="0" w:after="0" w:afterAutospacing="0"/>
                    <w:ind w:left="0" w:right="0"/>
                    <w:rPr>
                      <w:rFonts w:hint="eastAsia" w:ascii="Times New Roman" w:hAnsi="Times New Roman" w:eastAsia="宋体" w:cs="Times New Roman"/>
                      <w:snapToGrid w:val="0"/>
                      <w:color w:val="auto"/>
                      <w:sz w:val="21"/>
                      <w:szCs w:val="20"/>
                      <w:highlight w:val="none"/>
                      <w:lang w:val="en-US" w:eastAsia="zh-CN" w:bidi="ar-SA"/>
                    </w:rPr>
                  </w:pPr>
                  <w:r>
                    <w:rPr>
                      <w:rFonts w:hint="eastAsia"/>
                      <w:color w:val="auto"/>
                      <w:szCs w:val="20"/>
                      <w:highlight w:val="none"/>
                      <w:lang w:val="en-US" w:eastAsia="zh-CN"/>
                    </w:rPr>
                    <w:t>合计</w:t>
                  </w:r>
                </w:p>
              </w:tc>
              <w:tc>
                <w:tcPr>
                  <w:tcW w:w="995" w:type="pct"/>
                  <w:tcBorders>
                    <w:tl2br w:val="nil"/>
                    <w:tr2bl w:val="nil"/>
                  </w:tcBorders>
                  <w:vAlign w:val="center"/>
                </w:tcPr>
                <w:p>
                  <w:pPr>
                    <w:pStyle w:val="138"/>
                    <w:keepNext w:val="0"/>
                    <w:keepLines w:val="0"/>
                    <w:widowControl/>
                    <w:suppressLineNumbers w:val="0"/>
                    <w:spacing w:before="0" w:beforeAutospacing="0" w:after="0" w:afterAutospacing="0"/>
                    <w:ind w:left="0" w:right="0"/>
                    <w:rPr>
                      <w:rFonts w:hint="eastAsia" w:ascii="Times New Roman" w:hAnsi="Times New Roman" w:eastAsia="宋体" w:cs="Times New Roman"/>
                      <w:snapToGrid w:val="0"/>
                      <w:color w:val="auto"/>
                      <w:sz w:val="21"/>
                      <w:szCs w:val="20"/>
                      <w:highlight w:val="none"/>
                      <w:lang w:val="en-US" w:eastAsia="zh-CN" w:bidi="ar-SA"/>
                    </w:rPr>
                  </w:pPr>
                  <w:r>
                    <w:rPr>
                      <w:rFonts w:hint="eastAsia"/>
                      <w:color w:val="auto"/>
                      <w:szCs w:val="20"/>
                      <w:highlight w:val="none"/>
                      <w:lang w:val="en-US" w:eastAsia="zh-CN"/>
                    </w:rPr>
                    <w:t>8300</w:t>
                  </w:r>
                </w:p>
              </w:tc>
              <w:tc>
                <w:tcPr>
                  <w:tcW w:w="1255" w:type="pct"/>
                  <w:tcBorders>
                    <w:tl2br w:val="nil"/>
                    <w:tr2bl w:val="nil"/>
                  </w:tcBorders>
                  <w:vAlign w:val="center"/>
                </w:tcPr>
                <w:p>
                  <w:pPr>
                    <w:pStyle w:val="138"/>
                    <w:keepNext w:val="0"/>
                    <w:keepLines w:val="0"/>
                    <w:widowControl/>
                    <w:suppressLineNumbers w:val="0"/>
                    <w:spacing w:before="0" w:beforeAutospacing="0" w:after="0" w:afterAutospacing="0"/>
                    <w:ind w:left="0" w:right="0"/>
                    <w:rPr>
                      <w:rFonts w:hint="eastAsia" w:ascii="Times New Roman" w:hAnsi="Times New Roman" w:eastAsia="宋体" w:cs="Times New Roman"/>
                      <w:snapToGrid w:val="0"/>
                      <w:color w:val="auto"/>
                      <w:sz w:val="21"/>
                      <w:szCs w:val="20"/>
                      <w:highlight w:val="none"/>
                      <w:lang w:val="en-US" w:eastAsia="zh-CN" w:bidi="ar-SA"/>
                    </w:rPr>
                  </w:pPr>
                  <w:r>
                    <w:rPr>
                      <w:rFonts w:hint="eastAsia"/>
                      <w:color w:val="auto"/>
                      <w:szCs w:val="20"/>
                      <w:highlight w:val="none"/>
                      <w:lang w:val="en-US" w:eastAsia="zh-CN"/>
                    </w:rPr>
                    <w:t>合计</w:t>
                  </w:r>
                </w:p>
              </w:tc>
              <w:tc>
                <w:tcPr>
                  <w:tcW w:w="1250" w:type="pct"/>
                  <w:tcBorders>
                    <w:tl2br w:val="nil"/>
                    <w:tr2bl w:val="nil"/>
                  </w:tcBorders>
                  <w:vAlign w:val="center"/>
                </w:tcPr>
                <w:p>
                  <w:pPr>
                    <w:pStyle w:val="138"/>
                    <w:keepNext w:val="0"/>
                    <w:keepLines w:val="0"/>
                    <w:widowControl/>
                    <w:suppressLineNumbers w:val="0"/>
                    <w:spacing w:before="0" w:beforeAutospacing="0" w:after="0" w:afterAutospacing="0"/>
                    <w:ind w:left="0" w:right="0"/>
                    <w:rPr>
                      <w:rFonts w:hint="eastAsia" w:ascii="Times New Roman" w:hAnsi="Times New Roman" w:eastAsia="宋体" w:cs="Times New Roman"/>
                      <w:snapToGrid w:val="0"/>
                      <w:color w:val="auto"/>
                      <w:sz w:val="21"/>
                      <w:szCs w:val="20"/>
                      <w:highlight w:val="none"/>
                      <w:lang w:val="en-US" w:eastAsia="zh-CN" w:bidi="ar-SA"/>
                    </w:rPr>
                  </w:pPr>
                  <w:r>
                    <w:rPr>
                      <w:rFonts w:hint="eastAsia"/>
                      <w:color w:val="auto"/>
                      <w:szCs w:val="20"/>
                      <w:highlight w:val="none"/>
                      <w:lang w:val="en-US" w:eastAsia="zh-CN"/>
                    </w:rPr>
                    <w:t>8300</w:t>
                  </w:r>
                </w:p>
              </w:tc>
            </w:tr>
          </w:tbl>
          <w:p>
            <w:pPr>
              <w:keepNext w:val="0"/>
              <w:keepLines w:val="0"/>
              <w:suppressLineNumbers w:val="0"/>
              <w:spacing w:before="0" w:beforeAutospacing="0" w:after="0" w:afterAutospacing="0"/>
              <w:ind w:left="0" w:right="0" w:firstLine="480"/>
              <w:rPr>
                <w:rFonts w:hint="default"/>
                <w:color w:val="auto"/>
                <w:highlight w:val="none"/>
              </w:rPr>
            </w:pPr>
            <w:r>
              <w:rPr>
                <w:rFonts w:hint="eastAsia"/>
                <w:color w:val="auto"/>
                <w:highlight w:val="none"/>
              </w:rPr>
              <w:t>主要</w:t>
            </w:r>
            <w:r>
              <w:rPr>
                <w:rFonts w:hint="default"/>
                <w:color w:val="auto"/>
                <w:highlight w:val="none"/>
              </w:rPr>
              <w:t>原辅材料</w:t>
            </w:r>
            <w:r>
              <w:rPr>
                <w:rFonts w:hint="eastAsia"/>
                <w:color w:val="auto"/>
                <w:highlight w:val="none"/>
              </w:rPr>
              <w:t>理化性质</w:t>
            </w:r>
            <w:r>
              <w:rPr>
                <w:rFonts w:hint="default"/>
                <w:color w:val="auto"/>
                <w:highlight w:val="none"/>
              </w:rPr>
              <w:t>如下：</w:t>
            </w:r>
          </w:p>
          <w:p>
            <w:pPr>
              <w:pStyle w:val="77"/>
              <w:keepNext w:val="0"/>
              <w:keepLines w:val="0"/>
              <w:widowControl/>
              <w:suppressLineNumbers w:val="0"/>
              <w:spacing w:before="0" w:beforeLines="0" w:beforeAutospacing="0" w:after="0" w:afterAutospacing="0" w:line="240" w:lineRule="auto"/>
              <w:ind w:left="0" w:right="0"/>
              <w:rPr>
                <w:rFonts w:hint="default" w:eastAsia="宋体"/>
                <w:b/>
                <w:color w:val="auto"/>
                <w:kern w:val="0"/>
                <w:szCs w:val="21"/>
                <w:highlight w:val="none"/>
              </w:rPr>
            </w:pPr>
            <w:r>
              <w:rPr>
                <w:rFonts w:hint="eastAsia" w:eastAsia="宋体"/>
                <w:b/>
                <w:color w:val="auto"/>
                <w:kern w:val="0"/>
                <w:szCs w:val="21"/>
                <w:highlight w:val="none"/>
              </w:rPr>
              <w:t>表2-</w:t>
            </w:r>
            <w:r>
              <w:rPr>
                <w:rFonts w:hint="eastAsia" w:eastAsia="宋体"/>
                <w:b/>
                <w:color w:val="auto"/>
                <w:kern w:val="0"/>
                <w:szCs w:val="21"/>
                <w:highlight w:val="none"/>
                <w:lang w:val="en-US" w:eastAsia="zh-CN"/>
              </w:rPr>
              <w:t>6</w:t>
            </w:r>
            <w:r>
              <w:rPr>
                <w:rFonts w:hint="eastAsia" w:eastAsia="宋体"/>
                <w:b/>
                <w:color w:val="auto"/>
                <w:kern w:val="0"/>
                <w:szCs w:val="21"/>
                <w:highlight w:val="none"/>
              </w:rPr>
              <w:t xml:space="preserve">  主要原辅材料理化性质一览表</w:t>
            </w:r>
          </w:p>
          <w:tbl>
            <w:tblPr>
              <w:tblStyle w:val="37"/>
              <w:tblW w:w="5033" w:type="pct"/>
              <w:jc w:val="center"/>
              <w:tblBorders>
                <w:top w:val="single" w:color="auto" w:sz="12" w:space="0"/>
                <w:left w:val="none" w:color="auto" w:sz="0" w:space="0"/>
                <w:bottom w:val="single" w:color="auto" w:sz="12" w:space="0"/>
                <w:right w:val="none" w:color="auto" w:sz="0" w:space="0"/>
                <w:insideH w:val="single" w:color="000000" w:sz="4" w:space="0"/>
                <w:insideV w:val="single" w:color="000000" w:sz="6" w:space="0"/>
              </w:tblBorders>
              <w:tblLayout w:type="autofit"/>
              <w:tblCellMar>
                <w:top w:w="0" w:type="dxa"/>
                <w:left w:w="108" w:type="dxa"/>
                <w:bottom w:w="0" w:type="dxa"/>
                <w:right w:w="108" w:type="dxa"/>
              </w:tblCellMar>
            </w:tblPr>
            <w:tblGrid>
              <w:gridCol w:w="877"/>
              <w:gridCol w:w="7641"/>
            </w:tblGrid>
            <w:tr>
              <w:tblPrEx>
                <w:tblBorders>
                  <w:top w:val="single" w:color="auto" w:sz="12" w:space="0"/>
                  <w:left w:val="none" w:color="auto" w:sz="0" w:space="0"/>
                  <w:bottom w:val="single" w:color="auto" w:sz="12" w:space="0"/>
                  <w:right w:val="none" w:color="auto" w:sz="0" w:space="0"/>
                  <w:insideH w:val="single" w:color="000000" w:sz="4" w:space="0"/>
                  <w:insideV w:val="single" w:color="000000" w:sz="6" w:space="0"/>
                </w:tblBorders>
                <w:tblCellMar>
                  <w:top w:w="0" w:type="dxa"/>
                  <w:left w:w="108" w:type="dxa"/>
                  <w:bottom w:w="0" w:type="dxa"/>
                  <w:right w:w="108" w:type="dxa"/>
                </w:tblCellMar>
              </w:tblPrEx>
              <w:trPr>
                <w:trHeight w:val="567" w:hRule="atLeast"/>
                <w:jc w:val="center"/>
              </w:trPr>
              <w:tc>
                <w:tcPr>
                  <w:tcW w:w="515"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原料名称</w:t>
                  </w:r>
                </w:p>
              </w:tc>
              <w:tc>
                <w:tcPr>
                  <w:tcW w:w="4484"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理化性质</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6" w:space="0"/>
                </w:tblBorders>
                <w:tblCellMar>
                  <w:top w:w="0" w:type="dxa"/>
                  <w:left w:w="108" w:type="dxa"/>
                  <w:bottom w:w="0" w:type="dxa"/>
                  <w:right w:w="108" w:type="dxa"/>
                </w:tblCellMar>
              </w:tblPrEx>
              <w:trPr>
                <w:trHeight w:val="2368" w:hRule="atLeast"/>
                <w:jc w:val="center"/>
              </w:trPr>
              <w:tc>
                <w:tcPr>
                  <w:tcW w:w="515" w:type="pct"/>
                  <w:tcBorders>
                    <w:bottom w:val="single" w:color="auto" w:sz="4" w:space="0"/>
                    <w:tl2br w:val="nil"/>
                    <w:tr2bl w:val="nil"/>
                  </w:tcBorders>
                  <w:vAlign w:val="center"/>
                </w:tcPr>
                <w:p>
                  <w:pPr>
                    <w:pStyle w:val="80"/>
                    <w:keepNext w:val="0"/>
                    <w:keepLines w:val="0"/>
                    <w:widowControl/>
                    <w:suppressLineNumbers w:val="0"/>
                    <w:spacing w:before="0" w:beforeAutospacing="0" w:after="0" w:afterAutospacing="0"/>
                    <w:ind w:left="0" w:right="0"/>
                    <w:jc w:val="left"/>
                    <w:rPr>
                      <w:rFonts w:hint="eastAsia" w:eastAsia="宋体"/>
                      <w:color w:val="auto"/>
                      <w:szCs w:val="20"/>
                      <w:highlight w:val="none"/>
                      <w:lang w:eastAsia="zh-CN"/>
                    </w:rPr>
                  </w:pPr>
                  <w:r>
                    <w:rPr>
                      <w:rFonts w:hint="eastAsia"/>
                      <w:color w:val="auto"/>
                      <w:szCs w:val="20"/>
                      <w:highlight w:val="none"/>
                      <w:lang w:val="en-US" w:eastAsia="zh-CN"/>
                    </w:rPr>
                    <w:t>高密度聚乙烯颗粒</w:t>
                  </w:r>
                </w:p>
              </w:tc>
              <w:tc>
                <w:tcPr>
                  <w:tcW w:w="4484" w:type="pct"/>
                  <w:tcBorders>
                    <w:bottom w:val="single" w:color="auto" w:sz="4" w:space="0"/>
                    <w:tl2br w:val="nil"/>
                    <w:tr2bl w:val="nil"/>
                  </w:tcBorders>
                  <w:vAlign w:val="center"/>
                </w:tcPr>
                <w:p>
                  <w:pPr>
                    <w:pStyle w:val="80"/>
                    <w:keepNext w:val="0"/>
                    <w:keepLines w:val="0"/>
                    <w:widowControl/>
                    <w:suppressLineNumbers w:val="0"/>
                    <w:spacing w:before="0" w:beforeAutospacing="0" w:after="0" w:afterAutospacing="0"/>
                    <w:ind w:left="0" w:right="0"/>
                    <w:jc w:val="left"/>
                    <w:rPr>
                      <w:rFonts w:hint="eastAsia"/>
                      <w:color w:val="auto"/>
                      <w:szCs w:val="20"/>
                      <w:highlight w:val="none"/>
                    </w:rPr>
                  </w:pPr>
                  <w:r>
                    <w:rPr>
                      <w:rFonts w:hint="eastAsia"/>
                      <w:color w:val="auto"/>
                      <w:szCs w:val="20"/>
                      <w:highlight w:val="none"/>
                    </w:rPr>
                    <w:t>为白色粉末或颗粒状产品。</w:t>
                  </w:r>
                  <w:r>
                    <w:rPr>
                      <w:rFonts w:hint="eastAsia"/>
                      <w:color w:val="auto"/>
                      <w:szCs w:val="20"/>
                      <w:highlight w:val="none"/>
                      <w:lang w:val="en-US" w:eastAsia="zh-CN"/>
                    </w:rPr>
                    <w:t>别名PE，</w:t>
                  </w:r>
                  <w:r>
                    <w:rPr>
                      <w:rFonts w:hint="eastAsia"/>
                      <w:color w:val="auto"/>
                      <w:szCs w:val="20"/>
                      <w:highlight w:val="none"/>
                    </w:rPr>
                    <w:t>无毒，无味，</w:t>
                  </w:r>
                  <w:r>
                    <w:rPr>
                      <w:rFonts w:hint="eastAsia"/>
                      <w:color w:val="auto"/>
                      <w:szCs w:val="20"/>
                      <w:highlight w:val="none"/>
                      <w:lang w:val="en-US" w:eastAsia="zh-CN"/>
                    </w:rPr>
                    <w:t>手感似蜡，</w:t>
                  </w:r>
                  <w:r>
                    <w:rPr>
                      <w:rFonts w:hint="eastAsia"/>
                      <w:color w:val="auto"/>
                      <w:szCs w:val="20"/>
                      <w:highlight w:val="none"/>
                    </w:rPr>
                    <w:t>结晶度为80%～90%，软化点为125～135℃，使用温度可达100℃；硬度、拉伸强度和蠕变性优于</w:t>
                  </w:r>
                  <w:r>
                    <w:rPr>
                      <w:rFonts w:hint="default"/>
                      <w:color w:val="auto"/>
                      <w:szCs w:val="20"/>
                      <w:highlight w:val="none"/>
                    </w:rPr>
                    <w:fldChar w:fldCharType="begin"/>
                  </w:r>
                  <w:r>
                    <w:rPr>
                      <w:rFonts w:hint="default"/>
                      <w:color w:val="auto"/>
                      <w:szCs w:val="20"/>
                      <w:highlight w:val="none"/>
                    </w:rPr>
                    <w:instrText xml:space="preserve"> HYPERLINK "https://baike.baidu.com/item/%E4%BD%8E%E5%AF%86%E5%BA%A6%E8%81%9A%E4%B9%99%E7%83%AF/4905186?fromModule=lemma_inlink" \t "https://baike.baidu.com/item/%E9%AB%98%E5%AF%86%E5%BA%A6%E8%81%9A%E4%B9%99%E7%83%AF/_blank" </w:instrText>
                  </w:r>
                  <w:r>
                    <w:rPr>
                      <w:rFonts w:hint="default"/>
                      <w:color w:val="auto"/>
                      <w:szCs w:val="20"/>
                      <w:highlight w:val="none"/>
                    </w:rPr>
                    <w:fldChar w:fldCharType="separate"/>
                  </w:r>
                  <w:r>
                    <w:rPr>
                      <w:rFonts w:hint="default"/>
                      <w:color w:val="auto"/>
                      <w:szCs w:val="20"/>
                      <w:highlight w:val="none"/>
                    </w:rPr>
                    <w:t>低密度</w:t>
                  </w:r>
                  <w:r>
                    <w:rPr>
                      <w:rFonts w:hint="eastAsia"/>
                      <w:color w:val="auto"/>
                      <w:szCs w:val="20"/>
                      <w:highlight w:val="none"/>
                      <w:lang w:eastAsia="zh-CN"/>
                    </w:rPr>
                    <w:t>高密度聚乙烯</w:t>
                  </w:r>
                  <w:r>
                    <w:rPr>
                      <w:rFonts w:hint="default"/>
                      <w:color w:val="auto"/>
                      <w:szCs w:val="20"/>
                      <w:highlight w:val="none"/>
                    </w:rPr>
                    <w:fldChar w:fldCharType="end"/>
                  </w:r>
                  <w:r>
                    <w:rPr>
                      <w:rFonts w:hint="default"/>
                      <w:color w:val="auto"/>
                      <w:szCs w:val="20"/>
                      <w:highlight w:val="none"/>
                    </w:rPr>
                    <w:t>；耐磨性、电绝缘性、韧性及耐寒性较好；</w:t>
                  </w:r>
                  <w:r>
                    <w:rPr>
                      <w:rFonts w:hint="default"/>
                      <w:color w:val="auto"/>
                      <w:szCs w:val="20"/>
                      <w:highlight w:val="none"/>
                    </w:rPr>
                    <w:fldChar w:fldCharType="begin"/>
                  </w:r>
                  <w:r>
                    <w:rPr>
                      <w:rFonts w:hint="default"/>
                      <w:color w:val="auto"/>
                      <w:szCs w:val="20"/>
                      <w:highlight w:val="none"/>
                    </w:rPr>
                    <w:instrText xml:space="preserve"> HYPERLINK "https://baike.baidu.com/item/%E5%8C%96%E5%AD%A6%E7%A8%B3%E5%AE%9A%E6%80%A7/1850096?fromModule=lemma_inlink" \t "https://baike.baidu.com/item/%E9%AB%98%E5%AF%86%E5%BA%A6%E8%81%9A%E4%B9%99%E7%83%AF/_blank" </w:instrText>
                  </w:r>
                  <w:r>
                    <w:rPr>
                      <w:rFonts w:hint="default"/>
                      <w:color w:val="auto"/>
                      <w:szCs w:val="20"/>
                      <w:highlight w:val="none"/>
                    </w:rPr>
                    <w:fldChar w:fldCharType="separate"/>
                  </w:r>
                  <w:r>
                    <w:rPr>
                      <w:rFonts w:hint="default"/>
                      <w:color w:val="auto"/>
                      <w:szCs w:val="20"/>
                      <w:highlight w:val="none"/>
                    </w:rPr>
                    <w:t>化学稳定性</w:t>
                  </w:r>
                  <w:r>
                    <w:rPr>
                      <w:rFonts w:hint="default"/>
                      <w:color w:val="auto"/>
                      <w:szCs w:val="20"/>
                      <w:highlight w:val="none"/>
                    </w:rPr>
                    <w:fldChar w:fldCharType="end"/>
                  </w:r>
                  <w:r>
                    <w:rPr>
                      <w:rFonts w:hint="default"/>
                      <w:color w:val="auto"/>
                      <w:szCs w:val="20"/>
                      <w:highlight w:val="none"/>
                    </w:rPr>
                    <w:t>好，在室温条件下，不溶于任何有机溶剂，耐酸、碱和各种盐类的腐蚀；薄膜对水蒸气和空气的渗透性小，吸水性低；耐老化性能差，耐环境应力开裂性不如低密度</w:t>
                  </w:r>
                  <w:r>
                    <w:rPr>
                      <w:rFonts w:hint="eastAsia"/>
                      <w:color w:val="auto"/>
                      <w:szCs w:val="20"/>
                      <w:highlight w:val="none"/>
                      <w:lang w:eastAsia="zh-CN"/>
                    </w:rPr>
                    <w:t>高密度聚乙烯</w:t>
                  </w:r>
                  <w:r>
                    <w:rPr>
                      <w:rFonts w:hint="default"/>
                      <w:color w:val="auto"/>
                      <w:szCs w:val="20"/>
                      <w:highlight w:val="none"/>
                    </w:rPr>
                    <w:t>，特别是热氧化作用会使其性能下降，所以树脂中须加入抗氧剂和</w:t>
                  </w:r>
                  <w:r>
                    <w:rPr>
                      <w:rFonts w:hint="default"/>
                      <w:color w:val="auto"/>
                      <w:szCs w:val="20"/>
                      <w:highlight w:val="none"/>
                    </w:rPr>
                    <w:fldChar w:fldCharType="begin"/>
                  </w:r>
                  <w:r>
                    <w:rPr>
                      <w:rFonts w:hint="default"/>
                      <w:color w:val="auto"/>
                      <w:szCs w:val="20"/>
                      <w:highlight w:val="none"/>
                    </w:rPr>
                    <w:instrText xml:space="preserve"> HYPERLINK "https://baike.baidu.com/item/%E7%B4%AB%E5%A4%96%E7%BA%BF%E5%90%B8%E6%94%B6%E5%89%82/5133195?fromModule=lemma_inlink" \t "https://baike.baidu.com/item/%E9%AB%98%E5%AF%86%E5%BA%A6%E8%81%9A%E4%B9%99%E7%83%AF/_blank" </w:instrText>
                  </w:r>
                  <w:r>
                    <w:rPr>
                      <w:rFonts w:hint="default"/>
                      <w:color w:val="auto"/>
                      <w:szCs w:val="20"/>
                      <w:highlight w:val="none"/>
                    </w:rPr>
                    <w:fldChar w:fldCharType="separate"/>
                  </w:r>
                  <w:r>
                    <w:rPr>
                      <w:rFonts w:hint="default"/>
                      <w:color w:val="auto"/>
                      <w:szCs w:val="20"/>
                      <w:highlight w:val="none"/>
                    </w:rPr>
                    <w:t>紫外线吸收剂</w:t>
                  </w:r>
                  <w:r>
                    <w:rPr>
                      <w:rFonts w:hint="default"/>
                      <w:color w:val="auto"/>
                      <w:szCs w:val="20"/>
                      <w:highlight w:val="none"/>
                    </w:rPr>
                    <w:fldChar w:fldCharType="end"/>
                  </w:r>
                  <w:r>
                    <w:rPr>
                      <w:rFonts w:hint="default"/>
                      <w:color w:val="auto"/>
                      <w:szCs w:val="20"/>
                      <w:highlight w:val="none"/>
                    </w:rPr>
                    <w:t>等来改善这方面的不足。高密度</w:t>
                  </w:r>
                  <w:r>
                    <w:rPr>
                      <w:rFonts w:hint="eastAsia"/>
                      <w:color w:val="auto"/>
                      <w:szCs w:val="20"/>
                      <w:highlight w:val="none"/>
                      <w:lang w:eastAsia="zh-CN"/>
                    </w:rPr>
                    <w:t>高密度聚乙烯</w:t>
                  </w:r>
                  <w:r>
                    <w:rPr>
                      <w:rFonts w:hint="default"/>
                      <w:color w:val="auto"/>
                      <w:szCs w:val="20"/>
                      <w:highlight w:val="none"/>
                    </w:rPr>
                    <w:t>薄膜在受力情况下</w:t>
                  </w:r>
                  <w:r>
                    <w:rPr>
                      <w:rFonts w:hint="default"/>
                      <w:color w:val="auto"/>
                      <w:szCs w:val="20"/>
                      <w:highlight w:val="none"/>
                    </w:rPr>
                    <w:fldChar w:fldCharType="begin"/>
                  </w:r>
                  <w:r>
                    <w:rPr>
                      <w:rFonts w:hint="default"/>
                      <w:color w:val="auto"/>
                      <w:szCs w:val="20"/>
                      <w:highlight w:val="none"/>
                    </w:rPr>
                    <w:instrText xml:space="preserve"> HYPERLINK "https://baike.baidu.com/item/%E7%83%AD%E5%8F%98%E5%BD%A2%E6%B8%A9%E5%BA%A6/9708030?fromModule=lemma_inlink" \t "https://baike.baidu.com/item/%E9%AB%98%E5%AF%86%E5%BA%A6%E8%81%9A%E4%B9%99%E7%83%AF/_blank" </w:instrText>
                  </w:r>
                  <w:r>
                    <w:rPr>
                      <w:rFonts w:hint="default"/>
                      <w:color w:val="auto"/>
                      <w:szCs w:val="20"/>
                      <w:highlight w:val="none"/>
                    </w:rPr>
                    <w:fldChar w:fldCharType="separate"/>
                  </w:r>
                  <w:r>
                    <w:rPr>
                      <w:rFonts w:hint="default"/>
                      <w:color w:val="auto"/>
                      <w:szCs w:val="20"/>
                      <w:highlight w:val="none"/>
                    </w:rPr>
                    <w:t>热变形温度</w:t>
                  </w:r>
                  <w:r>
                    <w:rPr>
                      <w:rFonts w:hint="default"/>
                      <w:color w:val="auto"/>
                      <w:szCs w:val="20"/>
                      <w:highlight w:val="none"/>
                    </w:rPr>
                    <w:fldChar w:fldCharType="end"/>
                  </w:r>
                  <w:r>
                    <w:rPr>
                      <w:rFonts w:hint="default"/>
                      <w:color w:val="auto"/>
                      <w:szCs w:val="20"/>
                      <w:highlight w:val="none"/>
                    </w:rPr>
                    <w:t>较低，应用时要注意。</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6" w:space="0"/>
                </w:tblBorders>
                <w:tblCellMar>
                  <w:top w:w="0" w:type="dxa"/>
                  <w:left w:w="108" w:type="dxa"/>
                  <w:bottom w:w="0" w:type="dxa"/>
                  <w:right w:w="108" w:type="dxa"/>
                </w:tblCellMar>
              </w:tblPrEx>
              <w:trPr>
                <w:trHeight w:val="430" w:hRule="atLeast"/>
                <w:jc w:val="center"/>
              </w:trPr>
              <w:tc>
                <w:tcPr>
                  <w:tcW w:w="515" w:type="pct"/>
                  <w:tcBorders>
                    <w:top w:val="single" w:color="auto" w:sz="4" w:space="0"/>
                    <w:bottom w:val="single" w:color="auto" w:sz="4" w:space="0"/>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lang w:val="en-US" w:eastAsia="zh-CN"/>
                    </w:rPr>
                  </w:pPr>
                  <w:r>
                    <w:rPr>
                      <w:rFonts w:hint="eastAsia"/>
                      <w:color w:val="auto"/>
                      <w:szCs w:val="20"/>
                      <w:highlight w:val="none"/>
                      <w:lang w:val="en-US" w:eastAsia="zh-CN"/>
                    </w:rPr>
                    <w:t>色母颗粒</w:t>
                  </w:r>
                </w:p>
              </w:tc>
              <w:tc>
                <w:tcPr>
                  <w:tcW w:w="4484" w:type="pct"/>
                  <w:tcBorders>
                    <w:top w:val="single" w:color="auto" w:sz="4" w:space="0"/>
                    <w:bottom w:val="single" w:color="auto" w:sz="4" w:space="0"/>
                    <w:tl2br w:val="nil"/>
                    <w:tr2bl w:val="nil"/>
                  </w:tcBorders>
                  <w:vAlign w:val="center"/>
                </w:tcPr>
                <w:p>
                  <w:pPr>
                    <w:pStyle w:val="80"/>
                    <w:keepNext w:val="0"/>
                    <w:keepLines w:val="0"/>
                    <w:widowControl/>
                    <w:suppressLineNumbers w:val="0"/>
                    <w:spacing w:before="0" w:beforeAutospacing="0" w:after="0" w:afterAutospacing="0"/>
                    <w:ind w:left="0" w:right="0"/>
                    <w:rPr>
                      <w:rFonts w:hint="eastAsia"/>
                      <w:color w:val="auto"/>
                      <w:szCs w:val="20"/>
                      <w:highlight w:val="none"/>
                    </w:rPr>
                  </w:pPr>
                  <w:r>
                    <w:rPr>
                      <w:rFonts w:hint="eastAsia"/>
                      <w:color w:val="auto"/>
                      <w:szCs w:val="20"/>
                      <w:highlight w:val="none"/>
                    </w:rPr>
                    <w:t>也叫</w:t>
                  </w:r>
                  <w:r>
                    <w:rPr>
                      <w:rFonts w:hint="default"/>
                      <w:color w:val="auto"/>
                      <w:szCs w:val="20"/>
                      <w:highlight w:val="none"/>
                    </w:rPr>
                    <w:fldChar w:fldCharType="begin"/>
                  </w:r>
                  <w:r>
                    <w:rPr>
                      <w:rFonts w:hint="default"/>
                      <w:color w:val="auto"/>
                      <w:szCs w:val="20"/>
                      <w:highlight w:val="none"/>
                    </w:rPr>
                    <w:instrText xml:space="preserve"> HYPERLINK "https://baike.baidu.com/item/%E8%89%B2%E7%A7%8D/917214?fromModule=lemma_inlink" \t "https://baike.baidu.com/item/%E8%89%B2%E6%AF%8D/_blank" </w:instrText>
                  </w:r>
                  <w:r>
                    <w:rPr>
                      <w:rFonts w:hint="default"/>
                      <w:color w:val="auto"/>
                      <w:szCs w:val="20"/>
                      <w:highlight w:val="none"/>
                    </w:rPr>
                    <w:fldChar w:fldCharType="separate"/>
                  </w:r>
                  <w:r>
                    <w:rPr>
                      <w:rFonts w:hint="default"/>
                      <w:color w:val="auto"/>
                      <w:szCs w:val="20"/>
                      <w:highlight w:val="none"/>
                    </w:rPr>
                    <w:t>色种</w:t>
                  </w:r>
                  <w:r>
                    <w:rPr>
                      <w:rFonts w:hint="default"/>
                      <w:color w:val="auto"/>
                      <w:szCs w:val="20"/>
                      <w:highlight w:val="none"/>
                    </w:rPr>
                    <w:fldChar w:fldCharType="end"/>
                  </w:r>
                  <w:r>
                    <w:rPr>
                      <w:rFonts w:hint="default"/>
                      <w:color w:val="auto"/>
                      <w:szCs w:val="20"/>
                      <w:highlight w:val="none"/>
                    </w:rPr>
                    <w:t>，是一种新型高分子</w:t>
                  </w:r>
                  <w:r>
                    <w:rPr>
                      <w:rFonts w:hint="default"/>
                      <w:color w:val="auto"/>
                      <w:szCs w:val="20"/>
                      <w:highlight w:val="none"/>
                    </w:rPr>
                    <w:fldChar w:fldCharType="begin"/>
                  </w:r>
                  <w:r>
                    <w:rPr>
                      <w:rFonts w:hint="default"/>
                      <w:color w:val="auto"/>
                      <w:szCs w:val="20"/>
                      <w:highlight w:val="none"/>
                    </w:rPr>
                    <w:instrText xml:space="preserve"> HYPERLINK "https://baike.baidu.com/item/%E6%9D%90%E6%96%99/0?fromModule=lemma_inlink" \t "https://baike.baidu.com/item/%E8%89%B2%E6%AF%8D/_blank" </w:instrText>
                  </w:r>
                  <w:r>
                    <w:rPr>
                      <w:rFonts w:hint="default"/>
                      <w:color w:val="auto"/>
                      <w:szCs w:val="20"/>
                      <w:highlight w:val="none"/>
                    </w:rPr>
                    <w:fldChar w:fldCharType="separate"/>
                  </w:r>
                  <w:r>
                    <w:rPr>
                      <w:rFonts w:hint="default"/>
                      <w:color w:val="auto"/>
                      <w:szCs w:val="20"/>
                      <w:highlight w:val="none"/>
                    </w:rPr>
                    <w:t>材料</w:t>
                  </w:r>
                  <w:r>
                    <w:rPr>
                      <w:rFonts w:hint="default"/>
                      <w:color w:val="auto"/>
                      <w:szCs w:val="20"/>
                      <w:highlight w:val="none"/>
                    </w:rPr>
                    <w:fldChar w:fldCharType="end"/>
                  </w:r>
                  <w:r>
                    <w:rPr>
                      <w:rFonts w:hint="default"/>
                      <w:color w:val="auto"/>
                      <w:szCs w:val="20"/>
                      <w:highlight w:val="none"/>
                    </w:rPr>
                    <w:t>专用</w:t>
                  </w:r>
                  <w:r>
                    <w:rPr>
                      <w:rFonts w:hint="default"/>
                      <w:color w:val="auto"/>
                      <w:szCs w:val="20"/>
                      <w:highlight w:val="none"/>
                    </w:rPr>
                    <w:fldChar w:fldCharType="begin"/>
                  </w:r>
                  <w:r>
                    <w:rPr>
                      <w:rFonts w:hint="default"/>
                      <w:color w:val="auto"/>
                      <w:szCs w:val="20"/>
                      <w:highlight w:val="none"/>
                    </w:rPr>
                    <w:instrText xml:space="preserve"> HYPERLINK "https://baike.baidu.com/item/%E7%9D%80%E8%89%B2%E5%89%82/2531263?fromModule=lemma_inlink" \t "https://baike.baidu.com/item/%E8%89%B2%E6%AF%8D/_blank" </w:instrText>
                  </w:r>
                  <w:r>
                    <w:rPr>
                      <w:rFonts w:hint="default"/>
                      <w:color w:val="auto"/>
                      <w:szCs w:val="20"/>
                      <w:highlight w:val="none"/>
                    </w:rPr>
                    <w:fldChar w:fldCharType="separate"/>
                  </w:r>
                  <w:r>
                    <w:rPr>
                      <w:rFonts w:hint="default"/>
                      <w:color w:val="auto"/>
                      <w:szCs w:val="20"/>
                      <w:highlight w:val="none"/>
                    </w:rPr>
                    <w:t>着色剂</w:t>
                  </w:r>
                  <w:r>
                    <w:rPr>
                      <w:rFonts w:hint="default"/>
                      <w:color w:val="auto"/>
                      <w:szCs w:val="20"/>
                      <w:highlight w:val="none"/>
                    </w:rPr>
                    <w:fldChar w:fldCharType="end"/>
                  </w:r>
                  <w:r>
                    <w:rPr>
                      <w:rFonts w:hint="default"/>
                      <w:color w:val="auto"/>
                      <w:szCs w:val="20"/>
                      <w:highlight w:val="none"/>
                    </w:rPr>
                    <w:t>，亦称颜料制备物（Pigment Preparation）。色母主要用在塑料上。色母由</w:t>
                  </w:r>
                  <w:r>
                    <w:rPr>
                      <w:rFonts w:hint="default"/>
                      <w:color w:val="auto"/>
                      <w:szCs w:val="20"/>
                      <w:highlight w:val="none"/>
                    </w:rPr>
                    <w:fldChar w:fldCharType="begin"/>
                  </w:r>
                  <w:r>
                    <w:rPr>
                      <w:rFonts w:hint="default"/>
                      <w:color w:val="auto"/>
                      <w:szCs w:val="20"/>
                      <w:highlight w:val="none"/>
                    </w:rPr>
                    <w:instrText xml:space="preserve"> HYPERLINK "https://baike.baidu.com/item/%E9%A2%9C%E6%96%99/465850?fromModule=lemma_inlink" \t "https://baike.baidu.com/item/%E8%89%B2%E6%AF%8D/_blank" </w:instrText>
                  </w:r>
                  <w:r>
                    <w:rPr>
                      <w:rFonts w:hint="default"/>
                      <w:color w:val="auto"/>
                      <w:szCs w:val="20"/>
                      <w:highlight w:val="none"/>
                    </w:rPr>
                    <w:fldChar w:fldCharType="separate"/>
                  </w:r>
                  <w:r>
                    <w:rPr>
                      <w:rFonts w:hint="default"/>
                      <w:color w:val="auto"/>
                      <w:szCs w:val="20"/>
                      <w:highlight w:val="none"/>
                    </w:rPr>
                    <w:t>颜料</w:t>
                  </w:r>
                  <w:r>
                    <w:rPr>
                      <w:rFonts w:hint="default"/>
                      <w:color w:val="auto"/>
                      <w:szCs w:val="20"/>
                      <w:highlight w:val="none"/>
                    </w:rPr>
                    <w:fldChar w:fldCharType="end"/>
                  </w:r>
                  <w:r>
                    <w:rPr>
                      <w:rFonts w:hint="default"/>
                      <w:color w:val="auto"/>
                      <w:szCs w:val="20"/>
                      <w:highlight w:val="none"/>
                    </w:rPr>
                    <w:t>或</w:t>
                  </w:r>
                  <w:r>
                    <w:rPr>
                      <w:rFonts w:hint="default"/>
                      <w:color w:val="auto"/>
                      <w:szCs w:val="20"/>
                      <w:highlight w:val="none"/>
                    </w:rPr>
                    <w:fldChar w:fldCharType="begin"/>
                  </w:r>
                  <w:r>
                    <w:rPr>
                      <w:rFonts w:hint="default"/>
                      <w:color w:val="auto"/>
                      <w:szCs w:val="20"/>
                      <w:highlight w:val="none"/>
                    </w:rPr>
                    <w:instrText xml:space="preserve"> HYPERLINK "https://baike.baidu.com/item/%E6%9F%93%E6%96%99/1145782?fromModule=lemma_inlink" \t "https://baike.baidu.com/item/%E8%89%B2%E6%AF%8D/_blank" </w:instrText>
                  </w:r>
                  <w:r>
                    <w:rPr>
                      <w:rFonts w:hint="default"/>
                      <w:color w:val="auto"/>
                      <w:szCs w:val="20"/>
                      <w:highlight w:val="none"/>
                    </w:rPr>
                    <w:fldChar w:fldCharType="separate"/>
                  </w:r>
                  <w:r>
                    <w:rPr>
                      <w:rFonts w:hint="default"/>
                      <w:color w:val="auto"/>
                      <w:szCs w:val="20"/>
                      <w:highlight w:val="none"/>
                    </w:rPr>
                    <w:t>染料</w:t>
                  </w:r>
                  <w:r>
                    <w:rPr>
                      <w:rFonts w:hint="default"/>
                      <w:color w:val="auto"/>
                      <w:szCs w:val="20"/>
                      <w:highlight w:val="none"/>
                    </w:rPr>
                    <w:fldChar w:fldCharType="end"/>
                  </w:r>
                  <w:r>
                    <w:rPr>
                      <w:rFonts w:hint="default"/>
                      <w:color w:val="auto"/>
                      <w:szCs w:val="20"/>
                      <w:highlight w:val="none"/>
                    </w:rPr>
                    <w:t>、载体和</w:t>
                  </w:r>
                  <w:r>
                    <w:rPr>
                      <w:rFonts w:hint="default"/>
                      <w:color w:val="auto"/>
                      <w:szCs w:val="20"/>
                      <w:highlight w:val="none"/>
                    </w:rPr>
                    <w:fldChar w:fldCharType="begin"/>
                  </w:r>
                  <w:r>
                    <w:rPr>
                      <w:rFonts w:hint="default"/>
                      <w:color w:val="auto"/>
                      <w:szCs w:val="20"/>
                      <w:highlight w:val="none"/>
                    </w:rPr>
                    <w:instrText xml:space="preserve"> HYPERLINK "https://baike.baidu.com/item/%E6%B7%BB%E5%8A%A0%E5%89%82/5134870?fromModule=lemma_inlink" \t "https://baike.baidu.com/item/%E8%89%B2%E6%AF%8D/_blank" </w:instrText>
                  </w:r>
                  <w:r>
                    <w:rPr>
                      <w:rFonts w:hint="default"/>
                      <w:color w:val="auto"/>
                      <w:szCs w:val="20"/>
                      <w:highlight w:val="none"/>
                    </w:rPr>
                    <w:fldChar w:fldCharType="separate"/>
                  </w:r>
                  <w:r>
                    <w:rPr>
                      <w:rFonts w:hint="default"/>
                      <w:color w:val="auto"/>
                      <w:szCs w:val="20"/>
                      <w:highlight w:val="none"/>
                    </w:rPr>
                    <w:t>添加剂</w:t>
                  </w:r>
                  <w:r>
                    <w:rPr>
                      <w:rFonts w:hint="default"/>
                      <w:color w:val="auto"/>
                      <w:szCs w:val="20"/>
                      <w:highlight w:val="none"/>
                    </w:rPr>
                    <w:fldChar w:fldCharType="end"/>
                  </w:r>
                  <w:r>
                    <w:rPr>
                      <w:rFonts w:hint="default"/>
                      <w:color w:val="auto"/>
                      <w:szCs w:val="20"/>
                      <w:highlight w:val="none"/>
                    </w:rPr>
                    <w:t>三种基本要素所组成，是把超常量的</w:t>
                  </w:r>
                  <w:r>
                    <w:rPr>
                      <w:rFonts w:hint="default"/>
                      <w:color w:val="auto"/>
                      <w:szCs w:val="20"/>
                      <w:highlight w:val="none"/>
                    </w:rPr>
                    <w:fldChar w:fldCharType="begin"/>
                  </w:r>
                  <w:r>
                    <w:rPr>
                      <w:rFonts w:hint="default"/>
                      <w:color w:val="auto"/>
                      <w:szCs w:val="20"/>
                      <w:highlight w:val="none"/>
                    </w:rPr>
                    <w:instrText xml:space="preserve"> HYPERLINK "https://baike.baidu.com/item/%E9%A2%9C%E6%96%99/465850?fromModule=lemma_inlink" \t "https://baike.baidu.com/item/%E8%89%B2%E6%AF%8D/_blank" </w:instrText>
                  </w:r>
                  <w:r>
                    <w:rPr>
                      <w:rFonts w:hint="default"/>
                      <w:color w:val="auto"/>
                      <w:szCs w:val="20"/>
                      <w:highlight w:val="none"/>
                    </w:rPr>
                    <w:fldChar w:fldCharType="separate"/>
                  </w:r>
                  <w:r>
                    <w:rPr>
                      <w:rFonts w:hint="default"/>
                      <w:color w:val="auto"/>
                      <w:szCs w:val="20"/>
                      <w:highlight w:val="none"/>
                    </w:rPr>
                    <w:t>颜料</w:t>
                  </w:r>
                  <w:r>
                    <w:rPr>
                      <w:rFonts w:hint="default"/>
                      <w:color w:val="auto"/>
                      <w:szCs w:val="20"/>
                      <w:highlight w:val="none"/>
                    </w:rPr>
                    <w:fldChar w:fldCharType="end"/>
                  </w:r>
                  <w:r>
                    <w:rPr>
                      <w:rFonts w:hint="default"/>
                      <w:color w:val="auto"/>
                      <w:szCs w:val="20"/>
                      <w:highlight w:val="none"/>
                    </w:rPr>
                    <w:t>均匀载附于</w:t>
                  </w:r>
                  <w:r>
                    <w:rPr>
                      <w:rFonts w:hint="default"/>
                      <w:color w:val="auto"/>
                      <w:szCs w:val="20"/>
                      <w:highlight w:val="none"/>
                    </w:rPr>
                    <w:fldChar w:fldCharType="begin"/>
                  </w:r>
                  <w:r>
                    <w:rPr>
                      <w:rFonts w:hint="default"/>
                      <w:color w:val="auto"/>
                      <w:szCs w:val="20"/>
                      <w:highlight w:val="none"/>
                    </w:rPr>
                    <w:instrText xml:space="preserve"> HYPERLINK "https://baike.baidu.com/item/%E6%A0%91%E8%84%82/281282?fromModule=lemma_inlink" \t "https://baike.baidu.com/item/%E8%89%B2%E6%AF%8D/_blank" </w:instrText>
                  </w:r>
                  <w:r>
                    <w:rPr>
                      <w:rFonts w:hint="default"/>
                      <w:color w:val="auto"/>
                      <w:szCs w:val="20"/>
                      <w:highlight w:val="none"/>
                    </w:rPr>
                    <w:fldChar w:fldCharType="separate"/>
                  </w:r>
                  <w:r>
                    <w:rPr>
                      <w:rFonts w:hint="default"/>
                      <w:color w:val="auto"/>
                      <w:szCs w:val="20"/>
                      <w:highlight w:val="none"/>
                    </w:rPr>
                    <w:t>树脂</w:t>
                  </w:r>
                  <w:r>
                    <w:rPr>
                      <w:rFonts w:hint="default"/>
                      <w:color w:val="auto"/>
                      <w:szCs w:val="20"/>
                      <w:highlight w:val="none"/>
                    </w:rPr>
                    <w:fldChar w:fldCharType="end"/>
                  </w:r>
                  <w:r>
                    <w:rPr>
                      <w:rFonts w:hint="default"/>
                      <w:color w:val="auto"/>
                      <w:szCs w:val="20"/>
                      <w:highlight w:val="none"/>
                    </w:rPr>
                    <w:t>之中而制得的聚集体，可称颜料浓缩物（Pigment Concentration），所以它的着色力高于</w:t>
                  </w:r>
                  <w:r>
                    <w:rPr>
                      <w:rFonts w:hint="default"/>
                      <w:color w:val="auto"/>
                      <w:szCs w:val="20"/>
                      <w:highlight w:val="none"/>
                    </w:rPr>
                    <w:fldChar w:fldCharType="begin"/>
                  </w:r>
                  <w:r>
                    <w:rPr>
                      <w:rFonts w:hint="default"/>
                      <w:color w:val="auto"/>
                      <w:szCs w:val="20"/>
                      <w:highlight w:val="none"/>
                    </w:rPr>
                    <w:instrText xml:space="preserve"> HYPERLINK "https://baike.baidu.com/item/%E9%A2%9C%E6%96%99/465850?fromModule=lemma_inlink" \t "https://baike.baidu.com/item/%E8%89%B2%E6%AF%8D/_blank" </w:instrText>
                  </w:r>
                  <w:r>
                    <w:rPr>
                      <w:rFonts w:hint="default"/>
                      <w:color w:val="auto"/>
                      <w:szCs w:val="20"/>
                      <w:highlight w:val="none"/>
                    </w:rPr>
                    <w:fldChar w:fldCharType="separate"/>
                  </w:r>
                  <w:r>
                    <w:rPr>
                      <w:rFonts w:hint="default"/>
                      <w:color w:val="auto"/>
                      <w:szCs w:val="20"/>
                      <w:highlight w:val="none"/>
                    </w:rPr>
                    <w:t>颜料</w:t>
                  </w:r>
                  <w:r>
                    <w:rPr>
                      <w:rFonts w:hint="default"/>
                      <w:color w:val="auto"/>
                      <w:szCs w:val="20"/>
                      <w:highlight w:val="none"/>
                    </w:rPr>
                    <w:fldChar w:fldCharType="end"/>
                  </w:r>
                  <w:r>
                    <w:rPr>
                      <w:rFonts w:hint="default"/>
                      <w:color w:val="auto"/>
                      <w:szCs w:val="20"/>
                      <w:highlight w:val="none"/>
                    </w:rPr>
                    <w:t>本身。加工时用少量色母料和未着色树脂掺混，就可达到设计颜料浓度的着色树脂或制品。</w:t>
                  </w:r>
                </w:p>
              </w:tc>
            </w:tr>
          </w:tbl>
          <w:p>
            <w:pPr>
              <w:pStyle w:val="182"/>
              <w:keepNext w:val="0"/>
              <w:keepLines w:val="0"/>
              <w:suppressLineNumbers w:val="0"/>
              <w:spacing w:beforeAutospacing="0" w:after="0" w:afterAutospacing="0"/>
              <w:ind w:left="0" w:right="0" w:firstLine="482"/>
              <w:rPr>
                <w:rFonts w:hint="default"/>
                <w:b/>
                <w:color w:val="auto"/>
                <w:highlight w:val="none"/>
              </w:rPr>
            </w:pPr>
            <w:r>
              <w:rPr>
                <w:rFonts w:hint="eastAsia"/>
                <w:b/>
                <w:color w:val="auto"/>
                <w:highlight w:val="none"/>
              </w:rPr>
              <w:t>6、劳动定员及工作制度</w:t>
            </w:r>
          </w:p>
          <w:p>
            <w:pPr>
              <w:keepNext w:val="0"/>
              <w:keepLines w:val="0"/>
              <w:suppressLineNumbers w:val="0"/>
              <w:spacing w:before="0" w:beforeAutospacing="0" w:after="0" w:afterAutospacing="0"/>
              <w:ind w:left="0" w:right="0" w:firstLine="480"/>
              <w:rPr>
                <w:rFonts w:hint="default"/>
                <w:color w:val="auto"/>
                <w:highlight w:val="none"/>
              </w:rPr>
            </w:pPr>
            <w:r>
              <w:rPr>
                <w:rFonts w:hint="default"/>
                <w:color w:val="auto"/>
                <w:highlight w:val="none"/>
              </w:rPr>
              <w:t>本项目劳动定员</w:t>
            </w:r>
            <w:r>
              <w:rPr>
                <w:rFonts w:hint="eastAsia"/>
                <w:color w:val="auto"/>
                <w:highlight w:val="none"/>
                <w:lang w:val="en-US" w:eastAsia="zh-CN"/>
              </w:rPr>
              <w:t>15</w:t>
            </w:r>
            <w:r>
              <w:rPr>
                <w:rFonts w:hint="default"/>
                <w:color w:val="auto"/>
                <w:highlight w:val="none"/>
              </w:rPr>
              <w:t>人，</w:t>
            </w:r>
            <w:r>
              <w:rPr>
                <w:rFonts w:hint="eastAsia"/>
                <w:color w:val="auto"/>
                <w:highlight w:val="none"/>
                <w:lang w:val="en-US" w:eastAsia="zh-CN"/>
              </w:rPr>
              <w:t>不</w:t>
            </w:r>
            <w:r>
              <w:rPr>
                <w:rFonts w:hint="eastAsia"/>
                <w:color w:val="auto"/>
                <w:highlight w:val="none"/>
              </w:rPr>
              <w:t>提供</w:t>
            </w:r>
            <w:r>
              <w:rPr>
                <w:rFonts w:hint="eastAsia"/>
                <w:color w:val="auto"/>
                <w:highlight w:val="none"/>
                <w:lang w:val="en-US" w:eastAsia="zh-CN"/>
              </w:rPr>
              <w:t>食宿</w:t>
            </w:r>
            <w:r>
              <w:rPr>
                <w:rFonts w:hint="eastAsia"/>
                <w:color w:val="auto"/>
                <w:highlight w:val="none"/>
              </w:rPr>
              <w:t>；</w:t>
            </w:r>
            <w:r>
              <w:rPr>
                <w:rFonts w:hint="default"/>
                <w:color w:val="auto"/>
                <w:highlight w:val="none"/>
              </w:rPr>
              <w:t>年工作300天，</w:t>
            </w:r>
            <w:r>
              <w:rPr>
                <w:rFonts w:hint="eastAsia"/>
                <w:color w:val="auto"/>
                <w:highlight w:val="none"/>
              </w:rPr>
              <w:t>每天</w:t>
            </w:r>
            <w:r>
              <w:rPr>
                <w:rFonts w:hint="eastAsia"/>
                <w:color w:val="auto"/>
                <w:highlight w:val="none"/>
                <w:lang w:val="en-US" w:eastAsia="zh-CN"/>
              </w:rPr>
              <w:t>24</w:t>
            </w:r>
            <w:r>
              <w:rPr>
                <w:rFonts w:hint="default"/>
                <w:color w:val="auto"/>
                <w:highlight w:val="none"/>
              </w:rPr>
              <w:t>小时</w:t>
            </w:r>
            <w:r>
              <w:rPr>
                <w:rFonts w:hint="eastAsia"/>
                <w:color w:val="auto"/>
                <w:highlight w:val="none"/>
                <w:lang w:val="en-US" w:eastAsia="zh-CN"/>
              </w:rPr>
              <w:t>两班工作</w:t>
            </w:r>
            <w:r>
              <w:rPr>
                <w:rFonts w:hint="eastAsia"/>
                <w:color w:val="auto"/>
                <w:highlight w:val="none"/>
              </w:rPr>
              <w:t>制，年工作</w:t>
            </w:r>
            <w:r>
              <w:rPr>
                <w:rFonts w:hint="eastAsia"/>
                <w:color w:val="auto"/>
                <w:highlight w:val="none"/>
                <w:lang w:val="en-US" w:eastAsia="zh-CN"/>
              </w:rPr>
              <w:t>72</w:t>
            </w:r>
            <w:r>
              <w:rPr>
                <w:rFonts w:hint="eastAsia"/>
                <w:color w:val="auto"/>
                <w:highlight w:val="none"/>
              </w:rPr>
              <w:t>00h</w:t>
            </w:r>
            <w:r>
              <w:rPr>
                <w:rFonts w:hint="default"/>
                <w:color w:val="auto"/>
                <w:highlight w:val="none"/>
              </w:rPr>
              <w:t>。</w:t>
            </w:r>
          </w:p>
          <w:p>
            <w:pPr>
              <w:pStyle w:val="182"/>
              <w:keepNext w:val="0"/>
              <w:keepLines w:val="0"/>
              <w:suppressLineNumbers w:val="0"/>
              <w:spacing w:beforeAutospacing="0" w:after="0" w:afterAutospacing="0"/>
              <w:ind w:left="0" w:right="0" w:firstLine="482"/>
              <w:rPr>
                <w:rFonts w:hint="default"/>
                <w:b/>
                <w:color w:val="auto"/>
                <w:highlight w:val="none"/>
              </w:rPr>
            </w:pPr>
            <w:r>
              <w:rPr>
                <w:rFonts w:hint="eastAsia"/>
                <w:b/>
                <w:color w:val="auto"/>
                <w:highlight w:val="none"/>
              </w:rPr>
              <w:t>7、平面布置</w:t>
            </w:r>
          </w:p>
          <w:p>
            <w:pPr>
              <w:keepNext w:val="0"/>
              <w:keepLines w:val="0"/>
              <w:suppressLineNumbers w:val="0"/>
              <w:spacing w:before="0" w:beforeAutospacing="0" w:after="0" w:afterAutospacing="0"/>
              <w:ind w:left="0" w:right="0" w:firstLine="480"/>
              <w:rPr>
                <w:rFonts w:hint="eastAsia"/>
                <w:color w:val="auto"/>
                <w:highlight w:val="none"/>
              </w:rPr>
            </w:pPr>
            <w:r>
              <w:rPr>
                <w:rFonts w:hint="eastAsia"/>
                <w:color w:val="auto"/>
                <w:highlight w:val="none"/>
              </w:rPr>
              <w:t>本项目租赁</w:t>
            </w:r>
            <w:r>
              <w:rPr>
                <w:rFonts w:hint="eastAsia"/>
                <w:color w:val="auto"/>
                <w:highlight w:val="none"/>
                <w:lang w:eastAsia="zh-CN"/>
              </w:rPr>
              <w:t>泾河新城工业密集区永乐工业园尚家一街北</w:t>
            </w:r>
            <w:r>
              <w:rPr>
                <w:rFonts w:hint="eastAsia"/>
                <w:color w:val="auto"/>
                <w:highlight w:val="none"/>
              </w:rPr>
              <w:t>已建成厂房，租赁厂房高12m</w:t>
            </w:r>
            <w:r>
              <w:rPr>
                <w:rFonts w:hint="eastAsia"/>
                <w:color w:val="auto"/>
                <w:highlight w:val="none"/>
                <w:lang w:eastAsia="zh-CN"/>
              </w:rPr>
              <w:t>，</w:t>
            </w:r>
            <w:r>
              <w:rPr>
                <w:rFonts w:hint="eastAsia"/>
                <w:color w:val="auto"/>
                <w:highlight w:val="none"/>
                <w:lang w:val="en-US" w:eastAsia="zh-CN"/>
              </w:rPr>
              <w:t>分为生产区和办公区；生产区</w:t>
            </w:r>
            <w:r>
              <w:rPr>
                <w:rFonts w:hint="eastAsia"/>
                <w:color w:val="auto"/>
                <w:highlight w:val="none"/>
              </w:rPr>
              <w:t>为1层，</w:t>
            </w:r>
            <w:r>
              <w:rPr>
                <w:rFonts w:hint="eastAsia"/>
                <w:color w:val="auto"/>
                <w:highlight w:val="none"/>
                <w:lang w:val="en-US" w:eastAsia="zh-CN"/>
              </w:rPr>
              <w:t>办公区为3层；厂房</w:t>
            </w:r>
            <w:r>
              <w:rPr>
                <w:rFonts w:hint="eastAsia"/>
                <w:color w:val="auto"/>
                <w:highlight w:val="none"/>
              </w:rPr>
              <w:t>内部从</w:t>
            </w:r>
            <w:r>
              <w:rPr>
                <w:rFonts w:hint="eastAsia"/>
                <w:color w:val="auto"/>
                <w:highlight w:val="none"/>
                <w:lang w:val="en-US" w:eastAsia="zh-CN"/>
              </w:rPr>
              <w:t>西</w:t>
            </w:r>
            <w:r>
              <w:rPr>
                <w:rFonts w:hint="eastAsia"/>
                <w:color w:val="auto"/>
                <w:highlight w:val="none"/>
              </w:rPr>
              <w:t>向</w:t>
            </w:r>
            <w:r>
              <w:rPr>
                <w:rFonts w:hint="eastAsia"/>
                <w:color w:val="auto"/>
                <w:highlight w:val="none"/>
                <w:lang w:val="en-US" w:eastAsia="zh-CN"/>
              </w:rPr>
              <w:t>东分别为办公区、原料区及生产区，其中生产区从北向南依次布设1#~6#给水管生产线</w:t>
            </w:r>
            <w:r>
              <w:rPr>
                <w:rFonts w:hint="eastAsia"/>
                <w:color w:val="auto"/>
                <w:highlight w:val="none"/>
              </w:rPr>
              <w:t>。</w:t>
            </w:r>
            <w:r>
              <w:rPr>
                <w:rFonts w:hint="eastAsia"/>
                <w:color w:val="auto"/>
                <w:highlight w:val="none"/>
                <w:lang w:val="en-US" w:eastAsia="zh-CN"/>
              </w:rPr>
              <w:t>厂房外西北角设</w:t>
            </w:r>
            <w:r>
              <w:rPr>
                <w:rFonts w:hint="eastAsia"/>
                <w:color w:val="auto"/>
                <w:highlight w:val="none"/>
              </w:rPr>
              <w:t>一般固废暂存</w:t>
            </w:r>
            <w:r>
              <w:rPr>
                <w:rFonts w:hint="eastAsia"/>
                <w:color w:val="auto"/>
                <w:highlight w:val="none"/>
                <w:lang w:val="en-US" w:eastAsia="zh-CN"/>
              </w:rPr>
              <w:t>间</w:t>
            </w:r>
            <w:r>
              <w:rPr>
                <w:rFonts w:hint="eastAsia"/>
                <w:color w:val="auto"/>
                <w:highlight w:val="none"/>
              </w:rPr>
              <w:t>及危废贮存</w:t>
            </w:r>
            <w:r>
              <w:rPr>
                <w:rFonts w:hint="eastAsia"/>
                <w:color w:val="auto"/>
                <w:highlight w:val="none"/>
                <w:lang w:val="en-US" w:eastAsia="zh-CN"/>
              </w:rPr>
              <w:t>库</w:t>
            </w:r>
            <w:r>
              <w:rPr>
                <w:rFonts w:hint="eastAsia"/>
                <w:color w:val="auto"/>
                <w:highlight w:val="none"/>
              </w:rPr>
              <w:t>。</w:t>
            </w:r>
          </w:p>
          <w:p>
            <w:pPr>
              <w:keepNext w:val="0"/>
              <w:keepLines w:val="0"/>
              <w:suppressLineNumbers w:val="0"/>
              <w:spacing w:before="0" w:beforeAutospacing="0" w:after="0" w:afterAutospacing="0"/>
              <w:ind w:left="0" w:right="0" w:firstLine="480"/>
              <w:rPr>
                <w:rFonts w:hint="default"/>
                <w:color w:val="auto"/>
                <w:highlight w:val="none"/>
              </w:rPr>
            </w:pPr>
            <w:r>
              <w:rPr>
                <w:rFonts w:hint="default"/>
                <w:color w:val="auto"/>
                <w:highlight w:val="none"/>
              </w:rPr>
              <w:t>详见附图</w:t>
            </w:r>
            <w:r>
              <w:rPr>
                <w:rFonts w:hint="eastAsia"/>
                <w:color w:val="auto"/>
                <w:highlight w:val="none"/>
              </w:rPr>
              <w:t>3总</w:t>
            </w:r>
            <w:r>
              <w:rPr>
                <w:rFonts w:hint="default"/>
                <w:color w:val="auto"/>
                <w:highlight w:val="none"/>
              </w:rPr>
              <w:t>平面</w:t>
            </w:r>
            <w:r>
              <w:rPr>
                <w:rFonts w:hint="eastAsia"/>
                <w:color w:val="auto"/>
                <w:highlight w:val="none"/>
              </w:rPr>
              <w:t>布置</w:t>
            </w:r>
            <w:r>
              <w:rPr>
                <w:rFonts w:hint="default"/>
                <w:color w:val="auto"/>
                <w:highlight w:val="none"/>
              </w:rPr>
              <w:t>图。</w:t>
            </w:r>
          </w:p>
          <w:p>
            <w:pPr>
              <w:keepNext w:val="0"/>
              <w:keepLines w:val="0"/>
              <w:suppressLineNumbers w:val="0"/>
              <w:spacing w:before="0" w:beforeAutospacing="0" w:after="0" w:afterAutospacing="0"/>
              <w:ind w:left="0" w:right="0" w:firstLine="482"/>
              <w:rPr>
                <w:rFonts w:hint="default"/>
                <w:b/>
                <w:color w:val="auto"/>
                <w:highlight w:val="none"/>
              </w:rPr>
            </w:pPr>
            <w:r>
              <w:rPr>
                <w:rFonts w:hint="eastAsia"/>
                <w:b/>
                <w:color w:val="auto"/>
                <w:highlight w:val="none"/>
              </w:rPr>
              <w:t>三</w:t>
            </w:r>
            <w:r>
              <w:rPr>
                <w:rFonts w:hint="default"/>
                <w:b/>
                <w:color w:val="auto"/>
                <w:highlight w:val="none"/>
              </w:rPr>
              <w:t>、公用工程</w:t>
            </w:r>
          </w:p>
          <w:p>
            <w:pPr>
              <w:keepNext w:val="0"/>
              <w:keepLines w:val="0"/>
              <w:suppressLineNumbers w:val="0"/>
              <w:spacing w:before="0" w:beforeAutospacing="0" w:after="0" w:afterAutospacing="0"/>
              <w:ind w:left="0" w:right="0" w:firstLine="482"/>
              <w:rPr>
                <w:rFonts w:hint="default"/>
                <w:b/>
                <w:color w:val="auto"/>
                <w:highlight w:val="none"/>
              </w:rPr>
            </w:pPr>
            <w:r>
              <w:rPr>
                <w:rFonts w:hint="eastAsia"/>
                <w:b/>
                <w:color w:val="auto"/>
                <w:highlight w:val="none"/>
              </w:rPr>
              <w:t>1、给水、排水</w:t>
            </w:r>
          </w:p>
          <w:p>
            <w:pPr>
              <w:keepNext w:val="0"/>
              <w:keepLines w:val="0"/>
              <w:suppressLineNumbers w:val="0"/>
              <w:spacing w:before="0" w:beforeAutospacing="0" w:after="0" w:afterAutospacing="0"/>
              <w:ind w:left="0" w:right="0" w:firstLine="480"/>
              <w:rPr>
                <w:rFonts w:hint="default"/>
                <w:color w:val="auto"/>
                <w:highlight w:val="yellow"/>
              </w:rPr>
            </w:pPr>
            <w:r>
              <w:rPr>
                <w:rFonts w:hint="default"/>
                <w:color w:val="auto"/>
                <w:highlight w:val="none"/>
              </w:rPr>
              <w:t>项目</w:t>
            </w:r>
            <w:r>
              <w:rPr>
                <w:rFonts w:hint="eastAsia"/>
                <w:color w:val="auto"/>
                <w:highlight w:val="none"/>
              </w:rPr>
              <w:t>用水依托园区供水管网供给，主要包括办公生活用水和</w:t>
            </w:r>
            <w:r>
              <w:rPr>
                <w:rFonts w:hint="eastAsia"/>
                <w:color w:val="auto"/>
                <w:highlight w:val="none"/>
                <w:lang w:val="en-US" w:eastAsia="zh-CN"/>
              </w:rPr>
              <w:t>生产中冷却</w:t>
            </w:r>
            <w:r>
              <w:rPr>
                <w:rFonts w:hint="eastAsia"/>
                <w:color w:val="auto"/>
                <w:highlight w:val="none"/>
              </w:rPr>
              <w:t>用水。</w:t>
            </w:r>
          </w:p>
          <w:p>
            <w:pPr>
              <w:keepNext w:val="0"/>
              <w:keepLines w:val="0"/>
              <w:suppressLineNumbers w:val="0"/>
              <w:spacing w:before="0" w:beforeAutospacing="0" w:after="0" w:afterAutospacing="0"/>
              <w:ind w:left="0" w:right="0" w:firstLine="480"/>
              <w:rPr>
                <w:rFonts w:hint="default"/>
                <w:color w:val="auto"/>
                <w:highlight w:val="none"/>
              </w:rPr>
            </w:pPr>
            <w:r>
              <w:rPr>
                <w:rFonts w:hint="eastAsia"/>
                <w:color w:val="auto"/>
                <w:highlight w:val="none"/>
              </w:rPr>
              <w:t>①办公生活用水</w:t>
            </w:r>
          </w:p>
          <w:p>
            <w:pPr>
              <w:keepNext w:val="0"/>
              <w:keepLines w:val="0"/>
              <w:suppressLineNumbers w:val="0"/>
              <w:spacing w:before="0" w:beforeAutospacing="0" w:after="0" w:afterAutospacing="0"/>
              <w:ind w:left="0" w:right="0" w:firstLine="480"/>
              <w:rPr>
                <w:rFonts w:hint="eastAsia" w:eastAsia="宋体"/>
                <w:color w:val="auto"/>
                <w:sz w:val="24"/>
                <w:szCs w:val="24"/>
                <w:highlight w:val="none"/>
                <w:lang w:val="en-US" w:eastAsia="zh-CN"/>
              </w:rPr>
            </w:pPr>
            <w:r>
              <w:rPr>
                <w:rFonts w:hint="eastAsia"/>
                <w:color w:val="auto"/>
                <w:highlight w:val="none"/>
              </w:rPr>
              <w:t>项目劳动定员</w:t>
            </w:r>
            <w:r>
              <w:rPr>
                <w:rFonts w:hint="eastAsia"/>
                <w:color w:val="auto"/>
                <w:highlight w:val="none"/>
                <w:lang w:val="en-US" w:eastAsia="zh-CN"/>
              </w:rPr>
              <w:t>15</w:t>
            </w:r>
            <w:r>
              <w:rPr>
                <w:rFonts w:hint="eastAsia"/>
                <w:color w:val="auto"/>
                <w:highlight w:val="none"/>
              </w:rPr>
              <w:t>人，每天工作</w:t>
            </w:r>
            <w:r>
              <w:rPr>
                <w:rFonts w:hint="eastAsia"/>
                <w:color w:val="auto"/>
                <w:highlight w:val="none"/>
                <w:lang w:val="en-US" w:eastAsia="zh-CN"/>
              </w:rPr>
              <w:t>24</w:t>
            </w:r>
            <w:r>
              <w:rPr>
                <w:rFonts w:hint="eastAsia"/>
                <w:color w:val="auto"/>
                <w:highlight w:val="none"/>
              </w:rPr>
              <w:t>小时，年工作300天。本项目</w:t>
            </w:r>
            <w:r>
              <w:rPr>
                <w:rFonts w:hint="eastAsia"/>
                <w:color w:val="auto"/>
                <w:highlight w:val="none"/>
                <w:lang w:val="en-US" w:eastAsia="zh-CN"/>
              </w:rPr>
              <w:t>不</w:t>
            </w:r>
            <w:r>
              <w:rPr>
                <w:rFonts w:hint="eastAsia"/>
                <w:color w:val="auto"/>
                <w:highlight w:val="none"/>
              </w:rPr>
              <w:t>设</w:t>
            </w:r>
            <w:r>
              <w:rPr>
                <w:rFonts w:hint="eastAsia"/>
                <w:color w:val="auto"/>
                <w:highlight w:val="none"/>
                <w:lang w:val="en-US" w:eastAsia="zh-CN"/>
              </w:rPr>
              <w:t>食宿</w:t>
            </w:r>
            <w:r>
              <w:rPr>
                <w:rFonts w:hint="eastAsia"/>
                <w:color w:val="auto"/>
                <w:highlight w:val="none"/>
              </w:rPr>
              <w:t>。员工办公生活用水量参考《行业用水定额》（DB61/T943-2020）行政办公及科研院所用水量25m</w:t>
            </w:r>
            <w:r>
              <w:rPr>
                <w:rFonts w:hint="eastAsia"/>
                <w:color w:val="auto"/>
                <w:highlight w:val="none"/>
                <w:vertAlign w:val="superscript"/>
              </w:rPr>
              <w:t>3</w:t>
            </w:r>
            <w:r>
              <w:rPr>
                <w:rFonts w:hint="eastAsia"/>
                <w:color w:val="auto"/>
                <w:highlight w:val="none"/>
              </w:rPr>
              <w:t>/（人·a），本项目生活用水量为</w:t>
            </w:r>
            <w:r>
              <w:rPr>
                <w:rFonts w:hint="eastAsia"/>
                <w:color w:val="auto"/>
                <w:highlight w:val="none"/>
                <w:lang w:val="en-US" w:eastAsia="zh-CN"/>
              </w:rPr>
              <w:t>375</w:t>
            </w:r>
            <w:r>
              <w:rPr>
                <w:rFonts w:hint="eastAsia"/>
                <w:color w:val="auto"/>
                <w:highlight w:val="none"/>
              </w:rPr>
              <w:t>m</w:t>
            </w:r>
            <w:r>
              <w:rPr>
                <w:rFonts w:hint="eastAsia"/>
                <w:color w:val="auto"/>
                <w:highlight w:val="none"/>
                <w:vertAlign w:val="superscript"/>
              </w:rPr>
              <w:t>3</w:t>
            </w:r>
            <w:r>
              <w:rPr>
                <w:rFonts w:hint="eastAsia"/>
                <w:color w:val="auto"/>
                <w:highlight w:val="none"/>
              </w:rPr>
              <w:t>/a（即</w:t>
            </w:r>
            <w:r>
              <w:rPr>
                <w:rFonts w:hint="eastAsia"/>
                <w:color w:val="auto"/>
                <w:highlight w:val="none"/>
                <w:lang w:val="en-US" w:eastAsia="zh-CN"/>
              </w:rPr>
              <w:t>1.25</w:t>
            </w:r>
            <w:r>
              <w:rPr>
                <w:rFonts w:hint="eastAsia"/>
                <w:color w:val="auto"/>
                <w:highlight w:val="none"/>
              </w:rPr>
              <w:t>m</w:t>
            </w:r>
            <w:r>
              <w:rPr>
                <w:rFonts w:hint="eastAsia"/>
                <w:color w:val="auto"/>
                <w:highlight w:val="none"/>
                <w:vertAlign w:val="superscript"/>
              </w:rPr>
              <w:t>3</w:t>
            </w:r>
            <w:r>
              <w:rPr>
                <w:rFonts w:hint="eastAsia"/>
                <w:color w:val="auto"/>
                <w:highlight w:val="none"/>
              </w:rPr>
              <w:t>/d）。办公生活污水产污</w:t>
            </w:r>
            <w:r>
              <w:rPr>
                <w:rFonts w:hint="default"/>
                <w:color w:val="auto"/>
                <w:highlight w:val="none"/>
              </w:rPr>
              <w:t>系数</w:t>
            </w:r>
            <w:r>
              <w:rPr>
                <w:rFonts w:hint="eastAsia"/>
                <w:color w:val="auto"/>
                <w:highlight w:val="none"/>
              </w:rPr>
              <w:t>0.8</w:t>
            </w:r>
            <w:r>
              <w:rPr>
                <w:rFonts w:hint="default"/>
                <w:color w:val="auto"/>
                <w:highlight w:val="none"/>
              </w:rPr>
              <w:t>，则</w:t>
            </w:r>
            <w:r>
              <w:rPr>
                <w:rFonts w:hint="eastAsia"/>
                <w:color w:val="auto"/>
                <w:highlight w:val="none"/>
              </w:rPr>
              <w:t>办公</w:t>
            </w:r>
            <w:r>
              <w:rPr>
                <w:rFonts w:hint="default"/>
                <w:color w:val="auto"/>
                <w:highlight w:val="none"/>
              </w:rPr>
              <w:t>生活污</w:t>
            </w:r>
            <w:r>
              <w:rPr>
                <w:rFonts w:hint="default"/>
                <w:color w:val="auto"/>
                <w:sz w:val="24"/>
                <w:szCs w:val="24"/>
                <w:highlight w:val="none"/>
              </w:rPr>
              <w:t>水量为</w:t>
            </w:r>
            <w:r>
              <w:rPr>
                <w:rFonts w:hint="eastAsia"/>
                <w:color w:val="auto"/>
                <w:sz w:val="24"/>
                <w:szCs w:val="24"/>
                <w:highlight w:val="none"/>
                <w:lang w:val="en-US" w:eastAsia="zh-CN"/>
              </w:rPr>
              <w:t>300</w:t>
            </w:r>
            <w:r>
              <w:rPr>
                <w:rFonts w:hint="default"/>
                <w:color w:val="auto"/>
                <w:sz w:val="24"/>
                <w:szCs w:val="24"/>
                <w:highlight w:val="none"/>
              </w:rPr>
              <w:t>m</w:t>
            </w:r>
            <w:r>
              <w:rPr>
                <w:rFonts w:hint="default"/>
                <w:color w:val="auto"/>
                <w:sz w:val="24"/>
                <w:szCs w:val="24"/>
                <w:highlight w:val="none"/>
                <w:vertAlign w:val="superscript"/>
              </w:rPr>
              <w:t>3</w:t>
            </w:r>
            <w:r>
              <w:rPr>
                <w:rFonts w:hint="default"/>
                <w:color w:val="auto"/>
                <w:sz w:val="24"/>
                <w:szCs w:val="24"/>
                <w:highlight w:val="none"/>
              </w:rPr>
              <w:t>/a</w:t>
            </w:r>
            <w:r>
              <w:rPr>
                <w:rFonts w:hint="eastAsia"/>
                <w:color w:val="auto"/>
                <w:sz w:val="24"/>
                <w:szCs w:val="24"/>
                <w:highlight w:val="none"/>
              </w:rPr>
              <w:t>（即</w:t>
            </w:r>
            <w:r>
              <w:rPr>
                <w:rFonts w:hint="eastAsia"/>
                <w:color w:val="auto"/>
                <w:sz w:val="24"/>
                <w:szCs w:val="24"/>
                <w:highlight w:val="none"/>
                <w:lang w:val="en-US" w:eastAsia="zh-CN"/>
              </w:rPr>
              <w:t>1</w:t>
            </w:r>
            <w:r>
              <w:rPr>
                <w:rFonts w:hint="default"/>
                <w:color w:val="auto"/>
                <w:sz w:val="24"/>
                <w:szCs w:val="24"/>
                <w:highlight w:val="none"/>
              </w:rPr>
              <w:t>m</w:t>
            </w:r>
            <w:r>
              <w:rPr>
                <w:rFonts w:hint="default"/>
                <w:color w:val="auto"/>
                <w:sz w:val="24"/>
                <w:szCs w:val="24"/>
                <w:highlight w:val="none"/>
                <w:vertAlign w:val="superscript"/>
              </w:rPr>
              <w:t>3</w:t>
            </w:r>
            <w:r>
              <w:rPr>
                <w:rFonts w:hint="default"/>
                <w:color w:val="auto"/>
                <w:sz w:val="24"/>
                <w:szCs w:val="24"/>
                <w:highlight w:val="none"/>
              </w:rPr>
              <w:t>/d</w:t>
            </w:r>
            <w:r>
              <w:rPr>
                <w:rFonts w:hint="eastAsia"/>
                <w:color w:val="auto"/>
                <w:sz w:val="24"/>
                <w:szCs w:val="24"/>
                <w:highlight w:val="none"/>
              </w:rPr>
              <w:t>）</w:t>
            </w:r>
            <w:r>
              <w:rPr>
                <w:rFonts w:hint="default"/>
                <w:color w:val="auto"/>
                <w:sz w:val="24"/>
                <w:szCs w:val="24"/>
                <w:highlight w:val="none"/>
              </w:rPr>
              <w:t>。</w:t>
            </w:r>
            <w:r>
              <w:rPr>
                <w:rFonts w:hint="eastAsia"/>
                <w:color w:val="auto"/>
                <w:sz w:val="24"/>
                <w:szCs w:val="24"/>
                <w:highlight w:val="none"/>
                <w:lang w:val="en-US" w:eastAsia="zh-CN"/>
              </w:rPr>
              <w:t>办公生活污水经已建成</w:t>
            </w:r>
            <w:r>
              <w:rPr>
                <w:rFonts w:hint="eastAsia"/>
                <w:color w:val="auto"/>
                <w:sz w:val="24"/>
                <w:szCs w:val="24"/>
                <w:highlight w:val="none"/>
              </w:rPr>
              <w:t>化粪池</w:t>
            </w:r>
            <w:r>
              <w:rPr>
                <w:rFonts w:hint="eastAsia"/>
                <w:color w:val="auto"/>
                <w:sz w:val="24"/>
                <w:szCs w:val="24"/>
                <w:highlight w:val="none"/>
                <w:lang w:val="en-US" w:eastAsia="zh-CN"/>
              </w:rPr>
              <w:t>处理后</w:t>
            </w:r>
            <w:r>
              <w:rPr>
                <w:rFonts w:hint="eastAsia"/>
                <w:color w:val="auto"/>
                <w:sz w:val="24"/>
                <w:szCs w:val="24"/>
                <w:highlight w:val="none"/>
              </w:rPr>
              <w:t>经市政管网排入泾河新城第二污水处理厂</w:t>
            </w:r>
            <w:r>
              <w:rPr>
                <w:rFonts w:hint="eastAsia"/>
                <w:color w:val="auto"/>
                <w:sz w:val="24"/>
                <w:szCs w:val="24"/>
                <w:highlight w:val="none"/>
                <w:lang w:eastAsia="zh-CN"/>
              </w:rPr>
              <w:t>。</w:t>
            </w:r>
          </w:p>
          <w:p>
            <w:pPr>
              <w:keepNext w:val="0"/>
              <w:keepLines w:val="0"/>
              <w:suppressLineNumbers w:val="0"/>
              <w:spacing w:before="0" w:beforeAutospacing="0" w:after="0" w:afterAutospacing="0"/>
              <w:ind w:left="0" w:right="0" w:firstLine="480"/>
              <w:rPr>
                <w:rFonts w:hint="default" w:eastAsia="宋体"/>
                <w:color w:val="auto"/>
                <w:highlight w:val="none"/>
                <w:lang w:val="en-US" w:eastAsia="zh-CN"/>
              </w:rPr>
            </w:pPr>
            <w:r>
              <w:rPr>
                <w:rFonts w:hint="eastAsia"/>
                <w:color w:val="auto"/>
                <w:highlight w:val="none"/>
              </w:rPr>
              <w:t>②</w:t>
            </w:r>
            <w:r>
              <w:rPr>
                <w:rFonts w:hint="eastAsia"/>
                <w:color w:val="auto"/>
                <w:highlight w:val="none"/>
                <w:lang w:val="en-US" w:eastAsia="zh-CN"/>
              </w:rPr>
              <w:t>冷却用水</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lang w:val="en-US" w:eastAsia="zh-CN"/>
              </w:rPr>
            </w:pPr>
            <w:r>
              <w:rPr>
                <w:rFonts w:hint="eastAsia"/>
                <w:color w:val="auto"/>
                <w:sz w:val="24"/>
                <w:szCs w:val="24"/>
              </w:rPr>
              <w:t>项目生产</w:t>
            </w:r>
            <w:r>
              <w:rPr>
                <w:rFonts w:hint="eastAsia"/>
                <w:color w:val="auto"/>
                <w:sz w:val="24"/>
                <w:szCs w:val="24"/>
                <w:lang w:val="en-US" w:eastAsia="zh-CN"/>
              </w:rPr>
              <w:t>中给水管挤出后</w:t>
            </w:r>
            <w:r>
              <w:rPr>
                <w:rFonts w:hint="default" w:ascii="Times New Roman" w:hAnsi="Times New Roman" w:cs="Times New Roman"/>
                <w:color w:val="auto"/>
                <w:sz w:val="24"/>
              </w:rPr>
              <w:t>定型时需要喷淋冷却，真空定径装置自带水箱，冷却水经水箱冷却后循环使用，需定期补充新鲜水。冷却水循环量为</w:t>
            </w:r>
            <w:r>
              <w:rPr>
                <w:rFonts w:hint="eastAsia" w:cs="Times New Roman"/>
                <w:color w:val="auto"/>
                <w:sz w:val="24"/>
                <w:lang w:val="en-US" w:eastAsia="zh-CN"/>
              </w:rPr>
              <w:t>10</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/h，新鲜水补充量为循环量的0.3%，则新鲜水补充水量为0.</w:t>
            </w:r>
            <w:r>
              <w:rPr>
                <w:rFonts w:hint="eastAsia" w:ascii="Times New Roman" w:hAnsi="Times New Roman" w:cs="Times New Roman"/>
                <w:color w:val="auto"/>
                <w:sz w:val="24"/>
                <w:lang w:val="en-US" w:eastAsia="zh-CN"/>
              </w:rPr>
              <w:t>72</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w:t>
            </w:r>
            <w:r>
              <w:rPr>
                <w:rFonts w:hint="eastAsia" w:ascii="Times New Roman" w:hAnsi="Times New Roman" w:cs="Times New Roman"/>
                <w:color w:val="auto"/>
                <w:sz w:val="24"/>
                <w:lang w:val="en-US" w:eastAsia="zh-CN"/>
              </w:rPr>
              <w:t>216</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/a</w:t>
            </w:r>
            <w:r>
              <w:rPr>
                <w:rFonts w:hint="eastAsia" w:cs="Times New Roman"/>
                <w:color w:val="auto"/>
                <w:sz w:val="24"/>
                <w:lang w:val="en-US" w:eastAsia="zh-CN"/>
              </w:rPr>
              <w:t>。</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综上所述，本项目新鲜水用量为1.</w:t>
            </w:r>
            <w:r>
              <w:rPr>
                <w:rFonts w:hint="eastAsia" w:cs="Times New Roman"/>
                <w:color w:val="auto"/>
                <w:sz w:val="24"/>
                <w:lang w:val="en-US" w:eastAsia="zh-CN"/>
              </w:rPr>
              <w:t>97</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w:t>
            </w:r>
            <w:r>
              <w:rPr>
                <w:rFonts w:hint="eastAsia" w:cs="Times New Roman"/>
                <w:color w:val="auto"/>
                <w:sz w:val="24"/>
                <w:lang w:val="en-US" w:eastAsia="zh-CN"/>
              </w:rPr>
              <w:t>591</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/a</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废水排放量为1</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w:t>
            </w:r>
            <w:r>
              <w:rPr>
                <w:rFonts w:hint="eastAsia" w:cs="Times New Roman"/>
                <w:color w:val="auto"/>
                <w:sz w:val="24"/>
                <w:lang w:val="en-US" w:eastAsia="zh-CN"/>
              </w:rPr>
              <w:t>300</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/a。</w:t>
            </w:r>
          </w:p>
          <w:p>
            <w:pPr>
              <w:keepNext w:val="0"/>
              <w:keepLines w:val="0"/>
              <w:suppressLineNumbers w:val="0"/>
              <w:spacing w:before="0" w:beforeAutospacing="0" w:after="0" w:afterAutospacing="0"/>
              <w:ind w:left="0" w:right="0" w:firstLine="480"/>
              <w:rPr>
                <w:rFonts w:hint="default"/>
                <w:color w:val="auto"/>
                <w:highlight w:val="none"/>
              </w:rPr>
            </w:pPr>
            <w:r>
              <w:rPr>
                <w:rFonts w:hint="default"/>
                <w:color w:val="auto"/>
                <w:highlight w:val="none"/>
              </w:rPr>
              <w:t>项目用</w:t>
            </w:r>
            <w:r>
              <w:rPr>
                <w:rFonts w:hint="eastAsia"/>
                <w:color w:val="auto"/>
                <w:highlight w:val="none"/>
              </w:rPr>
              <w:t>水</w:t>
            </w:r>
            <w:r>
              <w:rPr>
                <w:rFonts w:hint="default"/>
                <w:color w:val="auto"/>
                <w:highlight w:val="none"/>
              </w:rPr>
              <w:t>、排水情况见表</w:t>
            </w:r>
            <w:r>
              <w:rPr>
                <w:rFonts w:hint="eastAsia"/>
                <w:color w:val="auto"/>
                <w:highlight w:val="none"/>
              </w:rPr>
              <w:t>2-</w:t>
            </w:r>
            <w:r>
              <w:rPr>
                <w:rFonts w:hint="eastAsia"/>
                <w:color w:val="auto"/>
                <w:highlight w:val="none"/>
                <w:lang w:val="en-US" w:eastAsia="zh-CN"/>
              </w:rPr>
              <w:t>7</w:t>
            </w:r>
            <w:r>
              <w:rPr>
                <w:rFonts w:hint="default"/>
                <w:color w:val="auto"/>
                <w:highlight w:val="none"/>
              </w:rPr>
              <w:t>，水平衡图见图</w:t>
            </w:r>
            <w:r>
              <w:rPr>
                <w:rFonts w:hint="eastAsia"/>
                <w:color w:val="auto"/>
                <w:highlight w:val="none"/>
              </w:rPr>
              <w:t>2-1</w:t>
            </w:r>
            <w:r>
              <w:rPr>
                <w:rFonts w:hint="default"/>
                <w:color w:val="auto"/>
                <w:highlight w:val="none"/>
              </w:rPr>
              <w:t>。</w:t>
            </w:r>
          </w:p>
          <w:p>
            <w:pPr>
              <w:pStyle w:val="36"/>
              <w:keepNext w:val="0"/>
              <w:keepLines w:val="0"/>
              <w:suppressLineNumbers w:val="0"/>
              <w:spacing w:before="0" w:beforeAutospacing="0" w:after="0" w:afterAutospacing="0" w:line="240" w:lineRule="auto"/>
              <w:ind w:left="0" w:leftChars="0" w:right="0" w:firstLine="482"/>
              <w:jc w:val="center"/>
              <w:rPr>
                <w:rFonts w:hint="eastAsia" w:eastAsia="宋体"/>
                <w:b/>
                <w:bCs/>
                <w:color w:val="auto"/>
                <w:szCs w:val="21"/>
                <w:highlight w:val="none"/>
                <w:lang w:val="en-US" w:eastAsia="zh-CN"/>
              </w:rPr>
            </w:pPr>
            <w:r>
              <w:rPr>
                <w:rFonts w:hint="eastAsia"/>
                <w:b/>
                <w:bCs/>
                <w:color w:val="auto"/>
                <w:szCs w:val="21"/>
                <w:highlight w:val="none"/>
              </w:rPr>
              <w:t>表2-</w:t>
            </w:r>
            <w:r>
              <w:rPr>
                <w:rFonts w:hint="eastAsia"/>
                <w:b/>
                <w:bCs/>
                <w:color w:val="auto"/>
                <w:szCs w:val="21"/>
                <w:highlight w:val="none"/>
                <w:lang w:val="en-US" w:eastAsia="zh-CN"/>
              </w:rPr>
              <w:t>7</w:t>
            </w:r>
            <w:r>
              <w:rPr>
                <w:rFonts w:hint="eastAsia"/>
                <w:b/>
                <w:bCs/>
                <w:color w:val="auto"/>
                <w:szCs w:val="21"/>
                <w:highlight w:val="none"/>
              </w:rPr>
              <w:t xml:space="preserve">  项目用水、排水情况表    单位：m</w:t>
            </w:r>
            <w:r>
              <w:rPr>
                <w:rFonts w:hint="eastAsia"/>
                <w:b/>
                <w:bCs/>
                <w:color w:val="auto"/>
                <w:szCs w:val="21"/>
                <w:highlight w:val="none"/>
                <w:vertAlign w:val="superscript"/>
              </w:rPr>
              <w:t>3</w:t>
            </w:r>
            <w:r>
              <w:rPr>
                <w:rFonts w:hint="eastAsia"/>
                <w:b/>
                <w:bCs/>
                <w:color w:val="auto"/>
                <w:szCs w:val="21"/>
                <w:highlight w:val="none"/>
              </w:rPr>
              <w:t>/</w:t>
            </w:r>
            <w:r>
              <w:rPr>
                <w:rFonts w:hint="eastAsia"/>
                <w:b/>
                <w:bCs/>
                <w:color w:val="auto"/>
                <w:szCs w:val="21"/>
                <w:highlight w:val="none"/>
                <w:lang w:val="en-US" w:eastAsia="zh-CN"/>
              </w:rPr>
              <w:t>d</w:t>
            </w:r>
          </w:p>
          <w:tbl>
            <w:tblPr>
              <w:tblStyle w:val="37"/>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2154"/>
              <w:gridCol w:w="1502"/>
              <w:gridCol w:w="1408"/>
              <w:gridCol w:w="1497"/>
              <w:gridCol w:w="107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序号</w:t>
                  </w:r>
                </w:p>
              </w:tc>
              <w:tc>
                <w:tcPr>
                  <w:tcW w:w="1273"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名称</w:t>
                  </w:r>
                </w:p>
              </w:tc>
              <w:tc>
                <w:tcPr>
                  <w:tcW w:w="88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新鲜水</w:t>
                  </w:r>
                </w:p>
              </w:tc>
              <w:tc>
                <w:tcPr>
                  <w:tcW w:w="832"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循环利用量</w:t>
                  </w:r>
                </w:p>
              </w:tc>
              <w:tc>
                <w:tcPr>
                  <w:tcW w:w="885"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损失</w:t>
                  </w:r>
                  <w:r>
                    <w:rPr>
                      <w:rFonts w:hint="default"/>
                      <w:color w:val="auto"/>
                      <w:szCs w:val="20"/>
                      <w:highlight w:val="none"/>
                    </w:rPr>
                    <w:t>量</w:t>
                  </w:r>
                </w:p>
              </w:tc>
              <w:tc>
                <w:tcPr>
                  <w:tcW w:w="632"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排放</w:t>
                  </w:r>
                  <w:r>
                    <w:rPr>
                      <w:rFonts w:hint="default"/>
                      <w:color w:val="auto"/>
                      <w:szCs w:val="20"/>
                      <w:highlight w:val="none"/>
                    </w:rPr>
                    <w:t>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1</w:t>
                  </w:r>
                </w:p>
              </w:tc>
              <w:tc>
                <w:tcPr>
                  <w:tcW w:w="1273"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办公</w:t>
                  </w:r>
                  <w:r>
                    <w:rPr>
                      <w:rFonts w:hint="default"/>
                      <w:color w:val="auto"/>
                      <w:szCs w:val="20"/>
                      <w:highlight w:val="none"/>
                    </w:rPr>
                    <w:t>生活用水</w:t>
                  </w:r>
                </w:p>
              </w:tc>
              <w:tc>
                <w:tcPr>
                  <w:tcW w:w="88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lang w:val="en-US" w:eastAsia="zh-CN"/>
                    </w:rPr>
                    <w:t>1.25</w:t>
                  </w:r>
                </w:p>
              </w:tc>
              <w:tc>
                <w:tcPr>
                  <w:tcW w:w="832"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0</w:t>
                  </w:r>
                </w:p>
              </w:tc>
              <w:tc>
                <w:tcPr>
                  <w:tcW w:w="885"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lang w:val="en-US" w:eastAsia="zh-CN"/>
                    </w:rPr>
                    <w:t>0.25</w:t>
                  </w:r>
                </w:p>
              </w:tc>
              <w:tc>
                <w:tcPr>
                  <w:tcW w:w="632"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eastAsia="宋体"/>
                      <w:color w:val="auto"/>
                      <w:szCs w:val="20"/>
                      <w:highlight w:val="none"/>
                      <w:lang w:val="en-US" w:eastAsia="zh-CN"/>
                    </w:rPr>
                  </w:pPr>
                  <w:r>
                    <w:rPr>
                      <w:rFonts w:hint="eastAsia"/>
                      <w:color w:val="auto"/>
                      <w:szCs w:val="20"/>
                      <w:highlight w:val="none"/>
                      <w:lang w:val="en-US" w:eastAsia="zh-CN"/>
                    </w:rPr>
                    <w:t>2</w:t>
                  </w:r>
                </w:p>
              </w:tc>
              <w:tc>
                <w:tcPr>
                  <w:tcW w:w="1273"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冷却用水</w:t>
                  </w:r>
                </w:p>
              </w:tc>
              <w:tc>
                <w:tcPr>
                  <w:tcW w:w="88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lang w:val="en-US" w:eastAsia="zh-CN"/>
                    </w:rPr>
                    <w:t>0.72</w:t>
                  </w:r>
                </w:p>
              </w:tc>
              <w:tc>
                <w:tcPr>
                  <w:tcW w:w="832"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lang w:val="en-US" w:eastAsia="zh-CN"/>
                    </w:rPr>
                    <w:t>240</w:t>
                  </w:r>
                </w:p>
              </w:tc>
              <w:tc>
                <w:tcPr>
                  <w:tcW w:w="885"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lang w:val="en-US" w:eastAsia="zh-CN"/>
                    </w:rPr>
                    <w:t>0.72</w:t>
                  </w:r>
                </w:p>
              </w:tc>
              <w:tc>
                <w:tcPr>
                  <w:tcW w:w="632"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eastAsia="宋体"/>
                      <w:color w:val="auto"/>
                      <w:szCs w:val="20"/>
                      <w:highlight w:val="none"/>
                      <w:lang w:val="en-US" w:eastAsia="zh-CN"/>
                    </w:rPr>
                  </w:pPr>
                  <w:r>
                    <w:rPr>
                      <w:rFonts w:hint="eastAsia"/>
                      <w:color w:val="auto"/>
                      <w:szCs w:val="20"/>
                      <w:highlight w:val="none"/>
                      <w:lang w:val="en-US" w:eastAsia="zh-CN"/>
                    </w:rPr>
                    <w:t>3</w:t>
                  </w:r>
                </w:p>
              </w:tc>
              <w:tc>
                <w:tcPr>
                  <w:tcW w:w="1273"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小计</w:t>
                  </w:r>
                </w:p>
              </w:tc>
              <w:tc>
                <w:tcPr>
                  <w:tcW w:w="88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lang w:val="en-US" w:eastAsia="zh-CN"/>
                    </w:rPr>
                    <w:t>1.97</w:t>
                  </w:r>
                </w:p>
              </w:tc>
              <w:tc>
                <w:tcPr>
                  <w:tcW w:w="832"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lang w:val="en-US" w:eastAsia="zh-CN"/>
                    </w:rPr>
                    <w:t>240</w:t>
                  </w:r>
                </w:p>
              </w:tc>
              <w:tc>
                <w:tcPr>
                  <w:tcW w:w="885"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lang w:val="en-US" w:eastAsia="zh-CN"/>
                    </w:rPr>
                    <w:t>0.97</w:t>
                  </w:r>
                </w:p>
              </w:tc>
              <w:tc>
                <w:tcPr>
                  <w:tcW w:w="632"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lang w:val="en-US" w:eastAsia="zh-CN"/>
                    </w:rPr>
                    <w:t>1</w:t>
                  </w:r>
                </w:p>
              </w:tc>
            </w:tr>
          </w:tbl>
          <w:p>
            <w:pPr>
              <w:pStyle w:val="36"/>
              <w:keepNext w:val="0"/>
              <w:keepLines w:val="0"/>
              <w:suppressLineNumbers w:val="0"/>
              <w:spacing w:before="0" w:beforeAutospacing="0" w:after="0" w:afterAutospacing="0"/>
              <w:ind w:left="0" w:leftChars="0" w:right="0" w:firstLine="0" w:firstLineChars="0"/>
              <w:jc w:val="center"/>
              <w:rPr>
                <w:rFonts w:hint="eastAsia"/>
                <w:b/>
                <w:bCs/>
                <w:color w:val="auto"/>
                <w:szCs w:val="24"/>
                <w:highlight w:val="none"/>
              </w:rPr>
            </w:pPr>
            <w:r>
              <w:rPr>
                <w:rFonts w:hint="default"/>
                <w:color w:val="auto"/>
                <w:spacing w:val="-6"/>
                <w:sz w:val="24"/>
              </w:rPr>
              <w:object>
                <v:shape id="_x0000_i1025" o:spt="75" type="#_x0000_t75" style="height:187.7pt;width:413.55pt;" o:ole="t" filled="f" o:preferrelative="t" stroked="f" coordsize="21600,21600">
                  <v:path/>
                  <v:fill on="f" focussize="0,0"/>
                  <v:stroke on="f"/>
                  <v:imagedata r:id="rId17" o:title=""/>
                  <o:lock v:ext="edit" aspectratio="f"/>
                  <w10:wrap type="none"/>
                  <w10:anchorlock/>
                </v:shape>
                <o:OLEObject Type="Embed" ProgID="Visio.Drawing.11" ShapeID="_x0000_i1025" DrawAspect="Content" ObjectID="_1468075725" r:id="rId16">
                  <o:LockedField>false</o:LockedField>
                </o:OLEObject>
              </w:object>
            </w:r>
          </w:p>
          <w:p>
            <w:pPr>
              <w:pStyle w:val="36"/>
              <w:keepNext w:val="0"/>
              <w:keepLines w:val="0"/>
              <w:suppressLineNumbers w:val="0"/>
              <w:spacing w:before="0" w:beforeAutospacing="0" w:after="0" w:afterAutospacing="0"/>
              <w:ind w:left="0" w:leftChars="0" w:right="0" w:firstLine="0" w:firstLineChars="0"/>
              <w:jc w:val="center"/>
              <w:rPr>
                <w:rFonts w:hint="default"/>
                <w:b/>
                <w:bCs/>
                <w:color w:val="auto"/>
                <w:szCs w:val="24"/>
                <w:highlight w:val="none"/>
              </w:rPr>
            </w:pPr>
            <w:r>
              <w:rPr>
                <w:rFonts w:hint="eastAsia"/>
                <w:b/>
                <w:bCs/>
                <w:color w:val="auto"/>
                <w:szCs w:val="24"/>
                <w:highlight w:val="none"/>
              </w:rPr>
              <w:t>图2-1  水平衡图 （</w:t>
            </w:r>
            <w:r>
              <w:rPr>
                <w:rFonts w:hint="default"/>
                <w:b/>
                <w:bCs/>
                <w:color w:val="auto"/>
                <w:szCs w:val="24"/>
                <w:highlight w:val="none"/>
              </w:rPr>
              <w:t>m</w:t>
            </w:r>
            <w:r>
              <w:rPr>
                <w:rFonts w:hint="default"/>
                <w:b/>
                <w:bCs/>
                <w:color w:val="auto"/>
                <w:szCs w:val="24"/>
                <w:highlight w:val="none"/>
                <w:vertAlign w:val="superscript"/>
              </w:rPr>
              <w:t>3</w:t>
            </w:r>
            <w:r>
              <w:rPr>
                <w:rFonts w:hint="default"/>
                <w:b/>
                <w:bCs/>
                <w:color w:val="auto"/>
                <w:szCs w:val="24"/>
                <w:highlight w:val="none"/>
              </w:rPr>
              <w:t>/</w:t>
            </w:r>
            <w:r>
              <w:rPr>
                <w:rFonts w:hint="eastAsia"/>
                <w:b/>
                <w:bCs/>
                <w:color w:val="auto"/>
                <w:szCs w:val="24"/>
                <w:highlight w:val="none"/>
                <w:lang w:val="en-US" w:eastAsia="zh-CN"/>
              </w:rPr>
              <w:t>d</w:t>
            </w:r>
            <w:r>
              <w:rPr>
                <w:rFonts w:hint="eastAsia"/>
                <w:b/>
                <w:bCs/>
                <w:color w:val="auto"/>
                <w:szCs w:val="24"/>
                <w:highlight w:val="none"/>
              </w:rPr>
              <w:t>）</w:t>
            </w:r>
          </w:p>
          <w:p>
            <w:pPr>
              <w:keepNext w:val="0"/>
              <w:keepLines w:val="0"/>
              <w:suppressLineNumbers w:val="0"/>
              <w:spacing w:before="0" w:beforeAutospacing="0" w:after="0" w:afterAutospacing="0"/>
              <w:ind w:left="0" w:right="0" w:firstLine="480"/>
              <w:rPr>
                <w:rFonts w:hint="default"/>
                <w:color w:val="auto"/>
                <w:highlight w:val="none"/>
              </w:rPr>
            </w:pPr>
            <w:r>
              <w:rPr>
                <w:rFonts w:hint="eastAsia"/>
                <w:color w:val="auto"/>
                <w:highlight w:val="none"/>
              </w:rPr>
              <w:t>2、</w:t>
            </w:r>
            <w:r>
              <w:rPr>
                <w:rFonts w:hint="default"/>
                <w:color w:val="auto"/>
                <w:highlight w:val="none"/>
              </w:rPr>
              <w:t>供电</w:t>
            </w:r>
          </w:p>
          <w:p>
            <w:pPr>
              <w:keepNext w:val="0"/>
              <w:keepLines w:val="0"/>
              <w:suppressLineNumbers w:val="0"/>
              <w:spacing w:before="0" w:beforeAutospacing="0" w:after="0" w:afterAutospacing="0"/>
              <w:ind w:left="0" w:right="0" w:firstLine="480"/>
              <w:outlineLvl w:val="2"/>
              <w:rPr>
                <w:rFonts w:hint="default"/>
                <w:color w:val="auto"/>
                <w:highlight w:val="none"/>
              </w:rPr>
            </w:pPr>
            <w:r>
              <w:rPr>
                <w:rFonts w:hint="default"/>
                <w:color w:val="auto"/>
                <w:highlight w:val="none"/>
              </w:rPr>
              <w:t>项目</w:t>
            </w:r>
            <w:r>
              <w:rPr>
                <w:rFonts w:hint="eastAsia"/>
                <w:color w:val="auto"/>
                <w:highlight w:val="none"/>
              </w:rPr>
              <w:t>生产和办公用电由市政电网供电。项目不设备用发电机</w:t>
            </w:r>
            <w:r>
              <w:rPr>
                <w:rFonts w:hint="default"/>
                <w:color w:val="auto"/>
                <w:highlight w:val="none"/>
              </w:rPr>
              <w:t>。</w:t>
            </w:r>
          </w:p>
          <w:p>
            <w:pPr>
              <w:keepNext w:val="0"/>
              <w:keepLines w:val="0"/>
              <w:suppressLineNumbers w:val="0"/>
              <w:autoSpaceDE w:val="0"/>
              <w:autoSpaceDN w:val="0"/>
              <w:spacing w:before="0" w:beforeAutospacing="0" w:after="0" w:afterAutospacing="0"/>
              <w:ind w:left="0" w:right="0" w:firstLine="480"/>
              <w:contextualSpacing/>
              <w:rPr>
                <w:rFonts w:hint="default"/>
                <w:color w:val="auto"/>
                <w:highlight w:val="none"/>
              </w:rPr>
            </w:pPr>
            <w:r>
              <w:rPr>
                <w:rFonts w:hint="eastAsia"/>
                <w:color w:val="auto"/>
                <w:highlight w:val="none"/>
              </w:rPr>
              <w:t>3</w:t>
            </w:r>
            <w:r>
              <w:rPr>
                <w:rFonts w:hint="default"/>
                <w:color w:val="auto"/>
                <w:highlight w:val="none"/>
              </w:rPr>
              <w:t>、</w:t>
            </w:r>
            <w:r>
              <w:rPr>
                <w:rFonts w:hint="eastAsia"/>
                <w:color w:val="auto"/>
                <w:highlight w:val="none"/>
              </w:rPr>
              <w:t>供暖、制冷</w:t>
            </w:r>
          </w:p>
          <w:p>
            <w:pPr>
              <w:keepNext w:val="0"/>
              <w:keepLines w:val="0"/>
              <w:suppressLineNumbers w:val="0"/>
              <w:spacing w:before="0" w:beforeAutospacing="0" w:after="0" w:afterAutospacing="0"/>
              <w:ind w:left="0" w:right="0" w:firstLine="480"/>
              <w:rPr>
                <w:rFonts w:hint="default"/>
                <w:color w:val="auto"/>
                <w:highlight w:val="none"/>
              </w:rPr>
            </w:pPr>
            <w:r>
              <w:rPr>
                <w:rFonts w:hint="eastAsia"/>
                <w:color w:val="auto"/>
                <w:highlight w:val="none"/>
              </w:rPr>
              <w:t>办公区</w:t>
            </w:r>
            <w:r>
              <w:rPr>
                <w:rFonts w:hint="default"/>
                <w:color w:val="auto"/>
                <w:highlight w:val="none"/>
              </w:rPr>
              <w:t>供暖、制冷采用分体式空调</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817" w:type="dxa"/>
          </w:tcPr>
          <w:p>
            <w:pPr>
              <w:pStyle w:val="32"/>
              <w:keepNext w:val="0"/>
              <w:keepLines w:val="0"/>
              <w:suppressLineNumbers w:val="0"/>
              <w:adjustRightInd w:val="0"/>
              <w:snapToGrid w:val="0"/>
              <w:spacing w:before="0" w:beforeAutospacing="0" w:after="0" w:afterAutospacing="0"/>
              <w:ind w:left="0" w:right="0" w:firstLine="0" w:firstLineChars="0"/>
              <w:jc w:val="left"/>
              <w:rPr>
                <w:rFonts w:hint="default" w:ascii="Times New Roman" w:hAnsi="Times New Roman"/>
                <w:color w:val="auto"/>
                <w:sz w:val="21"/>
                <w:szCs w:val="21"/>
                <w:highlight w:val="none"/>
              </w:rPr>
            </w:pPr>
            <w:r>
              <w:rPr>
                <w:rFonts w:hint="default" w:ascii="Times New Roman" w:hAnsi="Times New Roman"/>
                <w:bCs/>
                <w:color w:val="auto"/>
                <w:kern w:val="2"/>
                <w:szCs w:val="24"/>
                <w:highlight w:val="none"/>
              </w:rPr>
              <w:t>工艺流程和产排污环节</w:t>
            </w:r>
          </w:p>
        </w:tc>
        <w:tc>
          <w:tcPr>
            <w:tcW w:w="8300" w:type="dxa"/>
          </w:tcPr>
          <w:p>
            <w:pPr>
              <w:keepNext w:val="0"/>
              <w:keepLines w:val="0"/>
              <w:suppressLineNumbers w:val="0"/>
              <w:spacing w:before="0" w:beforeAutospacing="0" w:after="0" w:afterAutospacing="0"/>
              <w:ind w:left="0" w:right="0" w:firstLine="482"/>
              <w:rPr>
                <w:rFonts w:hint="default"/>
                <w:b/>
                <w:bCs/>
                <w:color w:val="auto"/>
                <w:highlight w:val="none"/>
              </w:rPr>
            </w:pPr>
            <w:r>
              <w:rPr>
                <w:rFonts w:hint="eastAsia"/>
                <w:b/>
                <w:bCs/>
                <w:color w:val="auto"/>
                <w:highlight w:val="none"/>
              </w:rPr>
              <w:t>一</w:t>
            </w:r>
            <w:r>
              <w:rPr>
                <w:rFonts w:hint="default"/>
                <w:b/>
                <w:bCs/>
                <w:color w:val="auto"/>
                <w:highlight w:val="none"/>
              </w:rPr>
              <w:t>、施工期工艺流程</w:t>
            </w:r>
          </w:p>
          <w:p>
            <w:pPr>
              <w:pStyle w:val="2"/>
              <w:keepNext w:val="0"/>
              <w:keepLines w:val="0"/>
              <w:suppressLineNumbers w:val="0"/>
              <w:spacing w:before="0" w:beforeAutospacing="0" w:after="0" w:afterAutospacing="0"/>
              <w:ind w:left="0" w:right="0" w:firstLine="480"/>
              <w:rPr>
                <w:rFonts w:hint="default"/>
                <w:color w:val="auto"/>
                <w:sz w:val="24"/>
                <w:szCs w:val="24"/>
                <w:highlight w:val="none"/>
              </w:rPr>
            </w:pPr>
            <w:r>
              <w:rPr>
                <w:rFonts w:hint="default"/>
                <w:color w:val="auto"/>
                <w:sz w:val="24"/>
                <w:szCs w:val="24"/>
                <w:highlight w:val="none"/>
              </w:rPr>
              <w:t>本项目利用现有</w:t>
            </w:r>
            <w:r>
              <w:rPr>
                <w:rFonts w:hint="eastAsia"/>
                <w:color w:val="auto"/>
                <w:sz w:val="24"/>
                <w:szCs w:val="24"/>
                <w:highlight w:val="none"/>
              </w:rPr>
              <w:t>空</w:t>
            </w:r>
            <w:r>
              <w:rPr>
                <w:rFonts w:hint="default"/>
                <w:color w:val="auto"/>
                <w:sz w:val="24"/>
                <w:szCs w:val="24"/>
                <w:highlight w:val="none"/>
              </w:rPr>
              <w:t>厂房进行建设，不涉及土建施工，施工期仅进行局部装修、设备安装等，施工期主要工艺流程及排污节点如下图所示。</w:t>
            </w:r>
          </w:p>
          <w:p>
            <w:pPr>
              <w:pStyle w:val="170"/>
              <w:keepNext w:val="0"/>
              <w:keepLines w:val="0"/>
              <w:suppressLineNumbers w:val="0"/>
              <w:spacing w:before="0" w:beforeAutospacing="0" w:after="0" w:afterAutospacing="0" w:line="240" w:lineRule="auto"/>
              <w:ind w:left="0" w:right="0" w:firstLine="0" w:firstLineChars="0"/>
              <w:jc w:val="center"/>
              <w:rPr>
                <w:rFonts w:hint="default" w:hAnsi="Times New Roman" w:cs="Times New Roman"/>
                <w:b/>
                <w:bCs/>
                <w:color w:val="auto"/>
                <w:sz w:val="21"/>
                <w:szCs w:val="21"/>
                <w:highlight w:val="none"/>
              </w:rPr>
            </w:pPr>
            <w:r>
              <w:rPr>
                <w:rFonts w:hint="default"/>
                <w:color w:val="auto"/>
                <w:highlight w:val="none"/>
              </w:rPr>
              <w:pict>
                <v:shape id="_x0000_i1026" o:spt="75" type="#_x0000_t75" style="height:85.15pt;width:301.3pt;" filled="f" o:preferrelative="t" stroked="f" coordsize="21600,21600">
                  <v:path/>
                  <v:fill on="f" focussize="0,0"/>
                  <v:stroke on="f"/>
                  <v:imagedata r:id="rId18" o:title=""/>
                  <o:lock v:ext="edit" aspectratio="t"/>
                  <w10:wrap type="none"/>
                  <w10:anchorlock/>
                </v:shape>
              </w:pict>
            </w:r>
          </w:p>
          <w:p>
            <w:pPr>
              <w:pStyle w:val="36"/>
              <w:keepNext w:val="0"/>
              <w:keepLines w:val="0"/>
              <w:suppressLineNumbers w:val="0"/>
              <w:spacing w:before="0" w:beforeAutospacing="0" w:after="0" w:afterAutospacing="0" w:line="240" w:lineRule="auto"/>
              <w:ind w:left="0" w:leftChars="0" w:right="0" w:firstLine="0" w:firstLineChars="0"/>
              <w:jc w:val="center"/>
              <w:rPr>
                <w:rFonts w:hint="default"/>
                <w:b/>
                <w:bCs/>
                <w:color w:val="auto"/>
                <w:szCs w:val="21"/>
                <w:highlight w:val="none"/>
              </w:rPr>
            </w:pPr>
            <w:r>
              <w:rPr>
                <w:rFonts w:hint="eastAsia"/>
                <w:b/>
                <w:bCs/>
                <w:color w:val="auto"/>
                <w:szCs w:val="21"/>
                <w:highlight w:val="none"/>
              </w:rPr>
              <w:t>图2-2  项目施工期工艺流程及产污环节示意图</w:t>
            </w:r>
          </w:p>
          <w:p>
            <w:pPr>
              <w:keepNext w:val="0"/>
              <w:keepLines w:val="0"/>
              <w:suppressLineNumbers w:val="0"/>
              <w:adjustRightInd w:val="0"/>
              <w:snapToGrid w:val="0"/>
              <w:spacing w:before="0" w:beforeAutospacing="0" w:after="0" w:afterAutospacing="0"/>
              <w:ind w:left="0" w:right="0" w:firstLine="480"/>
              <w:rPr>
                <w:rFonts w:hint="default"/>
                <w:bCs/>
                <w:color w:val="auto"/>
                <w:highlight w:val="none"/>
              </w:rPr>
            </w:pPr>
            <w:r>
              <w:rPr>
                <w:rFonts w:hint="eastAsia"/>
                <w:bCs/>
                <w:color w:val="auto"/>
                <w:highlight w:val="none"/>
              </w:rPr>
              <w:t>主要产污：</w:t>
            </w:r>
          </w:p>
          <w:p>
            <w:pPr>
              <w:keepNext w:val="0"/>
              <w:keepLines w:val="0"/>
              <w:suppressLineNumbers w:val="0"/>
              <w:adjustRightInd w:val="0"/>
              <w:snapToGrid w:val="0"/>
              <w:spacing w:before="0" w:beforeAutospacing="0" w:after="0" w:afterAutospacing="0"/>
              <w:ind w:left="0" w:right="0" w:firstLine="480"/>
              <w:rPr>
                <w:rFonts w:hint="default"/>
                <w:bCs/>
                <w:color w:val="auto"/>
                <w:highlight w:val="none"/>
              </w:rPr>
            </w:pPr>
            <w:r>
              <w:rPr>
                <w:rFonts w:hint="default"/>
                <w:bCs/>
                <w:color w:val="auto"/>
                <w:highlight w:val="none"/>
              </w:rPr>
              <w:t>1</w:t>
            </w:r>
            <w:r>
              <w:rPr>
                <w:rFonts w:hint="eastAsia"/>
                <w:bCs/>
                <w:color w:val="auto"/>
                <w:highlight w:val="none"/>
              </w:rPr>
              <w:t>、</w:t>
            </w:r>
            <w:r>
              <w:rPr>
                <w:rFonts w:hint="default"/>
                <w:bCs/>
                <w:color w:val="auto"/>
                <w:highlight w:val="none"/>
              </w:rPr>
              <w:t>厂房装修</w:t>
            </w:r>
          </w:p>
          <w:p>
            <w:pPr>
              <w:keepNext w:val="0"/>
              <w:keepLines w:val="0"/>
              <w:suppressLineNumbers w:val="0"/>
              <w:adjustRightInd w:val="0"/>
              <w:snapToGrid w:val="0"/>
              <w:spacing w:before="0" w:beforeAutospacing="0" w:after="0" w:afterAutospacing="0"/>
              <w:ind w:left="0" w:right="0" w:firstLine="480"/>
              <w:rPr>
                <w:rFonts w:hint="default"/>
                <w:bCs/>
                <w:color w:val="auto"/>
                <w:highlight w:val="none"/>
              </w:rPr>
            </w:pPr>
            <w:r>
              <w:rPr>
                <w:rFonts w:hint="default"/>
                <w:bCs/>
                <w:color w:val="auto"/>
                <w:highlight w:val="none"/>
              </w:rPr>
              <w:t>厂房装修期间</w:t>
            </w:r>
            <w:r>
              <w:rPr>
                <w:rFonts w:hint="eastAsia"/>
                <w:bCs/>
                <w:color w:val="auto"/>
                <w:highlight w:val="none"/>
              </w:rPr>
              <w:t>会</w:t>
            </w:r>
            <w:r>
              <w:rPr>
                <w:rFonts w:hint="default"/>
                <w:bCs/>
                <w:color w:val="auto"/>
                <w:highlight w:val="none"/>
              </w:rPr>
              <w:t>产生少量的装修废气</w:t>
            </w:r>
            <w:r>
              <w:rPr>
                <w:rFonts w:hint="eastAsia"/>
                <w:bCs/>
                <w:color w:val="auto"/>
                <w:highlight w:val="none"/>
              </w:rPr>
              <w:t>、</w:t>
            </w:r>
            <w:r>
              <w:rPr>
                <w:rFonts w:hint="default"/>
                <w:bCs/>
                <w:color w:val="auto"/>
                <w:highlight w:val="none"/>
              </w:rPr>
              <w:t>噪声和</w:t>
            </w:r>
            <w:r>
              <w:rPr>
                <w:rFonts w:hint="eastAsia"/>
                <w:bCs/>
                <w:color w:val="auto"/>
                <w:highlight w:val="none"/>
              </w:rPr>
              <w:t>一些</w:t>
            </w:r>
            <w:r>
              <w:rPr>
                <w:rFonts w:hint="default"/>
                <w:bCs/>
                <w:color w:val="auto"/>
                <w:highlight w:val="none"/>
              </w:rPr>
              <w:t>建筑垃圾。</w:t>
            </w:r>
          </w:p>
          <w:p>
            <w:pPr>
              <w:keepNext w:val="0"/>
              <w:keepLines w:val="0"/>
              <w:suppressLineNumbers w:val="0"/>
              <w:adjustRightInd w:val="0"/>
              <w:snapToGrid w:val="0"/>
              <w:spacing w:before="0" w:beforeAutospacing="0" w:after="0" w:afterAutospacing="0"/>
              <w:ind w:left="0" w:right="0" w:firstLine="480"/>
              <w:rPr>
                <w:rFonts w:hint="default"/>
                <w:bCs/>
                <w:color w:val="auto"/>
                <w:highlight w:val="none"/>
              </w:rPr>
            </w:pPr>
            <w:r>
              <w:rPr>
                <w:rFonts w:hint="default"/>
                <w:bCs/>
                <w:color w:val="auto"/>
                <w:highlight w:val="none"/>
              </w:rPr>
              <w:t>2</w:t>
            </w:r>
            <w:r>
              <w:rPr>
                <w:rFonts w:hint="eastAsia"/>
                <w:bCs/>
                <w:color w:val="auto"/>
                <w:highlight w:val="none"/>
              </w:rPr>
              <w:t>、</w:t>
            </w:r>
            <w:r>
              <w:rPr>
                <w:rFonts w:hint="default"/>
                <w:bCs/>
                <w:color w:val="auto"/>
                <w:highlight w:val="none"/>
              </w:rPr>
              <w:t>设备安装</w:t>
            </w:r>
          </w:p>
          <w:p>
            <w:pPr>
              <w:keepNext w:val="0"/>
              <w:keepLines w:val="0"/>
              <w:suppressLineNumbers w:val="0"/>
              <w:adjustRightInd w:val="0"/>
              <w:snapToGrid w:val="0"/>
              <w:spacing w:before="0" w:beforeAutospacing="0" w:after="0" w:afterAutospacing="0"/>
              <w:ind w:left="0" w:right="0" w:firstLine="480"/>
              <w:rPr>
                <w:rFonts w:hint="default"/>
                <w:bCs/>
                <w:color w:val="auto"/>
                <w:highlight w:val="none"/>
              </w:rPr>
            </w:pPr>
            <w:r>
              <w:rPr>
                <w:rFonts w:hint="default"/>
                <w:bCs/>
                <w:color w:val="auto"/>
                <w:highlight w:val="none"/>
              </w:rPr>
              <w:t>设备安装期间</w:t>
            </w:r>
            <w:r>
              <w:rPr>
                <w:rFonts w:hint="eastAsia"/>
                <w:bCs/>
                <w:color w:val="auto"/>
                <w:highlight w:val="none"/>
              </w:rPr>
              <w:t>会</w:t>
            </w:r>
            <w:r>
              <w:rPr>
                <w:rFonts w:hint="default"/>
                <w:bCs/>
                <w:color w:val="auto"/>
                <w:highlight w:val="none"/>
              </w:rPr>
              <w:t>产生噪声及少量的包装</w:t>
            </w:r>
            <w:r>
              <w:rPr>
                <w:rFonts w:hint="eastAsia"/>
                <w:bCs/>
                <w:color w:val="auto"/>
                <w:highlight w:val="none"/>
              </w:rPr>
              <w:t>废弃</w:t>
            </w:r>
            <w:r>
              <w:rPr>
                <w:rFonts w:hint="default"/>
                <w:bCs/>
                <w:color w:val="auto"/>
                <w:highlight w:val="none"/>
              </w:rPr>
              <w:t>物。</w:t>
            </w:r>
          </w:p>
          <w:p>
            <w:pPr>
              <w:keepNext w:val="0"/>
              <w:keepLines w:val="0"/>
              <w:suppressLineNumbers w:val="0"/>
              <w:spacing w:before="0" w:beforeAutospacing="0" w:after="0" w:afterAutospacing="0"/>
              <w:ind w:left="0" w:right="0" w:firstLine="482"/>
              <w:rPr>
                <w:rFonts w:hint="default"/>
                <w:b/>
                <w:bCs/>
                <w:color w:val="auto"/>
                <w:kern w:val="0"/>
                <w:szCs w:val="21"/>
                <w:highlight w:val="none"/>
                <w:lang w:bidi="ar"/>
              </w:rPr>
            </w:pPr>
            <w:r>
              <w:rPr>
                <w:rFonts w:hint="eastAsia"/>
                <w:b/>
                <w:bCs/>
                <w:color w:val="auto"/>
                <w:highlight w:val="none"/>
              </w:rPr>
              <w:t>二、</w:t>
            </w:r>
            <w:r>
              <w:rPr>
                <w:rFonts w:hint="default"/>
                <w:b/>
                <w:bCs/>
                <w:color w:val="auto"/>
                <w:highlight w:val="none"/>
              </w:rPr>
              <w:t>运营期工艺流程</w:t>
            </w:r>
          </w:p>
          <w:p>
            <w:pPr>
              <w:pStyle w:val="14"/>
              <w:keepNext w:val="0"/>
              <w:keepLines w:val="0"/>
              <w:suppressLineNumbers w:val="0"/>
              <w:spacing w:before="0" w:beforeAutospacing="0" w:after="0" w:afterAutospacing="0"/>
              <w:ind w:left="0" w:right="0" w:firstLine="480"/>
              <w:rPr>
                <w:rFonts w:hint="eastAsia"/>
                <w:color w:val="auto"/>
                <w:sz w:val="24"/>
                <w:lang w:val="en-US" w:eastAsia="zh-CN"/>
              </w:rPr>
            </w:pPr>
            <w:r>
              <w:rPr>
                <w:rFonts w:hint="eastAsia"/>
                <w:color w:val="auto"/>
                <w:sz w:val="24"/>
                <w:lang w:val="en-US" w:eastAsia="zh-CN"/>
              </w:rPr>
              <w:t>1、工艺流程</w:t>
            </w:r>
          </w:p>
          <w:p>
            <w:pPr>
              <w:pStyle w:val="14"/>
              <w:keepNext w:val="0"/>
              <w:keepLines w:val="0"/>
              <w:suppressLineNumbers w:val="0"/>
              <w:spacing w:before="0" w:beforeAutospacing="0" w:after="0" w:afterAutospacing="0"/>
              <w:ind w:left="0" w:right="0" w:firstLine="480"/>
              <w:rPr>
                <w:rFonts w:hint="default" w:ascii="Times New Roman"/>
                <w:bCs/>
                <w:color w:val="auto"/>
                <w:szCs w:val="24"/>
                <w:highlight w:val="none"/>
              </w:rPr>
            </w:pPr>
            <w:r>
              <w:rPr>
                <w:rFonts w:hint="eastAsia"/>
                <w:color w:val="auto"/>
                <w:sz w:val="24"/>
              </w:rPr>
              <w:t>本项目原材料</w:t>
            </w:r>
            <w:r>
              <w:rPr>
                <w:rFonts w:hint="eastAsia"/>
                <w:color w:val="auto"/>
                <w:sz w:val="24"/>
                <w:highlight w:val="none"/>
              </w:rPr>
              <w:t>为</w:t>
            </w:r>
            <w:r>
              <w:rPr>
                <w:rFonts w:hint="eastAsia"/>
                <w:color w:val="auto"/>
                <w:sz w:val="24"/>
                <w:highlight w:val="none"/>
                <w:lang w:eastAsia="zh-CN"/>
              </w:rPr>
              <w:t>高密度聚乙烯</w:t>
            </w:r>
            <w:r>
              <w:rPr>
                <w:rFonts w:hint="eastAsia"/>
                <w:color w:val="auto"/>
                <w:sz w:val="24"/>
                <w:highlight w:val="none"/>
              </w:rPr>
              <w:t>颗粒和</w:t>
            </w:r>
            <w:r>
              <w:rPr>
                <w:rFonts w:hint="default"/>
                <w:color w:val="auto"/>
                <w:sz w:val="24"/>
                <w:highlight w:val="none"/>
              </w:rPr>
              <w:t>色母</w:t>
            </w:r>
            <w:r>
              <w:rPr>
                <w:rFonts w:hint="eastAsia"/>
                <w:color w:val="auto"/>
                <w:sz w:val="24"/>
                <w:highlight w:val="none"/>
                <w:lang w:val="en-US" w:eastAsia="zh-CN"/>
              </w:rPr>
              <w:t>颗粒</w:t>
            </w:r>
            <w:r>
              <w:rPr>
                <w:rFonts w:hint="eastAsia"/>
                <w:color w:val="auto"/>
                <w:sz w:val="24"/>
                <w:highlight w:val="none"/>
                <w:lang w:eastAsia="zh-CN"/>
              </w:rPr>
              <w:t>，</w:t>
            </w:r>
            <w:r>
              <w:rPr>
                <w:rFonts w:hint="eastAsia"/>
                <w:color w:val="auto"/>
                <w:sz w:val="24"/>
              </w:rPr>
              <w:t>生产</w:t>
            </w:r>
            <w:r>
              <w:rPr>
                <w:rFonts w:hint="default"/>
                <w:color w:val="auto"/>
                <w:sz w:val="24"/>
              </w:rPr>
              <w:t>工序较为简单</w:t>
            </w:r>
            <w:r>
              <w:rPr>
                <w:rFonts w:hint="eastAsia"/>
                <w:color w:val="auto"/>
                <w:sz w:val="24"/>
              </w:rPr>
              <w:t>，</w:t>
            </w:r>
            <w:r>
              <w:rPr>
                <w:rFonts w:hint="default"/>
                <w:color w:val="auto"/>
                <w:sz w:val="24"/>
              </w:rPr>
              <w:t>生产过程为物理加工过程</w:t>
            </w:r>
            <w:r>
              <w:rPr>
                <w:rFonts w:hint="eastAsia"/>
                <w:color w:val="auto"/>
                <w:sz w:val="24"/>
              </w:rPr>
              <w:t>。</w:t>
            </w:r>
            <w:r>
              <w:rPr>
                <w:rFonts w:hint="eastAsia" w:ascii="Times New Roman"/>
                <w:bCs/>
                <w:color w:val="auto"/>
                <w:szCs w:val="24"/>
                <w:highlight w:val="none"/>
              </w:rPr>
              <w:t>工艺流程图如下：</w:t>
            </w:r>
          </w:p>
          <w:p>
            <w:pPr>
              <w:pStyle w:val="36"/>
              <w:keepNext/>
              <w:keepLines/>
              <w:suppressLineNumbers w:val="0"/>
              <w:spacing w:before="0" w:beforeAutospacing="0" w:after="0" w:afterAutospacing="0"/>
              <w:ind w:left="0" w:leftChars="0" w:right="0" w:firstLine="0" w:firstLineChars="0"/>
              <w:jc w:val="center"/>
              <w:rPr>
                <w:rFonts w:hint="eastAsia"/>
                <w:b/>
                <w:bCs/>
                <w:color w:val="auto"/>
                <w:szCs w:val="21"/>
                <w:highlight w:val="none"/>
              </w:rPr>
            </w:pPr>
            <w:r>
              <w:rPr>
                <w:rFonts w:hint="eastAsia"/>
                <w:b/>
                <w:bCs/>
                <w:color w:val="auto"/>
                <w:szCs w:val="21"/>
                <w:highlight w:val="none"/>
              </w:rPr>
              <w:object>
                <v:shape id="_x0000_i1027" o:spt="75" type="#_x0000_t75" style="height:401.4pt;width:340.7pt;" o:ole="t" filled="f" o:preferrelative="t" stroked="f" coordsize="21600,21600">
                  <v:path/>
                  <v:fill on="f" focussize="0,0"/>
                  <v:stroke on="f"/>
                  <v:imagedata r:id="rId20" o:title=""/>
                  <o:lock v:ext="edit" aspectratio="f"/>
                  <w10:wrap type="none"/>
                  <w10:anchorlock/>
                </v:shape>
                <o:OLEObject Type="Embed" ProgID="Visio.Drawing.11" ShapeID="_x0000_i1027" DrawAspect="Content" ObjectID="_1468075726" r:id="rId19">
                  <o:LockedField>false</o:LockedField>
                </o:OLEObject>
              </w:object>
            </w:r>
          </w:p>
          <w:p>
            <w:pPr>
              <w:pStyle w:val="36"/>
              <w:keepNext/>
              <w:keepLines/>
              <w:suppressLineNumbers w:val="0"/>
              <w:spacing w:before="0" w:beforeAutospacing="0" w:after="0" w:afterAutospacing="0"/>
              <w:ind w:left="0" w:leftChars="0" w:right="0" w:firstLine="0" w:firstLineChars="0"/>
              <w:jc w:val="center"/>
              <w:rPr>
                <w:rFonts w:hint="default"/>
                <w:b/>
                <w:bCs/>
                <w:color w:val="auto"/>
                <w:szCs w:val="21"/>
                <w:highlight w:val="none"/>
              </w:rPr>
            </w:pPr>
            <w:r>
              <w:rPr>
                <w:rFonts w:hint="eastAsia"/>
                <w:b/>
                <w:bCs/>
                <w:color w:val="auto"/>
                <w:szCs w:val="21"/>
                <w:highlight w:val="none"/>
              </w:rPr>
              <w:t>图2-3  生产工艺流程及产污环节示意图</w:t>
            </w:r>
          </w:p>
          <w:p>
            <w:pPr>
              <w:pStyle w:val="14"/>
              <w:keepNext w:val="0"/>
              <w:keepLines w:val="0"/>
              <w:suppressLineNumbers w:val="0"/>
              <w:spacing w:before="0" w:beforeAutospacing="0" w:after="0" w:afterAutospacing="0"/>
              <w:ind w:left="0" w:right="0" w:firstLine="480"/>
              <w:rPr>
                <w:rFonts w:hint="default" w:ascii="Times New Roman"/>
                <w:bCs/>
                <w:color w:val="auto"/>
                <w:szCs w:val="24"/>
                <w:highlight w:val="none"/>
              </w:rPr>
            </w:pPr>
            <w:r>
              <w:rPr>
                <w:rFonts w:hint="eastAsia" w:ascii="Times New Roman"/>
                <w:bCs/>
                <w:color w:val="auto"/>
                <w:szCs w:val="24"/>
                <w:highlight w:val="none"/>
              </w:rPr>
              <w:t>工艺简述：</w:t>
            </w:r>
          </w:p>
          <w:p>
            <w:pPr>
              <w:keepNext w:val="0"/>
              <w:keepLines w:val="0"/>
              <w:suppressLineNumbers w:val="0"/>
              <w:tabs>
                <w:tab w:val="left" w:pos="4335"/>
              </w:tabs>
              <w:autoSpaceDE w:val="0"/>
              <w:autoSpaceDN w:val="0"/>
              <w:adjustRightInd w:val="0"/>
              <w:spacing w:before="0" w:beforeAutospacing="0" w:after="0" w:afterAutospacing="0" w:line="360" w:lineRule="auto"/>
              <w:ind w:left="0" w:right="0" w:firstLine="480" w:firstLineChars="200"/>
              <w:rPr>
                <w:rFonts w:hint="eastAsia"/>
                <w:color w:val="auto"/>
                <w:sz w:val="24"/>
                <w:szCs w:val="24"/>
              </w:rPr>
            </w:pPr>
            <w:r>
              <w:rPr>
                <w:rFonts w:hint="default"/>
                <w:color w:val="auto"/>
                <w:sz w:val="24"/>
                <w:szCs w:val="24"/>
              </w:rPr>
              <w:fldChar w:fldCharType="begin"/>
            </w:r>
            <w:r>
              <w:rPr>
                <w:rFonts w:hint="default"/>
                <w:color w:val="auto"/>
                <w:sz w:val="24"/>
                <w:szCs w:val="24"/>
              </w:rPr>
              <w:instrText xml:space="preserve"> </w:instrText>
            </w:r>
            <w:r>
              <w:rPr>
                <w:rFonts w:hint="eastAsia"/>
                <w:color w:val="auto"/>
                <w:sz w:val="24"/>
                <w:szCs w:val="24"/>
              </w:rPr>
              <w:instrText xml:space="preserve">= 1 \* GB3</w:instrText>
            </w:r>
            <w:r>
              <w:rPr>
                <w:rFonts w:hint="default"/>
                <w:color w:val="auto"/>
                <w:sz w:val="24"/>
                <w:szCs w:val="24"/>
              </w:rPr>
              <w:instrText xml:space="preserve"> </w:instrText>
            </w:r>
            <w:r>
              <w:rPr>
                <w:rFonts w:hint="default"/>
                <w:color w:val="auto"/>
                <w:sz w:val="24"/>
                <w:szCs w:val="24"/>
              </w:rPr>
              <w:fldChar w:fldCharType="separate"/>
            </w:r>
            <w:r>
              <w:rPr>
                <w:rFonts w:hint="eastAsia"/>
                <w:color w:val="auto"/>
                <w:sz w:val="24"/>
                <w:szCs w:val="24"/>
              </w:rPr>
              <w:t>①</w:t>
            </w:r>
            <w:r>
              <w:rPr>
                <w:rFonts w:hint="default"/>
                <w:color w:val="auto"/>
                <w:sz w:val="24"/>
                <w:szCs w:val="24"/>
              </w:rPr>
              <w:fldChar w:fldCharType="end"/>
            </w:r>
            <w:r>
              <w:rPr>
                <w:rFonts w:hint="eastAsia"/>
                <w:color w:val="auto"/>
                <w:sz w:val="24"/>
                <w:szCs w:val="24"/>
              </w:rPr>
              <w:t>原料混配：对原料</w:t>
            </w:r>
            <w:r>
              <w:rPr>
                <w:rFonts w:hint="eastAsia"/>
                <w:color w:val="auto"/>
                <w:sz w:val="24"/>
                <w:szCs w:val="24"/>
                <w:highlight w:val="none"/>
                <w:lang w:eastAsia="zh-CN"/>
              </w:rPr>
              <w:t>高密度聚乙烯</w:t>
            </w:r>
            <w:r>
              <w:rPr>
                <w:rFonts w:hint="eastAsia"/>
                <w:color w:val="auto"/>
                <w:sz w:val="24"/>
                <w:szCs w:val="24"/>
              </w:rPr>
              <w:t>、色母按照一定的比例进行充分混合。</w:t>
            </w:r>
          </w:p>
          <w:p>
            <w:pPr>
              <w:keepNext w:val="0"/>
              <w:keepLines w:val="0"/>
              <w:suppressLineNumbers w:val="0"/>
              <w:tabs>
                <w:tab w:val="left" w:pos="4335"/>
              </w:tabs>
              <w:autoSpaceDE w:val="0"/>
              <w:autoSpaceDN w:val="0"/>
              <w:adjustRightInd w:val="0"/>
              <w:spacing w:before="0" w:beforeAutospacing="0" w:after="0" w:afterAutospacing="0" w:line="360" w:lineRule="auto"/>
              <w:ind w:left="0" w:right="0" w:firstLine="480" w:firstLineChars="200"/>
              <w:rPr>
                <w:rFonts w:hint="eastAsia"/>
                <w:color w:val="auto"/>
                <w:sz w:val="24"/>
                <w:szCs w:val="24"/>
              </w:rPr>
            </w:pPr>
            <w:r>
              <w:rPr>
                <w:rFonts w:hint="eastAsia" w:ascii="宋体" w:hAnsi="宋体" w:cs="宋体"/>
                <w:color w:val="auto"/>
                <w:sz w:val="24"/>
                <w:szCs w:val="24"/>
              </w:rPr>
              <w:t>②上料：将原料通过吸料机供给挤出机。</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③挤出：</w:t>
            </w:r>
            <w:r>
              <w:rPr>
                <w:rFonts w:hint="eastAsia" w:ascii="宋体" w:hAnsi="宋体" w:cs="宋体"/>
                <w:color w:val="auto"/>
                <w:sz w:val="24"/>
                <w:szCs w:val="24"/>
                <w:lang w:eastAsia="zh-CN"/>
              </w:rPr>
              <w:t>高密度聚乙烯</w:t>
            </w:r>
            <w:r>
              <w:rPr>
                <w:rFonts w:hint="eastAsia" w:ascii="宋体" w:hAnsi="宋体" w:cs="宋体"/>
                <w:color w:val="auto"/>
                <w:sz w:val="24"/>
                <w:szCs w:val="24"/>
              </w:rPr>
              <w:t>及色母颗粒在挤出机内通过电加热受热软化（通过温控装置控热温度200℃），在挤出机的强力机械挤压成型，挤出的同时进行真空定径。</w:t>
            </w:r>
            <w:r>
              <w:rPr>
                <w:rFonts w:hint="eastAsia" w:ascii="宋体" w:hAnsi="宋体" w:cs="宋体"/>
                <w:b/>
                <w:bCs/>
                <w:color w:val="auto"/>
                <w:sz w:val="24"/>
                <w:szCs w:val="24"/>
                <w:lang w:val="en-US" w:eastAsia="zh-CN"/>
              </w:rPr>
              <w:t>该工序会产生有机废气、设备运行时的噪声。</w:t>
            </w:r>
          </w:p>
          <w:p>
            <w:pPr>
              <w:keepNext w:val="0"/>
              <w:keepLines w:val="0"/>
              <w:suppressLineNumbers w:val="0"/>
              <w:tabs>
                <w:tab w:val="left" w:pos="4335"/>
              </w:tabs>
              <w:autoSpaceDE w:val="0"/>
              <w:autoSpaceDN w:val="0"/>
              <w:adjustRightInd w:val="0"/>
              <w:spacing w:before="0" w:beforeAutospacing="0" w:after="0" w:afterAutospacing="0" w:line="360" w:lineRule="auto"/>
              <w:ind w:left="0" w:right="0"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④冷却：</w:t>
            </w:r>
            <w:r>
              <w:rPr>
                <w:rFonts w:hint="eastAsia" w:ascii="宋体" w:hAnsi="宋体" w:cs="宋体"/>
                <w:color w:val="auto"/>
                <w:sz w:val="24"/>
                <w:szCs w:val="24"/>
                <w:lang w:val="en-US" w:eastAsia="zh-CN"/>
              </w:rPr>
              <w:t>管材</w:t>
            </w:r>
            <w:r>
              <w:rPr>
                <w:rFonts w:hint="eastAsia" w:ascii="宋体" w:hAnsi="宋体" w:cs="宋体"/>
                <w:color w:val="auto"/>
                <w:sz w:val="24"/>
                <w:szCs w:val="24"/>
              </w:rPr>
              <w:t>经过真空冷却定型和二次喷淋冷却水进行冷却。</w:t>
            </w:r>
            <w:r>
              <w:rPr>
                <w:rFonts w:hint="eastAsia" w:ascii="宋体" w:hAnsi="宋体" w:cs="宋体"/>
                <w:b/>
                <w:bCs/>
                <w:color w:val="auto"/>
                <w:sz w:val="24"/>
                <w:szCs w:val="24"/>
                <w:lang w:val="en-US" w:eastAsia="zh-CN"/>
              </w:rPr>
              <w:t>该工序冷却塔及水泵运行会产生噪声。</w:t>
            </w:r>
          </w:p>
          <w:p>
            <w:pPr>
              <w:keepNext w:val="0"/>
              <w:keepLines w:val="0"/>
              <w:suppressLineNumbers w:val="0"/>
              <w:tabs>
                <w:tab w:val="left" w:pos="4335"/>
              </w:tabs>
              <w:autoSpaceDE w:val="0"/>
              <w:autoSpaceDN w:val="0"/>
              <w:adjustRightInd w:val="0"/>
              <w:spacing w:before="0" w:beforeAutospacing="0" w:after="0" w:afterAutospacing="0" w:line="360" w:lineRule="auto"/>
              <w:ind w:left="0" w:right="0" w:firstLine="480" w:firstLineChars="200"/>
              <w:rPr>
                <w:rFonts w:hint="default" w:ascii="宋体" w:hAnsi="宋体" w:eastAsia="宋体" w:cs="宋体"/>
                <w:b/>
                <w:bCs/>
                <w:color w:val="auto"/>
                <w:sz w:val="24"/>
                <w:szCs w:val="24"/>
                <w:lang w:val="en-US" w:eastAsia="zh-CN"/>
              </w:rPr>
            </w:pPr>
            <w:r>
              <w:rPr>
                <w:rFonts w:hint="eastAsia" w:ascii="宋体" w:hAnsi="宋体" w:cs="宋体"/>
                <w:color w:val="auto"/>
                <w:sz w:val="24"/>
                <w:szCs w:val="24"/>
              </w:rPr>
              <w:t>⑤牵引、切割：</w:t>
            </w:r>
            <w:r>
              <w:rPr>
                <w:rFonts w:hint="eastAsia" w:ascii="宋体" w:hAnsi="宋体" w:cs="宋体"/>
                <w:color w:val="auto"/>
                <w:sz w:val="24"/>
                <w:szCs w:val="24"/>
                <w:lang w:val="en-US" w:eastAsia="zh-CN"/>
              </w:rPr>
              <w:t>本项目切割工艺采用西门子PLC程序控制，</w:t>
            </w:r>
            <w:r>
              <w:rPr>
                <w:rFonts w:hint="eastAsia" w:ascii="宋体" w:hAnsi="宋体" w:cs="宋体"/>
                <w:color w:val="auto"/>
                <w:sz w:val="24"/>
                <w:szCs w:val="24"/>
              </w:rPr>
              <w:t>将冷却后的管材经牵引机牵引至切割机处，切割机按</w:t>
            </w:r>
            <w:r>
              <w:rPr>
                <w:rFonts w:hint="eastAsia" w:ascii="宋体" w:hAnsi="宋体" w:cs="宋体"/>
                <w:color w:val="auto"/>
                <w:sz w:val="24"/>
                <w:szCs w:val="24"/>
                <w:lang w:val="en-US" w:eastAsia="zh-CN"/>
              </w:rPr>
              <w:t>程序设定长度的反馈信号采用旋转式横向液压方式</w:t>
            </w:r>
            <w:r>
              <w:rPr>
                <w:rFonts w:hint="eastAsia" w:ascii="宋体" w:hAnsi="宋体" w:cs="宋体"/>
                <w:color w:val="auto"/>
                <w:sz w:val="24"/>
                <w:szCs w:val="24"/>
              </w:rPr>
              <w:t>切割</w:t>
            </w:r>
            <w:r>
              <w:rPr>
                <w:rFonts w:hint="eastAsia" w:ascii="宋体" w:hAnsi="宋体" w:cs="宋体"/>
                <w:color w:val="auto"/>
                <w:sz w:val="24"/>
                <w:szCs w:val="24"/>
                <w:lang w:eastAsia="zh-CN"/>
              </w:rPr>
              <w:t>，</w:t>
            </w:r>
            <w:r>
              <w:rPr>
                <w:rFonts w:hint="eastAsia" w:ascii="宋体" w:hAnsi="宋体" w:cs="宋体"/>
                <w:b/>
                <w:bCs/>
                <w:color w:val="auto"/>
                <w:sz w:val="24"/>
                <w:szCs w:val="24"/>
                <w:lang w:val="en-US" w:eastAsia="zh-CN"/>
              </w:rPr>
              <w:t>该工序会产生</w:t>
            </w:r>
            <w:r>
              <w:rPr>
                <w:rFonts w:hint="eastAsia" w:ascii="宋体" w:hAnsi="宋体" w:cs="宋体"/>
                <w:b/>
                <w:bCs/>
                <w:color w:val="auto"/>
                <w:sz w:val="24"/>
                <w:szCs w:val="24"/>
                <w:lang w:eastAsia="zh-CN"/>
              </w:rPr>
              <w:t>废边料、</w:t>
            </w:r>
            <w:r>
              <w:rPr>
                <w:rFonts w:hint="eastAsia" w:ascii="宋体" w:hAnsi="宋体" w:cs="宋体"/>
                <w:b/>
                <w:bCs/>
                <w:color w:val="auto"/>
                <w:sz w:val="24"/>
                <w:szCs w:val="24"/>
                <w:lang w:val="en-US" w:eastAsia="zh-CN"/>
              </w:rPr>
              <w:t>噪声</w:t>
            </w:r>
            <w:r>
              <w:rPr>
                <w:rFonts w:hint="eastAsia" w:ascii="宋体" w:hAnsi="宋体" w:cs="宋体"/>
                <w:b/>
                <w:bCs/>
                <w:color w:val="auto"/>
                <w:sz w:val="24"/>
                <w:szCs w:val="24"/>
              </w:rPr>
              <w:t>。</w:t>
            </w:r>
          </w:p>
          <w:p>
            <w:pPr>
              <w:keepNext w:val="0"/>
              <w:keepLines w:val="0"/>
              <w:suppressLineNumbers w:val="0"/>
              <w:tabs>
                <w:tab w:val="left" w:pos="4335"/>
              </w:tabs>
              <w:autoSpaceDE w:val="0"/>
              <w:autoSpaceDN w:val="0"/>
              <w:adjustRightInd w:val="0"/>
              <w:spacing w:before="0" w:beforeAutospacing="0" w:after="0" w:afterAutospacing="0" w:line="360" w:lineRule="auto"/>
              <w:ind w:left="0" w:right="0"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⑥检验：对切割成规定尺寸的管材进行检验，检验合格产品入库待售，不合格的残次品集中收集统一外售。</w:t>
            </w:r>
            <w:r>
              <w:rPr>
                <w:rFonts w:hint="eastAsia" w:ascii="宋体" w:hAnsi="宋体" w:cs="宋体"/>
                <w:b/>
                <w:bCs/>
                <w:color w:val="auto"/>
                <w:sz w:val="24"/>
                <w:szCs w:val="24"/>
                <w:lang w:val="en-US" w:eastAsia="zh-CN"/>
              </w:rPr>
              <w:t>该工序会产生不合格品。</w:t>
            </w:r>
          </w:p>
          <w:p>
            <w:pPr>
              <w:keepNext w:val="0"/>
              <w:keepLines w:val="0"/>
              <w:suppressLineNumbers w:val="0"/>
              <w:spacing w:before="0" w:beforeAutospacing="0" w:after="0" w:afterAutospacing="0"/>
              <w:ind w:left="0" w:right="0" w:firstLine="480"/>
              <w:rPr>
                <w:rFonts w:hint="default"/>
                <w:color w:val="auto"/>
                <w:highlight w:val="none"/>
              </w:rPr>
            </w:pPr>
            <w:r>
              <w:rPr>
                <w:rFonts w:hint="eastAsia"/>
                <w:color w:val="auto"/>
                <w:highlight w:val="none"/>
              </w:rPr>
              <w:t>2、运营期主要</w:t>
            </w:r>
            <w:r>
              <w:rPr>
                <w:rFonts w:hint="default"/>
                <w:color w:val="auto"/>
                <w:highlight w:val="none"/>
              </w:rPr>
              <w:t>产污环节</w:t>
            </w:r>
          </w:p>
          <w:p>
            <w:pPr>
              <w:keepNext w:val="0"/>
              <w:keepLines w:val="0"/>
              <w:suppressLineNumbers w:val="0"/>
              <w:spacing w:before="0" w:beforeAutospacing="0" w:after="0" w:afterAutospacing="0"/>
              <w:ind w:left="0" w:right="0" w:firstLine="468"/>
              <w:rPr>
                <w:rFonts w:hint="default"/>
                <w:color w:val="auto"/>
                <w:spacing w:val="-3"/>
                <w:highlight w:val="none"/>
              </w:rPr>
            </w:pPr>
            <w:r>
              <w:rPr>
                <w:rFonts w:hint="default"/>
                <w:color w:val="auto"/>
                <w:spacing w:val="-3"/>
                <w:highlight w:val="none"/>
              </w:rPr>
              <w:t>本项目运营期主要产污环节见下表：</w:t>
            </w:r>
          </w:p>
          <w:p>
            <w:pPr>
              <w:pStyle w:val="77"/>
              <w:keepNext w:val="0"/>
              <w:keepLines w:val="0"/>
              <w:widowControl/>
              <w:suppressLineNumbers w:val="0"/>
              <w:spacing w:before="0" w:beforeLines="0" w:beforeAutospacing="0" w:after="0" w:afterAutospacing="0" w:line="240" w:lineRule="auto"/>
              <w:ind w:left="0" w:right="0"/>
              <w:rPr>
                <w:rFonts w:hint="default" w:eastAsia="宋体"/>
                <w:b/>
                <w:bCs/>
                <w:color w:val="auto"/>
                <w:highlight w:val="none"/>
              </w:rPr>
            </w:pPr>
            <w:r>
              <w:rPr>
                <w:rFonts w:hint="default" w:eastAsia="宋体"/>
                <w:b/>
                <w:bCs/>
                <w:color w:val="auto"/>
                <w:highlight w:val="none"/>
              </w:rPr>
              <w:t>表2-</w:t>
            </w:r>
            <w:r>
              <w:rPr>
                <w:rFonts w:hint="eastAsia" w:eastAsia="宋体"/>
                <w:b/>
                <w:bCs/>
                <w:color w:val="auto"/>
                <w:highlight w:val="none"/>
                <w:lang w:val="en-US" w:eastAsia="zh-CN"/>
              </w:rPr>
              <w:t>8</w:t>
            </w:r>
            <w:r>
              <w:rPr>
                <w:rFonts w:hint="default" w:eastAsia="宋体"/>
                <w:b/>
                <w:bCs/>
                <w:color w:val="auto"/>
                <w:highlight w:val="none"/>
              </w:rPr>
              <w:t xml:space="preserve">   运营期主要污染工序一览表</w:t>
            </w:r>
          </w:p>
          <w:tbl>
            <w:tblPr>
              <w:tblStyle w:val="37"/>
              <w:tblW w:w="498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970"/>
              <w:gridCol w:w="1764"/>
              <w:gridCol w:w="2175"/>
              <w:gridCol w:w="282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13"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污染类别</w:t>
                  </w:r>
                </w:p>
              </w:tc>
              <w:tc>
                <w:tcPr>
                  <w:tcW w:w="575"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序号</w:t>
                  </w:r>
                </w:p>
              </w:tc>
              <w:tc>
                <w:tcPr>
                  <w:tcW w:w="1046"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污染源名称</w:t>
                  </w:r>
                </w:p>
              </w:tc>
              <w:tc>
                <w:tcPr>
                  <w:tcW w:w="1290"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产污环节</w:t>
                  </w:r>
                </w:p>
              </w:tc>
              <w:tc>
                <w:tcPr>
                  <w:tcW w:w="1674"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主要污染因子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13"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废气</w:t>
                  </w:r>
                </w:p>
              </w:tc>
              <w:tc>
                <w:tcPr>
                  <w:tcW w:w="575"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G1</w:t>
                  </w:r>
                </w:p>
              </w:tc>
              <w:tc>
                <w:tcPr>
                  <w:tcW w:w="1046"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有机废气</w:t>
                  </w:r>
                </w:p>
              </w:tc>
              <w:tc>
                <w:tcPr>
                  <w:tcW w:w="1290"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挤出成型</w:t>
                  </w:r>
                </w:p>
              </w:tc>
              <w:tc>
                <w:tcPr>
                  <w:tcW w:w="1674"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非甲烷总烃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13" w:type="pct"/>
                  <w:vMerge w:val="restar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废水</w:t>
                  </w:r>
                </w:p>
              </w:tc>
              <w:tc>
                <w:tcPr>
                  <w:tcW w:w="575"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W1</w:t>
                  </w:r>
                </w:p>
              </w:tc>
              <w:tc>
                <w:tcPr>
                  <w:tcW w:w="1046"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生活污水</w:t>
                  </w:r>
                </w:p>
              </w:tc>
              <w:tc>
                <w:tcPr>
                  <w:tcW w:w="1290"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员工生活、办公</w:t>
                  </w:r>
                </w:p>
              </w:tc>
              <w:tc>
                <w:tcPr>
                  <w:tcW w:w="1674"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1"/>
                      <w:highlight w:val="none"/>
                    </w:rPr>
                    <w:t>COD</w:t>
                  </w:r>
                  <w:r>
                    <w:rPr>
                      <w:rFonts w:hint="default"/>
                      <w:color w:val="auto"/>
                      <w:szCs w:val="21"/>
                      <w:highlight w:val="none"/>
                      <w:vertAlign w:val="subscript"/>
                    </w:rPr>
                    <w:t>Cr</w:t>
                  </w:r>
                  <w:r>
                    <w:rPr>
                      <w:rFonts w:hint="default"/>
                      <w:color w:val="auto"/>
                      <w:szCs w:val="21"/>
                      <w:highlight w:val="none"/>
                    </w:rPr>
                    <w:t>、氨氮、SS</w:t>
                  </w:r>
                  <w:r>
                    <w:rPr>
                      <w:rFonts w:hint="eastAsia"/>
                      <w:color w:val="auto"/>
                      <w:szCs w:val="21"/>
                      <w:highlight w:val="none"/>
                    </w:rPr>
                    <w:t>、BOD</w:t>
                  </w:r>
                  <w:r>
                    <w:rPr>
                      <w:rFonts w:hint="eastAsia"/>
                      <w:color w:val="auto"/>
                      <w:szCs w:val="21"/>
                      <w:highlight w:val="none"/>
                      <w:vertAlign w:val="subscript"/>
                    </w:rPr>
                    <w:t>5</w:t>
                  </w:r>
                  <w:r>
                    <w:rPr>
                      <w:rFonts w:hint="eastAsia"/>
                      <w:color w:val="auto"/>
                      <w:szCs w:val="21"/>
                      <w:highlight w:val="none"/>
                    </w:rPr>
                    <w:t>、TP、TN</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13" w:type="pct"/>
                  <w:vMerge w:val="continue"/>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575"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W2</w:t>
                  </w:r>
                </w:p>
              </w:tc>
              <w:tc>
                <w:tcPr>
                  <w:tcW w:w="1046"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lang w:val="en-US"/>
                    </w:rPr>
                  </w:pPr>
                  <w:r>
                    <w:rPr>
                      <w:rFonts w:hint="eastAsia"/>
                      <w:color w:val="auto"/>
                      <w:szCs w:val="20"/>
                      <w:highlight w:val="none"/>
                      <w:lang w:val="en-US" w:eastAsia="zh-CN"/>
                    </w:rPr>
                    <w:t>冷却排污</w:t>
                  </w:r>
                </w:p>
              </w:tc>
              <w:tc>
                <w:tcPr>
                  <w:tcW w:w="1290" w:type="pct"/>
                  <w:vAlign w:val="center"/>
                </w:tcPr>
                <w:p>
                  <w:pPr>
                    <w:pStyle w:val="80"/>
                    <w:keepNext w:val="0"/>
                    <w:keepLines w:val="0"/>
                    <w:widowControl/>
                    <w:suppressLineNumbers w:val="0"/>
                    <w:spacing w:before="0" w:beforeAutospacing="0" w:after="0" w:afterAutospacing="0"/>
                    <w:ind w:left="0" w:right="0"/>
                    <w:rPr>
                      <w:rFonts w:hint="eastAsia" w:eastAsia="宋体"/>
                      <w:color w:val="auto"/>
                      <w:szCs w:val="20"/>
                      <w:highlight w:val="none"/>
                      <w:lang w:eastAsia="zh-CN"/>
                    </w:rPr>
                  </w:pPr>
                  <w:r>
                    <w:rPr>
                      <w:rFonts w:hint="eastAsia"/>
                      <w:color w:val="auto"/>
                      <w:szCs w:val="20"/>
                      <w:highlight w:val="none"/>
                      <w:lang w:val="en-US" w:eastAsia="zh-CN"/>
                    </w:rPr>
                    <w:t>循环冷却</w:t>
                  </w:r>
                </w:p>
              </w:tc>
              <w:tc>
                <w:tcPr>
                  <w:tcW w:w="1674" w:type="pct"/>
                  <w:vAlign w:val="center"/>
                </w:tcPr>
                <w:p>
                  <w:pPr>
                    <w:pStyle w:val="80"/>
                    <w:keepNext w:val="0"/>
                    <w:keepLines w:val="0"/>
                    <w:widowControl/>
                    <w:suppressLineNumbers w:val="0"/>
                    <w:spacing w:before="0" w:beforeAutospacing="0" w:after="0" w:afterAutospacing="0"/>
                    <w:ind w:left="0" w:right="0"/>
                    <w:rPr>
                      <w:rFonts w:hint="default"/>
                      <w:color w:val="auto"/>
                      <w:szCs w:val="21"/>
                      <w:highlight w:val="none"/>
                    </w:rPr>
                  </w:pPr>
                  <w:r>
                    <w:rPr>
                      <w:rFonts w:hint="eastAsia"/>
                      <w:color w:val="auto"/>
                      <w:szCs w:val="21"/>
                      <w:highlight w:val="none"/>
                    </w:rPr>
                    <w:t>SS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13"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噪声</w:t>
                  </w:r>
                </w:p>
              </w:tc>
              <w:tc>
                <w:tcPr>
                  <w:tcW w:w="575"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N</w:t>
                  </w:r>
                </w:p>
              </w:tc>
              <w:tc>
                <w:tcPr>
                  <w:tcW w:w="1046"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设备运行噪声</w:t>
                  </w:r>
                </w:p>
              </w:tc>
              <w:tc>
                <w:tcPr>
                  <w:tcW w:w="1290"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生产过程</w:t>
                  </w:r>
                </w:p>
              </w:tc>
              <w:tc>
                <w:tcPr>
                  <w:tcW w:w="1674"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机械噪声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13" w:type="pct"/>
                  <w:vMerge w:val="restar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固废</w:t>
                  </w:r>
                </w:p>
              </w:tc>
              <w:tc>
                <w:tcPr>
                  <w:tcW w:w="575"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S1</w:t>
                  </w:r>
                </w:p>
              </w:tc>
              <w:tc>
                <w:tcPr>
                  <w:tcW w:w="1046" w:type="pct"/>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eastAsia"/>
                      <w:color w:val="auto"/>
                      <w:szCs w:val="20"/>
                      <w:highlight w:val="none"/>
                    </w:rPr>
                    <w:t>不合格品</w:t>
                  </w:r>
                </w:p>
              </w:tc>
              <w:tc>
                <w:tcPr>
                  <w:tcW w:w="1290" w:type="pct"/>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eastAsia"/>
                      <w:color w:val="auto"/>
                      <w:szCs w:val="20"/>
                      <w:highlight w:val="none"/>
                    </w:rPr>
                    <w:t>检验</w:t>
                  </w:r>
                </w:p>
              </w:tc>
              <w:tc>
                <w:tcPr>
                  <w:tcW w:w="1674" w:type="pct"/>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eastAsia"/>
                      <w:color w:val="auto"/>
                      <w:szCs w:val="20"/>
                      <w:highlight w:val="none"/>
                    </w:rPr>
                    <w:t>不合格品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13" w:type="pct"/>
                  <w:vMerge w:val="continue"/>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575" w:type="pct"/>
                  <w:vAlign w:val="center"/>
                </w:tcPr>
                <w:p>
                  <w:pPr>
                    <w:pStyle w:val="80"/>
                    <w:keepNext w:val="0"/>
                    <w:keepLines w:val="0"/>
                    <w:widowControl/>
                    <w:suppressLineNumbers w:val="0"/>
                    <w:spacing w:before="0" w:beforeAutospacing="0" w:after="0" w:afterAutospacing="0"/>
                    <w:ind w:left="0" w:right="0"/>
                    <w:rPr>
                      <w:rFonts w:hint="eastAsia" w:ascii="Times New Roman" w:hAnsi="Times New Roman" w:eastAsia="宋体" w:cs="Times New Roman"/>
                      <w:color w:val="auto"/>
                      <w:sz w:val="21"/>
                      <w:szCs w:val="20"/>
                      <w:highlight w:val="none"/>
                      <w:lang w:val="en-US" w:eastAsia="zh-CN" w:bidi="ar-SA"/>
                    </w:rPr>
                  </w:pPr>
                  <w:r>
                    <w:rPr>
                      <w:rFonts w:hint="eastAsia"/>
                      <w:color w:val="auto"/>
                      <w:szCs w:val="20"/>
                      <w:highlight w:val="none"/>
                    </w:rPr>
                    <w:t>S2</w:t>
                  </w:r>
                </w:p>
              </w:tc>
              <w:tc>
                <w:tcPr>
                  <w:tcW w:w="1046" w:type="pct"/>
                  <w:vAlign w:val="center"/>
                </w:tcPr>
                <w:p>
                  <w:pPr>
                    <w:pStyle w:val="80"/>
                    <w:keepNext w:val="0"/>
                    <w:keepLines w:val="0"/>
                    <w:widowControl/>
                    <w:suppressLineNumbers w:val="0"/>
                    <w:spacing w:before="0" w:beforeAutospacing="0" w:after="0" w:afterAutospacing="0"/>
                    <w:ind w:left="0" w:right="0"/>
                    <w:rPr>
                      <w:rFonts w:hint="eastAsia" w:eastAsia="宋体"/>
                      <w:color w:val="auto"/>
                      <w:szCs w:val="20"/>
                      <w:highlight w:val="none"/>
                      <w:lang w:val="en-US" w:eastAsia="zh-CN"/>
                    </w:rPr>
                  </w:pPr>
                  <w:r>
                    <w:rPr>
                      <w:rFonts w:hint="eastAsia"/>
                      <w:color w:val="auto"/>
                      <w:szCs w:val="20"/>
                      <w:highlight w:val="none"/>
                      <w:lang w:val="en-US" w:eastAsia="zh-CN"/>
                    </w:rPr>
                    <w:t>废边料</w:t>
                  </w:r>
                </w:p>
              </w:tc>
              <w:tc>
                <w:tcPr>
                  <w:tcW w:w="1290" w:type="pct"/>
                  <w:vAlign w:val="center"/>
                </w:tcPr>
                <w:p>
                  <w:pPr>
                    <w:pStyle w:val="80"/>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lang w:val="en-US" w:eastAsia="zh-CN"/>
                    </w:rPr>
                    <w:t>切割</w:t>
                  </w:r>
                </w:p>
              </w:tc>
              <w:tc>
                <w:tcPr>
                  <w:tcW w:w="1674" w:type="pct"/>
                  <w:vAlign w:val="center"/>
                </w:tcPr>
                <w:p>
                  <w:pPr>
                    <w:pStyle w:val="80"/>
                    <w:keepNext w:val="0"/>
                    <w:keepLines w:val="0"/>
                    <w:widowControl/>
                    <w:suppressLineNumbers w:val="0"/>
                    <w:spacing w:before="0" w:beforeAutospacing="0" w:after="0" w:afterAutospacing="0"/>
                    <w:ind w:left="0" w:right="0"/>
                    <w:rPr>
                      <w:rFonts w:hint="eastAsia"/>
                      <w:color w:val="auto"/>
                      <w:szCs w:val="20"/>
                      <w:highlight w:val="none"/>
                    </w:rPr>
                  </w:pPr>
                  <w:r>
                    <w:rPr>
                      <w:rFonts w:hint="eastAsia"/>
                      <w:color w:val="auto"/>
                      <w:szCs w:val="20"/>
                      <w:highlight w:val="none"/>
                      <w:lang w:val="en-US" w:eastAsia="zh-CN"/>
                    </w:rPr>
                    <w:t>废边料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13" w:type="pct"/>
                  <w:vMerge w:val="continue"/>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575" w:type="pct"/>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eastAsia"/>
                      <w:color w:val="auto"/>
                      <w:szCs w:val="20"/>
                      <w:highlight w:val="none"/>
                    </w:rPr>
                    <w:t>S3</w:t>
                  </w:r>
                </w:p>
              </w:tc>
              <w:tc>
                <w:tcPr>
                  <w:tcW w:w="1046" w:type="pct"/>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eastAsia"/>
                      <w:color w:val="auto"/>
                      <w:szCs w:val="20"/>
                      <w:highlight w:val="none"/>
                    </w:rPr>
                    <w:t>废包材</w:t>
                  </w:r>
                </w:p>
              </w:tc>
              <w:tc>
                <w:tcPr>
                  <w:tcW w:w="1290" w:type="pct"/>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eastAsia"/>
                      <w:color w:val="auto"/>
                      <w:szCs w:val="20"/>
                      <w:highlight w:val="none"/>
                    </w:rPr>
                    <w:t>包装</w:t>
                  </w:r>
                </w:p>
              </w:tc>
              <w:tc>
                <w:tcPr>
                  <w:tcW w:w="1674" w:type="pct"/>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eastAsia"/>
                      <w:color w:val="auto"/>
                      <w:szCs w:val="20"/>
                      <w:highlight w:val="none"/>
                    </w:rPr>
                    <w:t>废包材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13" w:type="pct"/>
                  <w:vMerge w:val="continue"/>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575" w:type="pct"/>
                  <w:vAlign w:val="center"/>
                </w:tcPr>
                <w:p>
                  <w:pPr>
                    <w:pStyle w:val="80"/>
                    <w:keepNext w:val="0"/>
                    <w:keepLines w:val="0"/>
                    <w:widowControl/>
                    <w:suppressLineNumbers w:val="0"/>
                    <w:spacing w:before="0" w:beforeAutospacing="0" w:after="0" w:afterAutospacing="0"/>
                    <w:ind w:left="0" w:right="0"/>
                    <w:rPr>
                      <w:rFonts w:hint="eastAsia" w:ascii="Times New Roman" w:hAnsi="Times New Roman" w:eastAsia="宋体" w:cs="Times New Roman"/>
                      <w:color w:val="auto"/>
                      <w:sz w:val="21"/>
                      <w:szCs w:val="20"/>
                      <w:highlight w:val="none"/>
                      <w:lang w:val="en-US" w:eastAsia="zh-CN" w:bidi="ar-SA"/>
                    </w:rPr>
                  </w:pPr>
                  <w:r>
                    <w:rPr>
                      <w:rFonts w:hint="eastAsia"/>
                      <w:color w:val="auto"/>
                      <w:szCs w:val="20"/>
                      <w:highlight w:val="none"/>
                    </w:rPr>
                    <w:t>S</w:t>
                  </w:r>
                  <w:r>
                    <w:rPr>
                      <w:rFonts w:hint="eastAsia"/>
                      <w:color w:val="auto"/>
                      <w:szCs w:val="20"/>
                      <w:highlight w:val="none"/>
                      <w:lang w:val="en-US" w:eastAsia="zh-CN"/>
                    </w:rPr>
                    <w:t>4</w:t>
                  </w:r>
                </w:p>
              </w:tc>
              <w:tc>
                <w:tcPr>
                  <w:tcW w:w="1046" w:type="pct"/>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eastAsia"/>
                      <w:color w:val="auto"/>
                      <w:szCs w:val="20"/>
                      <w:highlight w:val="none"/>
                    </w:rPr>
                    <w:t>废机油、废油桶、含污油抹布手套</w:t>
                  </w:r>
                </w:p>
              </w:tc>
              <w:tc>
                <w:tcPr>
                  <w:tcW w:w="1290" w:type="pct"/>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eastAsia"/>
                      <w:color w:val="auto"/>
                      <w:szCs w:val="20"/>
                      <w:highlight w:val="none"/>
                    </w:rPr>
                    <w:t>设备维护检修</w:t>
                  </w:r>
                </w:p>
              </w:tc>
              <w:tc>
                <w:tcPr>
                  <w:tcW w:w="1674" w:type="pct"/>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eastAsia"/>
                      <w:color w:val="auto"/>
                      <w:szCs w:val="20"/>
                      <w:highlight w:val="none"/>
                    </w:rPr>
                    <w:t>废机油、废油桶、含污油抹布手套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13" w:type="pct"/>
                  <w:vMerge w:val="continue"/>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575" w:type="pct"/>
                  <w:vAlign w:val="center"/>
                </w:tcPr>
                <w:p>
                  <w:pPr>
                    <w:pStyle w:val="80"/>
                    <w:keepNext w:val="0"/>
                    <w:keepLines w:val="0"/>
                    <w:widowControl/>
                    <w:suppressLineNumbers w:val="0"/>
                    <w:spacing w:before="0" w:beforeAutospacing="0" w:after="0" w:afterAutospacing="0"/>
                    <w:ind w:left="0" w:right="0"/>
                    <w:rPr>
                      <w:rFonts w:hint="eastAsia" w:ascii="Times New Roman" w:hAnsi="Times New Roman" w:eastAsia="宋体" w:cs="Times New Roman"/>
                      <w:color w:val="auto"/>
                      <w:sz w:val="21"/>
                      <w:szCs w:val="20"/>
                      <w:highlight w:val="none"/>
                      <w:lang w:val="en-US" w:eastAsia="zh-CN" w:bidi="ar-SA"/>
                    </w:rPr>
                  </w:pPr>
                  <w:r>
                    <w:rPr>
                      <w:rFonts w:hint="eastAsia"/>
                      <w:color w:val="auto"/>
                      <w:szCs w:val="20"/>
                      <w:highlight w:val="none"/>
                    </w:rPr>
                    <w:t>S</w:t>
                  </w:r>
                  <w:r>
                    <w:rPr>
                      <w:rFonts w:hint="eastAsia"/>
                      <w:color w:val="auto"/>
                      <w:szCs w:val="20"/>
                      <w:highlight w:val="none"/>
                      <w:lang w:val="en-US" w:eastAsia="zh-CN"/>
                    </w:rPr>
                    <w:t>5</w:t>
                  </w:r>
                </w:p>
              </w:tc>
              <w:tc>
                <w:tcPr>
                  <w:tcW w:w="1046" w:type="pct"/>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eastAsia"/>
                      <w:color w:val="auto"/>
                      <w:szCs w:val="20"/>
                      <w:highlight w:val="none"/>
                    </w:rPr>
                    <w:t>废活性炭</w:t>
                  </w:r>
                </w:p>
              </w:tc>
              <w:tc>
                <w:tcPr>
                  <w:tcW w:w="1290" w:type="pct"/>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default"/>
                      <w:color w:val="auto"/>
                      <w:szCs w:val="20"/>
                      <w:highlight w:val="none"/>
                    </w:rPr>
                    <w:t>有机废气处理</w:t>
                  </w:r>
                </w:p>
              </w:tc>
              <w:tc>
                <w:tcPr>
                  <w:tcW w:w="1674" w:type="pct"/>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eastAsia"/>
                      <w:color w:val="auto"/>
                      <w:szCs w:val="20"/>
                      <w:highlight w:val="none"/>
                    </w:rPr>
                    <w:t>废活性炭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13" w:type="pct"/>
                  <w:vMerge w:val="continue"/>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575" w:type="pct"/>
                  <w:vAlign w:val="center"/>
                </w:tcPr>
                <w:p>
                  <w:pPr>
                    <w:pStyle w:val="80"/>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lang w:val="en-US" w:eastAsia="zh-CN"/>
                    </w:rPr>
                    <w:t>S6</w:t>
                  </w:r>
                </w:p>
              </w:tc>
              <w:tc>
                <w:tcPr>
                  <w:tcW w:w="1046" w:type="pct"/>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eastAsia"/>
                      <w:color w:val="auto"/>
                      <w:szCs w:val="20"/>
                      <w:highlight w:val="none"/>
                    </w:rPr>
                    <w:t>职工生活垃圾</w:t>
                  </w:r>
                </w:p>
              </w:tc>
              <w:tc>
                <w:tcPr>
                  <w:tcW w:w="1290" w:type="pct"/>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default"/>
                      <w:color w:val="auto"/>
                      <w:szCs w:val="20"/>
                      <w:highlight w:val="none"/>
                    </w:rPr>
                    <w:t>生活办公</w:t>
                  </w:r>
                </w:p>
              </w:tc>
              <w:tc>
                <w:tcPr>
                  <w:tcW w:w="1674" w:type="pct"/>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default"/>
                      <w:color w:val="auto"/>
                      <w:szCs w:val="20"/>
                      <w:highlight w:val="none"/>
                    </w:rPr>
                    <w:t>生活垃圾</w:t>
                  </w:r>
                </w:p>
              </w:tc>
            </w:tr>
          </w:tbl>
          <w:p>
            <w:pPr>
              <w:keepNext w:val="0"/>
              <w:keepLines w:val="0"/>
              <w:suppressLineNumbers w:val="0"/>
              <w:spacing w:before="0" w:beforeAutospacing="0" w:after="0" w:afterAutospacing="0"/>
              <w:ind w:left="0" w:right="0" w:firstLine="480"/>
              <w:rPr>
                <w:rFonts w:hint="default"/>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pPr>
              <w:pStyle w:val="80"/>
              <w:keepNext w:val="0"/>
              <w:keepLines w:val="0"/>
              <w:widowControl/>
              <w:suppressLineNumbers w:val="0"/>
              <w:spacing w:before="0" w:beforeAutospacing="0" w:after="0" w:afterAutospacing="0"/>
              <w:ind w:left="0" w:right="0"/>
              <w:jc w:val="both"/>
              <w:rPr>
                <w:rFonts w:hint="default"/>
                <w:color w:val="auto"/>
                <w:sz w:val="16"/>
                <w:szCs w:val="15"/>
                <w:highlight w:val="none"/>
              </w:rPr>
            </w:pPr>
            <w:r>
              <w:rPr>
                <w:rFonts w:hint="default"/>
                <w:color w:val="auto"/>
                <w:sz w:val="20"/>
                <w:szCs w:val="15"/>
                <w:highlight w:val="none"/>
              </w:rPr>
              <w:t>与项目有关的原有环境污染问题</w:t>
            </w:r>
          </w:p>
        </w:tc>
        <w:tc>
          <w:tcPr>
            <w:tcW w:w="8300" w:type="dxa"/>
            <w:vAlign w:val="center"/>
          </w:tcPr>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color w:val="auto"/>
                <w:sz w:val="24"/>
                <w:highlight w:val="none"/>
                <w:lang w:val="en-US" w:eastAsia="zh-CN"/>
              </w:rPr>
            </w:pPr>
            <w:r>
              <w:rPr>
                <w:rFonts w:hint="eastAsia" w:ascii="Times New Roman" w:hAnsi="Times New Roman" w:eastAsia="宋体" w:cs="Times New Roman"/>
                <w:b/>
                <w:bCs/>
                <w:color w:val="auto"/>
                <w:sz w:val="24"/>
                <w:highlight w:val="none"/>
                <w:lang w:val="en-US" w:eastAsia="zh-CN"/>
              </w:rPr>
              <w:t>一、原有项目概况</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8"/>
              </w:rPr>
            </w:pPr>
            <w:r>
              <w:rPr>
                <w:rFonts w:hint="eastAsia" w:cs="Times New Roman"/>
                <w:color w:val="auto"/>
                <w:sz w:val="24"/>
                <w:highlight w:val="none"/>
                <w:lang w:val="en-US" w:eastAsia="zh-CN"/>
              </w:rPr>
              <w:t>原有项目</w:t>
            </w:r>
            <w:r>
              <w:rPr>
                <w:rFonts w:hint="eastAsia" w:ascii="Times New Roman" w:hAnsi="Times New Roman" w:eastAsia="宋体" w:cs="Times New Roman"/>
                <w:color w:val="auto"/>
                <w:sz w:val="24"/>
                <w:highlight w:val="none"/>
                <w:lang w:val="en-US" w:eastAsia="zh-CN"/>
              </w:rPr>
              <w:t>位于</w:t>
            </w:r>
            <w:r>
              <w:rPr>
                <w:rFonts w:hint="eastAsia"/>
                <w:color w:val="auto"/>
                <w:highlight w:val="none"/>
              </w:rPr>
              <w:t>陕西省西咸新区</w:t>
            </w:r>
            <w:r>
              <w:rPr>
                <w:rFonts w:hint="eastAsia"/>
                <w:color w:val="auto"/>
                <w:highlight w:val="none"/>
                <w:lang w:eastAsia="zh-CN"/>
              </w:rPr>
              <w:t>泾河新城工业密集区永乐工业园</w:t>
            </w:r>
            <w:r>
              <w:rPr>
                <w:rFonts w:hint="eastAsia"/>
                <w:color w:val="auto"/>
                <w:sz w:val="24"/>
                <w:szCs w:val="24"/>
              </w:rPr>
              <w:t>波士特实业有限公司厂区内</w:t>
            </w:r>
            <w:r>
              <w:rPr>
                <w:rFonts w:hint="default" w:ascii="Times New Roman" w:hAnsi="Times New Roman" w:cs="Times New Roman"/>
                <w:color w:val="auto"/>
                <w:sz w:val="24"/>
                <w:szCs w:val="28"/>
                <w:highlight w:val="none"/>
                <w:lang w:eastAsia="zh-CN"/>
              </w:rPr>
              <w:t>，</w:t>
            </w:r>
            <w:r>
              <w:rPr>
                <w:rFonts w:hint="default" w:ascii="Times New Roman" w:hAnsi="Times New Roman" w:cs="Times New Roman"/>
                <w:color w:val="auto"/>
                <w:sz w:val="24"/>
                <w:szCs w:val="28"/>
                <w:highlight w:val="none"/>
              </w:rPr>
              <w:t>租赁</w:t>
            </w:r>
            <w:r>
              <w:rPr>
                <w:rFonts w:hint="default" w:ascii="Times New Roman" w:hAnsi="Times New Roman" w:cs="Times New Roman"/>
                <w:i w:val="0"/>
                <w:iCs w:val="0"/>
                <w:color w:val="auto"/>
                <w:sz w:val="24"/>
                <w:szCs w:val="28"/>
                <w:highlight w:val="none"/>
              </w:rPr>
              <w:t>陕西</w:t>
            </w:r>
            <w:r>
              <w:rPr>
                <w:rFonts w:hint="eastAsia"/>
                <w:i w:val="0"/>
                <w:iCs w:val="0"/>
                <w:color w:val="auto"/>
                <w:sz w:val="24"/>
                <w:szCs w:val="24"/>
                <w:highlight w:val="none"/>
              </w:rPr>
              <w:t>波</w:t>
            </w:r>
            <w:r>
              <w:rPr>
                <w:rFonts w:hint="eastAsia"/>
                <w:color w:val="auto"/>
                <w:sz w:val="24"/>
                <w:szCs w:val="24"/>
              </w:rPr>
              <w:t>士特实业有限公司</w:t>
            </w:r>
            <w:r>
              <w:rPr>
                <w:rFonts w:hint="eastAsia" w:ascii="Times New Roman" w:hAnsi="Times New Roman" w:eastAsia="宋体" w:cs="Times New Roman"/>
                <w:color w:val="auto"/>
                <w:sz w:val="24"/>
                <w:szCs w:val="28"/>
                <w:highlight w:val="none"/>
                <w:lang w:val="en-US" w:eastAsia="zh-CN"/>
              </w:rPr>
              <w:t>空置</w:t>
            </w:r>
            <w:r>
              <w:rPr>
                <w:rFonts w:hint="default" w:ascii="Times New Roman" w:hAnsi="Times New Roman" w:eastAsia="宋体" w:cs="Times New Roman"/>
                <w:color w:val="auto"/>
                <w:sz w:val="24"/>
                <w:szCs w:val="28"/>
                <w:highlight w:val="none"/>
              </w:rPr>
              <w:t>工业厂房</w:t>
            </w:r>
            <w:r>
              <w:rPr>
                <w:rFonts w:hint="eastAsia" w:ascii="Times New Roman" w:hAnsi="Times New Roman" w:eastAsia="宋体" w:cs="Times New Roman"/>
                <w:color w:val="auto"/>
                <w:sz w:val="24"/>
                <w:szCs w:val="28"/>
                <w:highlight w:val="none"/>
                <w:lang w:eastAsia="zh-CN"/>
              </w:rPr>
              <w:t>。</w:t>
            </w:r>
            <w:r>
              <w:rPr>
                <w:rFonts w:hint="eastAsia" w:cs="Times New Roman"/>
                <w:color w:val="auto"/>
                <w:sz w:val="24"/>
                <w:szCs w:val="28"/>
                <w:highlight w:val="none"/>
                <w:lang w:val="en-US" w:eastAsia="zh-CN"/>
              </w:rPr>
              <w:t>原址</w:t>
            </w:r>
            <w:r>
              <w:rPr>
                <w:rFonts w:hint="eastAsia" w:cs="Times New Roman"/>
                <w:color w:val="auto"/>
                <w:sz w:val="24"/>
                <w:szCs w:val="28"/>
                <w:lang w:val="en-US" w:eastAsia="zh-CN"/>
              </w:rPr>
              <w:t>共建设2个项目，其中：</w:t>
            </w:r>
            <w:r>
              <w:rPr>
                <w:rFonts w:hint="eastAsia"/>
                <w:color w:val="auto"/>
                <w:sz w:val="24"/>
                <w:szCs w:val="24"/>
              </w:rPr>
              <w:t>陕西佳茂管业工程有限公司生产给排水管道项</w:t>
            </w:r>
            <w:r>
              <w:rPr>
                <w:rFonts w:hint="default" w:ascii="Times New Roman" w:hAnsi="Times New Roman" w:cs="Times New Roman"/>
                <w:color w:val="auto"/>
                <w:sz w:val="24"/>
                <w:szCs w:val="28"/>
              </w:rPr>
              <w:t>目</w:t>
            </w:r>
            <w:r>
              <w:rPr>
                <w:rFonts w:hint="eastAsia" w:cs="Times New Roman"/>
                <w:color w:val="auto"/>
                <w:sz w:val="24"/>
                <w:szCs w:val="28"/>
                <w:highlight w:val="none"/>
                <w:lang w:val="en-US" w:eastAsia="zh-CN"/>
              </w:rPr>
              <w:t>主要</w:t>
            </w:r>
            <w:r>
              <w:rPr>
                <w:rFonts w:hint="default" w:ascii="Times New Roman" w:hAnsi="Times New Roman" w:eastAsia="宋体" w:cs="Times New Roman"/>
                <w:color w:val="auto"/>
                <w:sz w:val="24"/>
                <w:szCs w:val="24"/>
                <w:lang w:val="en-US" w:eastAsia="zh-CN"/>
              </w:rPr>
              <w:t>建</w:t>
            </w:r>
            <w:r>
              <w:rPr>
                <w:rFonts w:hint="default" w:ascii="Times New Roman" w:hAnsi="Times New Roman" w:eastAsia="宋体" w:cs="Times New Roman"/>
                <w:color w:val="auto"/>
                <w:sz w:val="24"/>
                <w:szCs w:val="24"/>
              </w:rPr>
              <w:t>设</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条</w:t>
            </w:r>
            <w:r>
              <w:rPr>
                <w:rFonts w:hint="eastAsia" w:ascii="Times New Roman" w:hAnsi="Times New Roman" w:eastAsia="宋体" w:cs="Times New Roman"/>
                <w:color w:val="auto"/>
                <w:sz w:val="24"/>
                <w:szCs w:val="24"/>
                <w:lang w:val="en-US" w:eastAsia="zh-CN"/>
              </w:rPr>
              <w:t>PE给水管材</w:t>
            </w:r>
            <w:r>
              <w:rPr>
                <w:rFonts w:hint="default" w:ascii="Times New Roman" w:hAnsi="Times New Roman" w:eastAsia="宋体" w:cs="Times New Roman"/>
                <w:color w:val="auto"/>
                <w:sz w:val="24"/>
                <w:szCs w:val="24"/>
              </w:rPr>
              <w:t>生产线</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2条</w:t>
            </w:r>
            <w:r>
              <w:rPr>
                <w:rFonts w:hint="eastAsia" w:ascii="Times New Roman" w:hAnsi="Times New Roman" w:eastAsia="宋体" w:cs="Times New Roman"/>
                <w:color w:val="auto"/>
                <w:sz w:val="24"/>
                <w:szCs w:val="24"/>
                <w:lang w:val="en-US" w:eastAsia="zh-CN"/>
              </w:rPr>
              <w:t>中空壁缠绕管和2条钢带波纹管</w:t>
            </w:r>
            <w:r>
              <w:rPr>
                <w:rFonts w:hint="default" w:ascii="Times New Roman" w:hAnsi="Times New Roman" w:eastAsia="宋体" w:cs="Times New Roman"/>
                <w:color w:val="auto"/>
                <w:sz w:val="24"/>
                <w:szCs w:val="24"/>
              </w:rPr>
              <w:t>生产线</w:t>
            </w:r>
            <w:r>
              <w:rPr>
                <w:rFonts w:hint="default" w:ascii="Times New Roman" w:hAnsi="Times New Roman" w:eastAsia="宋体" w:cs="Times New Roman"/>
                <w:color w:val="auto"/>
                <w:sz w:val="24"/>
                <w:szCs w:val="24"/>
                <w:lang w:val="en-US" w:eastAsia="zh-CN"/>
              </w:rPr>
              <w:t>，年产</w:t>
            </w:r>
            <w:r>
              <w:rPr>
                <w:rFonts w:hint="eastAsia" w:ascii="Times New Roman" w:hAnsi="Times New Roman" w:eastAsia="宋体" w:cs="Times New Roman"/>
                <w:color w:val="auto"/>
                <w:sz w:val="24"/>
                <w:szCs w:val="24"/>
                <w:lang w:val="en-US" w:eastAsia="zh-CN"/>
              </w:rPr>
              <w:t>管材共35</w:t>
            </w:r>
            <w:r>
              <w:rPr>
                <w:rFonts w:hint="default" w:ascii="Times New Roman" w:hAnsi="Times New Roman" w:eastAsia="宋体" w:cs="Times New Roman"/>
                <w:color w:val="auto"/>
                <w:sz w:val="24"/>
                <w:szCs w:val="24"/>
              </w:rPr>
              <w:t>00吨</w:t>
            </w:r>
            <w:r>
              <w:rPr>
                <w:rFonts w:hint="eastAsia" w:ascii="Times New Roman" w:hAnsi="Times New Roman" w:eastAsia="宋体" w:cs="Times New Roman"/>
                <w:color w:val="auto"/>
                <w:sz w:val="24"/>
                <w:szCs w:val="24"/>
                <w:lang w:val="en-US" w:eastAsia="zh-CN"/>
              </w:rPr>
              <w:t>；</w:t>
            </w:r>
            <w:r>
              <w:rPr>
                <w:rFonts w:hint="eastAsia"/>
                <w:color w:val="auto"/>
                <w:sz w:val="24"/>
                <w:szCs w:val="24"/>
              </w:rPr>
              <w:t>陕西佳茂管业工程有限公司生产</w:t>
            </w:r>
            <w:r>
              <w:rPr>
                <w:rFonts w:hint="eastAsia"/>
                <w:color w:val="auto"/>
                <w:sz w:val="24"/>
                <w:szCs w:val="24"/>
                <w:lang w:val="en-US" w:eastAsia="zh-CN"/>
              </w:rPr>
              <w:t>双壁波纹管、给水管道项目</w:t>
            </w:r>
            <w:r>
              <w:rPr>
                <w:rFonts w:hint="eastAsia" w:ascii="Times New Roman" w:hAnsi="Times New Roman" w:eastAsia="宋体" w:cs="Times New Roman"/>
                <w:color w:val="auto"/>
                <w:sz w:val="24"/>
                <w:szCs w:val="28"/>
                <w:highlight w:val="none"/>
                <w:lang w:val="en-US" w:eastAsia="zh-CN"/>
              </w:rPr>
              <w:t>，</w:t>
            </w:r>
            <w:r>
              <w:rPr>
                <w:rFonts w:hint="eastAsia" w:cs="Times New Roman"/>
                <w:color w:val="auto"/>
                <w:sz w:val="24"/>
                <w:szCs w:val="28"/>
                <w:highlight w:val="none"/>
                <w:lang w:val="en-US" w:eastAsia="zh-CN"/>
              </w:rPr>
              <w:t>主要建设</w:t>
            </w:r>
            <w:r>
              <w:rPr>
                <w:rFonts w:hint="eastAsia"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条</w:t>
            </w:r>
            <w:r>
              <w:rPr>
                <w:rFonts w:hint="eastAsia"/>
                <w:color w:val="auto"/>
                <w:sz w:val="24"/>
                <w:szCs w:val="24"/>
                <w:lang w:val="en-US" w:eastAsia="zh-CN"/>
              </w:rPr>
              <w:t>双壁波纹管</w:t>
            </w:r>
            <w:r>
              <w:rPr>
                <w:rFonts w:hint="default" w:ascii="Times New Roman" w:hAnsi="Times New Roman" w:eastAsia="宋体" w:cs="Times New Roman"/>
                <w:color w:val="auto"/>
                <w:sz w:val="24"/>
                <w:szCs w:val="24"/>
              </w:rPr>
              <w:t>生产线</w:t>
            </w:r>
            <w:r>
              <w:rPr>
                <w:rFonts w:hint="default" w:ascii="Times New Roman" w:hAnsi="Times New Roman" w:eastAsia="宋体" w:cs="Times New Roman"/>
                <w:color w:val="auto"/>
                <w:sz w:val="24"/>
                <w:szCs w:val="24"/>
                <w:lang w:val="en-US" w:eastAsia="zh-CN"/>
              </w:rPr>
              <w:t>和</w:t>
            </w:r>
            <w:r>
              <w:rPr>
                <w:rFonts w:hint="default" w:ascii="Times New Roman" w:hAnsi="Times New Roman" w:eastAsia="宋体" w:cs="Times New Roman"/>
                <w:color w:val="auto"/>
                <w:sz w:val="24"/>
                <w:szCs w:val="24"/>
              </w:rPr>
              <w:t>2条</w:t>
            </w:r>
            <w:r>
              <w:rPr>
                <w:rFonts w:hint="eastAsia" w:ascii="Times New Roman" w:hAnsi="Times New Roman" w:eastAsia="宋体" w:cs="Times New Roman"/>
                <w:color w:val="auto"/>
                <w:sz w:val="24"/>
                <w:szCs w:val="24"/>
                <w:lang w:val="en-US" w:eastAsia="zh-CN"/>
              </w:rPr>
              <w:t>给水管</w:t>
            </w:r>
            <w:r>
              <w:rPr>
                <w:rFonts w:hint="default" w:ascii="Times New Roman" w:hAnsi="Times New Roman" w:eastAsia="宋体" w:cs="Times New Roman"/>
                <w:color w:val="auto"/>
                <w:sz w:val="24"/>
                <w:szCs w:val="24"/>
              </w:rPr>
              <w:t>生产线</w:t>
            </w:r>
            <w:r>
              <w:rPr>
                <w:rFonts w:hint="default" w:ascii="Times New Roman" w:hAnsi="Times New Roman" w:eastAsia="宋体" w:cs="Times New Roman"/>
                <w:color w:val="auto"/>
                <w:sz w:val="24"/>
                <w:szCs w:val="24"/>
                <w:lang w:val="en-US" w:eastAsia="zh-CN"/>
              </w:rPr>
              <w:t>，年产</w:t>
            </w:r>
            <w:r>
              <w:rPr>
                <w:rFonts w:hint="eastAsia" w:ascii="Times New Roman" w:hAnsi="Times New Roman" w:eastAsia="宋体" w:cs="Times New Roman"/>
                <w:color w:val="auto"/>
                <w:sz w:val="24"/>
                <w:szCs w:val="24"/>
                <w:lang w:val="en-US" w:eastAsia="zh-CN"/>
              </w:rPr>
              <w:t>量</w:t>
            </w:r>
            <w:r>
              <w:rPr>
                <w:rFonts w:hint="default" w:ascii="Times New Roman" w:hAnsi="Times New Roman" w:eastAsia="宋体" w:cs="Times New Roman"/>
                <w:color w:val="auto"/>
                <w:sz w:val="24"/>
                <w:szCs w:val="24"/>
              </w:rPr>
              <w:t>10</w:t>
            </w:r>
            <w:r>
              <w:rPr>
                <w:rFonts w:hint="eastAsia"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rPr>
              <w:t>00吨</w:t>
            </w:r>
            <w:r>
              <w:rPr>
                <w:rFonts w:hint="default" w:ascii="Times New Roman" w:hAnsi="Times New Roman" w:eastAsia="宋体" w:cs="Times New Roman"/>
                <w:color w:val="auto"/>
                <w:sz w:val="24"/>
                <w:szCs w:val="24"/>
                <w:lang w:val="en-US" w:eastAsia="zh-CN"/>
              </w:rPr>
              <w:t>。</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cs="Times New Roman"/>
                <w:color w:val="auto"/>
                <w:sz w:val="24"/>
                <w:szCs w:val="28"/>
                <w:lang w:val="en-US" w:eastAsia="zh-CN"/>
              </w:rPr>
            </w:pPr>
            <w:r>
              <w:rPr>
                <w:rFonts w:hint="eastAsia"/>
                <w:color w:val="auto"/>
                <w:sz w:val="24"/>
                <w:szCs w:val="24"/>
              </w:rPr>
              <w:t>陕西佳茂管业工程有限公司生产给排水管道项</w:t>
            </w:r>
            <w:r>
              <w:rPr>
                <w:rFonts w:hint="default" w:ascii="Times New Roman" w:hAnsi="Times New Roman" w:cs="Times New Roman"/>
                <w:color w:val="auto"/>
                <w:sz w:val="24"/>
                <w:szCs w:val="28"/>
              </w:rPr>
              <w:t>目</w:t>
            </w:r>
            <w:r>
              <w:rPr>
                <w:rFonts w:hint="eastAsia" w:cs="Times New Roman"/>
                <w:color w:val="auto"/>
                <w:sz w:val="24"/>
                <w:szCs w:val="28"/>
                <w:lang w:val="en-US" w:eastAsia="zh-CN"/>
              </w:rPr>
              <w:t>环保手续情况：</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8"/>
                <w:highlight w:val="none"/>
                <w:lang w:val="en-US" w:eastAsia="zh-CN"/>
              </w:rPr>
            </w:pPr>
            <w:r>
              <w:rPr>
                <w:rFonts w:hint="eastAsia" w:ascii="Times New Roman" w:hAnsi="Times New Roman" w:eastAsia="宋体" w:cs="Times New Roman"/>
                <w:color w:val="auto"/>
                <w:sz w:val="24"/>
                <w:szCs w:val="28"/>
                <w:highlight w:val="none"/>
                <w:lang w:val="en-US" w:eastAsia="zh-CN"/>
              </w:rPr>
              <w:t>2018年</w:t>
            </w:r>
            <w:r>
              <w:rPr>
                <w:rFonts w:hint="eastAsia" w:cs="Times New Roman"/>
                <w:color w:val="auto"/>
                <w:sz w:val="24"/>
                <w:szCs w:val="28"/>
                <w:highlight w:val="none"/>
                <w:lang w:val="en-US" w:eastAsia="zh-CN"/>
              </w:rPr>
              <w:t>6</w:t>
            </w:r>
            <w:r>
              <w:rPr>
                <w:rFonts w:hint="eastAsia" w:ascii="Times New Roman" w:hAnsi="Times New Roman" w:eastAsia="宋体" w:cs="Times New Roman"/>
                <w:color w:val="auto"/>
                <w:sz w:val="24"/>
                <w:szCs w:val="28"/>
                <w:highlight w:val="none"/>
                <w:lang w:val="en-US" w:eastAsia="zh-CN"/>
              </w:rPr>
              <w:t>月委托</w:t>
            </w:r>
            <w:r>
              <w:rPr>
                <w:rFonts w:hint="eastAsia"/>
                <w:color w:val="auto"/>
                <w:lang w:eastAsia="zh-CN"/>
              </w:rPr>
              <w:t>太原核清</w:t>
            </w:r>
            <w:r>
              <w:rPr>
                <w:rFonts w:hint="default"/>
                <w:color w:val="auto"/>
              </w:rPr>
              <w:t>环保科技有限公司</w:t>
            </w:r>
            <w:r>
              <w:rPr>
                <w:rFonts w:hint="eastAsia" w:ascii="Times New Roman" w:hAnsi="Times New Roman" w:eastAsia="宋体" w:cs="Times New Roman"/>
                <w:color w:val="auto"/>
                <w:sz w:val="24"/>
                <w:szCs w:val="28"/>
                <w:highlight w:val="none"/>
                <w:lang w:val="en-US" w:eastAsia="zh-CN"/>
              </w:rPr>
              <w:t>编制完成了《陕西</w:t>
            </w:r>
            <w:r>
              <w:rPr>
                <w:rFonts w:hint="eastAsia"/>
                <w:color w:val="auto"/>
                <w:lang w:val="en-US" w:eastAsia="zh-CN"/>
              </w:rPr>
              <w:t>佳茂管业工程有限公司生产给排水</w:t>
            </w:r>
            <w:r>
              <w:rPr>
                <w:rFonts w:hint="eastAsia"/>
                <w:color w:val="auto"/>
                <w:lang w:eastAsia="zh-CN"/>
              </w:rPr>
              <w:t>管道</w:t>
            </w:r>
            <w:r>
              <w:rPr>
                <w:rFonts w:hint="default"/>
                <w:color w:val="auto"/>
                <w:spacing w:val="-3"/>
              </w:rPr>
              <w:t>项目环境影响报告表</w:t>
            </w:r>
            <w:r>
              <w:rPr>
                <w:rFonts w:hint="eastAsia" w:ascii="Times New Roman" w:hAnsi="Times New Roman" w:eastAsia="宋体" w:cs="Times New Roman"/>
                <w:color w:val="auto"/>
                <w:sz w:val="24"/>
                <w:szCs w:val="28"/>
                <w:highlight w:val="none"/>
                <w:lang w:val="en-US" w:eastAsia="zh-CN"/>
              </w:rPr>
              <w:t>》，2018年9月18日取得了该项目的环评批复（陕泾河</w:t>
            </w:r>
            <w:r>
              <w:rPr>
                <w:rFonts w:hint="eastAsia"/>
                <w:color w:val="auto"/>
                <w:lang w:eastAsia="zh-CN"/>
              </w:rPr>
              <w:t>环</w:t>
            </w:r>
            <w:r>
              <w:rPr>
                <w:rFonts w:hint="default"/>
                <w:color w:val="auto"/>
              </w:rPr>
              <w:t>批复</w:t>
            </w:r>
            <w:r>
              <w:rPr>
                <w:rFonts w:hint="default" w:ascii="Times New Roman" w:eastAsia="Times New Roman"/>
                <w:color w:val="auto"/>
              </w:rPr>
              <w:t>[2018]</w:t>
            </w:r>
            <w:r>
              <w:rPr>
                <w:rFonts w:hint="eastAsia" w:ascii="Times New Roman"/>
                <w:color w:val="auto"/>
                <w:lang w:val="en-US" w:eastAsia="zh-CN"/>
              </w:rPr>
              <w:t>18</w:t>
            </w:r>
            <w:r>
              <w:rPr>
                <w:rFonts w:hint="default"/>
                <w:color w:val="auto"/>
                <w:spacing w:val="-6"/>
              </w:rPr>
              <w:t>号</w:t>
            </w:r>
            <w:r>
              <w:rPr>
                <w:rFonts w:hint="eastAsia" w:ascii="Times New Roman" w:hAnsi="Times New Roman" w:eastAsia="宋体" w:cs="Times New Roman"/>
                <w:color w:val="auto"/>
                <w:sz w:val="24"/>
                <w:szCs w:val="28"/>
                <w:highlight w:val="none"/>
                <w:lang w:val="en-US" w:eastAsia="zh-CN"/>
              </w:rPr>
              <w:t>，见附件7）；2019年7月建设单位编制完成了《陕西</w:t>
            </w:r>
            <w:r>
              <w:rPr>
                <w:rFonts w:hint="eastAsia"/>
                <w:color w:val="auto"/>
                <w:lang w:val="en-US" w:eastAsia="zh-CN"/>
              </w:rPr>
              <w:t>佳茂管业工程有限公司生产给排水</w:t>
            </w:r>
            <w:r>
              <w:rPr>
                <w:rFonts w:hint="eastAsia"/>
                <w:color w:val="auto"/>
                <w:lang w:eastAsia="zh-CN"/>
              </w:rPr>
              <w:t>管道</w:t>
            </w:r>
            <w:r>
              <w:rPr>
                <w:rFonts w:hint="default"/>
                <w:color w:val="auto"/>
                <w:spacing w:val="-3"/>
              </w:rPr>
              <w:t>项目</w:t>
            </w:r>
            <w:r>
              <w:rPr>
                <w:rFonts w:hint="eastAsia"/>
                <w:color w:val="auto"/>
                <w:spacing w:val="-3"/>
                <w:lang w:val="en-US" w:eastAsia="zh-CN"/>
              </w:rPr>
              <w:t>固体废物污染防治设施竣工环境保护验收合格的函</w:t>
            </w:r>
            <w:r>
              <w:rPr>
                <w:rFonts w:hint="eastAsia" w:ascii="Times New Roman" w:hAnsi="Times New Roman" w:eastAsia="宋体" w:cs="Times New Roman"/>
                <w:color w:val="auto"/>
                <w:sz w:val="24"/>
                <w:szCs w:val="28"/>
                <w:highlight w:val="none"/>
                <w:lang w:val="en-US" w:eastAsia="zh-CN"/>
              </w:rPr>
              <w:t>》，并通过了专家组验收；</w:t>
            </w:r>
            <w:r>
              <w:rPr>
                <w:rFonts w:hint="eastAsia" w:cs="Times New Roman"/>
                <w:color w:val="auto"/>
                <w:sz w:val="24"/>
                <w:szCs w:val="28"/>
                <w:highlight w:val="none"/>
                <w:lang w:val="en-US" w:eastAsia="zh-CN"/>
              </w:rPr>
              <w:t>验收批复见附件9。</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cs="Times New Roman"/>
                <w:color w:val="auto"/>
                <w:sz w:val="24"/>
                <w:szCs w:val="28"/>
                <w:lang w:val="en-US" w:eastAsia="zh-CN"/>
              </w:rPr>
            </w:pPr>
            <w:r>
              <w:rPr>
                <w:rFonts w:hint="eastAsia"/>
                <w:color w:val="auto"/>
                <w:sz w:val="24"/>
                <w:szCs w:val="24"/>
              </w:rPr>
              <w:t>陕西佳茂管业工程有限公司生产</w:t>
            </w:r>
            <w:r>
              <w:rPr>
                <w:rFonts w:hint="eastAsia"/>
                <w:color w:val="auto"/>
                <w:sz w:val="24"/>
                <w:szCs w:val="24"/>
                <w:lang w:val="en-US" w:eastAsia="zh-CN"/>
              </w:rPr>
              <w:t>双壁波纹管、给水管道项目</w:t>
            </w:r>
            <w:r>
              <w:rPr>
                <w:rFonts w:hint="eastAsia" w:cs="Times New Roman"/>
                <w:color w:val="auto"/>
                <w:sz w:val="24"/>
                <w:szCs w:val="28"/>
                <w:lang w:val="en-US" w:eastAsia="zh-CN"/>
              </w:rPr>
              <w:t>环保手续情况：</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8"/>
                <w:highlight w:val="none"/>
                <w:lang w:val="en-US" w:eastAsia="zh-CN"/>
              </w:rPr>
            </w:pPr>
            <w:r>
              <w:rPr>
                <w:rFonts w:hint="eastAsia" w:ascii="Times New Roman" w:hAnsi="Times New Roman" w:eastAsia="宋体" w:cs="Times New Roman"/>
                <w:color w:val="auto"/>
                <w:sz w:val="24"/>
                <w:szCs w:val="28"/>
                <w:highlight w:val="none"/>
                <w:lang w:val="en-US" w:eastAsia="zh-CN"/>
              </w:rPr>
              <w:t>2019年3月建设单位委托</w:t>
            </w:r>
            <w:r>
              <w:rPr>
                <w:rFonts w:hint="eastAsia"/>
                <w:color w:val="auto"/>
                <w:highlight w:val="none"/>
                <w:lang w:val="en-US" w:eastAsia="zh-CN"/>
              </w:rPr>
              <w:t>陕西卓成天弘工程咨询</w:t>
            </w:r>
            <w:r>
              <w:rPr>
                <w:rFonts w:hint="default"/>
                <w:color w:val="auto"/>
                <w:highlight w:val="none"/>
              </w:rPr>
              <w:t>有限公司</w:t>
            </w:r>
            <w:r>
              <w:rPr>
                <w:rFonts w:hint="eastAsia" w:ascii="Times New Roman" w:hAnsi="Times New Roman" w:eastAsia="宋体" w:cs="Times New Roman"/>
                <w:color w:val="auto"/>
                <w:sz w:val="24"/>
                <w:szCs w:val="28"/>
                <w:highlight w:val="none"/>
                <w:lang w:val="en-US" w:eastAsia="zh-CN"/>
              </w:rPr>
              <w:t>编制完成了《陕西</w:t>
            </w:r>
            <w:r>
              <w:rPr>
                <w:rFonts w:hint="eastAsia"/>
                <w:color w:val="auto"/>
                <w:lang w:val="en-US" w:eastAsia="zh-CN"/>
              </w:rPr>
              <w:t>佳茂管业工程有限公司生产双壁波纹管、给水管道项目</w:t>
            </w:r>
            <w:r>
              <w:rPr>
                <w:rFonts w:hint="default"/>
                <w:color w:val="auto"/>
                <w:spacing w:val="-3"/>
              </w:rPr>
              <w:t>环境影响报告表</w:t>
            </w:r>
            <w:r>
              <w:rPr>
                <w:rFonts w:hint="eastAsia" w:ascii="Times New Roman" w:hAnsi="Times New Roman" w:eastAsia="宋体" w:cs="Times New Roman"/>
                <w:color w:val="auto"/>
                <w:sz w:val="24"/>
                <w:szCs w:val="28"/>
                <w:highlight w:val="none"/>
                <w:lang w:val="en-US" w:eastAsia="zh-CN"/>
              </w:rPr>
              <w:t>》，2019年4月4日取得了该项目的环评批复（陕泾河</w:t>
            </w:r>
            <w:r>
              <w:rPr>
                <w:rFonts w:hint="eastAsia"/>
                <w:color w:val="auto"/>
                <w:lang w:eastAsia="zh-CN"/>
              </w:rPr>
              <w:t>环</w:t>
            </w:r>
            <w:r>
              <w:rPr>
                <w:rFonts w:hint="default"/>
                <w:color w:val="auto"/>
              </w:rPr>
              <w:t>批复</w:t>
            </w:r>
            <w:r>
              <w:rPr>
                <w:rFonts w:hint="default" w:ascii="Times New Roman" w:eastAsia="Times New Roman"/>
                <w:color w:val="auto"/>
              </w:rPr>
              <w:t>[201</w:t>
            </w:r>
            <w:r>
              <w:rPr>
                <w:rFonts w:hint="eastAsia" w:ascii="Times New Roman"/>
                <w:color w:val="auto"/>
                <w:lang w:val="en-US" w:eastAsia="zh-CN"/>
              </w:rPr>
              <w:t>9</w:t>
            </w:r>
            <w:r>
              <w:rPr>
                <w:rFonts w:hint="default" w:ascii="Times New Roman" w:eastAsia="Times New Roman"/>
                <w:color w:val="auto"/>
              </w:rPr>
              <w:t>]</w:t>
            </w:r>
            <w:r>
              <w:rPr>
                <w:rFonts w:hint="eastAsia" w:ascii="Times New Roman"/>
                <w:color w:val="auto"/>
                <w:lang w:val="en-US" w:eastAsia="zh-CN"/>
              </w:rPr>
              <w:t>32</w:t>
            </w:r>
            <w:r>
              <w:rPr>
                <w:rFonts w:hint="default"/>
                <w:color w:val="auto"/>
                <w:spacing w:val="-6"/>
              </w:rPr>
              <w:t>号</w:t>
            </w:r>
            <w:r>
              <w:rPr>
                <w:rFonts w:hint="eastAsia" w:ascii="Times New Roman" w:hAnsi="Times New Roman" w:eastAsia="宋体" w:cs="Times New Roman"/>
                <w:color w:val="auto"/>
                <w:sz w:val="24"/>
                <w:szCs w:val="28"/>
                <w:highlight w:val="none"/>
                <w:lang w:val="en-US" w:eastAsia="zh-CN"/>
              </w:rPr>
              <w:t>，见附件7）；2019年11月建设单位编制完成了《陕西</w:t>
            </w:r>
            <w:r>
              <w:rPr>
                <w:rFonts w:hint="eastAsia"/>
                <w:color w:val="auto"/>
                <w:lang w:val="en-US" w:eastAsia="zh-CN"/>
              </w:rPr>
              <w:t>佳茂管业工程有限公司生产双壁波纹管、给水管道项目</w:t>
            </w:r>
            <w:r>
              <w:rPr>
                <w:rFonts w:hint="eastAsia"/>
                <w:color w:val="auto"/>
                <w:spacing w:val="-3"/>
                <w:lang w:val="en-US" w:eastAsia="zh-CN"/>
              </w:rPr>
              <w:t>固体废物污染防治设施竣工环境保护验收合格的函</w:t>
            </w:r>
            <w:r>
              <w:rPr>
                <w:rFonts w:hint="eastAsia" w:ascii="Times New Roman" w:hAnsi="Times New Roman" w:eastAsia="宋体" w:cs="Times New Roman"/>
                <w:color w:val="auto"/>
                <w:sz w:val="24"/>
                <w:szCs w:val="28"/>
                <w:highlight w:val="none"/>
                <w:lang w:val="en-US" w:eastAsia="zh-CN"/>
              </w:rPr>
              <w:t>》，并通过了专家组验收；</w:t>
            </w:r>
            <w:r>
              <w:rPr>
                <w:rFonts w:hint="eastAsia" w:cs="Times New Roman"/>
                <w:color w:val="auto"/>
                <w:sz w:val="24"/>
                <w:szCs w:val="28"/>
                <w:highlight w:val="none"/>
                <w:lang w:val="en-US" w:eastAsia="zh-CN"/>
              </w:rPr>
              <w:t>验收批复见附件9</w:t>
            </w:r>
            <w:r>
              <w:rPr>
                <w:rFonts w:hint="eastAsia" w:ascii="Times New Roman" w:hAnsi="Times New Roman" w:eastAsia="宋体" w:cs="Times New Roman"/>
                <w:color w:val="auto"/>
                <w:sz w:val="24"/>
                <w:szCs w:val="28"/>
                <w:highlight w:val="none"/>
                <w:lang w:val="en-US" w:eastAsia="zh-CN"/>
              </w:rPr>
              <w:t>。</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其他环保手续：</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2</w:t>
            </w:r>
            <w:r>
              <w:rPr>
                <w:rFonts w:hint="default" w:ascii="Times New Roman" w:hAnsi="Times New Roman"/>
                <w:color w:val="auto"/>
                <w:sz w:val="24"/>
                <w:szCs w:val="24"/>
                <w:highlight w:val="none"/>
              </w:rPr>
              <w:t>0</w:t>
            </w:r>
            <w:r>
              <w:rPr>
                <w:rFonts w:hint="eastAsia" w:ascii="Times New Roman" w:hAnsi="Times New Roman"/>
                <w:color w:val="auto"/>
                <w:sz w:val="24"/>
                <w:szCs w:val="24"/>
                <w:highlight w:val="none"/>
                <w:lang w:val="en-US" w:eastAsia="zh-CN"/>
              </w:rPr>
              <w:t>19</w:t>
            </w:r>
            <w:r>
              <w:rPr>
                <w:rFonts w:hint="eastAsia" w:ascii="Times New Roman" w:hAnsi="Times New Roman"/>
                <w:color w:val="auto"/>
                <w:sz w:val="24"/>
                <w:szCs w:val="24"/>
                <w:highlight w:val="none"/>
              </w:rPr>
              <w:t>年</w:t>
            </w:r>
            <w:r>
              <w:rPr>
                <w:rFonts w:hint="eastAsia" w:ascii="Times New Roman" w:hAnsi="Times New Roman"/>
                <w:color w:val="auto"/>
                <w:sz w:val="24"/>
                <w:szCs w:val="24"/>
                <w:highlight w:val="none"/>
                <w:lang w:val="en-US" w:eastAsia="zh-CN"/>
              </w:rPr>
              <w:t>4</w:t>
            </w:r>
            <w:r>
              <w:rPr>
                <w:rFonts w:hint="eastAsia" w:ascii="Times New Roman" w:hAnsi="Times New Roman"/>
                <w:color w:val="auto"/>
                <w:sz w:val="24"/>
                <w:szCs w:val="24"/>
                <w:highlight w:val="none"/>
              </w:rPr>
              <w:t>月</w:t>
            </w:r>
            <w:r>
              <w:rPr>
                <w:rFonts w:hint="eastAsia"/>
                <w:color w:val="auto"/>
                <w:sz w:val="24"/>
                <w:szCs w:val="24"/>
                <w:highlight w:val="none"/>
                <w:lang w:val="en-US" w:eastAsia="zh-CN"/>
              </w:rPr>
              <w:t>建设单位</w:t>
            </w:r>
            <w:r>
              <w:rPr>
                <w:rFonts w:hint="eastAsia" w:ascii="Times New Roman" w:hAnsi="Times New Roman"/>
                <w:color w:val="auto"/>
                <w:sz w:val="24"/>
                <w:szCs w:val="24"/>
                <w:highlight w:val="none"/>
                <w:lang w:val="en-US" w:eastAsia="zh-CN"/>
              </w:rPr>
              <w:t>完成</w:t>
            </w:r>
            <w:r>
              <w:rPr>
                <w:rFonts w:hint="eastAsia" w:ascii="Times New Roman" w:hAnsi="Times New Roman"/>
                <w:color w:val="auto"/>
                <w:sz w:val="24"/>
                <w:szCs w:val="24"/>
                <w:highlight w:val="none"/>
              </w:rPr>
              <w:t>了《</w:t>
            </w:r>
            <w:r>
              <w:rPr>
                <w:rFonts w:hint="eastAsia" w:ascii="Times New Roman" w:hAnsi="Times New Roman" w:eastAsia="宋体" w:cs="Times New Roman"/>
                <w:color w:val="auto"/>
                <w:sz w:val="24"/>
                <w:szCs w:val="28"/>
                <w:highlight w:val="none"/>
                <w:lang w:val="en-US" w:eastAsia="zh-CN"/>
              </w:rPr>
              <w:t>陕西</w:t>
            </w:r>
            <w:r>
              <w:rPr>
                <w:rFonts w:hint="eastAsia"/>
                <w:color w:val="auto"/>
                <w:lang w:val="en-US" w:eastAsia="zh-CN"/>
              </w:rPr>
              <w:t>佳茂管业工程有限公司</w:t>
            </w:r>
            <w:r>
              <w:rPr>
                <w:rFonts w:hint="eastAsia" w:ascii="Times New Roman" w:hAnsi="Times New Roman"/>
                <w:color w:val="auto"/>
                <w:sz w:val="24"/>
                <w:szCs w:val="24"/>
                <w:highlight w:val="none"/>
              </w:rPr>
              <w:t>突发环境事件应急预案》</w:t>
            </w:r>
            <w:r>
              <w:rPr>
                <w:rFonts w:hint="eastAsia"/>
                <w:color w:val="auto"/>
                <w:sz w:val="24"/>
                <w:szCs w:val="24"/>
                <w:highlight w:val="none"/>
                <w:lang w:val="en-US" w:eastAsia="zh-CN"/>
              </w:rPr>
              <w:t>编制</w:t>
            </w:r>
            <w:r>
              <w:rPr>
                <w:rFonts w:hint="eastAsia" w:ascii="Times New Roman" w:hAnsi="Times New Roman"/>
                <w:color w:val="auto"/>
                <w:sz w:val="24"/>
                <w:szCs w:val="24"/>
                <w:highlight w:val="none"/>
              </w:rPr>
              <w:t>，并于2</w:t>
            </w:r>
            <w:r>
              <w:rPr>
                <w:rFonts w:hint="default" w:ascii="Times New Roman" w:hAnsi="Times New Roman"/>
                <w:color w:val="auto"/>
                <w:sz w:val="24"/>
                <w:szCs w:val="24"/>
                <w:highlight w:val="none"/>
              </w:rPr>
              <w:t>0</w:t>
            </w:r>
            <w:r>
              <w:rPr>
                <w:rFonts w:hint="eastAsia" w:ascii="Times New Roman" w:hAnsi="Times New Roman"/>
                <w:color w:val="auto"/>
                <w:sz w:val="24"/>
                <w:szCs w:val="24"/>
                <w:highlight w:val="none"/>
                <w:lang w:val="en-US" w:eastAsia="zh-CN"/>
              </w:rPr>
              <w:t>19</w:t>
            </w:r>
            <w:r>
              <w:rPr>
                <w:rFonts w:hint="eastAsia" w:ascii="Times New Roman" w:hAnsi="Times New Roman"/>
                <w:color w:val="auto"/>
                <w:sz w:val="24"/>
                <w:szCs w:val="24"/>
                <w:highlight w:val="none"/>
              </w:rPr>
              <w:t>年</w:t>
            </w:r>
            <w:r>
              <w:rPr>
                <w:rFonts w:hint="eastAsia" w:ascii="Times New Roman" w:hAnsi="Times New Roman"/>
                <w:color w:val="auto"/>
                <w:sz w:val="24"/>
                <w:szCs w:val="24"/>
                <w:highlight w:val="none"/>
                <w:lang w:val="en-US" w:eastAsia="zh-CN"/>
              </w:rPr>
              <w:t>5</w:t>
            </w:r>
            <w:r>
              <w:rPr>
                <w:rFonts w:hint="eastAsia" w:ascii="Times New Roman" w:hAnsi="Times New Roman"/>
                <w:color w:val="auto"/>
                <w:sz w:val="24"/>
                <w:szCs w:val="24"/>
                <w:highlight w:val="none"/>
              </w:rPr>
              <w:t>月</w:t>
            </w:r>
            <w:r>
              <w:rPr>
                <w:rFonts w:hint="eastAsia" w:ascii="Times New Roman" w:hAnsi="Times New Roman"/>
                <w:color w:val="auto"/>
                <w:sz w:val="24"/>
                <w:szCs w:val="24"/>
                <w:highlight w:val="none"/>
                <w:lang w:val="en-US" w:eastAsia="zh-CN"/>
              </w:rPr>
              <w:t>9</w:t>
            </w:r>
            <w:r>
              <w:rPr>
                <w:rFonts w:hint="eastAsia" w:ascii="Times New Roman" w:hAnsi="Times New Roman"/>
                <w:color w:val="auto"/>
                <w:sz w:val="24"/>
                <w:szCs w:val="24"/>
                <w:highlight w:val="none"/>
              </w:rPr>
              <w:t>日在</w:t>
            </w:r>
            <w:r>
              <w:rPr>
                <w:rFonts w:hint="eastAsia" w:ascii="Times New Roman" w:hAnsi="Times New Roman"/>
                <w:color w:val="auto"/>
                <w:sz w:val="24"/>
                <w:szCs w:val="24"/>
                <w:highlight w:val="none"/>
                <w:lang w:val="en-US" w:eastAsia="zh-CN"/>
              </w:rPr>
              <w:t>陕西省西咸新区</w:t>
            </w:r>
            <w:r>
              <w:rPr>
                <w:rFonts w:hint="eastAsia" w:ascii="Times New Roman" w:hAnsi="Times New Roman"/>
                <w:color w:val="auto"/>
                <w:sz w:val="24"/>
                <w:szCs w:val="24"/>
                <w:highlight w:val="none"/>
              </w:rPr>
              <w:t>泾河新城</w:t>
            </w:r>
            <w:r>
              <w:rPr>
                <w:rFonts w:hint="eastAsia" w:ascii="Times New Roman" w:hAnsi="Times New Roman"/>
                <w:color w:val="auto"/>
                <w:sz w:val="24"/>
                <w:szCs w:val="24"/>
                <w:highlight w:val="none"/>
                <w:lang w:val="en-US" w:eastAsia="zh-CN"/>
              </w:rPr>
              <w:t>环境保护局</w:t>
            </w:r>
            <w:r>
              <w:rPr>
                <w:rFonts w:hint="eastAsia" w:ascii="Times New Roman" w:hAnsi="Times New Roman"/>
                <w:color w:val="auto"/>
                <w:sz w:val="24"/>
                <w:szCs w:val="24"/>
                <w:highlight w:val="none"/>
              </w:rPr>
              <w:t>进行了应急预案备案</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rPr>
              <w:t>备案编号</w:t>
            </w:r>
            <w:r>
              <w:rPr>
                <w:rFonts w:hint="default" w:ascii="Times New Roman" w:hAnsi="Times New Roman"/>
                <w:color w:val="auto"/>
                <w:sz w:val="24"/>
                <w:szCs w:val="24"/>
                <w:highlight w:val="none"/>
              </w:rPr>
              <w:t>619905-20</w:t>
            </w:r>
            <w:r>
              <w:rPr>
                <w:rFonts w:hint="eastAsia" w:ascii="Times New Roman" w:hAnsi="Times New Roman"/>
                <w:color w:val="auto"/>
                <w:sz w:val="24"/>
                <w:szCs w:val="24"/>
                <w:highlight w:val="none"/>
                <w:lang w:val="en-US" w:eastAsia="zh-CN"/>
              </w:rPr>
              <w:t>19</w:t>
            </w:r>
            <w:r>
              <w:rPr>
                <w:rFonts w:hint="default"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11</w:t>
            </w:r>
            <w:r>
              <w:rPr>
                <w:rFonts w:hint="default" w:ascii="Times New Roman" w:hAnsi="Times New Roman"/>
                <w:color w:val="auto"/>
                <w:sz w:val="24"/>
                <w:szCs w:val="24"/>
                <w:highlight w:val="none"/>
              </w:rPr>
              <w:t>-L</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具体见附件8</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rPr>
              <w:t>。</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rPr>
              <w:t>202</w:t>
            </w:r>
            <w:r>
              <w:rPr>
                <w:rFonts w:hint="eastAsia" w:ascii="Times New Roman" w:hAnsi="Times New Roman"/>
                <w:color w:val="auto"/>
                <w:sz w:val="24"/>
                <w:szCs w:val="24"/>
                <w:highlight w:val="none"/>
                <w:lang w:val="en-US" w:eastAsia="zh-CN"/>
              </w:rPr>
              <w:t>2</w:t>
            </w:r>
            <w:r>
              <w:rPr>
                <w:rFonts w:hint="eastAsia" w:ascii="Times New Roman" w:hAnsi="Times New Roman"/>
                <w:color w:val="auto"/>
                <w:sz w:val="24"/>
                <w:szCs w:val="24"/>
                <w:highlight w:val="none"/>
              </w:rPr>
              <w:t>年</w:t>
            </w:r>
            <w:r>
              <w:rPr>
                <w:rFonts w:hint="eastAsia" w:ascii="Times New Roman" w:hAnsi="Times New Roman"/>
                <w:color w:val="auto"/>
                <w:sz w:val="24"/>
                <w:szCs w:val="24"/>
                <w:highlight w:val="none"/>
                <w:lang w:val="en-US" w:eastAsia="zh-CN"/>
              </w:rPr>
              <w:t>1</w:t>
            </w:r>
            <w:r>
              <w:rPr>
                <w:rFonts w:hint="eastAsia" w:ascii="Times New Roman" w:hAnsi="Times New Roman"/>
                <w:color w:val="auto"/>
                <w:sz w:val="24"/>
                <w:szCs w:val="24"/>
                <w:highlight w:val="none"/>
              </w:rPr>
              <w:t>月2</w:t>
            </w:r>
            <w:r>
              <w:rPr>
                <w:rFonts w:hint="eastAsia" w:ascii="Times New Roman" w:hAnsi="Times New Roman"/>
                <w:color w:val="auto"/>
                <w:sz w:val="24"/>
                <w:szCs w:val="24"/>
                <w:highlight w:val="none"/>
                <w:lang w:val="en-US" w:eastAsia="zh-CN"/>
              </w:rPr>
              <w:t>7</w:t>
            </w:r>
            <w:r>
              <w:rPr>
                <w:rFonts w:hint="eastAsia" w:ascii="Times New Roman" w:hAnsi="Times New Roman"/>
                <w:color w:val="auto"/>
                <w:sz w:val="24"/>
                <w:szCs w:val="24"/>
                <w:highlight w:val="none"/>
              </w:rPr>
              <w:t>日</w:t>
            </w:r>
            <w:r>
              <w:rPr>
                <w:rFonts w:hint="eastAsia" w:ascii="Times New Roman" w:hAnsi="Times New Roman"/>
                <w:color w:val="auto"/>
                <w:sz w:val="24"/>
                <w:szCs w:val="24"/>
                <w:highlight w:val="none"/>
                <w:lang w:val="en-US" w:eastAsia="zh-CN"/>
              </w:rPr>
              <w:t>建设单位取得了陕西省西咸新区生态环境局（泾河）工作部下发的</w:t>
            </w:r>
            <w:r>
              <w:rPr>
                <w:rFonts w:hint="eastAsia" w:ascii="Times New Roman" w:hAnsi="Times New Roman"/>
                <w:color w:val="auto"/>
                <w:sz w:val="24"/>
                <w:szCs w:val="24"/>
                <w:highlight w:val="none"/>
              </w:rPr>
              <w:t>排污许可</w:t>
            </w:r>
            <w:r>
              <w:rPr>
                <w:rFonts w:hint="eastAsia" w:ascii="Times New Roman" w:hAnsi="Times New Roman"/>
                <w:color w:val="auto"/>
                <w:sz w:val="24"/>
                <w:szCs w:val="24"/>
                <w:highlight w:val="none"/>
                <w:lang w:val="en-US" w:eastAsia="zh-CN"/>
              </w:rPr>
              <w:t>证</w:t>
            </w:r>
            <w:r>
              <w:rPr>
                <w:rFonts w:hint="eastAsia"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证书</w:t>
            </w:r>
            <w:r>
              <w:rPr>
                <w:rFonts w:hint="eastAsia" w:ascii="Times New Roman" w:hAnsi="Times New Roman"/>
                <w:color w:val="auto"/>
                <w:sz w:val="24"/>
                <w:szCs w:val="24"/>
                <w:highlight w:val="none"/>
              </w:rPr>
              <w:t>编号</w:t>
            </w:r>
            <w:r>
              <w:rPr>
                <w:rFonts w:hint="eastAsia" w:ascii="Times New Roman" w:hAnsi="Times New Roman"/>
                <w:color w:val="auto"/>
                <w:sz w:val="24"/>
                <w:szCs w:val="24"/>
                <w:highlight w:val="none"/>
                <w:lang w:eastAsia="zh-CN"/>
              </w:rPr>
              <w:t>：</w:t>
            </w:r>
            <w:r>
              <w:rPr>
                <w:rFonts w:hint="default" w:ascii="Times New Roman" w:hAnsi="Times New Roman"/>
                <w:color w:val="auto"/>
                <w:sz w:val="24"/>
                <w:szCs w:val="24"/>
                <w:highlight w:val="none"/>
              </w:rPr>
              <w:t>9161</w:t>
            </w:r>
            <w:r>
              <w:rPr>
                <w:rFonts w:hint="eastAsia" w:ascii="Times New Roman" w:hAnsi="Times New Roman"/>
                <w:color w:val="auto"/>
                <w:sz w:val="24"/>
                <w:szCs w:val="24"/>
                <w:highlight w:val="none"/>
                <w:lang w:val="en-US" w:eastAsia="zh-CN"/>
              </w:rPr>
              <w:t>11000648046650001Q</w:t>
            </w:r>
            <w:r>
              <w:rPr>
                <w:rFonts w:hint="eastAsia" w:ascii="Times New Roman" w:hAnsi="Times New Roman"/>
                <w:color w:val="auto"/>
                <w:sz w:val="24"/>
                <w:szCs w:val="24"/>
                <w:highlight w:val="none"/>
                <w:lang w:eastAsia="zh-CN"/>
              </w:rPr>
              <w:t>。</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color w:val="auto"/>
                <w:sz w:val="24"/>
                <w:highlight w:val="none"/>
                <w:lang w:val="en-US" w:eastAsia="zh-CN"/>
              </w:rPr>
            </w:pPr>
            <w:r>
              <w:rPr>
                <w:rFonts w:hint="eastAsia" w:ascii="Times New Roman" w:hAnsi="Times New Roman" w:eastAsia="宋体" w:cs="Times New Roman"/>
                <w:b/>
                <w:bCs/>
                <w:color w:val="auto"/>
                <w:sz w:val="24"/>
                <w:highlight w:val="none"/>
                <w:lang w:val="en-US" w:eastAsia="zh-CN"/>
              </w:rPr>
              <w:t>二、原有项目工艺流程及产污环节</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迁建前原有项目</w:t>
            </w:r>
            <w:r>
              <w:rPr>
                <w:rFonts w:hint="default" w:ascii="Times New Roman" w:hAnsi="Times New Roman" w:cs="Times New Roman"/>
                <w:color w:val="auto"/>
                <w:kern w:val="0"/>
                <w:sz w:val="24"/>
                <w:szCs w:val="24"/>
                <w:highlight w:val="none"/>
                <w:lang w:val="en-US" w:eastAsia="zh-CN" w:bidi="ar"/>
              </w:rPr>
              <w:t>涉及3种产品，分别为</w:t>
            </w:r>
            <w:r>
              <w:rPr>
                <w:rFonts w:hint="default" w:ascii="Times New Roman" w:hAnsi="Times New Roman" w:cs="Times New Roman"/>
                <w:color w:val="auto"/>
                <w:sz w:val="24"/>
              </w:rPr>
              <w:t>PE管材、钢带波纹管、中空壁缠绕管</w:t>
            </w:r>
            <w:r>
              <w:rPr>
                <w:rFonts w:hint="default" w:ascii="Times New Roman" w:hAnsi="Times New Roman" w:cs="Times New Roman"/>
                <w:color w:val="auto"/>
                <w:sz w:val="24"/>
                <w:lang w:eastAsia="zh-CN"/>
              </w:rPr>
              <w:t>，</w:t>
            </w:r>
            <w:r>
              <w:rPr>
                <w:rFonts w:hint="default" w:ascii="Times New Roman" w:hAnsi="Times New Roman" w:eastAsia="宋体" w:cs="Times New Roman"/>
                <w:color w:val="auto"/>
                <w:kern w:val="0"/>
                <w:sz w:val="24"/>
                <w:szCs w:val="24"/>
                <w:highlight w:val="none"/>
                <w:lang w:val="en-US" w:eastAsia="zh-CN" w:bidi="ar"/>
              </w:rPr>
              <w:t>工艺流程</w:t>
            </w:r>
            <w:r>
              <w:rPr>
                <w:rFonts w:hint="default" w:ascii="Times New Roman" w:hAnsi="Times New Roman" w:cs="Times New Roman"/>
                <w:color w:val="auto"/>
                <w:kern w:val="0"/>
                <w:sz w:val="24"/>
                <w:szCs w:val="24"/>
                <w:highlight w:val="none"/>
                <w:lang w:val="en-US" w:eastAsia="zh-CN" w:bidi="ar"/>
              </w:rPr>
              <w:t>及产污环节说明如下:</w:t>
            </w:r>
          </w:p>
          <w:p>
            <w:pPr>
              <w:keepNext w:val="0"/>
              <w:keepLines w:val="0"/>
              <w:suppressLineNumbers w:val="0"/>
              <w:tabs>
                <w:tab w:val="left" w:pos="4335"/>
              </w:tabs>
              <w:autoSpaceDE w:val="0"/>
              <w:autoSpaceDN w:val="0"/>
              <w:adjustRightInd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t>PE管材生产工艺简述：</w:t>
            </w:r>
          </w:p>
          <w:p>
            <w:pPr>
              <w:keepNext w:val="0"/>
              <w:keepLines w:val="0"/>
              <w:suppressLineNumbers w:val="0"/>
              <w:tabs>
                <w:tab w:val="left" w:pos="4335"/>
              </w:tabs>
              <w:autoSpaceDE w:val="0"/>
              <w:autoSpaceDN w:val="0"/>
              <w:adjustRightInd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 1 \* GB3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①</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原料混配：对原料聚乙烯颗粒、色母以及其他辅料按照一定的比例进行充分混合。</w:t>
            </w:r>
          </w:p>
          <w:p>
            <w:pPr>
              <w:keepNext w:val="0"/>
              <w:keepLines w:val="0"/>
              <w:suppressLineNumbers w:val="0"/>
              <w:tabs>
                <w:tab w:val="left" w:pos="4335"/>
              </w:tabs>
              <w:autoSpaceDE w:val="0"/>
              <w:autoSpaceDN w:val="0"/>
              <w:adjustRightInd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②上料：将原料由通过吸料机供给挤出机。</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③挤出：聚乙烯及色母颗粒在挤出机内通过电加热受热软化（通过温控装置控热温度200℃），在挤出机的强力机械挤压成型，挤出的同时进行真空定径。</w:t>
            </w:r>
          </w:p>
          <w:p>
            <w:pPr>
              <w:keepNext w:val="0"/>
              <w:keepLines w:val="0"/>
              <w:suppressLineNumbers w:val="0"/>
              <w:tabs>
                <w:tab w:val="left" w:pos="4335"/>
              </w:tabs>
              <w:autoSpaceDE w:val="0"/>
              <w:autoSpaceDN w:val="0"/>
              <w:adjustRightInd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④冷却：经过真空冷却定型和二次喷淋冷却水进行冷却。</w:t>
            </w:r>
          </w:p>
          <w:p>
            <w:pPr>
              <w:keepNext w:val="0"/>
              <w:keepLines w:val="0"/>
              <w:suppressLineNumbers w:val="0"/>
              <w:tabs>
                <w:tab w:val="left" w:pos="4335"/>
              </w:tabs>
              <w:autoSpaceDE w:val="0"/>
              <w:autoSpaceDN w:val="0"/>
              <w:adjustRightInd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⑤牵引、切割：将冷却后的管材经牵引机牵引至切割机处，切割机按规定尺寸切割产品。切割产生的废料集中收集统一外售。</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⑥检验：对切割成规定尺寸的管材进行检验，检验合格产品入库待售，不合格的残次品集中收集统一外售。</w:t>
            </w:r>
          </w:p>
          <w:p>
            <w:pPr>
              <w:pStyle w:val="36"/>
              <w:keepNext/>
              <w:keepLines/>
              <w:suppressLineNumbers w:val="0"/>
              <w:spacing w:before="0" w:beforeAutospacing="0" w:after="0" w:afterAutospacing="0"/>
              <w:ind w:left="0" w:leftChars="0" w:right="0" w:firstLine="0" w:firstLineChars="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object>
                <v:shape id="_x0000_i1028" o:spt="75" type="#_x0000_t75" style="height:358.5pt;width:423.85pt;" o:ole="t" filled="f" o:preferrelative="t" stroked="f" coordsize="21600,21600">
                  <v:path/>
                  <v:fill on="f" focussize="0,0"/>
                  <v:stroke on="f"/>
                  <v:imagedata r:id="rId22" o:title=""/>
                  <o:lock v:ext="edit" aspectratio="f"/>
                  <w10:wrap type="none"/>
                  <w10:anchorlock/>
                </v:shape>
                <o:OLEObject Type="Embed" ProgID="Visio.Drawing.11" ShapeID="_x0000_i1028" DrawAspect="Content" ObjectID="_1468075727" r:id="rId21">
                  <o:LockedField>false</o:LockedField>
                </o:OLEObject>
              </w:object>
            </w:r>
            <w:r>
              <w:rPr>
                <w:rFonts w:hint="default" w:ascii="Times New Roman" w:hAnsi="Times New Roman" w:cs="Times New Roman"/>
                <w:b/>
                <w:bCs/>
                <w:color w:val="auto"/>
                <w:szCs w:val="21"/>
                <w:highlight w:val="none"/>
              </w:rPr>
              <w:t>图2-</w:t>
            </w:r>
            <w:r>
              <w:rPr>
                <w:rFonts w:hint="default" w:ascii="Times New Roman" w:hAnsi="Times New Roman" w:cs="Times New Roman"/>
                <w:b/>
                <w:bCs/>
                <w:color w:val="auto"/>
                <w:szCs w:val="21"/>
                <w:highlight w:val="none"/>
                <w:lang w:val="en-US" w:eastAsia="zh-CN"/>
              </w:rPr>
              <w:t>4</w:t>
            </w:r>
            <w:r>
              <w:rPr>
                <w:rFonts w:hint="default" w:ascii="Times New Roman" w:hAnsi="Times New Roman" w:cs="Times New Roman"/>
                <w:b/>
                <w:bCs/>
                <w:color w:val="auto"/>
                <w:szCs w:val="21"/>
                <w:highlight w:val="none"/>
              </w:rPr>
              <w:t xml:space="preserve">  </w:t>
            </w:r>
            <w:r>
              <w:rPr>
                <w:rFonts w:hint="default" w:ascii="Times New Roman" w:hAnsi="Times New Roman" w:cs="Times New Roman"/>
                <w:b/>
                <w:bCs/>
                <w:color w:val="auto"/>
                <w:szCs w:val="21"/>
                <w:highlight w:val="none"/>
                <w:lang w:val="en-US" w:eastAsia="zh-CN"/>
              </w:rPr>
              <w:t>PE管材</w:t>
            </w:r>
            <w:r>
              <w:rPr>
                <w:rFonts w:hint="default" w:ascii="Times New Roman" w:hAnsi="Times New Roman" w:cs="Times New Roman"/>
                <w:b/>
                <w:bCs/>
                <w:color w:val="auto"/>
                <w:szCs w:val="21"/>
                <w:highlight w:val="none"/>
              </w:rPr>
              <w:t>生产工艺流程及产污环节示意图</w:t>
            </w:r>
          </w:p>
          <w:p>
            <w:pPr>
              <w:keepNext w:val="0"/>
              <w:keepLines w:val="0"/>
              <w:pageBreakBefore w:val="0"/>
              <w:widowControl w:val="0"/>
              <w:numPr>
                <w:ilvl w:val="0"/>
                <w:numId w:val="3"/>
              </w:numPr>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中空壁缠绕管生产工艺</w:t>
            </w:r>
            <w:r>
              <w:rPr>
                <w:rFonts w:hint="default" w:ascii="Times New Roman" w:hAnsi="Times New Roman" w:cs="Times New Roman"/>
                <w:color w:val="auto"/>
                <w:sz w:val="24"/>
                <w:szCs w:val="24"/>
                <w:lang w:val="en-US" w:eastAsia="zh-CN"/>
              </w:rPr>
              <w:t>简述：</w:t>
            </w:r>
          </w:p>
          <w:p>
            <w:pPr>
              <w:keepNext w:val="0"/>
              <w:keepLines w:val="0"/>
              <w:pageBreakBefore w:val="0"/>
              <w:widowControl w:val="0"/>
              <w:numPr>
                <w:ilvl w:val="0"/>
                <w:numId w:val="0"/>
              </w:numPr>
              <w:suppressLineNumbers w:val="0"/>
              <w:tabs>
                <w:tab w:val="left" w:pos="4335"/>
              </w:tabs>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kern w:val="0"/>
                <w:sz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 1 \* GB3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①</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kern w:val="0"/>
                <w:sz w:val="24"/>
              </w:rPr>
              <w:t>原料：在原料混合区将聚乙烯颗粒和色母颗粒</w:t>
            </w:r>
            <w:r>
              <w:rPr>
                <w:rFonts w:hint="default" w:ascii="Times New Roman" w:hAnsi="Times New Roman" w:cs="Times New Roman"/>
                <w:color w:val="auto"/>
                <w:kern w:val="0"/>
                <w:sz w:val="24"/>
                <w:lang w:eastAsia="zh-CN"/>
              </w:rPr>
              <w:t>、消泡剂</w:t>
            </w:r>
            <w:r>
              <w:rPr>
                <w:rFonts w:hint="default" w:ascii="Times New Roman" w:hAnsi="Times New Roman" w:cs="Times New Roman"/>
                <w:color w:val="auto"/>
                <w:kern w:val="0"/>
                <w:sz w:val="24"/>
              </w:rPr>
              <w:t>按照一定比例混合均匀。</w:t>
            </w:r>
          </w:p>
          <w:p>
            <w:pPr>
              <w:keepNext w:val="0"/>
              <w:keepLines w:val="0"/>
              <w:pageBreakBefore w:val="0"/>
              <w:widowControl w:val="0"/>
              <w:numPr>
                <w:ilvl w:val="0"/>
                <w:numId w:val="0"/>
              </w:numPr>
              <w:suppressLineNumbers w:val="0"/>
              <w:tabs>
                <w:tab w:val="left" w:pos="4335"/>
              </w:tabs>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②上料：自动上料机将混合均匀的原料通过管道吸到挤出机。</w:t>
            </w:r>
          </w:p>
          <w:p>
            <w:pPr>
              <w:keepNext w:val="0"/>
              <w:keepLines w:val="0"/>
              <w:pageBreakBefore w:val="0"/>
              <w:widowControl w:val="0"/>
              <w:numPr>
                <w:ilvl w:val="0"/>
                <w:numId w:val="0"/>
              </w:numPr>
              <w:suppressLineNumbers w:val="0"/>
              <w:tabs>
                <w:tab w:val="left" w:pos="4335"/>
              </w:tabs>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③加热挤出：原料在挤出机内电加热到200℃左右，通过机头不同型号的模具挤出得到半成品。</w:t>
            </w:r>
          </w:p>
          <w:p>
            <w:pPr>
              <w:keepNext w:val="0"/>
              <w:keepLines w:val="0"/>
              <w:pageBreakBefore w:val="0"/>
              <w:widowControl w:val="0"/>
              <w:numPr>
                <w:ilvl w:val="0"/>
                <w:numId w:val="0"/>
              </w:numPr>
              <w:suppressLineNumbers w:val="0"/>
              <w:tabs>
                <w:tab w:val="left" w:pos="4335"/>
              </w:tabs>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 4 \* GB3 \* MERGEFORMAT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rPr>
              <w:t>④</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kern w:val="0"/>
                <w:sz w:val="24"/>
              </w:rPr>
              <w:t>真空定径：</w:t>
            </w:r>
            <w:r>
              <w:rPr>
                <w:rFonts w:hint="default" w:ascii="Times New Roman" w:hAnsi="Times New Roman" w:cs="Times New Roman"/>
                <w:color w:val="auto"/>
                <w:sz w:val="24"/>
                <w:szCs w:val="24"/>
              </w:rPr>
              <w:t>挤出机挤出的定形制品首先进入真空定径箱，根据不同型号管材的大小进行定径，同时循环水池通过厂区设置的冷却水管道给真空定径箱输送冷却水，进行一次冷却。</w:t>
            </w:r>
          </w:p>
          <w:p>
            <w:pPr>
              <w:keepNext w:val="0"/>
              <w:keepLines w:val="0"/>
              <w:pageBreakBefore w:val="0"/>
              <w:widowControl w:val="0"/>
              <w:numPr>
                <w:ilvl w:val="0"/>
                <w:numId w:val="0"/>
              </w:numPr>
              <w:suppressLineNumbers w:val="0"/>
              <w:tabs>
                <w:tab w:val="left" w:pos="4335"/>
              </w:tabs>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 5 \* GB3 \* MERGEFORMAT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rPr>
              <w:t>⑤</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缠绕成型台：冷却后的半成品管材输送至缠绕成型台，在电加热条件下按照预定的位置均匀的缠绕在模具上使其塑化均匀并螺旋定型，该过程温度控制在150</w:t>
            </w:r>
            <w:r>
              <w:rPr>
                <w:rFonts w:hint="default" w:ascii="Times New Roman" w:hAnsi="Times New Roman" w:cs="Times New Roman"/>
                <w:color w:val="auto"/>
                <w:kern w:val="0"/>
                <w:sz w:val="24"/>
              </w:rPr>
              <w:t>℃左右，</w:t>
            </w:r>
            <w:r>
              <w:rPr>
                <w:rFonts w:hint="default" w:ascii="Times New Roman" w:hAnsi="Times New Roman" w:cs="Times New Roman"/>
                <w:color w:val="auto"/>
                <w:sz w:val="24"/>
                <w:szCs w:val="24"/>
              </w:rPr>
              <w:t>将螺旋缠绕工序为物理作用，无化学反应。</w:t>
            </w:r>
          </w:p>
          <w:p>
            <w:pPr>
              <w:keepNext w:val="0"/>
              <w:keepLines w:val="0"/>
              <w:pageBreakBefore w:val="0"/>
              <w:widowControl w:val="0"/>
              <w:numPr>
                <w:ilvl w:val="0"/>
                <w:numId w:val="0"/>
              </w:numPr>
              <w:suppressLineNumbers w:val="0"/>
              <w:tabs>
                <w:tab w:val="left" w:pos="4335"/>
              </w:tabs>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rPr>
              <w:t>⑥</w:t>
            </w:r>
            <w:r>
              <w:rPr>
                <w:rFonts w:hint="default" w:ascii="Times New Roman" w:hAnsi="Times New Roman" w:cs="Times New Roman"/>
                <w:color w:val="auto"/>
                <w:sz w:val="24"/>
                <w:szCs w:val="24"/>
              </w:rPr>
              <w:t>冷却：从缠绕成型台上输送的管材基本已经成型，随后直接进行二次冷却定型。</w:t>
            </w:r>
          </w:p>
          <w:p>
            <w:pPr>
              <w:keepNext w:val="0"/>
              <w:keepLines w:val="0"/>
              <w:pageBreakBefore w:val="0"/>
              <w:widowControl w:val="0"/>
              <w:suppressLineNumbers w:val="0"/>
              <w:tabs>
                <w:tab w:val="left" w:pos="4335"/>
              </w:tabs>
              <w:kinsoku/>
              <w:wordWrap/>
              <w:overflowPunct/>
              <w:topLinePunct w:val="0"/>
              <w:autoSpaceDE w:val="0"/>
              <w:autoSpaceDN w:val="0"/>
              <w:bidi w:val="0"/>
              <w:adjustRightInd w:val="0"/>
              <w:snapToGrid/>
              <w:spacing w:before="0" w:beforeAutospacing="0" w:after="0" w:afterAutospacing="0" w:line="360" w:lineRule="auto"/>
              <w:ind w:left="0" w:leftChars="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rPr>
              <w:t>⑦</w:t>
            </w:r>
            <w:r>
              <w:rPr>
                <w:rFonts w:hint="default" w:ascii="Times New Roman" w:hAnsi="Times New Roman" w:cs="Times New Roman"/>
                <w:color w:val="auto"/>
                <w:sz w:val="24"/>
                <w:szCs w:val="24"/>
              </w:rPr>
              <w:t>切割：根据需求对管材长度切割。切割产生的边角料统一收集后定期后外售。</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rPr>
              <w:t>⑧</w:t>
            </w:r>
            <w:r>
              <w:rPr>
                <w:rFonts w:hint="default" w:ascii="Times New Roman" w:hAnsi="Times New Roman" w:cs="Times New Roman"/>
                <w:color w:val="auto"/>
                <w:sz w:val="24"/>
                <w:szCs w:val="24"/>
              </w:rPr>
              <w:t>检验：对成品进行质量和规格的筛选及检查，合格的产品入库待售，不合格的产品统一收集后定期由回收单位回收处理。</w:t>
            </w:r>
          </w:p>
          <w:p>
            <w:pPr>
              <w:pStyle w:val="2"/>
              <w:keepNext w:val="0"/>
              <w:keepLines w:val="0"/>
              <w:suppressLineNumbers w:val="0"/>
              <w:spacing w:before="0" w:beforeAutospacing="0" w:after="0" w:afterAutospacing="0"/>
              <w:ind w:left="0" w:right="0"/>
              <w:rPr>
                <w:rFonts w:hint="default"/>
                <w:color w:val="auto"/>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cs="Times New Roman"/>
                <w:color w:val="auto"/>
                <w:kern w:val="0"/>
                <w:sz w:val="24"/>
                <w:szCs w:val="24"/>
                <w:highlight w:val="none"/>
                <w:lang w:val="en-US" w:eastAsia="zh-CN" w:bidi="ar"/>
              </w:rPr>
            </w:pPr>
          </w:p>
          <w:p>
            <w:pPr>
              <w:pStyle w:val="50"/>
              <w:keepNext w:val="0"/>
              <w:keepLines w:val="0"/>
              <w:suppressLineNumbers w:val="0"/>
              <w:spacing w:before="0" w:beforeAutospacing="0" w:after="0" w:afterAutospacing="0"/>
              <w:ind w:left="0" w:right="0"/>
              <w:rPr>
                <w:rFonts w:hint="default" w:ascii="Times New Roman" w:hAnsi="Times New Roman" w:cs="Times New Roman"/>
                <w:color w:val="auto"/>
                <w:kern w:val="0"/>
                <w:sz w:val="24"/>
                <w:szCs w:val="24"/>
                <w:highlight w:val="none"/>
                <w:lang w:val="en-US" w:eastAsia="zh-CN" w:bidi="ar"/>
              </w:rPr>
            </w:pPr>
          </w:p>
          <w:p>
            <w:pPr>
              <w:pStyle w:val="50"/>
              <w:keepNext w:val="0"/>
              <w:keepLines w:val="0"/>
              <w:suppressLineNumbers w:val="0"/>
              <w:spacing w:before="0" w:beforeAutospacing="0" w:after="0" w:afterAutospacing="0"/>
              <w:ind w:left="0" w:right="0"/>
              <w:rPr>
                <w:rFonts w:hint="default" w:ascii="Times New Roman" w:hAnsi="Times New Roman" w:cs="Times New Roman"/>
                <w:color w:val="auto"/>
                <w:kern w:val="0"/>
                <w:sz w:val="24"/>
                <w:szCs w:val="24"/>
                <w:highlight w:val="none"/>
                <w:lang w:val="en-US" w:eastAsia="zh-CN" w:bidi="ar"/>
              </w:rPr>
            </w:pPr>
          </w:p>
          <w:p>
            <w:pPr>
              <w:pStyle w:val="50"/>
              <w:keepNext w:val="0"/>
              <w:keepLines w:val="0"/>
              <w:suppressLineNumbers w:val="0"/>
              <w:spacing w:before="0" w:beforeAutospacing="0" w:after="0" w:afterAutospacing="0"/>
              <w:ind w:left="0" w:right="0"/>
              <w:rPr>
                <w:rFonts w:hint="default" w:ascii="Times New Roman" w:hAnsi="Times New Roman" w:cs="Times New Roman"/>
                <w:color w:val="auto"/>
                <w:kern w:val="0"/>
                <w:sz w:val="24"/>
                <w:szCs w:val="24"/>
                <w:highlight w:val="none"/>
                <w:lang w:val="en-US" w:eastAsia="zh-CN" w:bidi="ar"/>
              </w:rPr>
            </w:pPr>
          </w:p>
          <w:p>
            <w:pPr>
              <w:pStyle w:val="50"/>
              <w:keepNext w:val="0"/>
              <w:keepLines w:val="0"/>
              <w:suppressLineNumbers w:val="0"/>
              <w:spacing w:before="0" w:beforeAutospacing="0" w:after="0" w:afterAutospacing="0"/>
              <w:ind w:left="0" w:right="0"/>
              <w:rPr>
                <w:rFonts w:hint="default" w:ascii="Times New Roman" w:hAnsi="Times New Roman" w:cs="Times New Roman"/>
                <w:color w:val="auto"/>
                <w:kern w:val="0"/>
                <w:sz w:val="24"/>
                <w:szCs w:val="24"/>
                <w:highlight w:val="none"/>
                <w:lang w:val="en-US" w:eastAsia="zh-CN" w:bidi="ar"/>
              </w:rPr>
            </w:pPr>
          </w:p>
          <w:p>
            <w:pPr>
              <w:pStyle w:val="50"/>
              <w:keepNext w:val="0"/>
              <w:keepLines w:val="0"/>
              <w:suppressLineNumbers w:val="0"/>
              <w:spacing w:before="0" w:beforeAutospacing="0" w:after="0" w:afterAutospacing="0"/>
              <w:ind w:left="0" w:right="0"/>
              <w:rPr>
                <w:rFonts w:hint="default" w:ascii="Times New Roman" w:hAnsi="Times New Roman" w:cs="Times New Roman"/>
                <w:color w:val="auto"/>
                <w:kern w:val="0"/>
                <w:sz w:val="24"/>
                <w:szCs w:val="24"/>
                <w:highlight w:val="none"/>
                <w:lang w:val="en-US" w:eastAsia="zh-CN" w:bidi="ar"/>
              </w:rPr>
            </w:pPr>
          </w:p>
          <w:p>
            <w:pPr>
              <w:pStyle w:val="50"/>
              <w:keepNext w:val="0"/>
              <w:keepLines w:val="0"/>
              <w:suppressLineNumbers w:val="0"/>
              <w:spacing w:before="0" w:beforeAutospacing="0" w:after="0" w:afterAutospacing="0"/>
              <w:ind w:left="0" w:right="0"/>
              <w:rPr>
                <w:rFonts w:hint="default" w:ascii="Times New Roman" w:hAnsi="Times New Roman" w:cs="Times New Roman"/>
                <w:color w:val="auto"/>
                <w:kern w:val="0"/>
                <w:sz w:val="24"/>
                <w:szCs w:val="24"/>
                <w:highlight w:val="none"/>
                <w:lang w:val="en-US" w:eastAsia="zh-CN" w:bidi="ar"/>
              </w:rPr>
            </w:pPr>
          </w:p>
          <w:p>
            <w:pPr>
              <w:pStyle w:val="50"/>
              <w:keepNext w:val="0"/>
              <w:keepLines w:val="0"/>
              <w:suppressLineNumbers w:val="0"/>
              <w:spacing w:before="0" w:beforeAutospacing="0" w:after="0" w:afterAutospacing="0"/>
              <w:ind w:left="0" w:right="0"/>
              <w:rPr>
                <w:rFonts w:hint="default" w:ascii="Times New Roman" w:hAnsi="Times New Roman" w:cs="Times New Roman"/>
                <w:color w:val="auto"/>
                <w:kern w:val="0"/>
                <w:sz w:val="24"/>
                <w:szCs w:val="24"/>
                <w:highlight w:val="none"/>
                <w:lang w:val="en-US" w:eastAsia="zh-CN" w:bidi="ar"/>
              </w:rPr>
            </w:pPr>
          </w:p>
          <w:p>
            <w:pPr>
              <w:pStyle w:val="50"/>
              <w:keepNext w:val="0"/>
              <w:keepLines w:val="0"/>
              <w:suppressLineNumbers w:val="0"/>
              <w:spacing w:before="0" w:beforeAutospacing="0" w:after="0" w:afterAutospacing="0"/>
              <w:ind w:left="0" w:right="0"/>
              <w:rPr>
                <w:rFonts w:hint="default" w:ascii="Times New Roman" w:hAnsi="Times New Roman" w:cs="Times New Roman"/>
                <w:color w:val="auto"/>
                <w:kern w:val="0"/>
                <w:sz w:val="24"/>
                <w:szCs w:val="24"/>
                <w:highlight w:val="none"/>
                <w:lang w:val="en-US" w:eastAsia="zh-CN" w:bidi="ar"/>
              </w:rPr>
            </w:pPr>
          </w:p>
          <w:p>
            <w:pPr>
              <w:pStyle w:val="2"/>
              <w:keepNext w:val="0"/>
              <w:keepLines w:val="0"/>
              <w:suppressLineNumbers w:val="0"/>
              <w:spacing w:before="0" w:beforeAutospacing="0" w:after="0" w:afterAutospacing="0"/>
              <w:ind w:left="0" w:leftChars="0" w:right="0" w:firstLine="0" w:firstLineChars="0"/>
              <w:rPr>
                <w:rFonts w:hint="default"/>
                <w:color w:val="auto"/>
                <w:lang w:val="en-US" w:eastAsia="zh-CN"/>
              </w:rPr>
            </w:pPr>
          </w:p>
          <w:p>
            <w:pPr>
              <w:pStyle w:val="36"/>
              <w:keepNext/>
              <w:keepLines/>
              <w:suppressLineNumbers w:val="0"/>
              <w:spacing w:before="0" w:beforeAutospacing="0" w:after="0" w:afterAutospacing="0"/>
              <w:ind w:left="0" w:leftChars="0" w:right="0" w:firstLine="0" w:firstLineChars="0"/>
              <w:jc w:val="center"/>
              <w:rPr>
                <w:rFonts w:hint="default" w:ascii="Times New Roman" w:hAnsi="Times New Roman" w:cs="Times New Roman"/>
                <w:b/>
                <w:bCs/>
                <w:color w:val="auto"/>
                <w:szCs w:val="21"/>
                <w:highlight w:val="none"/>
              </w:rPr>
            </w:pPr>
            <w:r>
              <w:rPr>
                <w:rFonts w:hint="eastAsia" w:ascii="宋体" w:hAnsi="宋体" w:cs="宋体"/>
                <w:color w:val="000000"/>
                <w:sz w:val="24"/>
                <w:szCs w:val="24"/>
              </w:rPr>
              <w:object>
                <v:shape id="_x0000_i1032" o:spt="75" alt="" type="#_x0000_t75" style="height:352.35pt;width:455.25pt;" o:ole="t" filled="f" o:preferrelative="t" stroked="f" coordsize="21600,21600">
                  <v:path/>
                  <v:fill on="f" focussize="0,0"/>
                  <v:stroke on="f"/>
                  <v:imagedata r:id="rId24" o:title=""/>
                  <o:lock v:ext="edit" aspectratio="f"/>
                  <w10:wrap type="none"/>
                  <w10:anchorlock/>
                </v:shape>
                <o:OLEObject Type="Embed" ProgID="Visio.Drawing.11" ShapeID="_x0000_i1032" DrawAspect="Content" ObjectID="_1468075728" r:id="rId23">
                  <o:LockedField>false</o:LockedField>
                </o:OLEObject>
              </w:object>
            </w:r>
          </w:p>
          <w:p>
            <w:pPr>
              <w:pStyle w:val="36"/>
              <w:keepNext/>
              <w:keepLines/>
              <w:suppressLineNumbers w:val="0"/>
              <w:spacing w:before="0" w:beforeAutospacing="0" w:after="0" w:afterAutospacing="0"/>
              <w:ind w:left="0" w:leftChars="0" w:right="0" w:firstLine="0" w:firstLineChars="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图2-</w:t>
            </w:r>
            <w:r>
              <w:rPr>
                <w:rFonts w:hint="default" w:ascii="Times New Roman" w:hAnsi="Times New Roman" w:cs="Times New Roman"/>
                <w:b/>
                <w:bCs/>
                <w:color w:val="auto"/>
                <w:szCs w:val="21"/>
                <w:highlight w:val="none"/>
                <w:lang w:val="en-US" w:eastAsia="zh-CN"/>
              </w:rPr>
              <w:t>5</w:t>
            </w:r>
            <w:r>
              <w:rPr>
                <w:rFonts w:hint="default" w:ascii="Times New Roman" w:hAnsi="Times New Roman" w:cs="Times New Roman"/>
                <w:b/>
                <w:bCs/>
                <w:color w:val="auto"/>
                <w:szCs w:val="21"/>
                <w:highlight w:val="none"/>
              </w:rPr>
              <w:t xml:space="preserve">  </w:t>
            </w:r>
            <w:r>
              <w:rPr>
                <w:rFonts w:hint="default" w:ascii="Times New Roman" w:hAnsi="Times New Roman" w:cs="Times New Roman"/>
                <w:b/>
                <w:bCs/>
                <w:color w:val="auto"/>
                <w:szCs w:val="21"/>
                <w:highlight w:val="none"/>
                <w:lang w:val="en-US" w:eastAsia="zh-CN"/>
              </w:rPr>
              <w:t>中空壁缠绕管</w:t>
            </w:r>
            <w:r>
              <w:rPr>
                <w:rFonts w:hint="default" w:ascii="Times New Roman" w:hAnsi="Times New Roman" w:cs="Times New Roman"/>
                <w:b/>
                <w:bCs/>
                <w:color w:val="auto"/>
                <w:szCs w:val="21"/>
                <w:highlight w:val="none"/>
              </w:rPr>
              <w:t>生产工艺流程及产污环节示意图</w:t>
            </w:r>
          </w:p>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t>钢带波纹管生产工艺</w:t>
            </w:r>
            <w:r>
              <w:rPr>
                <w:rFonts w:hint="default" w:ascii="Times New Roman" w:hAnsi="Times New Roman" w:cs="Times New Roman"/>
                <w:color w:val="auto"/>
                <w:sz w:val="24"/>
                <w:szCs w:val="24"/>
                <w:lang w:val="en-US" w:eastAsia="zh-CN"/>
              </w:rPr>
              <w:t>简述：</w:t>
            </w:r>
          </w:p>
          <w:p>
            <w:pPr>
              <w:keepNext w:val="0"/>
              <w:keepLines w:val="0"/>
              <w:numPr>
                <w:ilvl w:val="0"/>
                <w:numId w:val="0"/>
              </w:numPr>
              <w:suppressLineNumbers w:val="0"/>
              <w:tabs>
                <w:tab w:val="left" w:pos="4335"/>
              </w:tabs>
              <w:autoSpaceDE w:val="0"/>
              <w:autoSpaceDN w:val="0"/>
              <w:adjustRightInd w:val="0"/>
              <w:spacing w:before="0" w:beforeAutospacing="0" w:after="0" w:afterAutospacing="0" w:line="360" w:lineRule="auto"/>
              <w:ind w:left="0" w:right="0"/>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 1 \* GB3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①</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真空上料：将PE颗粒与色母</w:t>
            </w:r>
            <w:r>
              <w:rPr>
                <w:rFonts w:hint="default" w:ascii="Times New Roman" w:hAnsi="Times New Roman" w:cs="Times New Roman"/>
                <w:color w:val="auto"/>
                <w:sz w:val="24"/>
                <w:szCs w:val="24"/>
                <w:lang w:eastAsia="zh-CN"/>
              </w:rPr>
              <w:t>、消泡剂</w:t>
            </w:r>
            <w:r>
              <w:rPr>
                <w:rFonts w:hint="default" w:ascii="Times New Roman" w:hAnsi="Times New Roman" w:cs="Times New Roman"/>
                <w:color w:val="auto"/>
                <w:sz w:val="24"/>
                <w:szCs w:val="24"/>
              </w:rPr>
              <w:t>按照一定比例混合均匀，经自动上料机将原料输送至挤出机。</w:t>
            </w:r>
          </w:p>
          <w:p>
            <w:pPr>
              <w:keepNext w:val="0"/>
              <w:keepLines w:val="0"/>
              <w:numPr>
                <w:ilvl w:val="0"/>
                <w:numId w:val="0"/>
              </w:numPr>
              <w:suppressLineNumbers w:val="0"/>
              <w:tabs>
                <w:tab w:val="left" w:pos="4335"/>
              </w:tabs>
              <w:autoSpaceDE w:val="0"/>
              <w:autoSpaceDN w:val="0"/>
              <w:adjustRightInd w:val="0"/>
              <w:spacing w:before="0" w:beforeAutospacing="0" w:after="0" w:afterAutospacing="0" w:line="360" w:lineRule="auto"/>
              <w:ind w:left="0" w:right="0"/>
              <w:rPr>
                <w:rFonts w:hint="default" w:ascii="Times New Roman" w:hAnsi="Times New Roman" w:cs="Times New Roman"/>
                <w:color w:val="auto"/>
                <w:sz w:val="24"/>
                <w:szCs w:val="24"/>
              </w:rPr>
            </w:pPr>
            <w:r>
              <w:rPr>
                <w:rFonts w:hint="default" w:ascii="Times New Roman" w:hAnsi="Times New Roman" w:cs="Times New Roman"/>
                <w:color w:val="auto"/>
                <w:kern w:val="0"/>
                <w:sz w:val="24"/>
              </w:rPr>
              <w:t>②</w:t>
            </w:r>
            <w:r>
              <w:rPr>
                <w:rFonts w:hint="default" w:ascii="Times New Roman" w:hAnsi="Times New Roman" w:cs="Times New Roman"/>
                <w:color w:val="auto"/>
                <w:sz w:val="24"/>
                <w:szCs w:val="24"/>
              </w:rPr>
              <w:t>加热挤出：原料在挤出机中电加热200℃左右至熔融状态，通过挤出机机头不同型号的模具挤出后与上下表面涂有粘结树脂胶的钢带进行压实过程。</w:t>
            </w:r>
          </w:p>
          <w:p>
            <w:pPr>
              <w:pStyle w:val="50"/>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rPr>
            </w:pPr>
            <w:r>
              <w:rPr>
                <w:rFonts w:hint="default" w:ascii="Times New Roman" w:hAnsi="Times New Roman" w:cs="Times New Roman"/>
                <w:color w:val="auto"/>
                <w:kern w:val="0"/>
                <w:sz w:val="24"/>
              </w:rPr>
              <w:t>③</w:t>
            </w:r>
            <w:r>
              <w:rPr>
                <w:rFonts w:hint="default" w:ascii="Times New Roman" w:hAnsi="Times New Roman" w:cs="Times New Roman"/>
                <w:color w:val="auto"/>
              </w:rPr>
              <w:t>钢带清洗：钢带在涂塑之前需要进行清洗，除去表面的灰尘，此过程使用循环水池内的水，不外排。</w:t>
            </w:r>
          </w:p>
          <w:p>
            <w:pPr>
              <w:keepNext w:val="0"/>
              <w:keepLines w:val="0"/>
              <w:suppressLineNumbers w:val="0"/>
              <w:tabs>
                <w:tab w:val="left" w:pos="4335"/>
              </w:tabs>
              <w:autoSpaceDE w:val="0"/>
              <w:autoSpaceDN w:val="0"/>
              <w:adjustRightInd w:val="0"/>
              <w:spacing w:before="0" w:beforeAutospacing="0" w:after="0" w:afterAutospacing="0" w:line="360" w:lineRule="auto"/>
              <w:ind w:left="0" w:right="0"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 4 \* GB3 \* MERGEFORMAT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rPr>
              <w:t>④</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kern w:val="0"/>
                <w:sz w:val="24"/>
              </w:rPr>
              <w:t>钢带涂塑、钢带放卷:外购回的钢带生产时在其表面涂上粘结树脂置于成型机，待挤出机挤出熔融状态的原料通过成型机时与钢带上下表面进行粘结。</w:t>
            </w:r>
          </w:p>
          <w:p>
            <w:pPr>
              <w:keepNext w:val="0"/>
              <w:keepLines w:val="0"/>
              <w:suppressLineNumbers w:val="0"/>
              <w:tabs>
                <w:tab w:val="left" w:pos="4335"/>
              </w:tabs>
              <w:autoSpaceDE w:val="0"/>
              <w:autoSpaceDN w:val="0"/>
              <w:adjustRightInd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 5 \* GB3 \* MERGEFORMAT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rPr>
              <w:t>⑤</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缠绕定型：缠绕定型机的作用主要是将基本成型的管材按照不同的口径进行封闭缠绕。</w:t>
            </w:r>
          </w:p>
          <w:p>
            <w:pPr>
              <w:keepNext w:val="0"/>
              <w:keepLines w:val="0"/>
              <w:suppressLineNumbers w:val="0"/>
              <w:tabs>
                <w:tab w:val="left" w:pos="4335"/>
              </w:tabs>
              <w:autoSpaceDE w:val="0"/>
              <w:autoSpaceDN w:val="0"/>
              <w:adjustRightInd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rPr>
              <w:t>⑥</w:t>
            </w:r>
            <w:r>
              <w:rPr>
                <w:rFonts w:hint="default" w:ascii="Times New Roman" w:hAnsi="Times New Roman" w:cs="Times New Roman"/>
                <w:color w:val="auto"/>
                <w:sz w:val="24"/>
                <w:szCs w:val="24"/>
              </w:rPr>
              <w:t>切割：根据需求对管材长度切割。切割产生的边角料统一收集后外售。</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rPr>
              <w:pict>
                <v:shape id="_x0000_s1031" o:spid="_x0000_s1031" o:spt="75" alt="" type="#_x0000_t75" style="position:absolute;left:0pt;margin-left:0.05pt;margin-top:42.45pt;height:411.25pt;width:423.35pt;z-index:251661312;mso-width-relative:page;mso-height-relative:page;" o:ole="t" filled="f" o:preferrelative="t" stroked="f" coordsize="21600,21600">
                  <v:path/>
                  <v:fill on="f" focussize="0,0"/>
                  <v:stroke on="f"/>
                  <v:imagedata r:id="rId26" o:title=""/>
                  <o:lock v:ext="edit" aspectratio="f"/>
                </v:shape>
                <o:OLEObject Type="Embed" ProgID="Visio.Drawing.11" ShapeID="_x0000_s1031" DrawAspect="Content" ObjectID="_1468075729" r:id="rId25">
                  <o:LockedField>false</o:LockedField>
                </o:OLEObject>
              </w:pict>
            </w:r>
            <w:r>
              <w:rPr>
                <w:rFonts w:hint="default" w:ascii="Times New Roman" w:hAnsi="Times New Roman" w:eastAsia="宋体" w:cs="Times New Roman"/>
                <w:color w:val="auto"/>
                <w:sz w:val="24"/>
                <w:szCs w:val="24"/>
              </w:rPr>
              <w:t>⑦</w:t>
            </w:r>
            <w:r>
              <w:rPr>
                <w:rFonts w:hint="default" w:ascii="Times New Roman" w:hAnsi="Times New Roman" w:cs="Times New Roman"/>
                <w:color w:val="auto"/>
                <w:sz w:val="24"/>
                <w:szCs w:val="24"/>
              </w:rPr>
              <w:t>检验：对成品进行质量和规格的筛选及检查，合格的产品入库待售，不合格的产品统一收集后定期由回收单位回收处理。</w:t>
            </w:r>
          </w:p>
          <w:p>
            <w:pPr>
              <w:pStyle w:val="2"/>
              <w:keepNext w:val="0"/>
              <w:keepLines w:val="0"/>
              <w:suppressLineNumbers w:val="0"/>
              <w:spacing w:before="0" w:beforeAutospacing="0" w:after="0" w:afterAutospacing="0"/>
              <w:ind w:left="0" w:right="0"/>
              <w:rPr>
                <w:rFonts w:hint="default"/>
                <w:color w:val="auto"/>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pPr>
              <w:pStyle w:val="2"/>
              <w:keepNext w:val="0"/>
              <w:keepLines w:val="0"/>
              <w:suppressLineNumbers w:val="0"/>
              <w:spacing w:before="0" w:beforeAutospacing="0" w:after="0" w:afterAutospacing="0"/>
              <w:ind w:left="0" w:right="0"/>
              <w:rPr>
                <w:rFonts w:hint="default"/>
                <w:color w:val="auto"/>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pPr>
              <w:pStyle w:val="36"/>
              <w:keepNext/>
              <w:keepLines/>
              <w:suppressLineNumbers w:val="0"/>
              <w:spacing w:before="0" w:beforeAutospacing="0" w:after="0" w:afterAutospacing="0"/>
              <w:ind w:left="0" w:leftChars="0" w:right="0" w:firstLine="0" w:firstLineChars="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图2-</w:t>
            </w:r>
            <w:r>
              <w:rPr>
                <w:rFonts w:hint="eastAsia" w:ascii="Times New Roman" w:hAnsi="Times New Roman" w:cs="Times New Roman"/>
                <w:b/>
                <w:bCs/>
                <w:color w:val="auto"/>
                <w:szCs w:val="21"/>
                <w:highlight w:val="none"/>
                <w:lang w:val="en-US" w:eastAsia="zh-CN"/>
              </w:rPr>
              <w:t>6</w:t>
            </w:r>
            <w:r>
              <w:rPr>
                <w:rFonts w:hint="default" w:ascii="Times New Roman" w:hAnsi="Times New Roman" w:cs="Times New Roman"/>
                <w:b/>
                <w:bCs/>
                <w:color w:val="auto"/>
                <w:szCs w:val="21"/>
                <w:highlight w:val="none"/>
              </w:rPr>
              <w:t xml:space="preserve">  </w:t>
            </w:r>
            <w:r>
              <w:rPr>
                <w:rFonts w:hint="default" w:ascii="Times New Roman" w:hAnsi="Times New Roman" w:cs="Times New Roman"/>
                <w:b/>
                <w:bCs/>
                <w:color w:val="auto"/>
                <w:szCs w:val="21"/>
                <w:highlight w:val="none"/>
                <w:lang w:val="en-US" w:eastAsia="zh-CN"/>
              </w:rPr>
              <w:t>钢带波纹管</w:t>
            </w:r>
            <w:r>
              <w:rPr>
                <w:rFonts w:hint="default" w:ascii="Times New Roman" w:hAnsi="Times New Roman" w:cs="Times New Roman"/>
                <w:b/>
                <w:bCs/>
                <w:color w:val="auto"/>
                <w:szCs w:val="21"/>
                <w:highlight w:val="none"/>
              </w:rPr>
              <w:t>生产工艺流程及产污环节示意图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left"/>
              <w:textAlignment w:val="auto"/>
              <w:rPr>
                <w:rFonts w:hint="default"/>
                <w:color w:val="auto"/>
                <w:highlight w:val="none"/>
              </w:rPr>
            </w:pPr>
            <w:r>
              <w:rPr>
                <w:rFonts w:hint="eastAsia" w:ascii="宋体" w:hAnsi="宋体" w:eastAsia="宋体" w:cs="宋体"/>
                <w:b/>
                <w:bCs/>
                <w:color w:val="auto"/>
                <w:kern w:val="0"/>
                <w:sz w:val="24"/>
                <w:szCs w:val="24"/>
                <w:highlight w:val="none"/>
                <w:lang w:val="en-US" w:eastAsia="zh-CN" w:bidi="ar"/>
              </w:rPr>
              <w:t>三、原有项目污染治理措施及污染物排放情况</w:t>
            </w:r>
          </w:p>
          <w:p>
            <w:pPr>
              <w:keepNext w:val="0"/>
              <w:keepLines w:val="0"/>
              <w:suppressLineNumbers w:val="0"/>
              <w:spacing w:before="0" w:beforeAutospacing="0" w:after="0" w:afterAutospacing="0" w:line="360" w:lineRule="auto"/>
              <w:ind w:left="0" w:right="0" w:firstLine="482" w:firstLineChars="200"/>
              <w:rPr>
                <w:rFonts w:hint="default"/>
                <w:b/>
                <w:bCs/>
                <w:color w:val="auto"/>
                <w:sz w:val="24"/>
                <w:highlight w:val="none"/>
              </w:rPr>
            </w:pPr>
            <w:r>
              <w:rPr>
                <w:rFonts w:hint="eastAsia"/>
                <w:b/>
                <w:bCs/>
                <w:color w:val="auto"/>
                <w:sz w:val="24"/>
                <w:highlight w:val="none"/>
              </w:rPr>
              <w:t>1</w:t>
            </w:r>
            <w:r>
              <w:rPr>
                <w:rFonts w:hint="eastAsia"/>
                <w:b/>
                <w:bCs/>
                <w:color w:val="auto"/>
                <w:sz w:val="24"/>
                <w:highlight w:val="none"/>
                <w:lang w:eastAsia="zh-CN"/>
              </w:rPr>
              <w:t>、</w:t>
            </w:r>
            <w:r>
              <w:rPr>
                <w:rFonts w:hint="eastAsia"/>
                <w:b/>
                <w:bCs/>
                <w:color w:val="auto"/>
                <w:sz w:val="24"/>
                <w:highlight w:val="none"/>
              </w:rPr>
              <w:t>废气</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olor w:val="auto"/>
                <w:sz w:val="24"/>
                <w:szCs w:val="24"/>
                <w:highlight w:val="none"/>
              </w:rPr>
            </w:pPr>
            <w:r>
              <w:rPr>
                <w:rFonts w:hint="eastAsia"/>
                <w:color w:val="auto"/>
                <w:sz w:val="24"/>
                <w:highlight w:val="none"/>
                <w:lang w:val="en-US" w:eastAsia="zh-CN"/>
              </w:rPr>
              <w:t>原有</w:t>
            </w:r>
            <w:r>
              <w:rPr>
                <w:rFonts w:hint="eastAsia"/>
                <w:color w:val="auto"/>
                <w:sz w:val="24"/>
                <w:highlight w:val="none"/>
              </w:rPr>
              <w:t>项目运营期产生的废气主要为</w:t>
            </w:r>
            <w:r>
              <w:rPr>
                <w:rFonts w:hint="eastAsia" w:ascii="Times New Roman" w:hAnsi="Times New Roman"/>
                <w:color w:val="auto"/>
                <w:sz w:val="24"/>
                <w:szCs w:val="24"/>
                <w:highlight w:val="none"/>
                <w:lang w:val="en-US" w:eastAsia="zh-CN"/>
              </w:rPr>
              <w:t>各</w:t>
            </w:r>
            <w:r>
              <w:rPr>
                <w:rFonts w:hint="eastAsia" w:ascii="Times New Roman" w:hAnsi="Times New Roman"/>
                <w:color w:val="auto"/>
                <w:sz w:val="24"/>
                <w:szCs w:val="24"/>
                <w:highlight w:val="none"/>
              </w:rPr>
              <w:t>生产线中挤出工序</w:t>
            </w:r>
            <w:r>
              <w:rPr>
                <w:rFonts w:hint="eastAsia"/>
                <w:color w:val="auto"/>
                <w:sz w:val="24"/>
                <w:szCs w:val="24"/>
                <w:highlight w:val="none"/>
                <w:lang w:val="en-US" w:eastAsia="zh-CN"/>
              </w:rPr>
              <w:t>和钢带涂塑工序</w:t>
            </w:r>
            <w:r>
              <w:rPr>
                <w:rFonts w:hint="eastAsia" w:ascii="Times New Roman" w:hAnsi="Times New Roman"/>
                <w:color w:val="auto"/>
                <w:sz w:val="24"/>
                <w:szCs w:val="24"/>
                <w:highlight w:val="none"/>
              </w:rPr>
              <w:t>产生的</w:t>
            </w:r>
            <w:r>
              <w:rPr>
                <w:rFonts w:hint="eastAsia"/>
                <w:color w:val="auto"/>
                <w:sz w:val="24"/>
                <w:szCs w:val="24"/>
                <w:highlight w:val="none"/>
                <w:lang w:val="en-US" w:eastAsia="zh-CN"/>
              </w:rPr>
              <w:t>有机</w:t>
            </w:r>
            <w:r>
              <w:rPr>
                <w:rFonts w:hint="eastAsia" w:ascii="Times New Roman" w:hAnsi="Times New Roman"/>
                <w:color w:val="auto"/>
                <w:sz w:val="24"/>
                <w:szCs w:val="24"/>
                <w:highlight w:val="none"/>
              </w:rPr>
              <w:t>废气（主要污染因子为非甲烷总烃）</w:t>
            </w:r>
            <w:r>
              <w:rPr>
                <w:rFonts w:hint="eastAsia"/>
                <w:color w:val="auto"/>
                <w:sz w:val="24"/>
                <w:szCs w:val="24"/>
                <w:highlight w:val="none"/>
                <w:lang w:val="en-US" w:eastAsia="zh-CN"/>
              </w:rPr>
              <w:t>、</w:t>
            </w:r>
            <w:r>
              <w:rPr>
                <w:rFonts w:hint="eastAsia" w:ascii="Times New Roman" w:hAnsi="Times New Roman"/>
                <w:color w:val="auto"/>
                <w:sz w:val="24"/>
                <w:szCs w:val="24"/>
                <w:highlight w:val="none"/>
                <w:lang w:val="en-US" w:eastAsia="zh-CN"/>
              </w:rPr>
              <w:t>切割工序产生的粉尘</w:t>
            </w:r>
            <w:r>
              <w:rPr>
                <w:rFonts w:hint="eastAsia" w:ascii="Times New Roman" w:hAnsi="Times New Roman"/>
                <w:color w:val="auto"/>
                <w:sz w:val="24"/>
                <w:szCs w:val="24"/>
                <w:highlight w:val="none"/>
              </w:rPr>
              <w:t>（主要污染因子为</w:t>
            </w:r>
            <w:r>
              <w:rPr>
                <w:rFonts w:hint="eastAsia" w:ascii="Times New Roman" w:hAnsi="Times New Roman"/>
                <w:color w:val="auto"/>
                <w:sz w:val="24"/>
                <w:szCs w:val="24"/>
                <w:highlight w:val="none"/>
                <w:lang w:val="en-US" w:eastAsia="zh-CN"/>
              </w:rPr>
              <w:t>颗粒物</w:t>
            </w:r>
            <w:r>
              <w:rPr>
                <w:rFonts w:hint="eastAsia" w:ascii="Times New Roman" w:hAnsi="Times New Roman"/>
                <w:color w:val="auto"/>
                <w:sz w:val="24"/>
                <w:szCs w:val="24"/>
                <w:highlight w:val="none"/>
              </w:rPr>
              <w:t>）</w:t>
            </w:r>
            <w:r>
              <w:rPr>
                <w:rFonts w:hint="eastAsia"/>
                <w:color w:val="auto"/>
                <w:sz w:val="24"/>
                <w:szCs w:val="24"/>
                <w:highlight w:val="none"/>
                <w:lang w:val="en-US" w:eastAsia="zh-CN"/>
              </w:rPr>
              <w:t>及食堂油烟</w:t>
            </w:r>
            <w:r>
              <w:rPr>
                <w:rFonts w:hint="eastAsia" w:ascii="Times New Roman" w:hAnsi="Times New Roman"/>
                <w:color w:val="auto"/>
                <w:sz w:val="24"/>
                <w:szCs w:val="24"/>
                <w:highlight w:val="none"/>
              </w:rPr>
              <w:t>。</w:t>
            </w:r>
          </w:p>
          <w:p>
            <w:pPr>
              <w:pStyle w:val="3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eastAsia="宋体"/>
                <w:color w:val="auto"/>
                <w:highlight w:val="none"/>
                <w:lang w:val="en-US" w:eastAsia="zh-CN"/>
              </w:rPr>
            </w:pPr>
            <w:r>
              <w:rPr>
                <w:rFonts w:hint="eastAsia" w:ascii="Times New Roman" w:hAnsi="Times New Roman"/>
                <w:color w:val="auto"/>
                <w:sz w:val="24"/>
                <w:szCs w:val="24"/>
                <w:highlight w:val="none"/>
                <w:lang w:eastAsia="zh-CN"/>
              </w:rPr>
              <w:t>①</w:t>
            </w:r>
            <w:r>
              <w:rPr>
                <w:rFonts w:hint="eastAsia" w:ascii="Times New Roman" w:hAnsi="Times New Roman"/>
                <w:color w:val="auto"/>
                <w:sz w:val="24"/>
                <w:szCs w:val="24"/>
                <w:highlight w:val="none"/>
                <w:lang w:val="en-US" w:eastAsia="zh-CN"/>
              </w:rPr>
              <w:t>挤出废气</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color w:val="auto"/>
                <w:sz w:val="24"/>
                <w:szCs w:val="24"/>
                <w:highlight w:val="none"/>
              </w:rPr>
            </w:pPr>
            <w:r>
              <w:rPr>
                <w:rFonts w:hint="eastAsia" w:ascii="Times New Roman" w:hAnsi="Times New Roman"/>
                <w:color w:val="auto"/>
                <w:sz w:val="24"/>
                <w:highlight w:val="none"/>
              </w:rPr>
              <w:t>项目挤出机上方均设置集气罩收集废气，收集后的废气通过管道集</w:t>
            </w:r>
            <w:r>
              <w:rPr>
                <w:rFonts w:hint="eastAsia"/>
                <w:color w:val="auto"/>
                <w:sz w:val="24"/>
                <w:highlight w:val="none"/>
                <w:lang w:val="en-US" w:eastAsia="zh-CN"/>
              </w:rPr>
              <w:t>中</w:t>
            </w:r>
            <w:r>
              <w:rPr>
                <w:rFonts w:hint="eastAsia" w:ascii="Times New Roman" w:hAnsi="Times New Roman"/>
                <w:color w:val="auto"/>
                <w:sz w:val="24"/>
                <w:highlight w:val="none"/>
              </w:rPr>
              <w:t>后进入活性炭吸附装置进行处理，处理后由1</w:t>
            </w:r>
            <w:r>
              <w:rPr>
                <w:rFonts w:hint="default" w:ascii="Times New Roman" w:hAnsi="Times New Roman"/>
                <w:color w:val="auto"/>
                <w:sz w:val="24"/>
                <w:highlight w:val="none"/>
              </w:rPr>
              <w:t>5m</w:t>
            </w:r>
            <w:r>
              <w:rPr>
                <w:rFonts w:hint="eastAsia" w:ascii="Times New Roman" w:hAnsi="Times New Roman"/>
                <w:color w:val="auto"/>
                <w:sz w:val="24"/>
                <w:highlight w:val="none"/>
              </w:rPr>
              <w:t>高排气筒（</w:t>
            </w:r>
            <w:r>
              <w:rPr>
                <w:rFonts w:hint="eastAsia"/>
                <w:color w:val="auto"/>
                <w:sz w:val="24"/>
                <w:highlight w:val="none"/>
                <w:lang w:val="en-US" w:eastAsia="zh-CN"/>
              </w:rPr>
              <w:t>DA001</w:t>
            </w:r>
            <w:r>
              <w:rPr>
                <w:rFonts w:hint="eastAsia" w:ascii="Times New Roman" w:hAnsi="Times New Roman"/>
                <w:color w:val="auto"/>
                <w:sz w:val="24"/>
                <w:highlight w:val="none"/>
              </w:rPr>
              <w:t>）排放</w:t>
            </w:r>
            <w:r>
              <w:rPr>
                <w:rFonts w:hint="eastAsia" w:ascii="Times New Roman" w:hAnsi="Times New Roman"/>
                <w:color w:val="auto"/>
                <w:sz w:val="24"/>
                <w:szCs w:val="24"/>
                <w:highlight w:val="none"/>
              </w:rPr>
              <w:t>。</w:t>
            </w:r>
          </w:p>
          <w:p>
            <w:pPr>
              <w:pStyle w:val="3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eastAsia="宋体"/>
                <w:color w:val="auto"/>
                <w:highlight w:val="none"/>
                <w:lang w:val="en-US" w:eastAsia="zh-CN"/>
              </w:rPr>
            </w:pPr>
            <w:r>
              <w:rPr>
                <w:rFonts w:hint="eastAsia" w:ascii="Times New Roman" w:hAnsi="Times New Roman"/>
                <w:color w:val="auto"/>
                <w:sz w:val="24"/>
                <w:szCs w:val="24"/>
                <w:highlight w:val="none"/>
                <w:lang w:eastAsia="zh-CN"/>
              </w:rPr>
              <w:t>②</w:t>
            </w:r>
            <w:r>
              <w:rPr>
                <w:rFonts w:hint="eastAsia"/>
                <w:color w:val="auto"/>
                <w:sz w:val="24"/>
                <w:szCs w:val="24"/>
                <w:highlight w:val="none"/>
                <w:lang w:val="en-US" w:eastAsia="zh-CN"/>
              </w:rPr>
              <w:t>涂塑</w:t>
            </w:r>
            <w:r>
              <w:rPr>
                <w:rFonts w:hint="eastAsia" w:ascii="Times New Roman" w:hAnsi="Times New Roman"/>
                <w:color w:val="auto"/>
                <w:sz w:val="24"/>
                <w:szCs w:val="24"/>
                <w:highlight w:val="none"/>
                <w:lang w:val="en-US" w:eastAsia="zh-CN"/>
              </w:rPr>
              <w:t>废气</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color w:val="auto"/>
                <w:sz w:val="24"/>
                <w:highlight w:val="none"/>
              </w:rPr>
            </w:pPr>
            <w:r>
              <w:rPr>
                <w:rFonts w:hint="eastAsia"/>
                <w:color w:val="auto"/>
                <w:sz w:val="24"/>
                <w:highlight w:val="none"/>
                <w:lang w:val="en-US" w:eastAsia="zh-CN"/>
              </w:rPr>
              <w:t>原</w:t>
            </w:r>
            <w:r>
              <w:rPr>
                <w:rFonts w:hint="eastAsia" w:ascii="Times New Roman" w:hAnsi="Times New Roman"/>
                <w:color w:val="auto"/>
                <w:sz w:val="24"/>
                <w:highlight w:val="none"/>
              </w:rPr>
              <w:t>项目</w:t>
            </w:r>
            <w:r>
              <w:rPr>
                <w:rFonts w:hint="eastAsia"/>
                <w:color w:val="auto"/>
                <w:sz w:val="24"/>
                <w:highlight w:val="none"/>
                <w:lang w:val="en-US" w:eastAsia="zh-CN"/>
              </w:rPr>
              <w:t>生产过程中</w:t>
            </w:r>
            <w:r>
              <w:rPr>
                <w:rFonts w:hint="eastAsia"/>
                <w:color w:val="auto"/>
                <w:sz w:val="24"/>
                <w:szCs w:val="24"/>
              </w:rPr>
              <w:t>钢带上涂的粘结树脂胶在与熔融</w:t>
            </w:r>
            <w:r>
              <w:rPr>
                <w:rFonts w:hint="eastAsia"/>
                <w:color w:val="auto"/>
                <w:sz w:val="24"/>
                <w:szCs w:val="24"/>
                <w:lang w:eastAsia="zh-CN"/>
              </w:rPr>
              <w:t>高密度聚乙烯</w:t>
            </w:r>
            <w:r>
              <w:rPr>
                <w:rFonts w:hint="eastAsia"/>
                <w:color w:val="auto"/>
                <w:sz w:val="24"/>
                <w:szCs w:val="24"/>
              </w:rPr>
              <w:t>粘结的过程中受热会挥发有机废气，</w:t>
            </w:r>
            <w:r>
              <w:rPr>
                <w:rFonts w:hint="eastAsia"/>
                <w:color w:val="auto"/>
                <w:sz w:val="24"/>
                <w:szCs w:val="24"/>
                <w:lang w:val="en-US" w:eastAsia="zh-CN"/>
              </w:rPr>
              <w:t>经</w:t>
            </w:r>
            <w:r>
              <w:rPr>
                <w:rFonts w:hint="eastAsia" w:ascii="Times New Roman" w:hAnsi="Times New Roman"/>
                <w:color w:val="auto"/>
                <w:sz w:val="24"/>
                <w:highlight w:val="none"/>
              </w:rPr>
              <w:t>集气罩收集后</w:t>
            </w:r>
            <w:r>
              <w:rPr>
                <w:rFonts w:hint="eastAsia"/>
                <w:color w:val="auto"/>
                <w:sz w:val="24"/>
                <w:highlight w:val="none"/>
                <w:lang w:eastAsia="zh-CN"/>
              </w:rPr>
              <w:t>，</w:t>
            </w:r>
            <w:r>
              <w:rPr>
                <w:rFonts w:hint="eastAsia" w:ascii="Times New Roman" w:hAnsi="Times New Roman"/>
                <w:color w:val="auto"/>
                <w:sz w:val="24"/>
                <w:highlight w:val="none"/>
              </w:rPr>
              <w:t>通过管道</w:t>
            </w:r>
            <w:r>
              <w:rPr>
                <w:rFonts w:hint="eastAsia"/>
                <w:color w:val="auto"/>
                <w:sz w:val="24"/>
                <w:highlight w:val="none"/>
                <w:lang w:val="en-US" w:eastAsia="zh-CN"/>
              </w:rPr>
              <w:t>集中</w:t>
            </w:r>
            <w:r>
              <w:rPr>
                <w:rFonts w:hint="eastAsia" w:ascii="Times New Roman" w:hAnsi="Times New Roman"/>
                <w:color w:val="auto"/>
                <w:sz w:val="24"/>
                <w:highlight w:val="none"/>
              </w:rPr>
              <w:t>进入活性炭吸附装置进行处理，处理后由1</w:t>
            </w:r>
            <w:r>
              <w:rPr>
                <w:rFonts w:hint="default" w:ascii="Times New Roman" w:hAnsi="Times New Roman"/>
                <w:color w:val="auto"/>
                <w:sz w:val="24"/>
                <w:highlight w:val="none"/>
              </w:rPr>
              <w:t>5m</w:t>
            </w:r>
            <w:r>
              <w:rPr>
                <w:rFonts w:hint="eastAsia" w:ascii="Times New Roman" w:hAnsi="Times New Roman"/>
                <w:color w:val="auto"/>
                <w:sz w:val="24"/>
                <w:highlight w:val="none"/>
              </w:rPr>
              <w:t>高排气筒（</w:t>
            </w:r>
            <w:r>
              <w:rPr>
                <w:rFonts w:hint="eastAsia"/>
                <w:color w:val="auto"/>
                <w:sz w:val="24"/>
                <w:highlight w:val="none"/>
                <w:lang w:val="en-US" w:eastAsia="zh-CN"/>
              </w:rPr>
              <w:t>DA001</w:t>
            </w:r>
            <w:r>
              <w:rPr>
                <w:rFonts w:hint="eastAsia" w:ascii="Times New Roman" w:hAnsi="Times New Roman"/>
                <w:color w:val="auto"/>
                <w:sz w:val="24"/>
                <w:highlight w:val="none"/>
              </w:rPr>
              <w:t>）排放。</w:t>
            </w:r>
          </w:p>
          <w:p>
            <w:pPr>
              <w:pStyle w:val="3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eastAsia="宋体"/>
                <w:color w:val="auto"/>
                <w:highlight w:val="none"/>
                <w:lang w:val="en-US" w:eastAsia="zh-CN"/>
              </w:rPr>
            </w:pPr>
            <w:r>
              <w:rPr>
                <w:rFonts w:hint="eastAsia" w:ascii="Times New Roman" w:hAnsi="Times New Roman"/>
                <w:color w:val="auto"/>
                <w:sz w:val="24"/>
                <w:szCs w:val="24"/>
                <w:highlight w:val="none"/>
                <w:lang w:eastAsia="zh-CN"/>
              </w:rPr>
              <w:t>③</w:t>
            </w:r>
            <w:r>
              <w:rPr>
                <w:rFonts w:hint="eastAsia"/>
                <w:color w:val="auto"/>
                <w:sz w:val="24"/>
                <w:szCs w:val="24"/>
                <w:highlight w:val="none"/>
                <w:lang w:val="en-US" w:eastAsia="zh-CN"/>
              </w:rPr>
              <w:t>切割粉尘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color w:val="auto"/>
                <w:sz w:val="24"/>
                <w:highlight w:val="none"/>
              </w:rPr>
            </w:pPr>
            <w:r>
              <w:rPr>
                <w:rFonts w:hint="eastAsia"/>
                <w:color w:val="auto"/>
                <w:sz w:val="24"/>
                <w:highlight w:val="none"/>
                <w:lang w:val="en-US" w:eastAsia="zh-CN"/>
              </w:rPr>
              <w:t>原</w:t>
            </w:r>
            <w:r>
              <w:rPr>
                <w:rFonts w:hint="eastAsia" w:ascii="Times New Roman" w:hAnsi="Times New Roman"/>
                <w:color w:val="auto"/>
                <w:sz w:val="24"/>
                <w:highlight w:val="none"/>
              </w:rPr>
              <w:t>项目</w:t>
            </w:r>
            <w:r>
              <w:rPr>
                <w:rFonts w:hint="eastAsia"/>
                <w:color w:val="auto"/>
                <w:sz w:val="24"/>
                <w:highlight w:val="none"/>
                <w:lang w:val="en-US" w:eastAsia="zh-CN"/>
              </w:rPr>
              <w:t>生产切割工艺会产生少量粉尘，通过车间内无组织排放</w:t>
            </w:r>
            <w:r>
              <w:rPr>
                <w:rFonts w:hint="eastAsia" w:ascii="Times New Roman" w:hAnsi="Times New Roman"/>
                <w:color w:val="auto"/>
                <w:sz w:val="24"/>
                <w:highlight w:val="none"/>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eastAsia="宋体"/>
                <w:color w:val="auto"/>
                <w:sz w:val="24"/>
                <w:highlight w:val="none"/>
                <w:lang w:val="en-US" w:eastAsia="zh-CN"/>
              </w:rPr>
            </w:pPr>
            <w:r>
              <w:rPr>
                <w:rFonts w:hint="eastAsia"/>
                <w:color w:val="auto"/>
                <w:sz w:val="24"/>
                <w:highlight w:val="none"/>
              </w:rPr>
              <w:fldChar w:fldCharType="begin"/>
            </w:r>
            <w:r>
              <w:rPr>
                <w:rFonts w:hint="eastAsia"/>
                <w:color w:val="auto"/>
                <w:sz w:val="24"/>
                <w:highlight w:val="none"/>
              </w:rPr>
              <w:instrText xml:space="preserve"> = 4 \* GB3 \* MERGEFORMAT </w:instrText>
            </w:r>
            <w:r>
              <w:rPr>
                <w:rFonts w:hint="eastAsia"/>
                <w:color w:val="auto"/>
                <w:sz w:val="24"/>
                <w:highlight w:val="none"/>
              </w:rPr>
              <w:fldChar w:fldCharType="separate"/>
            </w:r>
            <w:r>
              <w:rPr>
                <w:rFonts w:hint="default"/>
                <w:color w:val="auto"/>
              </w:rPr>
              <w:t>④</w:t>
            </w:r>
            <w:r>
              <w:rPr>
                <w:rFonts w:hint="eastAsia"/>
                <w:color w:val="auto"/>
                <w:sz w:val="24"/>
                <w:highlight w:val="none"/>
              </w:rPr>
              <w:fldChar w:fldCharType="end"/>
            </w:r>
            <w:r>
              <w:rPr>
                <w:rFonts w:hint="eastAsia"/>
                <w:color w:val="auto"/>
                <w:sz w:val="24"/>
                <w:highlight w:val="none"/>
                <w:lang w:val="en-US" w:eastAsia="zh-CN"/>
              </w:rPr>
              <w:t>食堂油烟</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eastAsia="宋体"/>
                <w:color w:val="auto"/>
                <w:sz w:val="24"/>
                <w:lang w:val="en-US" w:eastAsia="zh-CN"/>
              </w:rPr>
            </w:pPr>
            <w:r>
              <w:rPr>
                <w:rFonts w:hint="eastAsia"/>
                <w:color w:val="auto"/>
                <w:sz w:val="24"/>
                <w:lang w:val="en-US" w:eastAsia="zh-CN"/>
              </w:rPr>
              <w:t>原有</w:t>
            </w:r>
            <w:r>
              <w:rPr>
                <w:rFonts w:hint="eastAsia"/>
                <w:color w:val="auto"/>
                <w:sz w:val="24"/>
              </w:rPr>
              <w:t>项目</w:t>
            </w:r>
            <w:r>
              <w:rPr>
                <w:rFonts w:hint="eastAsia"/>
                <w:color w:val="auto"/>
                <w:sz w:val="24"/>
                <w:lang w:val="en-US" w:eastAsia="zh-CN"/>
              </w:rPr>
              <w:t>提供食宿，</w:t>
            </w:r>
            <w:r>
              <w:rPr>
                <w:rFonts w:hint="eastAsia"/>
                <w:color w:val="auto"/>
                <w:sz w:val="24"/>
              </w:rPr>
              <w:t>依托波士特机械有限公司已建食堂，</w:t>
            </w:r>
            <w:r>
              <w:rPr>
                <w:rFonts w:hint="eastAsia"/>
                <w:color w:val="auto"/>
                <w:sz w:val="24"/>
                <w:lang w:val="en-US" w:eastAsia="zh-CN"/>
              </w:rPr>
              <w:t>油烟经</w:t>
            </w:r>
            <w:r>
              <w:rPr>
                <w:rFonts w:hint="eastAsia"/>
                <w:color w:val="auto"/>
                <w:sz w:val="24"/>
              </w:rPr>
              <w:t>一台净化效率为75%的油烟净化器处理后通过烟道至屋顶排放</w:t>
            </w:r>
            <w:r>
              <w:rPr>
                <w:rFonts w:hint="eastAsia"/>
                <w:color w:val="auto"/>
                <w:sz w:val="24"/>
                <w:lang w:eastAsia="zh-CN"/>
              </w:rPr>
              <w:t>。</w:t>
            </w:r>
          </w:p>
          <w:p>
            <w:pPr>
              <w:keepNext w:val="0"/>
              <w:keepLines w:val="0"/>
              <w:suppressLineNumbers w:val="0"/>
              <w:spacing w:before="0" w:beforeAutospacing="0" w:after="0" w:afterAutospacing="0" w:line="360" w:lineRule="auto"/>
              <w:ind w:left="0" w:right="0" w:firstLine="480"/>
              <w:rPr>
                <w:rFonts w:hint="default" w:ascii="Times New Roman" w:hAnsi="Times New Roman"/>
                <w:color w:val="auto"/>
                <w:sz w:val="24"/>
                <w:highlight w:val="none"/>
              </w:rPr>
            </w:pPr>
            <w:r>
              <w:rPr>
                <w:rFonts w:hint="eastAsia"/>
                <w:color w:val="auto"/>
                <w:sz w:val="24"/>
                <w:highlight w:val="none"/>
                <w:lang w:val="en-US" w:eastAsia="zh-CN"/>
              </w:rPr>
              <w:t>根据建设单位</w:t>
            </w:r>
            <w:r>
              <w:rPr>
                <w:rFonts w:hint="eastAsia" w:ascii="Times New Roman" w:hAnsi="Times New Roman"/>
                <w:color w:val="auto"/>
                <w:sz w:val="24"/>
                <w:highlight w:val="none"/>
                <w:lang w:val="en-US" w:eastAsia="zh-CN"/>
              </w:rPr>
              <w:t>提供的2023年9月20日</w:t>
            </w:r>
            <w:r>
              <w:rPr>
                <w:rFonts w:hint="eastAsia" w:ascii="Times New Roman" w:hAnsi="Times New Roman"/>
                <w:color w:val="auto"/>
                <w:sz w:val="24"/>
                <w:highlight w:val="none"/>
              </w:rPr>
              <w:t>例行监测</w:t>
            </w:r>
            <w:r>
              <w:rPr>
                <w:rFonts w:hint="eastAsia" w:ascii="Times New Roman" w:hAnsi="Times New Roman"/>
                <w:color w:val="auto"/>
                <w:sz w:val="24"/>
                <w:highlight w:val="none"/>
                <w:lang w:val="en-US" w:eastAsia="zh-CN"/>
              </w:rPr>
              <w:t>报告中监测</w:t>
            </w:r>
            <w:r>
              <w:rPr>
                <w:rFonts w:hint="eastAsia" w:ascii="Times New Roman" w:hAnsi="Times New Roman"/>
                <w:color w:val="auto"/>
                <w:sz w:val="24"/>
                <w:highlight w:val="none"/>
              </w:rPr>
              <w:t>结果，</w:t>
            </w:r>
            <w:r>
              <w:rPr>
                <w:rFonts w:hint="eastAsia" w:ascii="Times New Roman" w:hAnsi="Times New Roman"/>
                <w:color w:val="auto"/>
                <w:sz w:val="24"/>
                <w:highlight w:val="none"/>
                <w:lang w:val="en-US" w:eastAsia="zh-CN"/>
              </w:rPr>
              <w:t>废气排放</w:t>
            </w:r>
            <w:r>
              <w:rPr>
                <w:rFonts w:hint="eastAsia" w:ascii="Times New Roman" w:hAnsi="Times New Roman"/>
                <w:color w:val="auto"/>
                <w:sz w:val="24"/>
                <w:highlight w:val="none"/>
              </w:rPr>
              <w:t>情况见下表：</w:t>
            </w:r>
          </w:p>
          <w:p>
            <w:pPr>
              <w:pStyle w:val="5"/>
              <w:suppressLineNumbers w:val="0"/>
              <w:spacing w:before="0" w:beforeAutospacing="0" w:after="0" w:afterAutospacing="0" w:line="240" w:lineRule="auto"/>
              <w:ind w:left="0" w:right="0"/>
              <w:jc w:val="center"/>
              <w:rPr>
                <w:rFonts w:hint="eastAsia" w:ascii="Times New Roman" w:hAnsi="Times New Roman" w:eastAsia="宋体" w:cs="Times New Roman"/>
                <w:bCs w:val="0"/>
                <w:color w:val="auto"/>
                <w:kern w:val="2"/>
                <w:sz w:val="24"/>
                <w:szCs w:val="24"/>
                <w:highlight w:val="none"/>
              </w:rPr>
            </w:pPr>
            <w:r>
              <w:rPr>
                <w:rFonts w:hint="eastAsia" w:ascii="Times New Roman" w:hAnsi="Times New Roman" w:eastAsia="宋体" w:cs="Times New Roman"/>
                <w:bCs w:val="0"/>
                <w:color w:val="auto"/>
                <w:kern w:val="2"/>
                <w:sz w:val="24"/>
                <w:szCs w:val="24"/>
                <w:highlight w:val="none"/>
              </w:rPr>
              <w:t>表</w:t>
            </w:r>
            <w:r>
              <w:rPr>
                <w:rFonts w:hint="eastAsia" w:ascii="Times New Roman" w:hAnsi="Times New Roman" w:eastAsia="宋体" w:cs="Times New Roman"/>
                <w:bCs w:val="0"/>
                <w:color w:val="auto"/>
                <w:kern w:val="2"/>
                <w:sz w:val="24"/>
                <w:szCs w:val="24"/>
                <w:highlight w:val="none"/>
                <w:lang w:val="en-US" w:eastAsia="zh-CN"/>
              </w:rPr>
              <w:t>2-9</w:t>
            </w:r>
            <w:r>
              <w:rPr>
                <w:rFonts w:hint="eastAsia" w:ascii="Times New Roman" w:hAnsi="Times New Roman" w:eastAsia="宋体" w:cs="Times New Roman"/>
                <w:bCs w:val="0"/>
                <w:color w:val="auto"/>
                <w:kern w:val="2"/>
                <w:sz w:val="24"/>
                <w:szCs w:val="24"/>
                <w:highlight w:val="none"/>
              </w:rPr>
              <w:t xml:space="preserve"> </w:t>
            </w:r>
            <w:r>
              <w:rPr>
                <w:rFonts w:hint="eastAsia" w:ascii="Times New Roman" w:hAnsi="Times New Roman" w:eastAsia="宋体" w:cs="Times New Roman"/>
                <w:bCs w:val="0"/>
                <w:color w:val="auto"/>
                <w:kern w:val="2"/>
                <w:sz w:val="24"/>
                <w:szCs w:val="24"/>
                <w:highlight w:val="none"/>
                <w:lang w:val="en-US" w:eastAsia="zh-CN"/>
              </w:rPr>
              <w:t xml:space="preserve"> </w:t>
            </w:r>
            <w:r>
              <w:rPr>
                <w:rFonts w:hint="eastAsia" w:ascii="Times New Roman" w:hAnsi="Times New Roman" w:eastAsia="宋体" w:cs="Times New Roman"/>
                <w:bCs w:val="0"/>
                <w:color w:val="auto"/>
                <w:kern w:val="2"/>
                <w:sz w:val="24"/>
                <w:szCs w:val="24"/>
                <w:highlight w:val="none"/>
              </w:rPr>
              <w:t xml:space="preserve"> 项目</w:t>
            </w:r>
            <w:r>
              <w:rPr>
                <w:rFonts w:hint="eastAsia" w:ascii="Times New Roman" w:hAnsi="Times New Roman" w:eastAsia="宋体" w:cs="Times New Roman"/>
                <w:bCs w:val="0"/>
                <w:color w:val="auto"/>
                <w:kern w:val="2"/>
                <w:sz w:val="24"/>
                <w:szCs w:val="24"/>
                <w:highlight w:val="none"/>
                <w:lang w:val="en-US" w:eastAsia="zh-CN"/>
              </w:rPr>
              <w:t>废气</w:t>
            </w:r>
            <w:r>
              <w:rPr>
                <w:rFonts w:hint="eastAsia" w:ascii="Times New Roman" w:hAnsi="Times New Roman" w:eastAsia="宋体" w:cs="Times New Roman"/>
                <w:bCs w:val="0"/>
                <w:color w:val="auto"/>
                <w:kern w:val="2"/>
                <w:sz w:val="24"/>
                <w:szCs w:val="24"/>
                <w:highlight w:val="none"/>
              </w:rPr>
              <w:t>排放情况一览表</w:t>
            </w:r>
          </w:p>
          <w:tbl>
            <w:tblPr>
              <w:tblStyle w:val="37"/>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745"/>
              <w:gridCol w:w="1023"/>
              <w:gridCol w:w="1197"/>
              <w:gridCol w:w="1189"/>
              <w:gridCol w:w="1013"/>
              <w:gridCol w:w="965"/>
              <w:gridCol w:w="1221"/>
              <w:gridCol w:w="64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cs="Times New Roman"/>
                      <w:b w:val="0"/>
                      <w:bCs/>
                      <w:color w:val="auto"/>
                      <w:sz w:val="21"/>
                      <w:szCs w:val="21"/>
                      <w:highlight w:val="none"/>
                    </w:rPr>
                    <w:t>污染物名称</w:t>
                  </w:r>
                </w:p>
              </w:tc>
              <w:tc>
                <w:tcPr>
                  <w:tcW w:w="60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sz w:val="21"/>
                      <w:szCs w:val="21"/>
                      <w:highlight w:val="none"/>
                      <w:lang w:val="en-US" w:eastAsia="zh-CN"/>
                    </w:rPr>
                    <w:t>监测点位</w:t>
                  </w:r>
                </w:p>
              </w:tc>
              <w:tc>
                <w:tcPr>
                  <w:tcW w:w="7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kern w:val="2"/>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排放浓度</w:t>
                  </w:r>
                  <w:r>
                    <w:rPr>
                      <w:rFonts w:hint="eastAsia" w:cs="Times New Roman"/>
                      <w:b w:val="0"/>
                      <w:bCs/>
                      <w:color w:val="auto"/>
                      <w:kern w:val="2"/>
                      <w:sz w:val="21"/>
                      <w:szCs w:val="21"/>
                      <w:highlight w:val="none"/>
                      <w:lang w:val="en-US" w:eastAsia="zh-CN" w:bidi="ar-SA"/>
                    </w:rPr>
                    <w:t>最大值</w:t>
                  </w:r>
                  <w:r>
                    <w:rPr>
                      <w:rFonts w:hint="default" w:ascii="Times New Roman" w:hAnsi="Times New Roman" w:cs="Times New Roman"/>
                      <w:b w:val="0"/>
                      <w:bCs/>
                      <w:color w:val="auto"/>
                      <w:sz w:val="21"/>
                      <w:szCs w:val="21"/>
                      <w:highlight w:val="none"/>
                    </w:rPr>
                    <w:t>（mg/m</w:t>
                  </w:r>
                  <w:r>
                    <w:rPr>
                      <w:rFonts w:hint="default" w:ascii="Times New Roman" w:hAnsi="Times New Roman" w:cs="Times New Roman"/>
                      <w:b w:val="0"/>
                      <w:bCs/>
                      <w:color w:val="auto"/>
                      <w:sz w:val="21"/>
                      <w:szCs w:val="21"/>
                      <w:highlight w:val="none"/>
                      <w:vertAlign w:val="superscript"/>
                    </w:rPr>
                    <w:t>3</w:t>
                  </w:r>
                  <w:r>
                    <w:rPr>
                      <w:rFonts w:hint="default" w:ascii="Times New Roman" w:hAnsi="Times New Roman" w:cs="Times New Roman"/>
                      <w:b w:val="0"/>
                      <w:bCs/>
                      <w:color w:val="auto"/>
                      <w:sz w:val="21"/>
                      <w:szCs w:val="21"/>
                      <w:highlight w:val="none"/>
                    </w:rPr>
                    <w:t>）</w:t>
                  </w:r>
                </w:p>
              </w:tc>
              <w:tc>
                <w:tcPr>
                  <w:tcW w:w="70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排放速率</w:t>
                  </w:r>
                  <w:r>
                    <w:rPr>
                      <w:rFonts w:hint="eastAsia" w:cs="Times New Roman"/>
                      <w:b w:val="0"/>
                      <w:bCs/>
                      <w:color w:val="auto"/>
                      <w:kern w:val="2"/>
                      <w:sz w:val="21"/>
                      <w:szCs w:val="21"/>
                      <w:highlight w:val="none"/>
                      <w:lang w:val="en-US" w:eastAsia="zh-CN" w:bidi="ar-SA"/>
                    </w:rPr>
                    <w:t>最大值</w:t>
                  </w:r>
                  <w:r>
                    <w:rPr>
                      <w:rFonts w:hint="default" w:ascii="Times New Roman" w:hAnsi="Times New Roman" w:cs="Times New Roman"/>
                      <w:b w:val="0"/>
                      <w:bCs/>
                      <w:color w:val="auto"/>
                      <w:sz w:val="21"/>
                      <w:szCs w:val="21"/>
                      <w:highlight w:val="none"/>
                    </w:rPr>
                    <w:t>（</w:t>
                  </w:r>
                  <w:r>
                    <w:rPr>
                      <w:rFonts w:hint="eastAsia" w:ascii="Times New Roman" w:hAnsi="Times New Roman" w:cs="Times New Roman"/>
                      <w:b w:val="0"/>
                      <w:bCs/>
                      <w:color w:val="auto"/>
                      <w:sz w:val="21"/>
                      <w:szCs w:val="21"/>
                      <w:highlight w:val="none"/>
                      <w:lang w:val="en-US" w:eastAsia="zh-CN"/>
                    </w:rPr>
                    <w:t>kg</w:t>
                  </w:r>
                  <w:r>
                    <w:rPr>
                      <w:rFonts w:hint="default" w:ascii="Times New Roman" w:hAnsi="Times New Roman" w:cs="Times New Roman"/>
                      <w:b w:val="0"/>
                      <w:bCs/>
                      <w:color w:val="auto"/>
                      <w:sz w:val="21"/>
                      <w:szCs w:val="21"/>
                      <w:highlight w:val="none"/>
                    </w:rPr>
                    <w:t>/</w:t>
                  </w:r>
                  <w:r>
                    <w:rPr>
                      <w:rFonts w:hint="eastAsia" w:ascii="Times New Roman" w:hAnsi="Times New Roman" w:cs="Times New Roman"/>
                      <w:b w:val="0"/>
                      <w:bCs/>
                      <w:color w:val="auto"/>
                      <w:sz w:val="21"/>
                      <w:szCs w:val="21"/>
                      <w:highlight w:val="none"/>
                      <w:lang w:val="en-US" w:eastAsia="zh-CN"/>
                    </w:rPr>
                    <w:t>h</w:t>
                  </w:r>
                  <w:r>
                    <w:rPr>
                      <w:rFonts w:hint="default" w:ascii="Times New Roman" w:hAnsi="Times New Roman" w:cs="Times New Roman"/>
                      <w:b w:val="0"/>
                      <w:bCs/>
                      <w:color w:val="auto"/>
                      <w:sz w:val="21"/>
                      <w:szCs w:val="21"/>
                      <w:highlight w:val="none"/>
                    </w:rPr>
                    <w:t>）</w:t>
                  </w:r>
                </w:p>
              </w:tc>
              <w:tc>
                <w:tcPr>
                  <w:tcW w:w="5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年运行时间</w:t>
                  </w:r>
                  <w:r>
                    <w:rPr>
                      <w:rFonts w:hint="default" w:ascii="Times New Roman" w:hAnsi="Times New Roman" w:cs="Times New Roman"/>
                      <w:b w:val="0"/>
                      <w:bCs/>
                      <w:color w:val="auto"/>
                      <w:sz w:val="21"/>
                      <w:szCs w:val="21"/>
                      <w:highlight w:val="none"/>
                    </w:rPr>
                    <w:t>（</w:t>
                  </w:r>
                  <w:r>
                    <w:rPr>
                      <w:rFonts w:hint="eastAsia" w:ascii="Times New Roman" w:hAnsi="Times New Roman" w:cs="Times New Roman"/>
                      <w:b w:val="0"/>
                      <w:bCs/>
                      <w:color w:val="auto"/>
                      <w:sz w:val="21"/>
                      <w:szCs w:val="21"/>
                      <w:highlight w:val="none"/>
                      <w:lang w:val="en-US" w:eastAsia="zh-CN"/>
                    </w:rPr>
                    <w:t>h</w:t>
                  </w:r>
                  <w:r>
                    <w:rPr>
                      <w:rFonts w:hint="default" w:ascii="Times New Roman" w:hAnsi="Times New Roman" w:cs="Times New Roman"/>
                      <w:b w:val="0"/>
                      <w:bCs/>
                      <w:color w:val="auto"/>
                      <w:sz w:val="21"/>
                      <w:szCs w:val="21"/>
                      <w:highlight w:val="none"/>
                    </w:rPr>
                    <w:t>）</w:t>
                  </w:r>
                </w:p>
              </w:tc>
              <w:tc>
                <w:tcPr>
                  <w:tcW w:w="57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排放量</w:t>
                  </w:r>
                  <w:r>
                    <w:rPr>
                      <w:rFonts w:hint="default" w:ascii="Times New Roman" w:hAnsi="Times New Roman" w:cs="Times New Roman"/>
                      <w:b w:val="0"/>
                      <w:bCs/>
                      <w:color w:val="auto"/>
                      <w:sz w:val="21"/>
                      <w:szCs w:val="21"/>
                      <w:highlight w:val="none"/>
                    </w:rPr>
                    <w:t>（</w:t>
                  </w:r>
                  <w:r>
                    <w:rPr>
                      <w:rFonts w:hint="eastAsia" w:ascii="Times New Roman" w:hAnsi="Times New Roman" w:cs="Times New Roman"/>
                      <w:b w:val="0"/>
                      <w:bCs/>
                      <w:color w:val="auto"/>
                      <w:sz w:val="21"/>
                      <w:szCs w:val="21"/>
                      <w:highlight w:val="none"/>
                      <w:lang w:val="en-US" w:eastAsia="zh-CN"/>
                    </w:rPr>
                    <w:t>t</w:t>
                  </w:r>
                  <w:r>
                    <w:rPr>
                      <w:rFonts w:hint="default" w:ascii="Times New Roman" w:hAnsi="Times New Roman" w:cs="Times New Roman"/>
                      <w:b w:val="0"/>
                      <w:bCs/>
                      <w:color w:val="auto"/>
                      <w:sz w:val="21"/>
                      <w:szCs w:val="21"/>
                      <w:highlight w:val="none"/>
                    </w:rPr>
                    <w:t>/</w:t>
                  </w:r>
                  <w:r>
                    <w:rPr>
                      <w:rFonts w:hint="eastAsia" w:ascii="Times New Roman" w:hAnsi="Times New Roman" w:cs="Times New Roman"/>
                      <w:b w:val="0"/>
                      <w:bCs/>
                      <w:color w:val="auto"/>
                      <w:sz w:val="21"/>
                      <w:szCs w:val="21"/>
                      <w:highlight w:val="none"/>
                      <w:lang w:val="en-US" w:eastAsia="zh-CN"/>
                    </w:rPr>
                    <w:t>a</w:t>
                  </w:r>
                  <w:r>
                    <w:rPr>
                      <w:rFonts w:hint="default" w:ascii="Times New Roman" w:hAnsi="Times New Roman" w:cs="Times New Roman"/>
                      <w:b w:val="0"/>
                      <w:bCs/>
                      <w:color w:val="auto"/>
                      <w:sz w:val="21"/>
                      <w:szCs w:val="21"/>
                      <w:highlight w:val="none"/>
                    </w:rPr>
                    <w:t>）</w:t>
                  </w:r>
                </w:p>
              </w:tc>
              <w:tc>
                <w:tcPr>
                  <w:tcW w:w="7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rPr>
                  </w:pPr>
                  <w:r>
                    <w:rPr>
                      <w:rFonts w:hint="default" w:ascii="Times New Roman" w:hAnsi="Times New Roman" w:cs="Times New Roman"/>
                      <w:b w:val="0"/>
                      <w:bCs/>
                      <w:color w:val="auto"/>
                      <w:sz w:val="21"/>
                      <w:szCs w:val="21"/>
                      <w:highlight w:val="none"/>
                    </w:rPr>
                    <w:t>标准限值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b w:val="0"/>
                      <w:bCs/>
                      <w:color w:val="auto"/>
                      <w:sz w:val="21"/>
                      <w:szCs w:val="21"/>
                      <w:highlight w:val="none"/>
                      <w:lang w:val="en-US" w:eastAsia="zh-CN"/>
                    </w:rPr>
                  </w:pPr>
                  <w:r>
                    <w:rPr>
                      <w:rFonts w:hint="default" w:ascii="Times New Roman" w:hAnsi="Times New Roman" w:cs="Times New Roman"/>
                      <w:b w:val="0"/>
                      <w:bCs/>
                      <w:color w:val="auto"/>
                      <w:sz w:val="21"/>
                      <w:szCs w:val="21"/>
                      <w:highlight w:val="none"/>
                    </w:rPr>
                    <w:t>（mg/m</w:t>
                  </w:r>
                  <w:r>
                    <w:rPr>
                      <w:rFonts w:hint="default" w:ascii="Times New Roman" w:hAnsi="Times New Roman" w:cs="Times New Roman"/>
                      <w:b w:val="0"/>
                      <w:bCs/>
                      <w:color w:val="auto"/>
                      <w:sz w:val="21"/>
                      <w:szCs w:val="21"/>
                      <w:highlight w:val="none"/>
                      <w:vertAlign w:val="superscript"/>
                    </w:rPr>
                    <w:t>3</w:t>
                  </w:r>
                  <w:r>
                    <w:rPr>
                      <w:rFonts w:hint="default" w:ascii="Times New Roman" w:hAnsi="Times New Roman" w:cs="Times New Roman"/>
                      <w:b w:val="0"/>
                      <w:bCs/>
                      <w:color w:val="auto"/>
                      <w:sz w:val="21"/>
                      <w:szCs w:val="21"/>
                      <w:highlight w:val="none"/>
                    </w:rPr>
                    <w:t>）</w:t>
                  </w:r>
                </w:p>
              </w:tc>
              <w:tc>
                <w:tcPr>
                  <w:tcW w:w="3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有组织</w:t>
                  </w:r>
                </w:p>
              </w:tc>
              <w:tc>
                <w:tcPr>
                  <w:tcW w:w="440"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非甲烷总烃</w:t>
                  </w:r>
                </w:p>
              </w:tc>
              <w:tc>
                <w:tcPr>
                  <w:tcW w:w="604" w:type="pct"/>
                  <w:noWrap w:val="0"/>
                  <w:vAlign w:val="center"/>
                </w:tcPr>
                <w:p>
                  <w:pPr>
                    <w:pStyle w:val="1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DA002排气筒出口</w:t>
                  </w:r>
                </w:p>
              </w:tc>
              <w:tc>
                <w:tcPr>
                  <w:tcW w:w="7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3.9</w:t>
                  </w:r>
                </w:p>
              </w:tc>
              <w:tc>
                <w:tcPr>
                  <w:tcW w:w="70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0.006</w:t>
                  </w:r>
                  <w:r>
                    <w:rPr>
                      <w:rFonts w:hint="eastAsia" w:cs="Times New Roman"/>
                      <w:b w:val="0"/>
                      <w:bCs/>
                      <w:color w:val="auto"/>
                      <w:sz w:val="21"/>
                      <w:szCs w:val="21"/>
                      <w:highlight w:val="none"/>
                      <w:lang w:val="en-US" w:eastAsia="zh-CN"/>
                    </w:rPr>
                    <w:t>5</w:t>
                  </w:r>
                </w:p>
              </w:tc>
              <w:tc>
                <w:tcPr>
                  <w:tcW w:w="59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2400</w:t>
                  </w:r>
                </w:p>
              </w:tc>
              <w:tc>
                <w:tcPr>
                  <w:tcW w:w="57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0.01</w:t>
                  </w:r>
                  <w:r>
                    <w:rPr>
                      <w:rFonts w:hint="eastAsia" w:cs="Times New Roman"/>
                      <w:b w:val="0"/>
                      <w:bCs/>
                      <w:color w:val="auto"/>
                      <w:sz w:val="21"/>
                      <w:szCs w:val="21"/>
                      <w:highlight w:val="none"/>
                      <w:lang w:val="en-US" w:eastAsia="zh-CN"/>
                    </w:rPr>
                    <w:t>6</w:t>
                  </w:r>
                </w:p>
              </w:tc>
              <w:tc>
                <w:tcPr>
                  <w:tcW w:w="7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60</w:t>
                  </w:r>
                </w:p>
              </w:tc>
              <w:tc>
                <w:tcPr>
                  <w:tcW w:w="3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p>
              </w:tc>
              <w:tc>
                <w:tcPr>
                  <w:tcW w:w="44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highlight w:val="none"/>
                      <w:lang w:val="en-US" w:eastAsia="zh-CN"/>
                    </w:rPr>
                  </w:pPr>
                </w:p>
              </w:tc>
              <w:tc>
                <w:tcPr>
                  <w:tcW w:w="604" w:type="pct"/>
                  <w:noWrap w:val="0"/>
                  <w:vAlign w:val="center"/>
                </w:tcPr>
                <w:p>
                  <w:pPr>
                    <w:pStyle w:val="1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DA004排气筒出口</w:t>
                  </w:r>
                </w:p>
              </w:tc>
              <w:tc>
                <w:tcPr>
                  <w:tcW w:w="7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kern w:val="2"/>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4.</w:t>
                  </w:r>
                  <w:r>
                    <w:rPr>
                      <w:rFonts w:hint="eastAsia" w:cs="Times New Roman"/>
                      <w:b w:val="0"/>
                      <w:bCs/>
                      <w:color w:val="auto"/>
                      <w:kern w:val="2"/>
                      <w:sz w:val="21"/>
                      <w:szCs w:val="21"/>
                      <w:highlight w:val="none"/>
                      <w:lang w:val="en-US" w:eastAsia="zh-CN" w:bidi="ar-SA"/>
                    </w:rPr>
                    <w:t>89</w:t>
                  </w:r>
                </w:p>
              </w:tc>
              <w:tc>
                <w:tcPr>
                  <w:tcW w:w="70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0.01</w:t>
                  </w:r>
                  <w:r>
                    <w:rPr>
                      <w:rFonts w:hint="eastAsia" w:cs="Times New Roman"/>
                      <w:b w:val="0"/>
                      <w:bCs/>
                      <w:color w:val="auto"/>
                      <w:sz w:val="21"/>
                      <w:szCs w:val="21"/>
                      <w:highlight w:val="none"/>
                      <w:lang w:val="en-US" w:eastAsia="zh-CN"/>
                    </w:rPr>
                    <w:t>45</w:t>
                  </w:r>
                </w:p>
              </w:tc>
              <w:tc>
                <w:tcPr>
                  <w:tcW w:w="59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b w:val="0"/>
                      <w:bCs/>
                      <w:color w:val="auto"/>
                      <w:sz w:val="21"/>
                      <w:szCs w:val="21"/>
                      <w:highlight w:val="none"/>
                      <w:lang w:val="en-US" w:eastAsia="zh-CN"/>
                    </w:rPr>
                  </w:pPr>
                </w:p>
              </w:tc>
              <w:tc>
                <w:tcPr>
                  <w:tcW w:w="57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0.03</w:t>
                  </w:r>
                  <w:r>
                    <w:rPr>
                      <w:rFonts w:hint="eastAsia" w:cs="Times New Roman"/>
                      <w:b w:val="0"/>
                      <w:bCs/>
                      <w:color w:val="auto"/>
                      <w:sz w:val="21"/>
                      <w:szCs w:val="21"/>
                      <w:highlight w:val="none"/>
                      <w:lang w:val="en-US" w:eastAsia="zh-CN"/>
                    </w:rPr>
                    <w:t>5</w:t>
                  </w:r>
                </w:p>
              </w:tc>
              <w:tc>
                <w:tcPr>
                  <w:tcW w:w="7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60</w:t>
                  </w:r>
                </w:p>
              </w:tc>
              <w:tc>
                <w:tcPr>
                  <w:tcW w:w="3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p>
              </w:tc>
              <w:tc>
                <w:tcPr>
                  <w:tcW w:w="44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颗粒物</w:t>
                  </w:r>
                </w:p>
              </w:tc>
              <w:tc>
                <w:tcPr>
                  <w:tcW w:w="604" w:type="pct"/>
                  <w:noWrap w:val="0"/>
                  <w:vAlign w:val="center"/>
                </w:tcPr>
                <w:p>
                  <w:pPr>
                    <w:pStyle w:val="1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DA003排气筒出口</w:t>
                  </w:r>
                </w:p>
              </w:tc>
              <w:tc>
                <w:tcPr>
                  <w:tcW w:w="7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8.2</w:t>
                  </w:r>
                </w:p>
              </w:tc>
              <w:tc>
                <w:tcPr>
                  <w:tcW w:w="70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0.2</w:t>
                  </w:r>
                  <w:r>
                    <w:rPr>
                      <w:rFonts w:hint="eastAsia" w:cs="Times New Roman"/>
                      <w:b w:val="0"/>
                      <w:bCs/>
                      <w:color w:val="auto"/>
                      <w:sz w:val="21"/>
                      <w:szCs w:val="21"/>
                      <w:highlight w:val="none"/>
                      <w:lang w:val="en-US" w:eastAsia="zh-CN"/>
                    </w:rPr>
                    <w:t>46</w:t>
                  </w:r>
                </w:p>
              </w:tc>
              <w:tc>
                <w:tcPr>
                  <w:tcW w:w="59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p>
              </w:tc>
              <w:tc>
                <w:tcPr>
                  <w:tcW w:w="57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0.5</w:t>
                  </w:r>
                  <w:r>
                    <w:rPr>
                      <w:rFonts w:hint="eastAsia" w:cs="Times New Roman"/>
                      <w:b w:val="0"/>
                      <w:bCs/>
                      <w:color w:val="auto"/>
                      <w:sz w:val="21"/>
                      <w:szCs w:val="21"/>
                      <w:highlight w:val="none"/>
                      <w:lang w:val="en-US" w:eastAsia="zh-CN"/>
                    </w:rPr>
                    <w:t>9</w:t>
                  </w:r>
                </w:p>
              </w:tc>
              <w:tc>
                <w:tcPr>
                  <w:tcW w:w="7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20</w:t>
                  </w:r>
                </w:p>
              </w:tc>
              <w:tc>
                <w:tcPr>
                  <w:tcW w:w="3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无组织</w:t>
                  </w:r>
                </w:p>
              </w:tc>
              <w:tc>
                <w:tcPr>
                  <w:tcW w:w="440"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非甲烷总烃</w:t>
                  </w:r>
                </w:p>
              </w:tc>
              <w:tc>
                <w:tcPr>
                  <w:tcW w:w="604" w:type="pct"/>
                  <w:noWrap w:val="0"/>
                  <w:vAlign w:val="center"/>
                </w:tcPr>
                <w:p>
                  <w:pPr>
                    <w:pStyle w:val="1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厂区外</w:t>
                  </w:r>
                </w:p>
              </w:tc>
              <w:tc>
                <w:tcPr>
                  <w:tcW w:w="7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kern w:val="2"/>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1.36</w:t>
                  </w:r>
                </w:p>
              </w:tc>
              <w:tc>
                <w:tcPr>
                  <w:tcW w:w="70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w:t>
                  </w:r>
                </w:p>
              </w:tc>
              <w:tc>
                <w:tcPr>
                  <w:tcW w:w="59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b w:val="0"/>
                      <w:bCs/>
                      <w:color w:val="auto"/>
                      <w:sz w:val="21"/>
                      <w:szCs w:val="21"/>
                      <w:highlight w:val="none"/>
                      <w:lang w:val="en-US" w:eastAsia="zh-CN"/>
                    </w:rPr>
                  </w:pPr>
                </w:p>
              </w:tc>
              <w:tc>
                <w:tcPr>
                  <w:tcW w:w="57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w:t>
                  </w:r>
                </w:p>
              </w:tc>
              <w:tc>
                <w:tcPr>
                  <w:tcW w:w="7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6</w:t>
                  </w:r>
                </w:p>
              </w:tc>
              <w:tc>
                <w:tcPr>
                  <w:tcW w:w="3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b w:val="0"/>
                      <w:bCs/>
                      <w:color w:val="auto"/>
                      <w:sz w:val="21"/>
                      <w:szCs w:val="21"/>
                      <w:highlight w:val="none"/>
                      <w:lang w:val="en-US" w:eastAsia="zh-CN"/>
                    </w:rPr>
                  </w:pPr>
                </w:p>
              </w:tc>
              <w:tc>
                <w:tcPr>
                  <w:tcW w:w="44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highlight w:val="none"/>
                      <w:lang w:val="en-US" w:eastAsia="zh-CN"/>
                    </w:rPr>
                  </w:pPr>
                </w:p>
              </w:tc>
              <w:tc>
                <w:tcPr>
                  <w:tcW w:w="604" w:type="pct"/>
                  <w:noWrap w:val="0"/>
                  <w:vAlign w:val="center"/>
                </w:tcPr>
                <w:p>
                  <w:pPr>
                    <w:pStyle w:val="1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厂区内</w:t>
                  </w:r>
                </w:p>
              </w:tc>
              <w:tc>
                <w:tcPr>
                  <w:tcW w:w="7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kern w:val="2"/>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2.23</w:t>
                  </w:r>
                </w:p>
              </w:tc>
              <w:tc>
                <w:tcPr>
                  <w:tcW w:w="70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w:t>
                  </w:r>
                </w:p>
              </w:tc>
              <w:tc>
                <w:tcPr>
                  <w:tcW w:w="59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b w:val="0"/>
                      <w:bCs/>
                      <w:color w:val="auto"/>
                      <w:sz w:val="21"/>
                      <w:szCs w:val="21"/>
                      <w:highlight w:val="none"/>
                      <w:lang w:val="en-US" w:eastAsia="zh-CN"/>
                    </w:rPr>
                  </w:pPr>
                </w:p>
              </w:tc>
              <w:tc>
                <w:tcPr>
                  <w:tcW w:w="57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w:t>
                  </w:r>
                </w:p>
              </w:tc>
              <w:tc>
                <w:tcPr>
                  <w:tcW w:w="7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4</w:t>
                  </w:r>
                </w:p>
              </w:tc>
              <w:tc>
                <w:tcPr>
                  <w:tcW w:w="3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b w:val="0"/>
                      <w:bCs/>
                      <w:color w:val="auto"/>
                      <w:sz w:val="21"/>
                      <w:szCs w:val="21"/>
                      <w:highlight w:val="none"/>
                      <w:lang w:val="en-US" w:eastAsia="zh-CN"/>
                    </w:rPr>
                  </w:pPr>
                </w:p>
              </w:tc>
              <w:tc>
                <w:tcPr>
                  <w:tcW w:w="44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颗粒物</w:t>
                  </w:r>
                </w:p>
              </w:tc>
              <w:tc>
                <w:tcPr>
                  <w:tcW w:w="604" w:type="pct"/>
                  <w:noWrap w:val="0"/>
                  <w:vAlign w:val="center"/>
                </w:tcPr>
                <w:p>
                  <w:pPr>
                    <w:pStyle w:val="1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厂区外</w:t>
                  </w:r>
                </w:p>
              </w:tc>
              <w:tc>
                <w:tcPr>
                  <w:tcW w:w="7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kern w:val="2"/>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0.333</w:t>
                  </w:r>
                </w:p>
              </w:tc>
              <w:tc>
                <w:tcPr>
                  <w:tcW w:w="70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w:t>
                  </w:r>
                </w:p>
              </w:tc>
              <w:tc>
                <w:tcPr>
                  <w:tcW w:w="59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p>
              </w:tc>
              <w:tc>
                <w:tcPr>
                  <w:tcW w:w="57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w:t>
                  </w:r>
                </w:p>
              </w:tc>
              <w:tc>
                <w:tcPr>
                  <w:tcW w:w="7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1.0</w:t>
                  </w:r>
                </w:p>
              </w:tc>
              <w:tc>
                <w:tcPr>
                  <w:tcW w:w="3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b w:val="0"/>
                      <w:bCs/>
                      <w:color w:val="auto"/>
                      <w:sz w:val="21"/>
                      <w:szCs w:val="21"/>
                      <w:highlight w:val="none"/>
                      <w:lang w:val="en-US" w:eastAsia="zh-CN"/>
                    </w:rPr>
                  </w:pPr>
                </w:p>
              </w:tc>
              <w:tc>
                <w:tcPr>
                  <w:tcW w:w="44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臭气浓度</w:t>
                  </w:r>
                </w:p>
              </w:tc>
              <w:tc>
                <w:tcPr>
                  <w:tcW w:w="604" w:type="pct"/>
                  <w:noWrap w:val="0"/>
                  <w:vAlign w:val="center"/>
                </w:tcPr>
                <w:p>
                  <w:pPr>
                    <w:pStyle w:val="1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厂区外</w:t>
                  </w:r>
                </w:p>
              </w:tc>
              <w:tc>
                <w:tcPr>
                  <w:tcW w:w="7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kern w:val="2"/>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＜10</w:t>
                  </w:r>
                </w:p>
              </w:tc>
              <w:tc>
                <w:tcPr>
                  <w:tcW w:w="70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w:t>
                  </w:r>
                </w:p>
              </w:tc>
              <w:tc>
                <w:tcPr>
                  <w:tcW w:w="59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p>
              </w:tc>
              <w:tc>
                <w:tcPr>
                  <w:tcW w:w="57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w:t>
                  </w:r>
                </w:p>
              </w:tc>
              <w:tc>
                <w:tcPr>
                  <w:tcW w:w="7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20</w:t>
                  </w:r>
                </w:p>
              </w:tc>
              <w:tc>
                <w:tcPr>
                  <w:tcW w:w="3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达标</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宋体"/>
                <w:iCs/>
                <w:color w:val="auto"/>
                <w:sz w:val="24"/>
                <w:szCs w:val="24"/>
                <w:highlight w:val="none"/>
                <w:lang w:val="en-US" w:eastAsia="zh-CN"/>
              </w:rPr>
            </w:pPr>
            <w:r>
              <w:rPr>
                <w:rFonts w:hint="eastAsia"/>
                <w:bCs/>
                <w:color w:val="auto"/>
                <w:sz w:val="24"/>
                <w:highlight w:val="none"/>
              </w:rPr>
              <w:t>由上表</w:t>
            </w:r>
            <w:r>
              <w:rPr>
                <w:rFonts w:hint="eastAsia"/>
                <w:bCs/>
                <w:color w:val="auto"/>
                <w:sz w:val="24"/>
                <w:highlight w:val="none"/>
                <w:lang w:val="en-US" w:eastAsia="zh-CN"/>
              </w:rPr>
              <w:t>监</w:t>
            </w:r>
            <w:r>
              <w:rPr>
                <w:rFonts w:hint="default" w:ascii="Times New Roman" w:hAnsi="Times New Roman" w:cs="Times New Roman"/>
                <w:bCs/>
                <w:color w:val="auto"/>
                <w:sz w:val="24"/>
                <w:highlight w:val="none"/>
                <w:lang w:val="en-US" w:eastAsia="zh-CN"/>
              </w:rPr>
              <w:t>测数据</w:t>
            </w:r>
            <w:r>
              <w:rPr>
                <w:rFonts w:hint="default" w:ascii="Times New Roman" w:hAnsi="Times New Roman" w:cs="Times New Roman"/>
                <w:bCs/>
                <w:color w:val="auto"/>
                <w:sz w:val="24"/>
                <w:highlight w:val="none"/>
              </w:rPr>
              <w:t>可知，</w:t>
            </w:r>
            <w:r>
              <w:rPr>
                <w:rFonts w:hint="eastAsia"/>
                <w:color w:val="auto"/>
                <w:sz w:val="24"/>
                <w:highlight w:val="none"/>
                <w:lang w:val="en-US" w:eastAsia="zh-CN"/>
              </w:rPr>
              <w:t>项目运行</w:t>
            </w:r>
            <w:r>
              <w:rPr>
                <w:rFonts w:hint="eastAsia"/>
                <w:color w:val="auto"/>
                <w:sz w:val="24"/>
                <w:highlight w:val="none"/>
              </w:rPr>
              <w:t>期间，</w:t>
            </w:r>
            <w:r>
              <w:rPr>
                <w:rFonts w:hint="eastAsia"/>
                <w:color w:val="auto"/>
                <w:sz w:val="24"/>
                <w:highlight w:val="none"/>
                <w:lang w:val="en-US" w:eastAsia="zh-CN"/>
              </w:rPr>
              <w:t>原有</w:t>
            </w:r>
            <w:r>
              <w:rPr>
                <w:rFonts w:hint="default" w:ascii="Times New Roman" w:hAnsi="Times New Roman"/>
                <w:color w:val="auto"/>
                <w:sz w:val="24"/>
                <w:szCs w:val="24"/>
                <w:highlight w:val="none"/>
              </w:rPr>
              <w:t>项目</w:t>
            </w:r>
            <w:r>
              <w:rPr>
                <w:rFonts w:hint="eastAsia" w:ascii="Times New Roman" w:hAnsi="Times New Roman"/>
                <w:color w:val="auto"/>
                <w:sz w:val="24"/>
                <w:szCs w:val="24"/>
                <w:highlight w:val="none"/>
              </w:rPr>
              <w:t>废气处理设施出口</w:t>
            </w:r>
            <w:r>
              <w:rPr>
                <w:rFonts w:hint="eastAsia"/>
                <w:color w:val="auto"/>
                <w:sz w:val="24"/>
                <w:szCs w:val="24"/>
                <w:highlight w:val="none"/>
                <w:lang w:val="en-US" w:eastAsia="zh-CN"/>
              </w:rPr>
              <w:t>处</w:t>
            </w:r>
            <w:r>
              <w:rPr>
                <w:rFonts w:hint="eastAsia" w:ascii="Times New Roman" w:hAnsi="Times New Roman"/>
                <w:color w:val="auto"/>
                <w:sz w:val="24"/>
                <w:szCs w:val="24"/>
                <w:highlight w:val="none"/>
              </w:rPr>
              <w:t>非甲烷总烃</w:t>
            </w:r>
            <w:r>
              <w:rPr>
                <w:rFonts w:hint="eastAsia"/>
                <w:color w:val="auto"/>
                <w:sz w:val="24"/>
                <w:szCs w:val="24"/>
                <w:highlight w:val="none"/>
                <w:lang w:eastAsia="zh-CN"/>
              </w:rPr>
              <w:t>、</w:t>
            </w:r>
            <w:r>
              <w:rPr>
                <w:rFonts w:hint="eastAsia"/>
                <w:color w:val="auto"/>
                <w:sz w:val="24"/>
                <w:szCs w:val="24"/>
                <w:highlight w:val="none"/>
                <w:lang w:val="en-US" w:eastAsia="zh-CN"/>
              </w:rPr>
              <w:t>颗粒物</w:t>
            </w:r>
            <w:r>
              <w:rPr>
                <w:rFonts w:hint="eastAsia" w:ascii="Times New Roman" w:hAnsi="Times New Roman"/>
                <w:color w:val="auto"/>
                <w:sz w:val="24"/>
                <w:szCs w:val="24"/>
                <w:highlight w:val="none"/>
              </w:rPr>
              <w:t>的排放浓度均符合《合成树脂工业污染物排放标准》（GB 31572-2015）表</w:t>
            </w:r>
            <w:r>
              <w:rPr>
                <w:rFonts w:hint="default" w:ascii="Times New Roman" w:hAnsi="Times New Roman"/>
                <w:color w:val="auto"/>
                <w:sz w:val="24"/>
                <w:szCs w:val="24"/>
                <w:highlight w:val="none"/>
              </w:rPr>
              <w:t>5</w:t>
            </w:r>
            <w:r>
              <w:rPr>
                <w:rFonts w:hint="eastAsia" w:ascii="Times New Roman" w:hAnsi="Times New Roman"/>
                <w:color w:val="auto"/>
                <w:sz w:val="24"/>
                <w:szCs w:val="24"/>
                <w:highlight w:val="none"/>
              </w:rPr>
              <w:t>标准要求。</w:t>
            </w:r>
            <w:r>
              <w:rPr>
                <w:rFonts w:hint="default" w:ascii="Times New Roman" w:hAnsi="Times New Roman"/>
                <w:color w:val="auto"/>
                <w:sz w:val="24"/>
                <w:szCs w:val="24"/>
                <w:highlight w:val="none"/>
              </w:rPr>
              <w:t>厂界</w:t>
            </w:r>
            <w:r>
              <w:rPr>
                <w:rFonts w:hint="eastAsia" w:ascii="Times New Roman" w:hAnsi="Times New Roman"/>
                <w:color w:val="auto"/>
                <w:sz w:val="24"/>
                <w:szCs w:val="24"/>
                <w:highlight w:val="none"/>
              </w:rPr>
              <w:t>上风向、下风向</w:t>
            </w:r>
            <w:r>
              <w:rPr>
                <w:rFonts w:hint="default" w:ascii="Times New Roman" w:hAnsi="Times New Roman"/>
                <w:color w:val="auto"/>
                <w:sz w:val="24"/>
                <w:szCs w:val="24"/>
                <w:highlight w:val="none"/>
              </w:rPr>
              <w:t>无组织</w:t>
            </w:r>
            <w:r>
              <w:rPr>
                <w:rFonts w:hint="eastAsia" w:ascii="Times New Roman" w:hAnsi="Times New Roman"/>
                <w:color w:val="auto"/>
                <w:sz w:val="24"/>
                <w:szCs w:val="24"/>
                <w:highlight w:val="none"/>
              </w:rPr>
              <w:t>非甲烷总烃</w:t>
            </w:r>
            <w:r>
              <w:rPr>
                <w:rFonts w:hint="eastAsia"/>
                <w:color w:val="auto"/>
                <w:sz w:val="24"/>
                <w:szCs w:val="24"/>
                <w:highlight w:val="none"/>
                <w:lang w:eastAsia="zh-CN"/>
              </w:rPr>
              <w:t>、</w:t>
            </w:r>
            <w:r>
              <w:rPr>
                <w:rFonts w:hint="eastAsia"/>
                <w:color w:val="auto"/>
                <w:sz w:val="24"/>
                <w:szCs w:val="24"/>
                <w:highlight w:val="none"/>
                <w:lang w:val="en-US" w:eastAsia="zh-CN"/>
              </w:rPr>
              <w:t>颗粒物</w:t>
            </w:r>
            <w:r>
              <w:rPr>
                <w:rFonts w:hint="eastAsia" w:ascii="Times New Roman" w:hAnsi="Times New Roman"/>
                <w:color w:val="auto"/>
                <w:sz w:val="24"/>
                <w:szCs w:val="24"/>
                <w:highlight w:val="none"/>
              </w:rPr>
              <w:t>排放浓度符合《合成树脂工业污染物排放标准》（GB 31572-2015）表9要求；厂区内非甲烷总烃排放浓度符合《挥发性有机物无组织排放控制标准》（GB 37822-2019）附录A表A.1要求</w:t>
            </w:r>
            <w:r>
              <w:rPr>
                <w:rFonts w:hint="eastAsia" w:hAnsi="宋体"/>
                <w:color w:val="auto"/>
                <w:szCs w:val="21"/>
                <w:lang w:eastAsia="zh-CN"/>
              </w:rPr>
              <w:t>。</w:t>
            </w:r>
          </w:p>
          <w:p>
            <w:pPr>
              <w:keepNext w:val="0"/>
              <w:keepLines w:val="0"/>
              <w:suppressLineNumbers w:val="0"/>
              <w:spacing w:before="0" w:beforeAutospacing="0" w:after="0" w:afterAutospacing="0" w:line="360" w:lineRule="auto"/>
              <w:ind w:left="0" w:right="0" w:firstLine="482" w:firstLineChars="200"/>
              <w:rPr>
                <w:rFonts w:hint="default"/>
                <w:b/>
                <w:bCs/>
                <w:color w:val="auto"/>
                <w:sz w:val="24"/>
                <w:highlight w:val="none"/>
              </w:rPr>
            </w:pPr>
            <w:r>
              <w:rPr>
                <w:rFonts w:hint="eastAsia"/>
                <w:b/>
                <w:bCs/>
                <w:color w:val="auto"/>
                <w:sz w:val="24"/>
                <w:highlight w:val="none"/>
              </w:rPr>
              <w:t>2</w:t>
            </w:r>
            <w:r>
              <w:rPr>
                <w:rFonts w:hint="eastAsia"/>
                <w:b/>
                <w:bCs/>
                <w:color w:val="auto"/>
                <w:sz w:val="24"/>
                <w:highlight w:val="none"/>
                <w:lang w:eastAsia="zh-CN"/>
              </w:rPr>
              <w:t>、</w:t>
            </w:r>
            <w:r>
              <w:rPr>
                <w:rFonts w:hint="eastAsia"/>
                <w:b/>
                <w:bCs/>
                <w:color w:val="auto"/>
                <w:sz w:val="24"/>
                <w:highlight w:val="none"/>
              </w:rPr>
              <w:t>废水</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olor w:val="auto"/>
                <w:sz w:val="24"/>
                <w:szCs w:val="24"/>
                <w:highlight w:val="none"/>
              </w:rPr>
            </w:pPr>
            <w:r>
              <w:rPr>
                <w:rFonts w:hint="eastAsia"/>
                <w:color w:val="auto"/>
                <w:sz w:val="24"/>
                <w:highlight w:val="none"/>
                <w:lang w:val="en-US" w:eastAsia="zh-CN"/>
              </w:rPr>
              <w:t>原有</w:t>
            </w:r>
            <w:r>
              <w:rPr>
                <w:rFonts w:hint="eastAsia"/>
                <w:color w:val="auto"/>
                <w:sz w:val="24"/>
                <w:highlight w:val="none"/>
              </w:rPr>
              <w:t>项目运营期</w:t>
            </w:r>
            <w:r>
              <w:rPr>
                <w:rFonts w:hint="eastAsia"/>
                <w:color w:val="auto"/>
                <w:sz w:val="24"/>
                <w:highlight w:val="none"/>
                <w:lang w:val="en-US" w:eastAsia="zh-CN"/>
              </w:rPr>
              <w:t>废水主要为</w:t>
            </w:r>
            <w:r>
              <w:rPr>
                <w:rFonts w:hint="default" w:ascii="Times New Roman" w:hAnsi="Times New Roman"/>
                <w:bCs/>
                <w:color w:val="auto"/>
                <w:sz w:val="24"/>
                <w:highlight w:val="none"/>
              </w:rPr>
              <w:t>真空定径装置水箱定期排污废水</w:t>
            </w:r>
            <w:r>
              <w:rPr>
                <w:rFonts w:hint="eastAsia" w:ascii="Times New Roman" w:hAnsi="Times New Roman"/>
                <w:bCs/>
                <w:color w:val="auto"/>
                <w:sz w:val="24"/>
                <w:highlight w:val="none"/>
                <w:lang w:val="en-US" w:eastAsia="zh-CN"/>
              </w:rPr>
              <w:t>和</w:t>
            </w:r>
            <w:r>
              <w:rPr>
                <w:rFonts w:hint="eastAsia" w:ascii="Times New Roman" w:hAnsi="Times New Roman"/>
                <w:color w:val="auto"/>
                <w:sz w:val="24"/>
                <w:szCs w:val="24"/>
                <w:highlight w:val="none"/>
              </w:rPr>
              <w:t>员工生活废水（主要污染因子为COD、BOD</w:t>
            </w:r>
            <w:r>
              <w:rPr>
                <w:rFonts w:hint="eastAsia" w:ascii="Times New Roman" w:hAnsi="Times New Roman"/>
                <w:color w:val="auto"/>
                <w:sz w:val="24"/>
                <w:szCs w:val="24"/>
                <w:highlight w:val="none"/>
                <w:vertAlign w:val="subscript"/>
              </w:rPr>
              <w:t>5</w:t>
            </w:r>
            <w:r>
              <w:rPr>
                <w:rFonts w:hint="eastAsia" w:ascii="Times New Roman" w:hAnsi="Times New Roman"/>
                <w:color w:val="auto"/>
                <w:sz w:val="24"/>
                <w:szCs w:val="24"/>
                <w:highlight w:val="none"/>
              </w:rPr>
              <w:t>、氨氮、悬浮物）。</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bCs/>
                <w:color w:val="auto"/>
                <w:sz w:val="24"/>
                <w:szCs w:val="24"/>
                <w:highlight w:val="none"/>
              </w:rPr>
            </w:pPr>
            <w:r>
              <w:rPr>
                <w:rFonts w:hint="default" w:ascii="Times New Roman" w:hAnsi="Times New Roman"/>
                <w:bCs/>
                <w:color w:val="auto"/>
                <w:sz w:val="24"/>
                <w:szCs w:val="24"/>
                <w:highlight w:val="none"/>
              </w:rPr>
              <w:t>生活污水</w:t>
            </w:r>
            <w:r>
              <w:rPr>
                <w:rFonts w:hint="eastAsia"/>
                <w:bCs/>
                <w:color w:val="auto"/>
                <w:sz w:val="24"/>
                <w:szCs w:val="24"/>
                <w:highlight w:val="none"/>
                <w:lang w:val="en-US" w:eastAsia="zh-CN"/>
              </w:rPr>
              <w:t>依托</w:t>
            </w:r>
            <w:r>
              <w:rPr>
                <w:rFonts w:hint="eastAsia"/>
                <w:color w:val="auto"/>
                <w:sz w:val="24"/>
              </w:rPr>
              <w:t>波士特机械有限公司</w:t>
            </w:r>
            <w:r>
              <w:rPr>
                <w:rFonts w:hint="eastAsia"/>
                <w:color w:val="auto"/>
                <w:sz w:val="24"/>
                <w:lang w:val="en-US" w:eastAsia="zh-CN"/>
              </w:rPr>
              <w:t>已有</w:t>
            </w:r>
            <w:r>
              <w:rPr>
                <w:rFonts w:hint="default" w:ascii="Times New Roman" w:hAnsi="Times New Roman"/>
                <w:bCs/>
                <w:color w:val="auto"/>
                <w:sz w:val="24"/>
                <w:szCs w:val="24"/>
                <w:highlight w:val="none"/>
              </w:rPr>
              <w:t>化粪池处理</w:t>
            </w:r>
            <w:r>
              <w:rPr>
                <w:rFonts w:hint="eastAsia" w:ascii="Times New Roman" w:hAnsi="Times New Roman"/>
                <w:color w:val="auto"/>
                <w:sz w:val="24"/>
                <w:szCs w:val="24"/>
                <w:highlight w:val="none"/>
              </w:rPr>
              <w:t>后</w:t>
            </w:r>
            <w:r>
              <w:rPr>
                <w:rFonts w:hint="eastAsia"/>
                <w:bCs/>
                <w:color w:val="auto"/>
                <w:sz w:val="24"/>
                <w:szCs w:val="24"/>
                <w:highlight w:val="none"/>
                <w:lang w:val="en-US" w:eastAsia="zh-CN"/>
              </w:rPr>
              <w:t>，定期拉运肥田不外排</w:t>
            </w:r>
            <w:r>
              <w:rPr>
                <w:rFonts w:hint="eastAsia" w:ascii="Times New Roman" w:hAnsi="Times New Roman"/>
                <w:bCs/>
                <w:color w:val="auto"/>
                <w:sz w:val="24"/>
                <w:szCs w:val="24"/>
                <w:highlight w:val="none"/>
              </w:rPr>
              <w:t>。</w:t>
            </w:r>
            <w:r>
              <w:rPr>
                <w:rFonts w:hint="default" w:ascii="Times New Roman" w:hAnsi="Times New Roman"/>
                <w:bCs/>
                <w:color w:val="auto"/>
                <w:sz w:val="24"/>
                <w:szCs w:val="24"/>
                <w:highlight w:val="none"/>
              </w:rPr>
              <w:t>生产</w:t>
            </w:r>
            <w:r>
              <w:rPr>
                <w:rFonts w:hint="eastAsia"/>
                <w:bCs/>
                <w:color w:val="auto"/>
                <w:sz w:val="24"/>
                <w:szCs w:val="24"/>
                <w:highlight w:val="none"/>
                <w:lang w:val="en-US" w:eastAsia="zh-CN"/>
              </w:rPr>
              <w:t>过程中的冷却</w:t>
            </w:r>
            <w:r>
              <w:rPr>
                <w:rFonts w:hint="default" w:ascii="Times New Roman" w:hAnsi="Times New Roman"/>
                <w:bCs/>
                <w:color w:val="auto"/>
                <w:sz w:val="24"/>
                <w:szCs w:val="24"/>
                <w:highlight w:val="none"/>
              </w:rPr>
              <w:t>水</w:t>
            </w:r>
            <w:r>
              <w:rPr>
                <w:rFonts w:hint="eastAsia"/>
                <w:bCs/>
                <w:color w:val="auto"/>
                <w:sz w:val="24"/>
                <w:szCs w:val="24"/>
                <w:highlight w:val="none"/>
                <w:lang w:val="en-US" w:eastAsia="zh-CN"/>
              </w:rPr>
              <w:t>循环利用</w:t>
            </w:r>
            <w:r>
              <w:rPr>
                <w:rFonts w:hint="default" w:ascii="Times New Roman" w:hAnsi="Times New Roman"/>
                <w:bCs/>
                <w:color w:val="auto"/>
                <w:sz w:val="24"/>
                <w:szCs w:val="24"/>
                <w:highlight w:val="none"/>
              </w:rPr>
              <w:t>，</w:t>
            </w:r>
            <w:r>
              <w:rPr>
                <w:rFonts w:hint="eastAsia" w:ascii="Times New Roman" w:hAnsi="Times New Roman"/>
                <w:bCs/>
                <w:color w:val="auto"/>
                <w:sz w:val="24"/>
                <w:szCs w:val="24"/>
                <w:highlight w:val="none"/>
                <w:lang w:val="en-US" w:eastAsia="zh-CN"/>
              </w:rPr>
              <w:t>不外排</w:t>
            </w:r>
            <w:r>
              <w:rPr>
                <w:rFonts w:hint="default" w:ascii="Times New Roman" w:hAnsi="Times New Roman"/>
                <w:bCs/>
                <w:color w:val="auto"/>
                <w:sz w:val="24"/>
                <w:szCs w:val="24"/>
                <w:highlight w:val="none"/>
              </w:rPr>
              <w:t>。</w:t>
            </w:r>
          </w:p>
          <w:p>
            <w:pPr>
              <w:keepNext w:val="0"/>
              <w:keepLines w:val="0"/>
              <w:suppressLineNumbers w:val="0"/>
              <w:spacing w:before="0" w:beforeAutospacing="0" w:after="0" w:afterAutospacing="0" w:line="360" w:lineRule="auto"/>
              <w:ind w:left="0" w:right="0" w:firstLine="482" w:firstLineChars="200"/>
              <w:rPr>
                <w:rFonts w:hint="default"/>
                <w:b/>
                <w:bCs/>
                <w:color w:val="auto"/>
                <w:sz w:val="24"/>
                <w:highlight w:val="none"/>
              </w:rPr>
            </w:pPr>
            <w:r>
              <w:rPr>
                <w:rFonts w:hint="eastAsia"/>
                <w:b/>
                <w:bCs/>
                <w:color w:val="auto"/>
                <w:sz w:val="24"/>
                <w:highlight w:val="none"/>
              </w:rPr>
              <w:t>3</w:t>
            </w:r>
            <w:r>
              <w:rPr>
                <w:rFonts w:hint="eastAsia"/>
                <w:b/>
                <w:bCs/>
                <w:color w:val="auto"/>
                <w:sz w:val="24"/>
                <w:highlight w:val="none"/>
                <w:lang w:eastAsia="zh-CN"/>
              </w:rPr>
              <w:t>、</w:t>
            </w:r>
            <w:r>
              <w:rPr>
                <w:rFonts w:hint="eastAsia"/>
                <w:b/>
                <w:bCs/>
                <w:color w:val="auto"/>
                <w:sz w:val="24"/>
                <w:highlight w:val="none"/>
              </w:rPr>
              <w:t>噪声</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bCs/>
                <w:color w:val="auto"/>
                <w:sz w:val="24"/>
                <w:highlight w:val="none"/>
              </w:rPr>
            </w:pPr>
            <w:bookmarkStart w:id="4" w:name="_Hlk84585289"/>
            <w:r>
              <w:rPr>
                <w:rFonts w:hint="eastAsia"/>
                <w:color w:val="auto"/>
                <w:sz w:val="24"/>
                <w:highlight w:val="none"/>
                <w:lang w:val="en-US" w:eastAsia="zh-CN"/>
              </w:rPr>
              <w:t>原有</w:t>
            </w:r>
            <w:r>
              <w:rPr>
                <w:rFonts w:hint="default" w:ascii="Times New Roman" w:hAnsi="Times New Roman"/>
                <w:color w:val="auto"/>
                <w:sz w:val="24"/>
                <w:highlight w:val="none"/>
              </w:rPr>
              <w:t>项目噪声主要是设备运转时产生的设备噪声，主要设备为挤出机、</w:t>
            </w:r>
            <w:r>
              <w:rPr>
                <w:rFonts w:hint="eastAsia" w:ascii="Times New Roman" w:hAnsi="Times New Roman"/>
                <w:color w:val="auto"/>
                <w:sz w:val="24"/>
                <w:highlight w:val="none"/>
                <w:lang w:val="en-US" w:eastAsia="zh-CN"/>
              </w:rPr>
              <w:t>切割机、空压机、真空泵、水泵</w:t>
            </w:r>
            <w:r>
              <w:rPr>
                <w:rFonts w:hint="default" w:ascii="Times New Roman" w:hAnsi="Times New Roman"/>
                <w:color w:val="auto"/>
                <w:sz w:val="24"/>
                <w:highlight w:val="none"/>
              </w:rPr>
              <w:t>及风机等</w:t>
            </w:r>
            <w:r>
              <w:rPr>
                <w:rFonts w:hint="eastAsia" w:hAnsi="宋体"/>
                <w:color w:val="auto"/>
                <w:sz w:val="24"/>
                <w:highlight w:val="none"/>
              </w:rPr>
              <w:t>，主要集中在车间内</w:t>
            </w:r>
            <w:r>
              <w:rPr>
                <w:rFonts w:hint="default" w:ascii="Times New Roman" w:hAnsi="Times New Roman"/>
                <w:color w:val="auto"/>
                <w:sz w:val="24"/>
                <w:szCs w:val="24"/>
                <w:highlight w:val="none"/>
              </w:rPr>
              <w:t>。</w:t>
            </w:r>
          </w:p>
          <w:bookmarkEnd w:id="4"/>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olor w:val="auto"/>
                <w:sz w:val="24"/>
                <w:szCs w:val="24"/>
                <w:highlight w:val="none"/>
              </w:rPr>
            </w:pPr>
            <w:bookmarkStart w:id="5" w:name="_Hlk84585301"/>
            <w:r>
              <w:rPr>
                <w:rFonts w:hint="eastAsia" w:ascii="Times New Roman" w:hAnsi="Times New Roman"/>
                <w:color w:val="auto"/>
                <w:sz w:val="24"/>
                <w:szCs w:val="24"/>
                <w:highlight w:val="none"/>
              </w:rPr>
              <w:t>生产设备位于车间内，在车间内合理布局，</w:t>
            </w:r>
            <w:r>
              <w:rPr>
                <w:rFonts w:hint="eastAsia" w:ascii="Times New Roman" w:hAnsi="Times New Roman"/>
                <w:color w:val="auto"/>
                <w:sz w:val="24"/>
                <w:highlight w:val="none"/>
              </w:rPr>
              <w:t>利用厂房隔声</w:t>
            </w:r>
            <w:r>
              <w:rPr>
                <w:rFonts w:hint="default" w:ascii="Times New Roman" w:hAnsi="Times New Roman"/>
                <w:color w:val="auto"/>
                <w:sz w:val="24"/>
                <w:highlight w:val="none"/>
              </w:rPr>
              <w:t>、采取低噪声设备</w:t>
            </w:r>
            <w:r>
              <w:rPr>
                <w:rFonts w:hint="eastAsia" w:ascii="Times New Roman" w:hAnsi="Times New Roman"/>
                <w:color w:val="auto"/>
                <w:sz w:val="24"/>
                <w:szCs w:val="24"/>
                <w:highlight w:val="none"/>
              </w:rPr>
              <w:t>等措施降低噪声影响</w:t>
            </w:r>
            <w:r>
              <w:rPr>
                <w:rFonts w:hint="default" w:ascii="Times New Roman" w:hAnsi="Times New Roman"/>
                <w:color w:val="auto"/>
                <w:sz w:val="24"/>
                <w:szCs w:val="24"/>
                <w:highlight w:val="none"/>
              </w:rPr>
              <w:t>。</w:t>
            </w:r>
          </w:p>
          <w:bookmarkEnd w:id="5"/>
          <w:p>
            <w:pPr>
              <w:keepNext w:val="0"/>
              <w:keepLines w:val="0"/>
              <w:suppressLineNumbers w:val="0"/>
              <w:spacing w:before="0" w:beforeAutospacing="0" w:after="0" w:afterAutospacing="0" w:line="360" w:lineRule="auto"/>
              <w:ind w:left="0" w:right="0" w:firstLine="480" w:firstLineChars="200"/>
              <w:rPr>
                <w:rFonts w:hint="default"/>
                <w:color w:val="auto"/>
                <w:sz w:val="24"/>
                <w:highlight w:val="none"/>
              </w:rPr>
            </w:pPr>
            <w:r>
              <w:rPr>
                <w:rFonts w:hint="eastAsia"/>
                <w:color w:val="auto"/>
                <w:sz w:val="24"/>
                <w:highlight w:val="none"/>
              </w:rPr>
              <w:t>根据验收监测报告，验收检测期间，</w:t>
            </w:r>
            <w:r>
              <w:rPr>
                <w:rFonts w:hint="eastAsia" w:ascii="Times New Roman" w:hAnsi="Times New Roman"/>
                <w:color w:val="auto"/>
                <w:sz w:val="24"/>
                <w:szCs w:val="24"/>
                <w:highlight w:val="none"/>
              </w:rPr>
              <w:t>项目东、南、西、北侧</w:t>
            </w:r>
            <w:r>
              <w:rPr>
                <w:rFonts w:hint="default" w:ascii="Times New Roman" w:hAnsi="Times New Roman"/>
                <w:color w:val="auto"/>
                <w:sz w:val="24"/>
                <w:szCs w:val="24"/>
                <w:highlight w:val="none"/>
              </w:rPr>
              <w:t>厂界监测点昼间</w:t>
            </w:r>
            <w:r>
              <w:rPr>
                <w:rFonts w:hint="eastAsia" w:ascii="Times New Roman" w:hAnsi="Times New Roman"/>
                <w:color w:val="auto"/>
                <w:sz w:val="24"/>
                <w:szCs w:val="24"/>
                <w:highlight w:val="none"/>
                <w:lang w:eastAsia="zh-CN"/>
              </w:rPr>
              <w:t>、</w:t>
            </w:r>
            <w:r>
              <w:rPr>
                <w:rFonts w:hint="default" w:ascii="Times New Roman" w:hAnsi="Times New Roman"/>
                <w:color w:val="auto"/>
                <w:sz w:val="24"/>
                <w:szCs w:val="24"/>
                <w:highlight w:val="none"/>
              </w:rPr>
              <w:t>夜间噪声</w:t>
            </w:r>
            <w:r>
              <w:rPr>
                <w:rFonts w:hint="eastAsia" w:ascii="Times New Roman" w:hAnsi="Times New Roman"/>
                <w:color w:val="auto"/>
                <w:sz w:val="24"/>
                <w:szCs w:val="24"/>
                <w:highlight w:val="none"/>
                <w:lang w:val="en-US" w:eastAsia="zh-CN"/>
              </w:rPr>
              <w:t>监测结果</w:t>
            </w:r>
            <w:r>
              <w:rPr>
                <w:rFonts w:hint="default" w:ascii="Times New Roman" w:hAnsi="Times New Roman"/>
                <w:color w:val="auto"/>
                <w:sz w:val="24"/>
                <w:szCs w:val="24"/>
                <w:highlight w:val="none"/>
              </w:rPr>
              <w:t>均符合《工业企业厂界环境噪声排放标准》（GB 12348-2008）3类标准要求</w:t>
            </w:r>
            <w:r>
              <w:rPr>
                <w:rFonts w:hint="eastAsia" w:ascii="Times New Roman" w:hAnsi="Times New Roman"/>
                <w:color w:val="auto"/>
                <w:sz w:val="24"/>
                <w:szCs w:val="24"/>
                <w:highlight w:val="none"/>
              </w:rPr>
              <w:t>。</w:t>
            </w:r>
          </w:p>
          <w:p>
            <w:pPr>
              <w:keepNext w:val="0"/>
              <w:keepLines w:val="0"/>
              <w:suppressLineNumbers w:val="0"/>
              <w:spacing w:before="0" w:beforeAutospacing="0" w:after="0" w:afterAutospacing="0" w:line="360" w:lineRule="auto"/>
              <w:ind w:left="0" w:right="0" w:firstLine="482" w:firstLineChars="200"/>
              <w:rPr>
                <w:rFonts w:hint="default"/>
                <w:b/>
                <w:bCs/>
                <w:color w:val="auto"/>
                <w:sz w:val="24"/>
                <w:highlight w:val="none"/>
              </w:rPr>
            </w:pPr>
            <w:r>
              <w:rPr>
                <w:rFonts w:hint="eastAsia"/>
                <w:b/>
                <w:bCs/>
                <w:color w:val="auto"/>
                <w:sz w:val="24"/>
                <w:highlight w:val="none"/>
              </w:rPr>
              <w:t>4</w:t>
            </w:r>
            <w:r>
              <w:rPr>
                <w:rFonts w:hint="eastAsia"/>
                <w:b/>
                <w:bCs/>
                <w:color w:val="auto"/>
                <w:sz w:val="24"/>
                <w:highlight w:val="none"/>
                <w:lang w:eastAsia="zh-CN"/>
              </w:rPr>
              <w:t>、</w:t>
            </w:r>
            <w:r>
              <w:rPr>
                <w:rFonts w:hint="eastAsia"/>
                <w:b/>
                <w:bCs/>
                <w:color w:val="auto"/>
                <w:sz w:val="24"/>
                <w:highlight w:val="none"/>
              </w:rPr>
              <w:t>固废</w:t>
            </w:r>
          </w:p>
          <w:p>
            <w:pPr>
              <w:keepNext w:val="0"/>
              <w:keepLines w:val="0"/>
              <w:suppressLineNumbers w:val="0"/>
              <w:adjustRightInd w:val="0"/>
              <w:snapToGrid w:val="0"/>
              <w:spacing w:before="0" w:beforeAutospacing="0" w:after="0" w:afterAutospacing="0" w:line="360" w:lineRule="auto"/>
              <w:ind w:left="0" w:right="0" w:firstLine="480" w:firstLineChars="200"/>
              <w:outlineLvl w:val="0"/>
              <w:rPr>
                <w:rFonts w:hint="default" w:ascii="Times New Roman" w:hAnsi="Times New Roman"/>
                <w:color w:val="auto"/>
                <w:sz w:val="24"/>
                <w:highlight w:val="none"/>
              </w:rPr>
            </w:pPr>
            <w:r>
              <w:rPr>
                <w:rFonts w:hint="eastAsia"/>
                <w:color w:val="auto"/>
                <w:sz w:val="24"/>
                <w:highlight w:val="none"/>
                <w:lang w:val="en-US" w:eastAsia="zh-CN"/>
              </w:rPr>
              <w:t>原有</w:t>
            </w:r>
            <w:r>
              <w:rPr>
                <w:rFonts w:hint="eastAsia" w:ascii="Times New Roman" w:hAnsi="Times New Roman"/>
                <w:color w:val="auto"/>
                <w:sz w:val="24"/>
                <w:highlight w:val="none"/>
              </w:rPr>
              <w:t>项目运营期产生的固体废弃物主要包括</w:t>
            </w:r>
            <w:r>
              <w:rPr>
                <w:rFonts w:hint="eastAsia"/>
                <w:color w:val="auto"/>
                <w:sz w:val="24"/>
                <w:highlight w:val="none"/>
                <w:lang w:val="en-US" w:eastAsia="zh-CN"/>
              </w:rPr>
              <w:t>不合格产品及边角料（废料）、</w:t>
            </w:r>
            <w:r>
              <w:rPr>
                <w:rFonts w:hint="default" w:ascii="Times New Roman" w:hAnsi="Times New Roman"/>
                <w:color w:val="auto"/>
                <w:sz w:val="24"/>
                <w:highlight w:val="none"/>
              </w:rPr>
              <w:t>废活性炭、废</w:t>
            </w:r>
            <w:r>
              <w:rPr>
                <w:rFonts w:hint="eastAsia"/>
                <w:color w:val="auto"/>
                <w:sz w:val="24"/>
                <w:highlight w:val="none"/>
                <w:lang w:val="en-US" w:eastAsia="zh-CN"/>
              </w:rPr>
              <w:t>润滑</w:t>
            </w:r>
            <w:r>
              <w:rPr>
                <w:rFonts w:hint="default" w:ascii="Times New Roman" w:hAnsi="Times New Roman"/>
                <w:color w:val="auto"/>
                <w:sz w:val="24"/>
                <w:highlight w:val="none"/>
              </w:rPr>
              <w:t>油</w:t>
            </w:r>
            <w:r>
              <w:rPr>
                <w:rFonts w:hint="eastAsia"/>
                <w:color w:val="auto"/>
                <w:sz w:val="24"/>
                <w:highlight w:val="none"/>
                <w:lang w:eastAsia="zh-CN"/>
              </w:rPr>
              <w:t>、</w:t>
            </w:r>
            <w:r>
              <w:rPr>
                <w:rFonts w:hint="default" w:ascii="Times New Roman" w:hAnsi="Times New Roman"/>
                <w:color w:val="auto"/>
                <w:sz w:val="24"/>
                <w:highlight w:val="none"/>
              </w:rPr>
              <w:t>含油</w:t>
            </w:r>
            <w:r>
              <w:rPr>
                <w:rFonts w:hint="eastAsia"/>
                <w:color w:val="auto"/>
                <w:sz w:val="24"/>
                <w:highlight w:val="none"/>
                <w:lang w:val="en-US" w:eastAsia="zh-CN"/>
              </w:rPr>
              <w:t>废棉纱</w:t>
            </w:r>
            <w:r>
              <w:rPr>
                <w:rFonts w:hint="default" w:ascii="Times New Roman" w:hAnsi="Times New Roman"/>
                <w:color w:val="auto"/>
                <w:sz w:val="24"/>
                <w:highlight w:val="none"/>
              </w:rPr>
              <w:t>、生活垃圾等</w:t>
            </w:r>
            <w:r>
              <w:rPr>
                <w:rFonts w:hint="eastAsia" w:ascii="Times New Roman" w:hAnsi="Times New Roman"/>
                <w:color w:val="auto"/>
                <w:sz w:val="24"/>
                <w:highlight w:val="none"/>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outlineLvl w:val="0"/>
              <w:rPr>
                <w:rFonts w:hint="default" w:ascii="Times New Roman" w:hAnsi="Times New Roman"/>
                <w:color w:val="auto"/>
                <w:sz w:val="24"/>
                <w:highlight w:val="none"/>
              </w:rPr>
            </w:pPr>
            <w:r>
              <w:rPr>
                <w:rFonts w:hint="eastAsia"/>
                <w:color w:val="auto"/>
                <w:sz w:val="24"/>
                <w:highlight w:val="none"/>
                <w:lang w:val="en-US" w:eastAsia="zh-CN"/>
              </w:rPr>
              <w:t>（1）不合格产品及边角料（废料）</w:t>
            </w:r>
            <w:r>
              <w:rPr>
                <w:rFonts w:hint="eastAsia" w:ascii="Times New Roman" w:hAnsi="Times New Roman"/>
                <w:color w:val="auto"/>
                <w:sz w:val="24"/>
                <w:highlight w:val="none"/>
              </w:rPr>
              <w:t>：集中收集</w:t>
            </w:r>
            <w:r>
              <w:rPr>
                <w:rFonts w:hint="eastAsia"/>
                <w:color w:val="auto"/>
                <w:sz w:val="24"/>
                <w:highlight w:val="none"/>
                <w:lang w:eastAsia="zh-CN"/>
              </w:rPr>
              <w:t>，</w:t>
            </w:r>
            <w:r>
              <w:rPr>
                <w:rFonts w:hint="eastAsia"/>
                <w:color w:val="auto"/>
                <w:sz w:val="24"/>
                <w:highlight w:val="none"/>
                <w:lang w:val="en-US" w:eastAsia="zh-CN"/>
              </w:rPr>
              <w:t>统一外售处理</w:t>
            </w:r>
            <w:r>
              <w:rPr>
                <w:rFonts w:hint="eastAsia" w:ascii="Times New Roman" w:hAnsi="Times New Roman"/>
                <w:color w:val="auto"/>
                <w:sz w:val="24"/>
                <w:highlight w:val="none"/>
              </w:rPr>
              <w:t>。</w:t>
            </w:r>
          </w:p>
          <w:p>
            <w:pPr>
              <w:keepNext w:val="0"/>
              <w:keepLines w:val="0"/>
              <w:suppressLineNumbers w:val="0"/>
              <w:adjustRightInd w:val="0"/>
              <w:snapToGrid w:val="0"/>
              <w:spacing w:before="0" w:beforeAutospacing="0" w:after="0" w:afterAutospacing="0" w:line="360" w:lineRule="auto"/>
              <w:ind w:left="0" w:right="0" w:firstLine="480" w:firstLineChars="200"/>
              <w:outlineLvl w:val="0"/>
              <w:rPr>
                <w:rFonts w:hint="default" w:ascii="Times New Roman" w:hAnsi="Times New Roman"/>
                <w:color w:val="auto"/>
                <w:sz w:val="24"/>
                <w:highlight w:val="none"/>
              </w:rPr>
            </w:pPr>
            <w:r>
              <w:rPr>
                <w:rFonts w:hint="eastAsia" w:ascii="Times New Roman" w:hAnsi="Times New Roman"/>
                <w:color w:val="auto"/>
                <w:sz w:val="24"/>
                <w:highlight w:val="none"/>
              </w:rPr>
              <w:t>（</w:t>
            </w:r>
            <w:r>
              <w:rPr>
                <w:rFonts w:hint="eastAsia"/>
                <w:color w:val="auto"/>
                <w:sz w:val="24"/>
                <w:highlight w:val="none"/>
                <w:lang w:val="en-US" w:eastAsia="zh-CN"/>
              </w:rPr>
              <w:t>2</w:t>
            </w:r>
            <w:r>
              <w:rPr>
                <w:rFonts w:hint="eastAsia" w:ascii="Times New Roman" w:hAnsi="Times New Roman"/>
                <w:color w:val="auto"/>
                <w:sz w:val="24"/>
                <w:highlight w:val="none"/>
              </w:rPr>
              <w:t>）废活性炭（HW</w:t>
            </w:r>
            <w:r>
              <w:rPr>
                <w:rFonts w:hint="default" w:ascii="Times New Roman" w:hAnsi="Times New Roman"/>
                <w:color w:val="auto"/>
                <w:sz w:val="24"/>
                <w:highlight w:val="none"/>
              </w:rPr>
              <w:t>49</w:t>
            </w:r>
            <w:r>
              <w:rPr>
                <w:rFonts w:hint="eastAsia" w:ascii="Times New Roman" w:hAnsi="Times New Roman"/>
                <w:color w:val="auto"/>
                <w:sz w:val="24"/>
                <w:highlight w:val="none"/>
              </w:rPr>
              <w:t>，</w:t>
            </w:r>
            <w:r>
              <w:rPr>
                <w:rFonts w:hint="default" w:ascii="Times New Roman" w:hAnsi="Times New Roman"/>
                <w:color w:val="auto"/>
                <w:sz w:val="24"/>
                <w:highlight w:val="none"/>
              </w:rPr>
              <w:t>900</w:t>
            </w:r>
            <w:r>
              <w:rPr>
                <w:rFonts w:hint="eastAsia" w:ascii="Times New Roman" w:hAnsi="Times New Roman"/>
                <w:color w:val="auto"/>
                <w:sz w:val="24"/>
                <w:highlight w:val="none"/>
              </w:rPr>
              <w:t>-</w:t>
            </w:r>
            <w:r>
              <w:rPr>
                <w:rFonts w:hint="default" w:ascii="Times New Roman" w:hAnsi="Times New Roman"/>
                <w:color w:val="auto"/>
                <w:sz w:val="24"/>
                <w:highlight w:val="none"/>
              </w:rPr>
              <w:t>039</w:t>
            </w:r>
            <w:r>
              <w:rPr>
                <w:rFonts w:hint="eastAsia" w:ascii="Times New Roman" w:hAnsi="Times New Roman"/>
                <w:color w:val="auto"/>
                <w:sz w:val="24"/>
                <w:highlight w:val="none"/>
              </w:rPr>
              <w:t>-</w:t>
            </w:r>
            <w:r>
              <w:rPr>
                <w:rFonts w:hint="default" w:ascii="Times New Roman" w:hAnsi="Times New Roman"/>
                <w:color w:val="auto"/>
                <w:sz w:val="24"/>
                <w:highlight w:val="none"/>
              </w:rPr>
              <w:t>49</w:t>
            </w:r>
            <w:r>
              <w:rPr>
                <w:rFonts w:hint="eastAsia" w:ascii="Times New Roman" w:hAnsi="Times New Roman"/>
                <w:color w:val="auto"/>
                <w:sz w:val="24"/>
                <w:highlight w:val="none"/>
              </w:rPr>
              <w:t>）</w:t>
            </w:r>
            <w:r>
              <w:rPr>
                <w:rFonts w:hint="eastAsia"/>
                <w:color w:val="auto"/>
                <w:sz w:val="24"/>
                <w:highlight w:val="none"/>
                <w:lang w:eastAsia="zh-CN"/>
              </w:rPr>
              <w:t>、</w:t>
            </w:r>
            <w:r>
              <w:rPr>
                <w:rFonts w:hint="eastAsia" w:ascii="Times New Roman" w:hAnsi="Times New Roman"/>
                <w:color w:val="auto"/>
                <w:sz w:val="24"/>
                <w:highlight w:val="none"/>
              </w:rPr>
              <w:t>废</w:t>
            </w:r>
            <w:r>
              <w:rPr>
                <w:rFonts w:hint="eastAsia"/>
                <w:color w:val="auto"/>
                <w:sz w:val="24"/>
                <w:highlight w:val="none"/>
                <w:lang w:val="en-US" w:eastAsia="zh-CN"/>
              </w:rPr>
              <w:t>润滑</w:t>
            </w:r>
            <w:r>
              <w:rPr>
                <w:rFonts w:hint="eastAsia" w:ascii="Times New Roman" w:hAnsi="Times New Roman"/>
                <w:color w:val="auto"/>
                <w:sz w:val="24"/>
                <w:highlight w:val="none"/>
              </w:rPr>
              <w:t>油</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rPr>
              <w:t>HW</w:t>
            </w:r>
            <w:r>
              <w:rPr>
                <w:rFonts w:hint="default" w:ascii="Times New Roman" w:hAnsi="Times New Roman"/>
                <w:color w:val="auto"/>
                <w:sz w:val="24"/>
                <w:highlight w:val="none"/>
              </w:rPr>
              <w:t>08</w:t>
            </w:r>
            <w:r>
              <w:rPr>
                <w:rFonts w:hint="eastAsia" w:ascii="Times New Roman" w:hAnsi="Times New Roman"/>
                <w:color w:val="auto"/>
                <w:sz w:val="24"/>
                <w:highlight w:val="none"/>
              </w:rPr>
              <w:t>，</w:t>
            </w:r>
            <w:r>
              <w:rPr>
                <w:rFonts w:hint="default" w:ascii="Times New Roman" w:hAnsi="Times New Roman"/>
                <w:color w:val="auto"/>
                <w:sz w:val="24"/>
                <w:highlight w:val="none"/>
              </w:rPr>
              <w:t>900</w:t>
            </w:r>
            <w:r>
              <w:rPr>
                <w:rFonts w:hint="eastAsia" w:ascii="Times New Roman" w:hAnsi="Times New Roman"/>
                <w:color w:val="auto"/>
                <w:sz w:val="24"/>
                <w:highlight w:val="none"/>
              </w:rPr>
              <w:t>-</w:t>
            </w:r>
            <w:r>
              <w:rPr>
                <w:rFonts w:hint="default" w:ascii="Times New Roman" w:hAnsi="Times New Roman"/>
                <w:color w:val="auto"/>
                <w:sz w:val="24"/>
                <w:highlight w:val="none"/>
              </w:rPr>
              <w:t>214</w:t>
            </w:r>
            <w:r>
              <w:rPr>
                <w:rFonts w:hint="eastAsia" w:ascii="Times New Roman" w:hAnsi="Times New Roman"/>
                <w:color w:val="auto"/>
                <w:sz w:val="24"/>
                <w:highlight w:val="none"/>
              </w:rPr>
              <w:t>-</w:t>
            </w:r>
            <w:r>
              <w:rPr>
                <w:rFonts w:hint="default" w:ascii="Times New Roman" w:hAnsi="Times New Roman"/>
                <w:color w:val="auto"/>
                <w:sz w:val="24"/>
                <w:highlight w:val="none"/>
              </w:rPr>
              <w:t>08</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rPr>
              <w:t>、含油</w:t>
            </w:r>
            <w:r>
              <w:rPr>
                <w:rFonts w:hint="eastAsia"/>
                <w:color w:val="auto"/>
                <w:sz w:val="24"/>
                <w:highlight w:val="none"/>
                <w:lang w:val="en-US" w:eastAsia="zh-CN"/>
              </w:rPr>
              <w:t>废棉纱</w:t>
            </w:r>
            <w:r>
              <w:rPr>
                <w:rFonts w:hint="eastAsia" w:ascii="Times New Roman" w:hAnsi="Times New Roman"/>
                <w:color w:val="auto"/>
                <w:sz w:val="24"/>
                <w:highlight w:val="none"/>
              </w:rPr>
              <w:t>（H</w:t>
            </w:r>
            <w:r>
              <w:rPr>
                <w:rFonts w:hint="default" w:ascii="Times New Roman" w:hAnsi="Times New Roman"/>
                <w:color w:val="auto"/>
                <w:sz w:val="24"/>
                <w:highlight w:val="none"/>
              </w:rPr>
              <w:t>W49</w:t>
            </w:r>
            <w:r>
              <w:rPr>
                <w:rFonts w:hint="eastAsia" w:ascii="Times New Roman" w:hAnsi="Times New Roman"/>
                <w:color w:val="auto"/>
                <w:sz w:val="24"/>
                <w:highlight w:val="none"/>
              </w:rPr>
              <w:t>，9</w:t>
            </w:r>
            <w:r>
              <w:rPr>
                <w:rFonts w:hint="default" w:ascii="Times New Roman" w:hAnsi="Times New Roman"/>
                <w:color w:val="auto"/>
                <w:sz w:val="24"/>
                <w:highlight w:val="none"/>
              </w:rPr>
              <w:t>00-041-49</w:t>
            </w:r>
            <w:r>
              <w:rPr>
                <w:rFonts w:hint="eastAsia" w:ascii="Times New Roman" w:hAnsi="Times New Roman"/>
                <w:color w:val="auto"/>
                <w:sz w:val="24"/>
                <w:highlight w:val="none"/>
              </w:rPr>
              <w:t>）均属于危险废物，</w:t>
            </w:r>
            <w:r>
              <w:rPr>
                <w:rFonts w:hint="eastAsia" w:ascii="Times New Roman" w:hAnsi="Times New Roman"/>
                <w:color w:val="auto"/>
                <w:sz w:val="24"/>
                <w:highlight w:val="none"/>
                <w:lang w:val="en-US" w:eastAsia="zh-CN"/>
              </w:rPr>
              <w:t>暂存</w:t>
            </w:r>
            <w:r>
              <w:rPr>
                <w:rFonts w:hint="eastAsia"/>
                <w:color w:val="auto"/>
                <w:sz w:val="24"/>
                <w:highlight w:val="none"/>
                <w:lang w:eastAsia="zh-CN"/>
              </w:rPr>
              <w:t>危废贮存库</w:t>
            </w:r>
            <w:r>
              <w:rPr>
                <w:rFonts w:hint="eastAsia" w:ascii="Times New Roman" w:hAnsi="Times New Roman"/>
                <w:color w:val="auto"/>
                <w:sz w:val="24"/>
                <w:highlight w:val="none"/>
              </w:rPr>
              <w:t>，定期交陕西明瑞资源再生有限公司处置。</w:t>
            </w:r>
          </w:p>
          <w:p>
            <w:pPr>
              <w:keepNext w:val="0"/>
              <w:keepLines w:val="0"/>
              <w:suppressLineNumbers w:val="0"/>
              <w:adjustRightInd w:val="0"/>
              <w:snapToGrid w:val="0"/>
              <w:spacing w:before="0" w:beforeAutospacing="0" w:after="0" w:afterAutospacing="0" w:line="360" w:lineRule="auto"/>
              <w:ind w:left="0" w:right="0" w:firstLine="480" w:firstLineChars="200"/>
              <w:outlineLvl w:val="0"/>
              <w:rPr>
                <w:rFonts w:hint="default" w:ascii="Times New Roman" w:hAnsi="Times New Roman"/>
                <w:color w:val="auto"/>
                <w:sz w:val="24"/>
                <w:highlight w:val="none"/>
              </w:rPr>
            </w:pPr>
            <w:r>
              <w:rPr>
                <w:rFonts w:hint="eastAsia" w:ascii="Times New Roman" w:hAnsi="Times New Roman"/>
                <w:color w:val="auto"/>
                <w:sz w:val="24"/>
                <w:highlight w:val="none"/>
              </w:rPr>
              <w:t>（</w:t>
            </w:r>
            <w:r>
              <w:rPr>
                <w:rFonts w:hint="eastAsia"/>
                <w:color w:val="auto"/>
                <w:sz w:val="24"/>
                <w:highlight w:val="none"/>
                <w:lang w:val="en-US" w:eastAsia="zh-CN"/>
              </w:rPr>
              <w:t>3</w:t>
            </w:r>
            <w:r>
              <w:rPr>
                <w:rFonts w:hint="eastAsia" w:ascii="Times New Roman" w:hAnsi="Times New Roman"/>
                <w:color w:val="auto"/>
                <w:sz w:val="24"/>
                <w:highlight w:val="none"/>
              </w:rPr>
              <w:t>）生活垃圾：</w:t>
            </w:r>
            <w:r>
              <w:rPr>
                <w:rFonts w:hint="eastAsia"/>
                <w:color w:val="auto"/>
                <w:sz w:val="24"/>
                <w:highlight w:val="none"/>
                <w:lang w:val="en-US" w:eastAsia="zh-CN"/>
              </w:rPr>
              <w:t>集中收集，</w:t>
            </w:r>
            <w:r>
              <w:rPr>
                <w:rFonts w:hint="eastAsia" w:ascii="Times New Roman" w:hAnsi="Times New Roman"/>
                <w:color w:val="auto"/>
                <w:sz w:val="24"/>
                <w:highlight w:val="none"/>
              </w:rPr>
              <w:t>由环卫部门统一收集清运。</w:t>
            </w:r>
          </w:p>
          <w:p>
            <w:pPr>
              <w:keepNext w:val="0"/>
              <w:keepLines w:val="0"/>
              <w:suppressLineNumbers w:val="0"/>
              <w:spacing w:before="0" w:beforeAutospacing="0" w:after="0" w:afterAutospacing="0" w:line="360" w:lineRule="auto"/>
              <w:ind w:left="0" w:right="0" w:firstLine="482" w:firstLineChars="200"/>
              <w:rPr>
                <w:rFonts w:hint="default" w:eastAsia="宋体"/>
                <w:b/>
                <w:bCs/>
                <w:color w:val="auto"/>
                <w:sz w:val="24"/>
                <w:highlight w:val="none"/>
                <w:lang w:val="en-US" w:eastAsia="zh-CN"/>
              </w:rPr>
            </w:pPr>
            <w:r>
              <w:rPr>
                <w:rFonts w:hint="eastAsia"/>
                <w:b/>
                <w:bCs/>
                <w:color w:val="auto"/>
                <w:sz w:val="24"/>
                <w:highlight w:val="none"/>
                <w:lang w:val="en-US" w:eastAsia="zh-CN"/>
              </w:rPr>
              <w:t>5</w:t>
            </w:r>
            <w:r>
              <w:rPr>
                <w:rFonts w:hint="eastAsia"/>
                <w:b/>
                <w:bCs/>
                <w:color w:val="auto"/>
                <w:sz w:val="24"/>
                <w:highlight w:val="none"/>
                <w:lang w:eastAsia="zh-CN"/>
              </w:rPr>
              <w:t>、</w:t>
            </w:r>
            <w:r>
              <w:rPr>
                <w:rFonts w:hint="eastAsia"/>
                <w:b/>
                <w:bCs/>
                <w:color w:val="auto"/>
                <w:sz w:val="24"/>
                <w:highlight w:val="none"/>
                <w:lang w:val="en-US" w:eastAsia="zh-CN"/>
              </w:rPr>
              <w:t>污染物排放统计</w:t>
            </w:r>
          </w:p>
          <w:p>
            <w:pPr>
              <w:keepNext w:val="0"/>
              <w:keepLines w:val="0"/>
              <w:suppressLineNumbers w:val="0"/>
              <w:spacing w:before="0" w:beforeAutospacing="0" w:after="0" w:afterAutospacing="0" w:line="240" w:lineRule="auto"/>
              <w:ind w:left="0" w:right="0"/>
              <w:jc w:val="center"/>
              <w:rPr>
                <w:rFonts w:hint="default"/>
                <w:b/>
                <w:bCs/>
                <w:color w:val="auto"/>
                <w:sz w:val="24"/>
                <w:szCs w:val="32"/>
                <w:highlight w:val="none"/>
              </w:rPr>
            </w:pPr>
            <w:r>
              <w:rPr>
                <w:rFonts w:hint="default"/>
                <w:b/>
                <w:bCs/>
                <w:color w:val="auto"/>
                <w:sz w:val="24"/>
                <w:szCs w:val="32"/>
                <w:highlight w:val="none"/>
              </w:rPr>
              <w:t>表2-</w:t>
            </w:r>
            <w:r>
              <w:rPr>
                <w:rFonts w:hint="eastAsia"/>
                <w:b/>
                <w:bCs/>
                <w:color w:val="auto"/>
                <w:sz w:val="24"/>
                <w:szCs w:val="32"/>
                <w:highlight w:val="none"/>
                <w:lang w:val="en-US" w:eastAsia="zh-CN"/>
              </w:rPr>
              <w:t xml:space="preserve">10  </w:t>
            </w:r>
            <w:r>
              <w:rPr>
                <w:rFonts w:hint="default"/>
                <w:b/>
                <w:bCs/>
                <w:color w:val="auto"/>
                <w:sz w:val="24"/>
                <w:szCs w:val="32"/>
                <w:highlight w:val="none"/>
              </w:rPr>
              <w:t xml:space="preserve"> 原有项目污染物</w:t>
            </w:r>
            <w:r>
              <w:rPr>
                <w:rFonts w:hint="eastAsia"/>
                <w:b/>
                <w:bCs/>
                <w:color w:val="auto"/>
                <w:sz w:val="24"/>
                <w:szCs w:val="32"/>
                <w:highlight w:val="none"/>
              </w:rPr>
              <w:t>汇总</w:t>
            </w:r>
            <w:r>
              <w:rPr>
                <w:rFonts w:hint="default"/>
                <w:b/>
                <w:bCs/>
                <w:color w:val="auto"/>
                <w:sz w:val="24"/>
                <w:szCs w:val="32"/>
                <w:highlight w:val="none"/>
              </w:rPr>
              <w:t>一览表</w:t>
            </w:r>
          </w:p>
          <w:tbl>
            <w:tblPr>
              <w:tblStyle w:val="3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104"/>
              <w:gridCol w:w="1200"/>
              <w:gridCol w:w="3048"/>
              <w:gridCol w:w="1413"/>
              <w:gridCol w:w="9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tcBorders>
                    <w:tl2br w:val="nil"/>
                    <w:tr2bl w:val="nil"/>
                  </w:tcBorders>
                  <w:noWrap w:val="0"/>
                  <w:vAlign w:val="center"/>
                </w:tcPr>
                <w:p>
                  <w:pPr>
                    <w:pStyle w:val="1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b/>
                      <w:bCs/>
                      <w:color w:val="auto"/>
                      <w:sz w:val="21"/>
                      <w:szCs w:val="21"/>
                      <w:highlight w:val="none"/>
                    </w:rPr>
                  </w:pPr>
                  <w:r>
                    <w:rPr>
                      <w:rFonts w:hint="default"/>
                      <w:b/>
                      <w:bCs/>
                      <w:color w:val="auto"/>
                      <w:sz w:val="21"/>
                      <w:szCs w:val="21"/>
                      <w:highlight w:val="none"/>
                    </w:rPr>
                    <w:t>污染物种类</w:t>
                  </w:r>
                </w:p>
              </w:tc>
              <w:tc>
                <w:tcPr>
                  <w:tcW w:w="2271" w:type="dxa"/>
                  <w:gridSpan w:val="2"/>
                  <w:tcBorders>
                    <w:tl2br w:val="nil"/>
                    <w:tr2bl w:val="nil"/>
                  </w:tcBorders>
                  <w:noWrap w:val="0"/>
                  <w:vAlign w:val="center"/>
                </w:tcPr>
                <w:p>
                  <w:pPr>
                    <w:pStyle w:val="1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b/>
                      <w:bCs/>
                      <w:color w:val="auto"/>
                      <w:sz w:val="21"/>
                      <w:szCs w:val="21"/>
                      <w:highlight w:val="none"/>
                    </w:rPr>
                  </w:pPr>
                  <w:r>
                    <w:rPr>
                      <w:rFonts w:hint="default"/>
                      <w:b/>
                      <w:bCs/>
                      <w:color w:val="auto"/>
                      <w:sz w:val="21"/>
                      <w:szCs w:val="21"/>
                      <w:highlight w:val="none"/>
                    </w:rPr>
                    <w:t>排放污染物项目</w:t>
                  </w:r>
                </w:p>
              </w:tc>
              <w:tc>
                <w:tcPr>
                  <w:tcW w:w="3005" w:type="dxa"/>
                  <w:tcBorders>
                    <w:tl2br w:val="nil"/>
                    <w:tr2bl w:val="nil"/>
                  </w:tcBorders>
                  <w:noWrap w:val="0"/>
                  <w:vAlign w:val="center"/>
                </w:tcPr>
                <w:p>
                  <w:pPr>
                    <w:pStyle w:val="1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b/>
                      <w:bCs/>
                      <w:color w:val="auto"/>
                      <w:sz w:val="21"/>
                      <w:szCs w:val="21"/>
                      <w:highlight w:val="none"/>
                    </w:rPr>
                  </w:pPr>
                  <w:r>
                    <w:rPr>
                      <w:rFonts w:hint="default"/>
                      <w:b/>
                      <w:bCs/>
                      <w:color w:val="auto"/>
                      <w:sz w:val="21"/>
                      <w:szCs w:val="21"/>
                      <w:highlight w:val="none"/>
                    </w:rPr>
                    <w:t>治理措施</w:t>
                  </w:r>
                </w:p>
              </w:tc>
              <w:tc>
                <w:tcPr>
                  <w:tcW w:w="1393" w:type="dxa"/>
                  <w:tcBorders>
                    <w:tl2br w:val="nil"/>
                    <w:tr2bl w:val="nil"/>
                  </w:tcBorders>
                  <w:noWrap w:val="0"/>
                  <w:vAlign w:val="center"/>
                </w:tcPr>
                <w:p>
                  <w:pPr>
                    <w:pStyle w:val="1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b/>
                      <w:bCs/>
                      <w:color w:val="auto"/>
                      <w:sz w:val="21"/>
                      <w:szCs w:val="21"/>
                      <w:highlight w:val="none"/>
                    </w:rPr>
                  </w:pPr>
                  <w:r>
                    <w:rPr>
                      <w:rFonts w:hint="default"/>
                      <w:b/>
                      <w:bCs/>
                      <w:color w:val="auto"/>
                      <w:sz w:val="21"/>
                      <w:szCs w:val="21"/>
                      <w:highlight w:val="none"/>
                    </w:rPr>
                    <w:t>排放方式</w:t>
                  </w:r>
                </w:p>
              </w:tc>
              <w:tc>
                <w:tcPr>
                  <w:tcW w:w="907" w:type="dxa"/>
                  <w:tcBorders>
                    <w:tl2br w:val="nil"/>
                    <w:tr2bl w:val="nil"/>
                  </w:tcBorders>
                  <w:noWrap w:val="0"/>
                  <w:vAlign w:val="center"/>
                </w:tcPr>
                <w:p>
                  <w:pPr>
                    <w:pStyle w:val="1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b/>
                      <w:bCs/>
                      <w:color w:val="auto"/>
                      <w:sz w:val="21"/>
                      <w:szCs w:val="21"/>
                      <w:highlight w:val="none"/>
                    </w:rPr>
                  </w:pPr>
                  <w:r>
                    <w:rPr>
                      <w:rFonts w:hint="default"/>
                      <w:b/>
                      <w:bCs/>
                      <w:color w:val="auto"/>
                      <w:sz w:val="21"/>
                      <w:szCs w:val="21"/>
                      <w:highlight w:val="none"/>
                    </w:rPr>
                    <w:t>排放量</w:t>
                  </w:r>
                  <w:r>
                    <w:rPr>
                      <w:rFonts w:hint="eastAsia"/>
                      <w:b/>
                      <w:bCs/>
                      <w:color w:val="auto"/>
                      <w:sz w:val="21"/>
                      <w:szCs w:val="21"/>
                      <w:highlight w:val="none"/>
                    </w:rPr>
                    <w:t>(</w:t>
                  </w:r>
                  <w:r>
                    <w:rPr>
                      <w:rFonts w:hint="default"/>
                      <w:b/>
                      <w:bCs/>
                      <w:color w:val="auto"/>
                      <w:sz w:val="21"/>
                      <w:szCs w:val="21"/>
                      <w:highlight w:val="none"/>
                    </w:rPr>
                    <w:t>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restart"/>
                  <w:tcBorders>
                    <w:tl2br w:val="nil"/>
                    <w:tr2bl w:val="nil"/>
                  </w:tcBorders>
                  <w:noWrap w:val="0"/>
                  <w:vAlign w:val="center"/>
                </w:tcPr>
                <w:p>
                  <w:pPr>
                    <w:pStyle w:val="1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bCs/>
                      <w:color w:val="auto"/>
                      <w:sz w:val="21"/>
                      <w:szCs w:val="21"/>
                      <w:highlight w:val="none"/>
                    </w:rPr>
                  </w:pPr>
                  <w:r>
                    <w:rPr>
                      <w:rFonts w:hint="default"/>
                      <w:bCs/>
                      <w:color w:val="auto"/>
                      <w:sz w:val="21"/>
                      <w:szCs w:val="21"/>
                      <w:highlight w:val="none"/>
                    </w:rPr>
                    <w:t>废气</w:t>
                  </w:r>
                </w:p>
              </w:tc>
              <w:tc>
                <w:tcPr>
                  <w:tcW w:w="1088" w:type="dxa"/>
                  <w:tcBorders>
                    <w:tl2br w:val="nil"/>
                    <w:tr2bl w:val="nil"/>
                  </w:tcBorders>
                  <w:noWrap w:val="0"/>
                  <w:vAlign w:val="center"/>
                </w:tcPr>
                <w:p>
                  <w:pPr>
                    <w:pStyle w:val="1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bCs/>
                      <w:color w:val="auto"/>
                      <w:sz w:val="21"/>
                      <w:szCs w:val="21"/>
                      <w:highlight w:val="none"/>
                      <w:lang w:val="en-US" w:eastAsia="zh-CN"/>
                    </w:rPr>
                  </w:pPr>
                  <w:r>
                    <w:rPr>
                      <w:rFonts w:hint="eastAsia"/>
                      <w:bCs/>
                      <w:color w:val="auto"/>
                      <w:sz w:val="21"/>
                      <w:szCs w:val="21"/>
                      <w:highlight w:val="none"/>
                      <w:lang w:val="en-US" w:eastAsia="zh-CN"/>
                    </w:rPr>
                    <w:t>切割粉尘</w:t>
                  </w:r>
                </w:p>
              </w:tc>
              <w:tc>
                <w:tcPr>
                  <w:tcW w:w="1183" w:type="dxa"/>
                  <w:tcBorders>
                    <w:tl2br w:val="nil"/>
                    <w:tr2bl w:val="nil"/>
                  </w:tcBorders>
                  <w:noWrap w:val="0"/>
                  <w:vAlign w:val="center"/>
                </w:tcPr>
                <w:p>
                  <w:pPr>
                    <w:pStyle w:val="1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bCs/>
                      <w:color w:val="auto"/>
                      <w:sz w:val="21"/>
                      <w:szCs w:val="21"/>
                      <w:highlight w:val="none"/>
                    </w:rPr>
                  </w:pPr>
                  <w:r>
                    <w:rPr>
                      <w:rFonts w:hint="eastAsia"/>
                      <w:bCs/>
                      <w:color w:val="auto"/>
                      <w:sz w:val="21"/>
                      <w:szCs w:val="21"/>
                      <w:highlight w:val="none"/>
                    </w:rPr>
                    <w:t>颗粒物</w:t>
                  </w:r>
                </w:p>
              </w:tc>
              <w:tc>
                <w:tcPr>
                  <w:tcW w:w="3005" w:type="dxa"/>
                  <w:tcBorders>
                    <w:tl2br w:val="nil"/>
                    <w:tr2bl w:val="nil"/>
                  </w:tcBorders>
                  <w:noWrap w:val="0"/>
                  <w:vAlign w:val="center"/>
                </w:tcPr>
                <w:p>
                  <w:pPr>
                    <w:pStyle w:val="1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bCs/>
                      <w:color w:val="auto"/>
                      <w:sz w:val="21"/>
                      <w:szCs w:val="21"/>
                      <w:highlight w:val="none"/>
                      <w:lang w:val="en-US" w:eastAsia="zh-CN"/>
                    </w:rPr>
                  </w:pPr>
                  <w:r>
                    <w:rPr>
                      <w:rFonts w:hint="eastAsia"/>
                      <w:color w:val="auto"/>
                      <w:sz w:val="21"/>
                      <w:szCs w:val="21"/>
                      <w:highlight w:val="none"/>
                      <w:lang w:val="en-US" w:eastAsia="zh-CN"/>
                    </w:rPr>
                    <w:t>集气罩+布袋除尘器+15m排气筒</w:t>
                  </w:r>
                </w:p>
              </w:tc>
              <w:tc>
                <w:tcPr>
                  <w:tcW w:w="1393" w:type="dxa"/>
                  <w:tcBorders>
                    <w:tl2br w:val="nil"/>
                    <w:tr2bl w:val="nil"/>
                  </w:tcBorders>
                  <w:noWrap w:val="0"/>
                  <w:vAlign w:val="center"/>
                </w:tcPr>
                <w:p>
                  <w:pPr>
                    <w:pStyle w:val="1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bCs/>
                      <w:color w:val="auto"/>
                      <w:sz w:val="21"/>
                      <w:szCs w:val="21"/>
                      <w:highlight w:val="none"/>
                    </w:rPr>
                  </w:pPr>
                  <w:r>
                    <w:rPr>
                      <w:rFonts w:hint="eastAsia"/>
                      <w:color w:val="auto"/>
                      <w:sz w:val="21"/>
                      <w:szCs w:val="21"/>
                      <w:highlight w:val="none"/>
                      <w:lang w:val="en-US" w:eastAsia="zh-CN"/>
                    </w:rPr>
                    <w:t>有</w:t>
                  </w:r>
                  <w:r>
                    <w:rPr>
                      <w:rFonts w:hint="eastAsia"/>
                      <w:bCs/>
                      <w:color w:val="auto"/>
                      <w:sz w:val="21"/>
                      <w:szCs w:val="21"/>
                      <w:highlight w:val="none"/>
                    </w:rPr>
                    <w:t>组织排放</w:t>
                  </w:r>
                </w:p>
              </w:tc>
              <w:tc>
                <w:tcPr>
                  <w:tcW w:w="907"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0.54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3" w:type="dxa"/>
                  <w:vMerge w:val="continue"/>
                  <w:tcBorders>
                    <w:tl2br w:val="nil"/>
                    <w:tr2bl w:val="nil"/>
                  </w:tcBorders>
                  <w:noWrap w:val="0"/>
                  <w:vAlign w:val="center"/>
                </w:tcPr>
                <w:p>
                  <w:pPr>
                    <w:pStyle w:val="1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bCs/>
                      <w:color w:val="auto"/>
                      <w:sz w:val="21"/>
                      <w:szCs w:val="21"/>
                      <w:highlight w:val="none"/>
                    </w:rPr>
                  </w:pPr>
                </w:p>
              </w:tc>
              <w:tc>
                <w:tcPr>
                  <w:tcW w:w="1088" w:type="dxa"/>
                  <w:tcBorders>
                    <w:tl2br w:val="nil"/>
                    <w:tr2bl w:val="nil"/>
                  </w:tcBorders>
                  <w:noWrap w:val="0"/>
                  <w:vAlign w:val="center"/>
                </w:tcPr>
                <w:p>
                  <w:pPr>
                    <w:pStyle w:val="1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有机废气</w:t>
                  </w:r>
                </w:p>
              </w:tc>
              <w:tc>
                <w:tcPr>
                  <w:tcW w:w="1183" w:type="dxa"/>
                  <w:tcBorders>
                    <w:tl2br w:val="nil"/>
                    <w:tr2bl w:val="nil"/>
                  </w:tcBorders>
                  <w:noWrap w:val="0"/>
                  <w:vAlign w:val="center"/>
                </w:tcPr>
                <w:p>
                  <w:pPr>
                    <w:pStyle w:val="1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bCs/>
                      <w:color w:val="auto"/>
                      <w:sz w:val="21"/>
                      <w:szCs w:val="21"/>
                      <w:highlight w:val="none"/>
                      <w:lang w:val="en-US" w:eastAsia="zh-CN"/>
                    </w:rPr>
                  </w:pPr>
                  <w:r>
                    <w:rPr>
                      <w:rFonts w:hint="eastAsia"/>
                      <w:bCs/>
                      <w:color w:val="auto"/>
                      <w:sz w:val="21"/>
                      <w:szCs w:val="21"/>
                      <w:highlight w:val="none"/>
                      <w:lang w:val="en-US" w:eastAsia="zh-CN"/>
                    </w:rPr>
                    <w:t>非甲烷总烃</w:t>
                  </w:r>
                </w:p>
              </w:tc>
              <w:tc>
                <w:tcPr>
                  <w:tcW w:w="3005"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sz w:val="21"/>
                      <w:szCs w:val="21"/>
                      <w:highlight w:val="none"/>
                    </w:rPr>
                  </w:pPr>
                  <w:r>
                    <w:rPr>
                      <w:rFonts w:hint="eastAsia"/>
                      <w:color w:val="auto"/>
                      <w:sz w:val="21"/>
                      <w:szCs w:val="21"/>
                      <w:highlight w:val="none"/>
                      <w:lang w:val="en-US" w:eastAsia="zh-CN"/>
                    </w:rPr>
                    <w:t>集气罩+活性炭吸附装置+15m排气筒</w:t>
                  </w:r>
                </w:p>
              </w:tc>
              <w:tc>
                <w:tcPr>
                  <w:tcW w:w="1393"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olor w:val="auto"/>
                      <w:sz w:val="21"/>
                      <w:szCs w:val="21"/>
                      <w:highlight w:val="none"/>
                    </w:rPr>
                  </w:pPr>
                  <w:r>
                    <w:rPr>
                      <w:rFonts w:hint="eastAsia"/>
                      <w:color w:val="auto"/>
                      <w:sz w:val="21"/>
                      <w:szCs w:val="21"/>
                      <w:highlight w:val="none"/>
                      <w:lang w:val="en-US" w:eastAsia="zh-CN"/>
                    </w:rPr>
                    <w:t>有</w:t>
                  </w:r>
                  <w:r>
                    <w:rPr>
                      <w:rFonts w:hint="eastAsia"/>
                      <w:color w:val="auto"/>
                      <w:sz w:val="21"/>
                      <w:szCs w:val="21"/>
                      <w:highlight w:val="none"/>
                    </w:rPr>
                    <w:t>组织排放</w:t>
                  </w:r>
                </w:p>
              </w:tc>
              <w:tc>
                <w:tcPr>
                  <w:tcW w:w="907"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0.048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3" w:type="dxa"/>
                  <w:vMerge w:val="continue"/>
                  <w:tcBorders>
                    <w:tl2br w:val="nil"/>
                    <w:tr2bl w:val="nil"/>
                  </w:tcBorders>
                  <w:noWrap w:val="0"/>
                  <w:vAlign w:val="center"/>
                </w:tcPr>
                <w:p>
                  <w:pPr>
                    <w:pStyle w:val="1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bCs/>
                      <w:color w:val="auto"/>
                      <w:sz w:val="21"/>
                      <w:szCs w:val="21"/>
                      <w:highlight w:val="none"/>
                    </w:rPr>
                  </w:pPr>
                </w:p>
              </w:tc>
              <w:tc>
                <w:tcPr>
                  <w:tcW w:w="1088" w:type="dxa"/>
                  <w:tcBorders>
                    <w:tl2br w:val="nil"/>
                    <w:tr2bl w:val="nil"/>
                  </w:tcBorders>
                  <w:noWrap w:val="0"/>
                  <w:vAlign w:val="center"/>
                </w:tcPr>
                <w:p>
                  <w:pPr>
                    <w:pStyle w:val="1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食堂油烟</w:t>
                  </w:r>
                </w:p>
              </w:tc>
              <w:tc>
                <w:tcPr>
                  <w:tcW w:w="1183"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油烟</w:t>
                  </w:r>
                </w:p>
              </w:tc>
              <w:tc>
                <w:tcPr>
                  <w:tcW w:w="3005"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依托陕西波士特机械有限公司已建食堂内油烟净化器</w:t>
                  </w:r>
                </w:p>
              </w:tc>
              <w:tc>
                <w:tcPr>
                  <w:tcW w:w="1393"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有</w:t>
                  </w:r>
                  <w:r>
                    <w:rPr>
                      <w:rFonts w:hint="eastAsia"/>
                      <w:color w:val="auto"/>
                      <w:sz w:val="21"/>
                      <w:szCs w:val="21"/>
                      <w:highlight w:val="none"/>
                    </w:rPr>
                    <w:t>组织排放</w:t>
                  </w:r>
                </w:p>
              </w:tc>
              <w:tc>
                <w:tcPr>
                  <w:tcW w:w="907"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bCs/>
                      <w:color w:val="auto"/>
                      <w:sz w:val="21"/>
                      <w:szCs w:val="21"/>
                      <w:highlight w:val="none"/>
                    </w:rPr>
                  </w:pPr>
                  <w:r>
                    <w:rPr>
                      <w:rFonts w:hint="default"/>
                      <w:bCs/>
                      <w:color w:val="auto"/>
                      <w:sz w:val="21"/>
                      <w:szCs w:val="21"/>
                      <w:highlight w:val="none"/>
                    </w:rPr>
                    <w:t>废水</w:t>
                  </w:r>
                </w:p>
              </w:tc>
              <w:tc>
                <w:tcPr>
                  <w:tcW w:w="1088" w:type="dxa"/>
                  <w:vMerge w:val="restart"/>
                  <w:tcBorders>
                    <w:tl2br w:val="nil"/>
                    <w:tr2bl w:val="nil"/>
                  </w:tcBorders>
                  <w:noWrap w:val="0"/>
                  <w:vAlign w:val="center"/>
                </w:tcPr>
                <w:p>
                  <w:pPr>
                    <w:pStyle w:val="1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sz w:val="21"/>
                      <w:szCs w:val="21"/>
                      <w:highlight w:val="none"/>
                    </w:rPr>
                  </w:pPr>
                  <w:r>
                    <w:rPr>
                      <w:rFonts w:hint="default"/>
                      <w:color w:val="auto"/>
                      <w:sz w:val="21"/>
                      <w:szCs w:val="21"/>
                      <w:highlight w:val="none"/>
                    </w:rPr>
                    <w:t>生活污水</w:t>
                  </w:r>
                </w:p>
              </w:tc>
              <w:tc>
                <w:tcPr>
                  <w:tcW w:w="1183" w:type="dxa"/>
                  <w:tcBorders>
                    <w:tl2br w:val="nil"/>
                    <w:tr2bl w:val="nil"/>
                  </w:tcBorders>
                  <w:noWrap w:val="0"/>
                  <w:vAlign w:val="center"/>
                </w:tcPr>
                <w:p>
                  <w:pPr>
                    <w:pStyle w:val="48"/>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color w:val="auto"/>
                      <w:sz w:val="21"/>
                      <w:szCs w:val="21"/>
                      <w:highlight w:val="none"/>
                    </w:rPr>
                  </w:pPr>
                  <w:r>
                    <w:rPr>
                      <w:rFonts w:hint="default" w:ascii="Times New Roman"/>
                      <w:snapToGrid w:val="0"/>
                      <w:color w:val="auto"/>
                      <w:kern w:val="21"/>
                      <w:sz w:val="21"/>
                      <w:szCs w:val="21"/>
                      <w:highlight w:val="none"/>
                    </w:rPr>
                    <w:t>COD</w:t>
                  </w:r>
                </w:p>
              </w:tc>
              <w:tc>
                <w:tcPr>
                  <w:tcW w:w="3005" w:type="dxa"/>
                  <w:vMerge w:val="restar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sz w:val="21"/>
                      <w:szCs w:val="21"/>
                      <w:highlight w:val="none"/>
                    </w:rPr>
                  </w:pPr>
                  <w:r>
                    <w:rPr>
                      <w:rFonts w:hint="default"/>
                      <w:color w:val="auto"/>
                      <w:sz w:val="21"/>
                      <w:szCs w:val="21"/>
                      <w:highlight w:val="none"/>
                    </w:rPr>
                    <w:t>化粪池</w:t>
                  </w:r>
                </w:p>
              </w:tc>
              <w:tc>
                <w:tcPr>
                  <w:tcW w:w="1393" w:type="dxa"/>
                  <w:vMerge w:val="restar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定期拉运肥田不外排</w:t>
                  </w:r>
                </w:p>
              </w:tc>
              <w:tc>
                <w:tcPr>
                  <w:tcW w:w="907"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sz w:val="21"/>
                      <w:szCs w:val="21"/>
                      <w:highlight w:val="none"/>
                    </w:rPr>
                  </w:pPr>
                </w:p>
              </w:tc>
              <w:tc>
                <w:tcPr>
                  <w:tcW w:w="1088"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sz w:val="21"/>
                      <w:szCs w:val="21"/>
                      <w:highlight w:val="none"/>
                    </w:rPr>
                  </w:pPr>
                </w:p>
              </w:tc>
              <w:tc>
                <w:tcPr>
                  <w:tcW w:w="1183" w:type="dxa"/>
                  <w:tcBorders>
                    <w:tl2br w:val="nil"/>
                    <w:tr2bl w:val="nil"/>
                  </w:tcBorders>
                  <w:noWrap w:val="0"/>
                  <w:vAlign w:val="center"/>
                </w:tcPr>
                <w:p>
                  <w:pPr>
                    <w:pStyle w:val="48"/>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color w:val="auto"/>
                      <w:sz w:val="21"/>
                      <w:szCs w:val="21"/>
                      <w:highlight w:val="none"/>
                    </w:rPr>
                  </w:pPr>
                  <w:r>
                    <w:rPr>
                      <w:rFonts w:hint="default" w:ascii="Times New Roman"/>
                      <w:snapToGrid w:val="0"/>
                      <w:color w:val="auto"/>
                      <w:kern w:val="21"/>
                      <w:sz w:val="21"/>
                      <w:szCs w:val="21"/>
                      <w:highlight w:val="none"/>
                    </w:rPr>
                    <w:t>BOD</w:t>
                  </w:r>
                  <w:r>
                    <w:rPr>
                      <w:rFonts w:hint="default" w:ascii="Times New Roman"/>
                      <w:snapToGrid w:val="0"/>
                      <w:color w:val="auto"/>
                      <w:kern w:val="21"/>
                      <w:sz w:val="21"/>
                      <w:szCs w:val="21"/>
                      <w:highlight w:val="none"/>
                      <w:vertAlign w:val="subscript"/>
                    </w:rPr>
                    <w:t>5</w:t>
                  </w:r>
                </w:p>
              </w:tc>
              <w:tc>
                <w:tcPr>
                  <w:tcW w:w="3005"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sz w:val="21"/>
                      <w:szCs w:val="21"/>
                      <w:highlight w:val="none"/>
                    </w:rPr>
                  </w:pPr>
                </w:p>
              </w:tc>
              <w:tc>
                <w:tcPr>
                  <w:tcW w:w="1393"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olor w:val="auto"/>
                      <w:sz w:val="21"/>
                      <w:szCs w:val="21"/>
                      <w:highlight w:val="none"/>
                      <w:lang w:val="en-US" w:eastAsia="zh-CN"/>
                    </w:rPr>
                  </w:pPr>
                </w:p>
              </w:tc>
              <w:tc>
                <w:tcPr>
                  <w:tcW w:w="907"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bCs/>
                      <w:color w:val="auto"/>
                      <w:sz w:val="21"/>
                      <w:szCs w:val="21"/>
                      <w:highlight w:val="none"/>
                    </w:rPr>
                  </w:pPr>
                </w:p>
              </w:tc>
              <w:tc>
                <w:tcPr>
                  <w:tcW w:w="1088"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bCs/>
                      <w:color w:val="auto"/>
                      <w:sz w:val="21"/>
                      <w:szCs w:val="21"/>
                      <w:highlight w:val="none"/>
                    </w:rPr>
                  </w:pPr>
                </w:p>
              </w:tc>
              <w:tc>
                <w:tcPr>
                  <w:tcW w:w="1183" w:type="dxa"/>
                  <w:tcBorders>
                    <w:tl2br w:val="nil"/>
                    <w:tr2bl w:val="nil"/>
                  </w:tcBorders>
                  <w:noWrap w:val="0"/>
                  <w:vAlign w:val="center"/>
                </w:tcPr>
                <w:p>
                  <w:pPr>
                    <w:pStyle w:val="48"/>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bCs/>
                      <w:color w:val="auto"/>
                      <w:sz w:val="21"/>
                      <w:szCs w:val="21"/>
                      <w:highlight w:val="none"/>
                    </w:rPr>
                  </w:pPr>
                  <w:r>
                    <w:rPr>
                      <w:rFonts w:hint="default" w:ascii="Times New Roman"/>
                      <w:snapToGrid w:val="0"/>
                      <w:color w:val="auto"/>
                      <w:kern w:val="21"/>
                      <w:sz w:val="21"/>
                      <w:szCs w:val="21"/>
                      <w:highlight w:val="none"/>
                    </w:rPr>
                    <w:t>SS</w:t>
                  </w:r>
                </w:p>
              </w:tc>
              <w:tc>
                <w:tcPr>
                  <w:tcW w:w="3005"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bCs/>
                      <w:color w:val="auto"/>
                      <w:sz w:val="21"/>
                      <w:szCs w:val="21"/>
                      <w:highlight w:val="none"/>
                    </w:rPr>
                  </w:pPr>
                </w:p>
              </w:tc>
              <w:tc>
                <w:tcPr>
                  <w:tcW w:w="1393"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olor w:val="auto"/>
                      <w:sz w:val="21"/>
                      <w:szCs w:val="21"/>
                      <w:highlight w:val="none"/>
                      <w:lang w:val="en-US" w:eastAsia="zh-CN"/>
                    </w:rPr>
                  </w:pPr>
                </w:p>
              </w:tc>
              <w:tc>
                <w:tcPr>
                  <w:tcW w:w="907"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bCs/>
                      <w:color w:val="auto"/>
                      <w:sz w:val="21"/>
                      <w:szCs w:val="21"/>
                      <w:highlight w:val="none"/>
                    </w:rPr>
                  </w:pPr>
                </w:p>
              </w:tc>
              <w:tc>
                <w:tcPr>
                  <w:tcW w:w="1088"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bCs/>
                      <w:color w:val="auto"/>
                      <w:sz w:val="21"/>
                      <w:szCs w:val="21"/>
                      <w:highlight w:val="none"/>
                    </w:rPr>
                  </w:pPr>
                </w:p>
              </w:tc>
              <w:tc>
                <w:tcPr>
                  <w:tcW w:w="1183" w:type="dxa"/>
                  <w:tcBorders>
                    <w:tl2br w:val="nil"/>
                    <w:tr2bl w:val="nil"/>
                  </w:tcBorders>
                  <w:noWrap w:val="0"/>
                  <w:vAlign w:val="center"/>
                </w:tcPr>
                <w:p>
                  <w:pPr>
                    <w:pStyle w:val="48"/>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bCs/>
                      <w:color w:val="auto"/>
                      <w:sz w:val="21"/>
                      <w:szCs w:val="21"/>
                      <w:highlight w:val="none"/>
                    </w:rPr>
                  </w:pPr>
                  <w:r>
                    <w:rPr>
                      <w:rFonts w:hint="default" w:ascii="Times New Roman"/>
                      <w:snapToGrid w:val="0"/>
                      <w:color w:val="auto"/>
                      <w:kern w:val="21"/>
                      <w:sz w:val="21"/>
                      <w:szCs w:val="21"/>
                      <w:highlight w:val="none"/>
                    </w:rPr>
                    <w:t>氨氮</w:t>
                  </w:r>
                </w:p>
              </w:tc>
              <w:tc>
                <w:tcPr>
                  <w:tcW w:w="3005"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bCs/>
                      <w:color w:val="auto"/>
                      <w:sz w:val="21"/>
                      <w:szCs w:val="21"/>
                      <w:highlight w:val="none"/>
                    </w:rPr>
                  </w:pPr>
                </w:p>
              </w:tc>
              <w:tc>
                <w:tcPr>
                  <w:tcW w:w="1393"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bCs/>
                      <w:color w:val="auto"/>
                      <w:sz w:val="21"/>
                      <w:szCs w:val="21"/>
                      <w:highlight w:val="none"/>
                    </w:rPr>
                  </w:pPr>
                </w:p>
              </w:tc>
              <w:tc>
                <w:tcPr>
                  <w:tcW w:w="907"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bCs/>
                      <w:color w:val="auto"/>
                      <w:sz w:val="21"/>
                      <w:szCs w:val="21"/>
                      <w:highlight w:val="none"/>
                      <w:lang w:eastAsia="zh-CN"/>
                    </w:rPr>
                  </w:pPr>
                  <w:r>
                    <w:rPr>
                      <w:rFonts w:hint="eastAsia"/>
                      <w:bCs/>
                      <w:color w:val="auto"/>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tcBorders>
                    <w:tl2br w:val="nil"/>
                    <w:tr2bl w:val="nil"/>
                  </w:tcBorders>
                  <w:noWrap w:val="0"/>
                  <w:vAlign w:val="center"/>
                </w:tcPr>
                <w:p>
                  <w:pPr>
                    <w:pStyle w:val="1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bCs/>
                      <w:color w:val="auto"/>
                      <w:sz w:val="21"/>
                      <w:szCs w:val="21"/>
                      <w:highlight w:val="none"/>
                    </w:rPr>
                  </w:pPr>
                  <w:r>
                    <w:rPr>
                      <w:rFonts w:hint="default"/>
                      <w:bCs/>
                      <w:color w:val="auto"/>
                      <w:sz w:val="21"/>
                      <w:szCs w:val="21"/>
                      <w:highlight w:val="none"/>
                    </w:rPr>
                    <w:t>噪声</w:t>
                  </w:r>
                </w:p>
              </w:tc>
              <w:tc>
                <w:tcPr>
                  <w:tcW w:w="2271" w:type="dxa"/>
                  <w:gridSpan w:val="2"/>
                  <w:tcBorders>
                    <w:tl2br w:val="nil"/>
                    <w:tr2bl w:val="nil"/>
                  </w:tcBorders>
                  <w:noWrap w:val="0"/>
                  <w:vAlign w:val="center"/>
                </w:tcPr>
                <w:p>
                  <w:pPr>
                    <w:pStyle w:val="1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bCs/>
                      <w:color w:val="auto"/>
                      <w:sz w:val="21"/>
                      <w:szCs w:val="21"/>
                      <w:highlight w:val="none"/>
                    </w:rPr>
                  </w:pPr>
                  <w:r>
                    <w:rPr>
                      <w:rFonts w:hint="default"/>
                      <w:bCs/>
                      <w:color w:val="auto"/>
                      <w:sz w:val="21"/>
                      <w:szCs w:val="21"/>
                      <w:highlight w:val="none"/>
                    </w:rPr>
                    <w:t>等效连续A声级</w:t>
                  </w:r>
                </w:p>
              </w:tc>
              <w:tc>
                <w:tcPr>
                  <w:tcW w:w="3005" w:type="dxa"/>
                  <w:tcBorders>
                    <w:tl2br w:val="nil"/>
                    <w:tr2bl w:val="nil"/>
                  </w:tcBorders>
                  <w:noWrap w:val="0"/>
                  <w:vAlign w:val="center"/>
                </w:tcPr>
                <w:p>
                  <w:pPr>
                    <w:pStyle w:val="1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bCs/>
                      <w:color w:val="auto"/>
                      <w:sz w:val="21"/>
                      <w:szCs w:val="21"/>
                      <w:highlight w:val="none"/>
                    </w:rPr>
                  </w:pPr>
                  <w:r>
                    <w:rPr>
                      <w:rFonts w:hint="default"/>
                      <w:bCs/>
                      <w:color w:val="auto"/>
                      <w:sz w:val="21"/>
                      <w:szCs w:val="21"/>
                      <w:highlight w:val="none"/>
                    </w:rPr>
                    <w:t>厂房隔声、</w:t>
                  </w:r>
                  <w:r>
                    <w:rPr>
                      <w:rFonts w:hint="eastAsia"/>
                      <w:bCs/>
                      <w:color w:val="auto"/>
                      <w:sz w:val="21"/>
                      <w:szCs w:val="21"/>
                      <w:highlight w:val="none"/>
                    </w:rPr>
                    <w:t>合理布局</w:t>
                  </w:r>
                </w:p>
              </w:tc>
              <w:tc>
                <w:tcPr>
                  <w:tcW w:w="1393" w:type="dxa"/>
                  <w:tcBorders>
                    <w:tl2br w:val="nil"/>
                    <w:tr2bl w:val="nil"/>
                  </w:tcBorders>
                  <w:noWrap w:val="0"/>
                  <w:vAlign w:val="center"/>
                </w:tcPr>
                <w:p>
                  <w:pPr>
                    <w:pStyle w:val="1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bCs/>
                      <w:color w:val="auto"/>
                      <w:sz w:val="21"/>
                      <w:szCs w:val="21"/>
                      <w:highlight w:val="none"/>
                    </w:rPr>
                  </w:pPr>
                  <w:r>
                    <w:rPr>
                      <w:rFonts w:hint="default"/>
                      <w:bCs/>
                      <w:color w:val="auto"/>
                      <w:sz w:val="21"/>
                      <w:szCs w:val="21"/>
                      <w:highlight w:val="none"/>
                    </w:rPr>
                    <w:t>/</w:t>
                  </w:r>
                </w:p>
              </w:tc>
              <w:tc>
                <w:tcPr>
                  <w:tcW w:w="907" w:type="dxa"/>
                  <w:tcBorders>
                    <w:tl2br w:val="nil"/>
                    <w:tr2bl w:val="nil"/>
                  </w:tcBorders>
                  <w:noWrap w:val="0"/>
                  <w:vAlign w:val="center"/>
                </w:tcPr>
                <w:p>
                  <w:pPr>
                    <w:pStyle w:val="1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bCs/>
                      <w:color w:val="auto"/>
                      <w:sz w:val="21"/>
                      <w:szCs w:val="21"/>
                      <w:highlight w:val="none"/>
                    </w:rPr>
                  </w:pPr>
                  <w:r>
                    <w:rPr>
                      <w:rFonts w:hint="default"/>
                      <w:bCs/>
                      <w:color w:val="auto"/>
                      <w:sz w:val="2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restart"/>
                  <w:tcBorders>
                    <w:tl2br w:val="nil"/>
                    <w:tr2bl w:val="nil"/>
                  </w:tcBorders>
                  <w:noWrap w:val="0"/>
                  <w:vAlign w:val="center"/>
                </w:tcPr>
                <w:p>
                  <w:pPr>
                    <w:pStyle w:val="1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bCs/>
                      <w:color w:val="auto"/>
                      <w:sz w:val="21"/>
                      <w:szCs w:val="21"/>
                      <w:highlight w:val="none"/>
                    </w:rPr>
                  </w:pPr>
                  <w:r>
                    <w:rPr>
                      <w:rFonts w:hint="default"/>
                      <w:bCs/>
                      <w:color w:val="auto"/>
                      <w:sz w:val="21"/>
                      <w:szCs w:val="21"/>
                      <w:highlight w:val="none"/>
                    </w:rPr>
                    <w:t>固废</w:t>
                  </w:r>
                </w:p>
              </w:tc>
              <w:tc>
                <w:tcPr>
                  <w:tcW w:w="2271" w:type="dxa"/>
                  <w:gridSpan w:val="2"/>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sz w:val="21"/>
                      <w:szCs w:val="21"/>
                      <w:highlight w:val="none"/>
                    </w:rPr>
                  </w:pPr>
                  <w:r>
                    <w:rPr>
                      <w:rFonts w:hint="default"/>
                      <w:color w:val="auto"/>
                      <w:sz w:val="21"/>
                      <w:szCs w:val="21"/>
                      <w:highlight w:val="none"/>
                    </w:rPr>
                    <w:t>生活垃圾</w:t>
                  </w:r>
                </w:p>
              </w:tc>
              <w:tc>
                <w:tcPr>
                  <w:tcW w:w="3005"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color w:val="auto"/>
                      <w:sz w:val="21"/>
                      <w:szCs w:val="21"/>
                      <w:highlight w:val="none"/>
                      <w:lang w:val="en-US" w:eastAsia="zh-CN"/>
                    </w:rPr>
                  </w:pPr>
                  <w:r>
                    <w:rPr>
                      <w:rFonts w:hint="eastAsia" w:ascii="Times New Roman" w:hAnsi="Times New Roman"/>
                      <w:color w:val="auto"/>
                      <w:sz w:val="21"/>
                      <w:szCs w:val="21"/>
                      <w:highlight w:val="none"/>
                    </w:rPr>
                    <w:t>收集后由环卫部门统一清运</w:t>
                  </w:r>
                </w:p>
              </w:tc>
              <w:tc>
                <w:tcPr>
                  <w:tcW w:w="1393" w:type="dxa"/>
                  <w:tcBorders>
                    <w:tl2br w:val="nil"/>
                    <w:tr2bl w:val="nil"/>
                  </w:tcBorders>
                  <w:noWrap w:val="0"/>
                  <w:vAlign w:val="center"/>
                </w:tcPr>
                <w:p>
                  <w:pPr>
                    <w:pStyle w:val="1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bCs/>
                      <w:color w:val="auto"/>
                      <w:sz w:val="21"/>
                      <w:szCs w:val="21"/>
                      <w:highlight w:val="none"/>
                    </w:rPr>
                  </w:pPr>
                  <w:r>
                    <w:rPr>
                      <w:rFonts w:hint="default"/>
                      <w:bCs/>
                      <w:color w:val="auto"/>
                      <w:sz w:val="21"/>
                      <w:szCs w:val="21"/>
                      <w:highlight w:val="none"/>
                    </w:rPr>
                    <w:t>/</w:t>
                  </w:r>
                </w:p>
              </w:tc>
              <w:tc>
                <w:tcPr>
                  <w:tcW w:w="907"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3.2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tcBorders>
                    <w:tl2br w:val="nil"/>
                    <w:tr2bl w:val="nil"/>
                  </w:tcBorders>
                  <w:noWrap w:val="0"/>
                  <w:vAlign w:val="center"/>
                </w:tcPr>
                <w:p>
                  <w:pPr>
                    <w:pStyle w:val="1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bCs/>
                      <w:color w:val="auto"/>
                      <w:sz w:val="21"/>
                      <w:szCs w:val="21"/>
                      <w:highlight w:val="none"/>
                    </w:rPr>
                  </w:pPr>
                </w:p>
              </w:tc>
              <w:tc>
                <w:tcPr>
                  <w:tcW w:w="2271" w:type="dxa"/>
                  <w:gridSpan w:val="2"/>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废油脂</w:t>
                  </w:r>
                </w:p>
              </w:tc>
              <w:tc>
                <w:tcPr>
                  <w:tcW w:w="3005"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olor w:val="auto"/>
                      <w:sz w:val="21"/>
                      <w:szCs w:val="21"/>
                      <w:highlight w:val="none"/>
                      <w:lang w:val="en-US" w:eastAsia="zh-CN"/>
                    </w:rPr>
                  </w:pPr>
                  <w:r>
                    <w:rPr>
                      <w:rFonts w:hint="eastAsia"/>
                      <w:color w:val="auto"/>
                      <w:sz w:val="21"/>
                      <w:szCs w:val="21"/>
                      <w:highlight w:val="none"/>
                      <w:lang w:val="en-US" w:eastAsia="zh-CN"/>
                    </w:rPr>
                    <w:t>依托陕西波士特机械有限公司</w:t>
                  </w:r>
                  <w:r>
                    <w:rPr>
                      <w:rFonts w:hint="eastAsia" w:ascii="Times New Roman" w:hAnsi="Times New Roman"/>
                      <w:color w:val="auto"/>
                      <w:sz w:val="21"/>
                      <w:szCs w:val="21"/>
                      <w:highlight w:val="none"/>
                    </w:rPr>
                    <w:t>收集后</w:t>
                  </w:r>
                  <w:r>
                    <w:rPr>
                      <w:rFonts w:hint="eastAsia"/>
                      <w:color w:val="auto"/>
                      <w:sz w:val="21"/>
                      <w:szCs w:val="21"/>
                      <w:highlight w:val="none"/>
                      <w:lang w:val="en-US" w:eastAsia="zh-CN"/>
                    </w:rPr>
                    <w:t>交有资质的单位处置</w:t>
                  </w:r>
                </w:p>
              </w:tc>
              <w:tc>
                <w:tcPr>
                  <w:tcW w:w="1393" w:type="dxa"/>
                  <w:tcBorders>
                    <w:tl2br w:val="nil"/>
                    <w:tr2bl w:val="nil"/>
                  </w:tcBorders>
                  <w:noWrap w:val="0"/>
                  <w:vAlign w:val="center"/>
                </w:tcPr>
                <w:p>
                  <w:pPr>
                    <w:pStyle w:val="1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bCs/>
                      <w:color w:val="auto"/>
                      <w:sz w:val="21"/>
                      <w:szCs w:val="21"/>
                      <w:highlight w:val="none"/>
                    </w:rPr>
                  </w:pPr>
                  <w:r>
                    <w:rPr>
                      <w:rFonts w:hint="default"/>
                      <w:bCs/>
                      <w:color w:val="auto"/>
                      <w:sz w:val="21"/>
                      <w:szCs w:val="21"/>
                      <w:highlight w:val="none"/>
                    </w:rPr>
                    <w:t>/</w:t>
                  </w:r>
                </w:p>
              </w:tc>
              <w:tc>
                <w:tcPr>
                  <w:tcW w:w="907"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63" w:type="dxa"/>
                  <w:vMerge w:val="continue"/>
                  <w:tcBorders>
                    <w:tl2br w:val="nil"/>
                    <w:tr2bl w:val="nil"/>
                  </w:tcBorders>
                  <w:noWrap w:val="0"/>
                  <w:vAlign w:val="center"/>
                </w:tcPr>
                <w:p>
                  <w:pPr>
                    <w:pStyle w:val="1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bCs/>
                      <w:color w:val="auto"/>
                      <w:sz w:val="21"/>
                      <w:szCs w:val="21"/>
                      <w:highlight w:val="none"/>
                    </w:rPr>
                  </w:pPr>
                </w:p>
              </w:tc>
              <w:tc>
                <w:tcPr>
                  <w:tcW w:w="2271" w:type="dxa"/>
                  <w:gridSpan w:val="2"/>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color w:val="auto"/>
                      <w:sz w:val="21"/>
                      <w:szCs w:val="21"/>
                      <w:highlight w:val="none"/>
                      <w:lang w:val="en-US" w:eastAsia="zh-CN"/>
                    </w:rPr>
                  </w:pPr>
                  <w:r>
                    <w:rPr>
                      <w:rFonts w:hint="eastAsia"/>
                      <w:color w:val="auto"/>
                      <w:sz w:val="21"/>
                      <w:szCs w:val="21"/>
                      <w:highlight w:val="none"/>
                    </w:rPr>
                    <w:t>不合格品</w:t>
                  </w:r>
                  <w:r>
                    <w:rPr>
                      <w:rFonts w:hint="eastAsia"/>
                      <w:color w:val="auto"/>
                      <w:sz w:val="21"/>
                      <w:szCs w:val="21"/>
                      <w:highlight w:val="none"/>
                      <w:lang w:val="en-US" w:eastAsia="zh-CN"/>
                    </w:rPr>
                    <w:t>及边角料（废料）</w:t>
                  </w:r>
                </w:p>
              </w:tc>
              <w:tc>
                <w:tcPr>
                  <w:tcW w:w="3005"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sz w:val="21"/>
                      <w:szCs w:val="21"/>
                      <w:highlight w:val="none"/>
                    </w:rPr>
                  </w:pPr>
                  <w:r>
                    <w:rPr>
                      <w:rFonts w:hint="eastAsia"/>
                      <w:color w:val="auto"/>
                      <w:sz w:val="21"/>
                      <w:szCs w:val="21"/>
                      <w:highlight w:val="none"/>
                    </w:rPr>
                    <w:t>集中收集后外售</w:t>
                  </w:r>
                </w:p>
              </w:tc>
              <w:tc>
                <w:tcPr>
                  <w:tcW w:w="1393" w:type="dxa"/>
                  <w:tcBorders>
                    <w:tl2br w:val="nil"/>
                    <w:tr2bl w:val="nil"/>
                  </w:tcBorders>
                  <w:noWrap w:val="0"/>
                  <w:vAlign w:val="center"/>
                </w:tcPr>
                <w:p>
                  <w:pPr>
                    <w:pStyle w:val="1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bCs/>
                      <w:color w:val="auto"/>
                      <w:sz w:val="21"/>
                      <w:szCs w:val="21"/>
                      <w:highlight w:val="none"/>
                    </w:rPr>
                  </w:pPr>
                  <w:r>
                    <w:rPr>
                      <w:rFonts w:hint="default"/>
                      <w:bCs/>
                      <w:color w:val="auto"/>
                      <w:sz w:val="21"/>
                      <w:szCs w:val="21"/>
                      <w:highlight w:val="none"/>
                    </w:rPr>
                    <w:t>/</w:t>
                  </w:r>
                </w:p>
              </w:tc>
              <w:tc>
                <w:tcPr>
                  <w:tcW w:w="907"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bCs/>
                      <w:color w:val="auto"/>
                      <w:sz w:val="21"/>
                      <w:szCs w:val="21"/>
                      <w:highlight w:val="none"/>
                    </w:rPr>
                  </w:pPr>
                </w:p>
              </w:tc>
              <w:tc>
                <w:tcPr>
                  <w:tcW w:w="2271" w:type="dxa"/>
                  <w:gridSpan w:val="2"/>
                  <w:tcBorders>
                    <w:tl2br w:val="nil"/>
                    <w:tr2bl w:val="nil"/>
                  </w:tcBorders>
                  <w:noWrap w:val="0"/>
                  <w:vAlign w:val="center"/>
                </w:tcPr>
                <w:p>
                  <w:pPr>
                    <w:pStyle w:val="32"/>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contextualSpacing/>
                    <w:jc w:val="center"/>
                    <w:textAlignment w:val="auto"/>
                    <w:rPr>
                      <w:rFonts w:hint="default" w:ascii="Times New Roman" w:hAnsi="Times New Roman"/>
                      <w:color w:val="auto"/>
                      <w:kern w:val="0"/>
                      <w:sz w:val="21"/>
                      <w:szCs w:val="21"/>
                      <w:highlight w:val="none"/>
                      <w:lang w:val="en-US" w:eastAsia="zh-CN" w:bidi="ar-SA"/>
                    </w:rPr>
                  </w:pPr>
                  <w:r>
                    <w:rPr>
                      <w:rFonts w:hint="eastAsia" w:ascii="Times New Roman" w:hAnsi="Times New Roman"/>
                      <w:color w:val="auto"/>
                      <w:sz w:val="21"/>
                      <w:szCs w:val="21"/>
                      <w:highlight w:val="none"/>
                    </w:rPr>
                    <w:t>废</w:t>
                  </w:r>
                  <w:r>
                    <w:rPr>
                      <w:rFonts w:hint="eastAsia" w:ascii="Times New Roman" w:hAnsi="Times New Roman"/>
                      <w:color w:val="auto"/>
                      <w:sz w:val="21"/>
                      <w:szCs w:val="21"/>
                      <w:highlight w:val="none"/>
                      <w:lang w:val="en-US" w:eastAsia="zh-CN"/>
                    </w:rPr>
                    <w:t>润滑</w:t>
                  </w:r>
                  <w:r>
                    <w:rPr>
                      <w:rFonts w:hint="eastAsia" w:ascii="Times New Roman" w:hAnsi="Times New Roman"/>
                      <w:color w:val="auto"/>
                      <w:sz w:val="21"/>
                      <w:szCs w:val="21"/>
                      <w:highlight w:val="none"/>
                    </w:rPr>
                    <w:t>油</w:t>
                  </w:r>
                </w:p>
              </w:tc>
              <w:tc>
                <w:tcPr>
                  <w:tcW w:w="3005" w:type="dxa"/>
                  <w:vMerge w:val="restar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sz w:val="21"/>
                      <w:szCs w:val="21"/>
                      <w:highlight w:val="none"/>
                    </w:rPr>
                  </w:pPr>
                  <w:r>
                    <w:rPr>
                      <w:rFonts w:hint="eastAsia" w:ascii="Times New Roman" w:hAnsi="Times New Roman"/>
                      <w:color w:val="auto"/>
                      <w:sz w:val="21"/>
                      <w:szCs w:val="21"/>
                      <w:highlight w:val="none"/>
                    </w:rPr>
                    <w:t>在厂内危废暂存间暂存，定期交陕西明瑞资源再生有限公司进行处置</w:t>
                  </w:r>
                </w:p>
              </w:tc>
              <w:tc>
                <w:tcPr>
                  <w:tcW w:w="1393" w:type="dxa"/>
                  <w:tcBorders>
                    <w:tl2br w:val="nil"/>
                    <w:tr2bl w:val="nil"/>
                  </w:tcBorders>
                  <w:noWrap w:val="0"/>
                  <w:vAlign w:val="center"/>
                </w:tcPr>
                <w:p>
                  <w:pPr>
                    <w:pStyle w:val="1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bCs/>
                      <w:color w:val="auto"/>
                      <w:kern w:val="2"/>
                      <w:sz w:val="21"/>
                      <w:szCs w:val="21"/>
                      <w:highlight w:val="none"/>
                      <w:lang w:val="en-US" w:eastAsia="zh-CN" w:bidi="ar-SA"/>
                    </w:rPr>
                  </w:pPr>
                  <w:r>
                    <w:rPr>
                      <w:rFonts w:hint="default"/>
                      <w:bCs/>
                      <w:color w:val="auto"/>
                      <w:sz w:val="21"/>
                      <w:szCs w:val="21"/>
                      <w:highlight w:val="none"/>
                    </w:rPr>
                    <w:t>/</w:t>
                  </w:r>
                </w:p>
              </w:tc>
              <w:tc>
                <w:tcPr>
                  <w:tcW w:w="907"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olor w:val="auto"/>
                      <w:kern w:val="2"/>
                      <w:sz w:val="21"/>
                      <w:szCs w:val="21"/>
                      <w:highlight w:val="none"/>
                      <w:lang w:val="en-US" w:eastAsia="zh-CN" w:bidi="ar-SA"/>
                    </w:rPr>
                  </w:pPr>
                  <w:r>
                    <w:rPr>
                      <w:rFonts w:hint="eastAsia"/>
                      <w:color w:val="auto"/>
                      <w:sz w:val="21"/>
                      <w:szCs w:val="21"/>
                      <w:highlight w:val="none"/>
                      <w:lang w:val="en-US" w:eastAsia="zh-CN"/>
                    </w:rPr>
                    <w:t>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bCs/>
                      <w:color w:val="auto"/>
                      <w:sz w:val="21"/>
                      <w:szCs w:val="21"/>
                      <w:highlight w:val="none"/>
                    </w:rPr>
                  </w:pPr>
                </w:p>
              </w:tc>
              <w:tc>
                <w:tcPr>
                  <w:tcW w:w="2271" w:type="dxa"/>
                  <w:gridSpan w:val="2"/>
                  <w:tcBorders>
                    <w:tl2br w:val="nil"/>
                    <w:tr2bl w:val="nil"/>
                  </w:tcBorders>
                  <w:noWrap w:val="0"/>
                  <w:vAlign w:val="center"/>
                </w:tcPr>
                <w:p>
                  <w:pPr>
                    <w:pStyle w:val="32"/>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contextualSpacing/>
                    <w:jc w:val="center"/>
                    <w:textAlignment w:val="auto"/>
                    <w:rPr>
                      <w:rFonts w:hint="eastAsia" w:ascii="Times New Roman" w:hAnsi="Times New Roman" w:eastAsia="宋体"/>
                      <w:color w:val="auto"/>
                      <w:kern w:val="0"/>
                      <w:sz w:val="21"/>
                      <w:szCs w:val="21"/>
                      <w:highlight w:val="none"/>
                      <w:lang w:val="en-US" w:eastAsia="zh-CN" w:bidi="ar-SA"/>
                    </w:rPr>
                  </w:pPr>
                  <w:r>
                    <w:rPr>
                      <w:rFonts w:hint="eastAsia" w:ascii="Times New Roman" w:hAnsi="Times New Roman"/>
                      <w:color w:val="auto"/>
                      <w:sz w:val="21"/>
                      <w:szCs w:val="21"/>
                      <w:highlight w:val="none"/>
                    </w:rPr>
                    <w:t>含油</w:t>
                  </w:r>
                  <w:r>
                    <w:rPr>
                      <w:rFonts w:hint="eastAsia" w:ascii="Times New Roman" w:hAnsi="Times New Roman"/>
                      <w:color w:val="auto"/>
                      <w:sz w:val="21"/>
                      <w:szCs w:val="21"/>
                      <w:highlight w:val="none"/>
                      <w:lang w:val="en-US" w:eastAsia="zh-CN"/>
                    </w:rPr>
                    <w:t>废棉纱</w:t>
                  </w:r>
                </w:p>
              </w:tc>
              <w:tc>
                <w:tcPr>
                  <w:tcW w:w="3005" w:type="dxa"/>
                  <w:vMerge w:val="continue"/>
                  <w:tcBorders>
                    <w:tl2br w:val="nil"/>
                    <w:tr2bl w:val="nil"/>
                  </w:tcBorders>
                  <w:noWrap w:val="0"/>
                  <w:vAlign w:val="top"/>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sz w:val="21"/>
                      <w:szCs w:val="21"/>
                      <w:highlight w:val="none"/>
                    </w:rPr>
                  </w:pPr>
                </w:p>
              </w:tc>
              <w:tc>
                <w:tcPr>
                  <w:tcW w:w="1393" w:type="dxa"/>
                  <w:tcBorders>
                    <w:tl2br w:val="nil"/>
                    <w:tr2bl w:val="nil"/>
                  </w:tcBorders>
                  <w:noWrap w:val="0"/>
                  <w:vAlign w:val="center"/>
                </w:tcPr>
                <w:p>
                  <w:pPr>
                    <w:pStyle w:val="1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kern w:val="2"/>
                      <w:sz w:val="21"/>
                      <w:szCs w:val="21"/>
                      <w:highlight w:val="none"/>
                      <w:lang w:val="en-US" w:eastAsia="zh-CN" w:bidi="ar-SA"/>
                    </w:rPr>
                  </w:pPr>
                  <w:r>
                    <w:rPr>
                      <w:rFonts w:hint="default"/>
                      <w:bCs/>
                      <w:color w:val="auto"/>
                      <w:sz w:val="21"/>
                      <w:szCs w:val="21"/>
                      <w:highlight w:val="none"/>
                    </w:rPr>
                    <w:t>/</w:t>
                  </w:r>
                </w:p>
              </w:tc>
              <w:tc>
                <w:tcPr>
                  <w:tcW w:w="907"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eastAsia" w:ascii="Times New Roman" w:hAnsi="Times New Roman" w:eastAsia="宋体"/>
                      <w:color w:val="auto"/>
                      <w:kern w:val="2"/>
                      <w:sz w:val="21"/>
                      <w:szCs w:val="21"/>
                      <w:highlight w:val="none"/>
                      <w:lang w:val="en-US" w:eastAsia="zh-CN" w:bidi="ar-SA"/>
                    </w:rPr>
                  </w:pPr>
                  <w:r>
                    <w:rPr>
                      <w:rFonts w:hint="eastAsia" w:ascii="Times New Roman" w:hAnsi="Times New Roman"/>
                      <w:color w:val="auto"/>
                      <w:sz w:val="21"/>
                      <w:szCs w:val="21"/>
                      <w:highlight w:val="none"/>
                    </w:rPr>
                    <w:t>0</w:t>
                  </w:r>
                  <w:r>
                    <w:rPr>
                      <w:rFonts w:hint="default" w:ascii="Times New Roman" w:hAnsi="Times New Roman"/>
                      <w:color w:val="auto"/>
                      <w:sz w:val="21"/>
                      <w:szCs w:val="21"/>
                      <w:highlight w:val="none"/>
                    </w:rPr>
                    <w:t>.0</w:t>
                  </w:r>
                  <w:r>
                    <w:rPr>
                      <w:rFonts w:hint="eastAsia"/>
                      <w:color w:val="auto"/>
                      <w:sz w:val="21"/>
                      <w:szCs w:val="21"/>
                      <w:highlight w:val="none"/>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bCs/>
                      <w:color w:val="auto"/>
                      <w:sz w:val="21"/>
                      <w:szCs w:val="21"/>
                      <w:highlight w:val="none"/>
                    </w:rPr>
                  </w:pPr>
                </w:p>
              </w:tc>
              <w:tc>
                <w:tcPr>
                  <w:tcW w:w="2271" w:type="dxa"/>
                  <w:gridSpan w:val="2"/>
                  <w:tcBorders>
                    <w:tl2br w:val="nil"/>
                    <w:tr2bl w:val="nil"/>
                  </w:tcBorders>
                  <w:noWrap w:val="0"/>
                  <w:vAlign w:val="center"/>
                </w:tcPr>
                <w:p>
                  <w:pPr>
                    <w:pStyle w:val="32"/>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contextualSpacing/>
                    <w:jc w:val="center"/>
                    <w:textAlignment w:val="auto"/>
                    <w:rPr>
                      <w:rFonts w:hint="default" w:ascii="Times New Roman" w:hAnsi="Times New Roman"/>
                      <w:color w:val="auto"/>
                      <w:kern w:val="0"/>
                      <w:sz w:val="21"/>
                      <w:szCs w:val="21"/>
                      <w:highlight w:val="none"/>
                      <w:lang w:val="en-US" w:eastAsia="zh-CN" w:bidi="ar-SA"/>
                    </w:rPr>
                  </w:pPr>
                  <w:r>
                    <w:rPr>
                      <w:rFonts w:hint="default" w:ascii="Times New Roman" w:hAnsi="Times New Roman"/>
                      <w:color w:val="auto"/>
                      <w:sz w:val="21"/>
                      <w:szCs w:val="21"/>
                      <w:highlight w:val="none"/>
                    </w:rPr>
                    <w:t>废活性炭</w:t>
                  </w:r>
                </w:p>
              </w:tc>
              <w:tc>
                <w:tcPr>
                  <w:tcW w:w="3005" w:type="dxa"/>
                  <w:vMerge w:val="continue"/>
                  <w:tcBorders>
                    <w:tl2br w:val="nil"/>
                    <w:tr2bl w:val="nil"/>
                  </w:tcBorders>
                  <w:noWrap w:val="0"/>
                  <w:vAlign w:val="top"/>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sz w:val="21"/>
                      <w:szCs w:val="21"/>
                      <w:highlight w:val="none"/>
                    </w:rPr>
                  </w:pPr>
                </w:p>
              </w:tc>
              <w:tc>
                <w:tcPr>
                  <w:tcW w:w="1393" w:type="dxa"/>
                  <w:tcBorders>
                    <w:tl2br w:val="nil"/>
                    <w:tr2bl w:val="nil"/>
                  </w:tcBorders>
                  <w:noWrap w:val="0"/>
                  <w:vAlign w:val="top"/>
                </w:tcPr>
                <w:p>
                  <w:pPr>
                    <w:pStyle w:val="1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sz w:val="21"/>
                      <w:szCs w:val="21"/>
                      <w:highlight w:val="none"/>
                    </w:rPr>
                  </w:pPr>
                  <w:r>
                    <w:rPr>
                      <w:rFonts w:hint="default"/>
                      <w:bCs/>
                      <w:color w:val="auto"/>
                      <w:sz w:val="21"/>
                      <w:szCs w:val="21"/>
                      <w:highlight w:val="none"/>
                    </w:rPr>
                    <w:t>/</w:t>
                  </w:r>
                </w:p>
              </w:tc>
              <w:tc>
                <w:tcPr>
                  <w:tcW w:w="907"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olor w:val="auto"/>
                      <w:kern w:val="2"/>
                      <w:sz w:val="21"/>
                      <w:szCs w:val="21"/>
                      <w:highlight w:val="none"/>
                      <w:lang w:val="en-US" w:eastAsia="zh-CN" w:bidi="ar-SA"/>
                    </w:rPr>
                  </w:pPr>
                  <w:r>
                    <w:rPr>
                      <w:rFonts w:hint="default" w:ascii="Times New Roman" w:hAnsi="Times New Roman"/>
                      <w:color w:val="auto"/>
                      <w:sz w:val="21"/>
                      <w:szCs w:val="21"/>
                      <w:highlight w:val="none"/>
                    </w:rPr>
                    <w:t>5.</w:t>
                  </w:r>
                  <w:r>
                    <w:rPr>
                      <w:rFonts w:hint="eastAsia"/>
                      <w:color w:val="auto"/>
                      <w:sz w:val="21"/>
                      <w:szCs w:val="21"/>
                      <w:highlight w:val="none"/>
                      <w:lang w:val="en-US" w:eastAsia="zh-CN"/>
                    </w:rPr>
                    <w:t>75</w:t>
                  </w:r>
                </w:p>
              </w:tc>
            </w:tr>
          </w:tbl>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left"/>
              <w:textAlignment w:val="auto"/>
              <w:rPr>
                <w:rFonts w:hint="default"/>
                <w:color w:val="auto"/>
                <w:highlight w:val="none"/>
                <w:lang w:val="en-US"/>
              </w:rPr>
            </w:pPr>
            <w:r>
              <w:rPr>
                <w:rFonts w:hint="eastAsia" w:ascii="宋体" w:hAnsi="宋体" w:eastAsia="宋体" w:cs="宋体"/>
                <w:b/>
                <w:bCs/>
                <w:color w:val="auto"/>
                <w:kern w:val="0"/>
                <w:sz w:val="24"/>
                <w:szCs w:val="24"/>
                <w:highlight w:val="none"/>
                <w:lang w:val="en-US" w:eastAsia="zh-CN" w:bidi="ar"/>
              </w:rPr>
              <w:t>四、企业原有环境问题及“以新带老”措施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color w:val="auto"/>
                <w:sz w:val="24"/>
                <w:highlight w:val="none"/>
                <w:lang w:val="en-US" w:eastAsia="zh-CN"/>
              </w:rPr>
            </w:pPr>
            <w:r>
              <w:rPr>
                <w:rFonts w:hint="eastAsia" w:ascii="Times New Roman" w:hAnsi="Times New Roman" w:eastAsia="宋体" w:cs="Times New Roman"/>
                <w:b/>
                <w:bCs/>
                <w:color w:val="auto"/>
                <w:sz w:val="24"/>
                <w:highlight w:val="none"/>
                <w:lang w:val="en-US" w:eastAsia="zh-CN"/>
              </w:rPr>
              <w:t>1、迁建前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项目迁建后，原有厂房交还房东，原有设备</w:t>
            </w:r>
            <w:r>
              <w:rPr>
                <w:rFonts w:hint="eastAsia" w:cs="Times New Roman"/>
                <w:color w:val="auto"/>
                <w:sz w:val="24"/>
                <w:highlight w:val="none"/>
                <w:lang w:val="en-US" w:eastAsia="zh-CN"/>
              </w:rPr>
              <w:t>全部淘汰变卖</w:t>
            </w:r>
            <w:r>
              <w:rPr>
                <w:rFonts w:hint="eastAsia" w:ascii="Times New Roman" w:hAnsi="Times New Roman" w:eastAsia="宋体" w:cs="Times New Roman"/>
                <w:color w:val="auto"/>
                <w:sz w:val="24"/>
                <w:highlight w:val="none"/>
                <w:lang w:val="en-US" w:eastAsia="zh-CN"/>
              </w:rPr>
              <w:t>，项目迁建过程</w:t>
            </w:r>
            <w:r>
              <w:rPr>
                <w:rFonts w:hint="eastAsia" w:cs="Times New Roman"/>
                <w:color w:val="auto"/>
                <w:sz w:val="24"/>
                <w:highlight w:val="none"/>
                <w:lang w:val="en-US" w:eastAsia="zh-CN"/>
              </w:rPr>
              <w:t>中</w:t>
            </w:r>
            <w:r>
              <w:rPr>
                <w:rFonts w:hint="eastAsia" w:ascii="Times New Roman" w:hAnsi="Times New Roman" w:eastAsia="宋体" w:cs="Times New Roman"/>
                <w:color w:val="auto"/>
                <w:sz w:val="24"/>
                <w:highlight w:val="none"/>
                <w:lang w:val="en-US" w:eastAsia="zh-CN"/>
              </w:rPr>
              <w:t>严格执行《企业拆除活动污染防治技术规定（试行）》（环保部公告</w:t>
            </w:r>
            <w:r>
              <w:rPr>
                <w:rFonts w:hint="default" w:ascii="Times New Roman" w:hAnsi="Times New Roman" w:eastAsia="宋体" w:cs="Times New Roman"/>
                <w:color w:val="auto"/>
                <w:sz w:val="24"/>
                <w:highlight w:val="none"/>
                <w:lang w:val="en-US" w:eastAsia="zh-CN"/>
              </w:rPr>
              <w:t>2017</w:t>
            </w:r>
            <w:r>
              <w:rPr>
                <w:rFonts w:hint="eastAsia" w:ascii="Times New Roman" w:hAnsi="Times New Roman" w:eastAsia="宋体" w:cs="Times New Roman"/>
                <w:color w:val="auto"/>
                <w:sz w:val="24"/>
                <w:highlight w:val="none"/>
                <w:lang w:val="en-US" w:eastAsia="zh-CN"/>
              </w:rPr>
              <w:t>年 第</w:t>
            </w:r>
            <w:r>
              <w:rPr>
                <w:rFonts w:hint="default" w:ascii="Times New Roman" w:hAnsi="Times New Roman" w:eastAsia="宋体" w:cs="Times New Roman"/>
                <w:color w:val="auto"/>
                <w:sz w:val="24"/>
                <w:highlight w:val="none"/>
                <w:lang w:val="en-US" w:eastAsia="zh-CN"/>
              </w:rPr>
              <w:t>78</w:t>
            </w:r>
            <w:r>
              <w:rPr>
                <w:rFonts w:hint="eastAsia" w:ascii="Times New Roman" w:hAnsi="Times New Roman" w:eastAsia="宋体" w:cs="Times New Roman"/>
                <w:color w:val="auto"/>
                <w:sz w:val="24"/>
                <w:highlight w:val="none"/>
                <w:lang w:val="en-US" w:eastAsia="zh-CN"/>
              </w:rPr>
              <w:t>号）及《关于加强工业企业关停、迁建及原址场地再开发利用过程中污染防治工作的通知》（环发</w:t>
            </w:r>
            <w:r>
              <w:rPr>
                <w:rFonts w:hint="default" w:ascii="Times New Roman" w:hAnsi="Times New Roman" w:eastAsia="宋体" w:cs="Times New Roman"/>
                <w:color w:val="auto"/>
                <w:sz w:val="24"/>
                <w:highlight w:val="none"/>
                <w:lang w:val="en-US" w:eastAsia="zh-CN"/>
              </w:rPr>
              <w:t xml:space="preserve">[2014]66 </w:t>
            </w:r>
            <w:r>
              <w:rPr>
                <w:rFonts w:hint="eastAsia" w:ascii="Times New Roman" w:hAnsi="Times New Roman" w:eastAsia="宋体" w:cs="Times New Roman"/>
                <w:color w:val="auto"/>
                <w:sz w:val="24"/>
                <w:highlight w:val="none"/>
                <w:lang w:val="en-US" w:eastAsia="zh-CN"/>
              </w:rPr>
              <w:t>号）等相关要求，贯彻落实拆除活动中各项污染防治工作，规范各类设施拆除过程，安全处置遗留固体废物，及时清运原厂区残留垃圾。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highlight w:val="none"/>
                <w:lang w:val="en-US" w:eastAsia="zh-CN"/>
              </w:rPr>
            </w:pPr>
            <w:r>
              <w:rPr>
                <w:rFonts w:hint="eastAsia"/>
                <w:color w:val="auto"/>
                <w:sz w:val="24"/>
                <w:highlight w:val="none"/>
                <w:lang w:val="en-US" w:eastAsia="zh-CN"/>
              </w:rPr>
              <w:t>原有</w:t>
            </w:r>
            <w:r>
              <w:rPr>
                <w:rFonts w:hint="eastAsia" w:ascii="Times New Roman" w:hAnsi="Times New Roman" w:eastAsia="宋体" w:cs="Times New Roman"/>
                <w:color w:val="auto"/>
                <w:sz w:val="24"/>
                <w:highlight w:val="none"/>
                <w:lang w:val="en-US" w:eastAsia="zh-CN"/>
              </w:rPr>
              <w:t>项目环境管理较好，废气、噪声达标排放，固废有效处置不外排，无环境污染事故和风险事故，与周边居民及企业无环保纠纷。无环境污染问题。</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480" w:leftChars="200" w:right="0"/>
              <w:textAlignment w:val="auto"/>
              <w:rPr>
                <w:rFonts w:hint="eastAsia" w:ascii="Times New Roman" w:hAnsi="Times New Roman" w:eastAsia="宋体" w:cs="Times New Roman"/>
                <w:b/>
                <w:bCs/>
                <w:color w:val="auto"/>
                <w:sz w:val="24"/>
                <w:highlight w:val="none"/>
                <w:lang w:val="en-US" w:eastAsia="zh-CN"/>
              </w:rPr>
            </w:pPr>
            <w:r>
              <w:rPr>
                <w:rFonts w:hint="eastAsia" w:ascii="Times New Roman" w:hAnsi="Times New Roman" w:eastAsia="宋体" w:cs="Times New Roman"/>
                <w:b/>
                <w:bCs/>
                <w:color w:val="auto"/>
                <w:sz w:val="24"/>
                <w:highlight w:val="none"/>
                <w:lang w:val="en-US" w:eastAsia="zh-CN"/>
              </w:rPr>
              <w:t>2、迁建后</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本项目迁建至</w:t>
            </w:r>
            <w:r>
              <w:rPr>
                <w:rFonts w:hint="default" w:ascii="Times New Roman" w:hAnsi="Times New Roman" w:eastAsia="宋体" w:cs="Times New Roman"/>
                <w:color w:val="auto"/>
                <w:sz w:val="24"/>
                <w:szCs w:val="24"/>
                <w:highlight w:val="none"/>
                <w:lang w:eastAsia="zh-CN"/>
              </w:rPr>
              <w:t>泾河新城</w:t>
            </w:r>
            <w:r>
              <w:rPr>
                <w:rFonts w:hint="eastAsia"/>
                <w:color w:val="auto"/>
                <w:highlight w:val="none"/>
                <w:lang w:eastAsia="zh-CN"/>
              </w:rPr>
              <w:t>工业密集区永乐工业园尚家一街北</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highlight w:val="none"/>
                <w:lang w:val="en-US" w:eastAsia="zh-CN"/>
              </w:rPr>
              <w:t>根据现场踏勘及建设单位提供相关信息，本项目租赁</w:t>
            </w:r>
            <w:r>
              <w:rPr>
                <w:rFonts w:hint="default" w:ascii="Times New Roman" w:hAnsi="Times New Roman" w:cs="Times New Roman"/>
                <w:color w:val="auto"/>
                <w:sz w:val="24"/>
                <w:highlight w:val="none"/>
              </w:rPr>
              <w:t>陕西</w:t>
            </w:r>
            <w:r>
              <w:rPr>
                <w:rFonts w:hint="eastAsia" w:cs="Times New Roman"/>
                <w:color w:val="auto"/>
                <w:sz w:val="24"/>
                <w:highlight w:val="none"/>
                <w:lang w:val="en-US" w:eastAsia="zh-CN"/>
              </w:rPr>
              <w:t>泓泽智业科技</w:t>
            </w:r>
            <w:r>
              <w:rPr>
                <w:rFonts w:hint="default" w:ascii="Times New Roman" w:hAnsi="Times New Roman" w:cs="Times New Roman"/>
                <w:color w:val="auto"/>
                <w:sz w:val="24"/>
                <w:highlight w:val="none"/>
              </w:rPr>
              <w:t>有限公司</w:t>
            </w:r>
            <w:r>
              <w:rPr>
                <w:rFonts w:hint="eastAsia" w:ascii="Times New Roman" w:hAnsi="Times New Roman" w:eastAsia="宋体" w:cs="Times New Roman"/>
                <w:color w:val="auto"/>
                <w:sz w:val="24"/>
                <w:highlight w:val="none"/>
                <w:lang w:val="en-US" w:eastAsia="zh-CN"/>
              </w:rPr>
              <w:t>厂房原为空置厂房，无污染，未进行生产，无废物产生。租赁厂房四周建筑物</w:t>
            </w:r>
            <w:r>
              <w:rPr>
                <w:rFonts w:hint="eastAsia" w:cs="Times New Roman"/>
                <w:color w:val="auto"/>
                <w:sz w:val="24"/>
                <w:highlight w:val="none"/>
                <w:lang w:val="en-US" w:eastAsia="zh-CN"/>
              </w:rPr>
              <w:t>基本</w:t>
            </w:r>
            <w:r>
              <w:rPr>
                <w:rFonts w:hint="eastAsia" w:ascii="Times New Roman" w:hAnsi="Times New Roman" w:eastAsia="宋体" w:cs="Times New Roman"/>
                <w:color w:val="auto"/>
                <w:sz w:val="24"/>
                <w:highlight w:val="none"/>
                <w:lang w:val="en-US" w:eastAsia="zh-CN"/>
              </w:rPr>
              <w:t>建设完成，故无遗留环境问题。</w:t>
            </w:r>
          </w:p>
          <w:p>
            <w:pPr>
              <w:pStyle w:val="50"/>
              <w:keepNext w:val="0"/>
              <w:keepLines w:val="0"/>
              <w:suppressLineNumbers w:val="0"/>
              <w:spacing w:before="0" w:beforeAutospacing="0" w:after="0" w:afterAutospacing="0"/>
              <w:ind w:left="0" w:right="0" w:firstLine="480"/>
              <w:rPr>
                <w:rFonts w:hint="default"/>
                <w:color w:val="auto"/>
                <w:highlight w:val="none"/>
              </w:rPr>
            </w:pPr>
          </w:p>
        </w:tc>
      </w:tr>
    </w:tbl>
    <w:p>
      <w:pPr>
        <w:pStyle w:val="32"/>
        <w:adjustRightInd w:val="0"/>
        <w:snapToGrid w:val="0"/>
        <w:spacing w:before="0" w:beforeAutospacing="0" w:after="0" w:afterAutospacing="0"/>
        <w:ind w:firstLine="420"/>
        <w:jc w:val="center"/>
        <w:rPr>
          <w:rFonts w:ascii="Times New Roman" w:hAnsi="Times New Roman"/>
          <w:bCs/>
          <w:color w:val="auto"/>
          <w:kern w:val="2"/>
          <w:sz w:val="21"/>
          <w:szCs w:val="21"/>
          <w:highlight w:val="none"/>
        </w:rPr>
        <w:sectPr>
          <w:pgSz w:w="11906" w:h="16838"/>
          <w:pgMar w:top="1701" w:right="1474" w:bottom="2098" w:left="1531" w:header="851" w:footer="1134" w:gutter="0"/>
          <w:pgBorders>
            <w:top w:val="none" w:sz="0" w:space="0"/>
            <w:left w:val="none" w:sz="0" w:space="0"/>
            <w:bottom w:val="none" w:sz="0" w:space="0"/>
            <w:right w:val="none" w:sz="0" w:space="0"/>
          </w:pgBorders>
          <w:pgNumType w:fmt="numberInDash"/>
          <w:cols w:space="720" w:num="1"/>
          <w:docGrid w:linePitch="312" w:charSpace="0"/>
        </w:sectPr>
      </w:pPr>
    </w:p>
    <w:p>
      <w:pPr>
        <w:pStyle w:val="32"/>
        <w:ind w:firstLine="600"/>
        <w:jc w:val="center"/>
        <w:outlineLvl w:val="0"/>
        <w:rPr>
          <w:rFonts w:ascii="Times New Roman" w:hAnsi="Times New Roman" w:eastAsia="黑体"/>
          <w:snapToGrid w:val="0"/>
          <w:color w:val="auto"/>
          <w:sz w:val="30"/>
          <w:szCs w:val="30"/>
          <w:highlight w:val="none"/>
        </w:rPr>
      </w:pPr>
      <w:r>
        <w:rPr>
          <w:rFonts w:ascii="Times New Roman" w:hAnsi="Times New Roman" w:eastAsia="黑体"/>
          <w:snapToGrid w:val="0"/>
          <w:color w:val="auto"/>
          <w:sz w:val="30"/>
          <w:szCs w:val="30"/>
          <w:highlight w:val="none"/>
        </w:rPr>
        <w:t>三、区域环境质量现状、环境保护目标及评价标准</w:t>
      </w:r>
    </w:p>
    <w:tbl>
      <w:tblPr>
        <w:tblStyle w:val="3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8"/>
        <w:gridCol w:w="82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jc w:val="center"/>
        </w:trPr>
        <w:tc>
          <w:tcPr>
            <w:tcW w:w="446" w:type="pct"/>
            <w:vAlign w:val="center"/>
          </w:tcPr>
          <w:p>
            <w:pPr>
              <w:pStyle w:val="80"/>
              <w:keepNext w:val="0"/>
              <w:keepLines w:val="0"/>
              <w:widowControl/>
              <w:suppressLineNumbers w:val="0"/>
              <w:spacing w:before="0" w:beforeAutospacing="0" w:after="0" w:afterAutospacing="0"/>
              <w:ind w:left="0" w:right="0"/>
              <w:rPr>
                <w:rFonts w:hint="default"/>
                <w:color w:val="auto"/>
                <w:sz w:val="24"/>
                <w:szCs w:val="20"/>
                <w:highlight w:val="none"/>
              </w:rPr>
            </w:pPr>
            <w:r>
              <w:rPr>
                <w:rFonts w:hint="default"/>
                <w:color w:val="auto"/>
                <w:sz w:val="24"/>
                <w:szCs w:val="20"/>
                <w:highlight w:val="none"/>
              </w:rPr>
              <w:t>区域</w:t>
            </w:r>
          </w:p>
          <w:p>
            <w:pPr>
              <w:pStyle w:val="80"/>
              <w:keepNext w:val="0"/>
              <w:keepLines w:val="0"/>
              <w:widowControl/>
              <w:suppressLineNumbers w:val="0"/>
              <w:spacing w:before="0" w:beforeAutospacing="0" w:after="0" w:afterAutospacing="0"/>
              <w:ind w:left="0" w:right="0"/>
              <w:rPr>
                <w:rFonts w:hint="default"/>
                <w:color w:val="auto"/>
                <w:sz w:val="24"/>
                <w:szCs w:val="20"/>
                <w:highlight w:val="none"/>
              </w:rPr>
            </w:pPr>
            <w:r>
              <w:rPr>
                <w:rFonts w:hint="default"/>
                <w:color w:val="auto"/>
                <w:sz w:val="24"/>
                <w:szCs w:val="20"/>
                <w:highlight w:val="none"/>
              </w:rPr>
              <w:t>环境</w:t>
            </w:r>
          </w:p>
          <w:p>
            <w:pPr>
              <w:pStyle w:val="80"/>
              <w:keepNext w:val="0"/>
              <w:keepLines w:val="0"/>
              <w:widowControl/>
              <w:suppressLineNumbers w:val="0"/>
              <w:spacing w:before="0" w:beforeAutospacing="0" w:after="0" w:afterAutospacing="0"/>
              <w:ind w:left="0" w:right="0"/>
              <w:rPr>
                <w:rFonts w:hint="default"/>
                <w:color w:val="auto"/>
                <w:sz w:val="24"/>
                <w:szCs w:val="20"/>
                <w:highlight w:val="none"/>
              </w:rPr>
            </w:pPr>
            <w:r>
              <w:rPr>
                <w:rFonts w:hint="default"/>
                <w:color w:val="auto"/>
                <w:sz w:val="24"/>
                <w:szCs w:val="20"/>
                <w:highlight w:val="none"/>
              </w:rPr>
              <w:t>质量</w:t>
            </w:r>
          </w:p>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 w:val="24"/>
                <w:szCs w:val="20"/>
                <w:highlight w:val="none"/>
              </w:rPr>
              <w:t>现状</w:t>
            </w:r>
          </w:p>
        </w:tc>
        <w:tc>
          <w:tcPr>
            <w:tcW w:w="4553" w:type="pct"/>
            <w:vAlign w:val="center"/>
          </w:tcPr>
          <w:p>
            <w:pPr>
              <w:keepNext w:val="0"/>
              <w:keepLines w:val="0"/>
              <w:numPr>
                <w:ilvl w:val="0"/>
                <w:numId w:val="4"/>
              </w:numPr>
              <w:suppressLineNumbers w:val="0"/>
              <w:tabs>
                <w:tab w:val="left" w:pos="8607"/>
              </w:tabs>
              <w:adjustRightInd w:val="0"/>
              <w:snapToGrid w:val="0"/>
              <w:spacing w:before="0" w:beforeAutospacing="0" w:after="0" w:afterAutospacing="0"/>
              <w:ind w:left="0" w:right="0" w:firstLine="482"/>
              <w:rPr>
                <w:rFonts w:hint="default"/>
                <w:b/>
                <w:color w:val="auto"/>
                <w:highlight w:val="none"/>
              </w:rPr>
            </w:pPr>
            <w:r>
              <w:rPr>
                <w:rFonts w:hint="eastAsia"/>
                <w:b/>
                <w:color w:val="auto"/>
                <w:highlight w:val="none"/>
              </w:rPr>
              <w:t>区域环境质量达标情况</w:t>
            </w:r>
          </w:p>
          <w:p>
            <w:pPr>
              <w:keepNext w:val="0"/>
              <w:keepLines w:val="0"/>
              <w:suppressLineNumbers w:val="0"/>
              <w:spacing w:before="0" w:beforeAutospacing="0" w:after="0" w:afterAutospacing="0"/>
              <w:ind w:left="0" w:right="0" w:firstLine="480"/>
              <w:rPr>
                <w:rFonts w:hint="default"/>
                <w:color w:val="auto"/>
                <w:highlight w:val="none"/>
              </w:rPr>
            </w:pPr>
            <w:r>
              <w:rPr>
                <w:rFonts w:hint="default"/>
                <w:color w:val="auto"/>
                <w:highlight w:val="none"/>
              </w:rPr>
              <w:t>本项目位于</w:t>
            </w:r>
            <w:r>
              <w:rPr>
                <w:rFonts w:hint="eastAsia"/>
                <w:color w:val="auto"/>
                <w:highlight w:val="none"/>
              </w:rPr>
              <w:t>陕西省西咸新区</w:t>
            </w:r>
            <w:r>
              <w:rPr>
                <w:rFonts w:hint="eastAsia"/>
                <w:color w:val="auto"/>
                <w:highlight w:val="none"/>
                <w:lang w:eastAsia="zh-CN"/>
              </w:rPr>
              <w:t>泾河新城工业密集区永乐工业园尚家一街北</w:t>
            </w:r>
            <w:r>
              <w:rPr>
                <w:rFonts w:hint="default"/>
                <w:color w:val="auto"/>
                <w:highlight w:val="none"/>
              </w:rPr>
              <w:t>；根据大气功能区划，本项目所在地为二类功能区，环境空气质量标准执行《环境空气质量标准》（GB3095</w:t>
            </w:r>
            <w:r>
              <w:rPr>
                <w:rFonts w:hint="eastAsia"/>
                <w:color w:val="auto"/>
                <w:highlight w:val="none"/>
              </w:rPr>
              <w:t>-</w:t>
            </w:r>
            <w:r>
              <w:rPr>
                <w:rFonts w:hint="default"/>
                <w:color w:val="auto"/>
                <w:highlight w:val="none"/>
              </w:rPr>
              <w:softHyphen/>
            </w:r>
            <w:r>
              <w:rPr>
                <w:rFonts w:hint="default"/>
                <w:color w:val="auto"/>
                <w:highlight w:val="none"/>
              </w:rPr>
              <w:t>2012）二级标准要求。根</w:t>
            </w:r>
            <w:r>
              <w:rPr>
                <w:rFonts w:hint="default"/>
                <w:color w:val="auto"/>
                <w:szCs w:val="22"/>
                <w:highlight w:val="none"/>
              </w:rPr>
              <w:t>据</w:t>
            </w:r>
            <w:r>
              <w:rPr>
                <w:rFonts w:hint="eastAsia"/>
                <w:color w:val="auto"/>
                <w:szCs w:val="22"/>
                <w:highlight w:val="none"/>
              </w:rPr>
              <w:t>“</w:t>
            </w:r>
            <w:r>
              <w:rPr>
                <w:rFonts w:hint="default"/>
                <w:color w:val="auto"/>
                <w:szCs w:val="22"/>
                <w:highlight w:val="none"/>
              </w:rPr>
              <w:t>环保快报（20</w:t>
            </w:r>
            <w:r>
              <w:rPr>
                <w:rFonts w:hint="eastAsia"/>
                <w:color w:val="auto"/>
                <w:szCs w:val="22"/>
                <w:highlight w:val="none"/>
              </w:rPr>
              <w:t>2</w:t>
            </w:r>
            <w:r>
              <w:rPr>
                <w:rFonts w:hint="eastAsia"/>
                <w:color w:val="auto"/>
                <w:szCs w:val="22"/>
                <w:highlight w:val="none"/>
                <w:lang w:val="en-US" w:eastAsia="zh-CN"/>
              </w:rPr>
              <w:t>3</w:t>
            </w:r>
            <w:r>
              <w:rPr>
                <w:rFonts w:hint="default"/>
                <w:color w:val="auto"/>
                <w:szCs w:val="22"/>
                <w:highlight w:val="none"/>
              </w:rPr>
              <w:t>年1~12月</w:t>
            </w:r>
            <w:r>
              <w:rPr>
                <w:rFonts w:hint="eastAsia"/>
                <w:color w:val="auto"/>
                <w:szCs w:val="22"/>
                <w:highlight w:val="none"/>
                <w:lang w:val="en-US" w:eastAsia="zh-CN"/>
              </w:rPr>
              <w:t>关中地区64个县（区）</w:t>
            </w:r>
            <w:r>
              <w:rPr>
                <w:rFonts w:hint="default"/>
                <w:color w:val="auto"/>
                <w:szCs w:val="22"/>
                <w:highlight w:val="none"/>
              </w:rPr>
              <w:t>空气质量状况</w:t>
            </w:r>
            <w:r>
              <w:rPr>
                <w:rFonts w:hint="eastAsia"/>
                <w:color w:val="auto"/>
                <w:szCs w:val="22"/>
                <w:highlight w:val="none"/>
                <w:lang w:val="en-US" w:eastAsia="zh-CN"/>
              </w:rPr>
              <w:t>统计表</w:t>
            </w:r>
            <w:r>
              <w:rPr>
                <w:rFonts w:hint="default"/>
                <w:color w:val="auto"/>
                <w:szCs w:val="22"/>
                <w:highlight w:val="none"/>
              </w:rPr>
              <w:t>）</w:t>
            </w:r>
            <w:r>
              <w:rPr>
                <w:rFonts w:hint="eastAsia"/>
                <w:color w:val="auto"/>
                <w:szCs w:val="22"/>
                <w:highlight w:val="none"/>
              </w:rPr>
              <w:t>”</w:t>
            </w:r>
            <w:r>
              <w:rPr>
                <w:rFonts w:hint="default"/>
                <w:color w:val="auto"/>
                <w:szCs w:val="22"/>
                <w:highlight w:val="none"/>
              </w:rPr>
              <w:t>，</w:t>
            </w:r>
            <w:r>
              <w:rPr>
                <w:rFonts w:hint="eastAsia"/>
                <w:color w:val="auto"/>
                <w:szCs w:val="22"/>
                <w:highlight w:val="none"/>
              </w:rPr>
              <w:t>西咸新区</w:t>
            </w:r>
            <w:r>
              <w:rPr>
                <w:rFonts w:hint="default"/>
                <w:color w:val="auto"/>
                <w:szCs w:val="22"/>
                <w:highlight w:val="none"/>
              </w:rPr>
              <w:t>统计结果如下表</w:t>
            </w:r>
            <w:r>
              <w:rPr>
                <w:rFonts w:hint="default"/>
                <w:color w:val="auto"/>
                <w:highlight w:val="none"/>
              </w:rPr>
              <w:t>。</w:t>
            </w:r>
          </w:p>
          <w:p>
            <w:pPr>
              <w:pStyle w:val="77"/>
              <w:keepNext w:val="0"/>
              <w:keepLines w:val="0"/>
              <w:widowControl/>
              <w:suppressLineNumbers w:val="0"/>
              <w:spacing w:before="0" w:beforeLines="0" w:beforeAutospacing="0" w:after="0" w:afterAutospacing="0" w:line="240" w:lineRule="auto"/>
              <w:ind w:left="0" w:right="0"/>
              <w:rPr>
                <w:rFonts w:hint="default" w:eastAsia="宋体"/>
                <w:b/>
                <w:bCs/>
                <w:color w:val="auto"/>
                <w:highlight w:val="none"/>
              </w:rPr>
            </w:pPr>
            <w:r>
              <w:rPr>
                <w:rFonts w:hint="default" w:eastAsia="宋体"/>
                <w:b/>
                <w:bCs/>
                <w:color w:val="auto"/>
                <w:highlight w:val="none"/>
              </w:rPr>
              <w:t>表</w:t>
            </w:r>
            <w:r>
              <w:rPr>
                <w:rFonts w:hint="eastAsia" w:eastAsia="宋体"/>
                <w:b/>
                <w:bCs/>
                <w:color w:val="auto"/>
                <w:highlight w:val="none"/>
              </w:rPr>
              <w:t>3-1</w:t>
            </w:r>
            <w:r>
              <w:rPr>
                <w:rFonts w:hint="default" w:eastAsia="宋体"/>
                <w:b/>
                <w:bCs/>
                <w:color w:val="auto"/>
                <w:highlight w:val="none"/>
              </w:rPr>
              <w:t xml:space="preserve">  </w:t>
            </w:r>
            <w:r>
              <w:rPr>
                <w:rFonts w:hint="eastAsia" w:eastAsia="宋体"/>
                <w:b/>
                <w:bCs/>
                <w:color w:val="auto"/>
                <w:highlight w:val="none"/>
              </w:rPr>
              <w:t>区域环境质量现状评价表</w:t>
            </w:r>
          </w:p>
          <w:tbl>
            <w:tblPr>
              <w:tblStyle w:val="37"/>
              <w:tblW w:w="4973" w:type="pct"/>
              <w:tblInd w:w="5"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904"/>
              <w:gridCol w:w="2904"/>
              <w:gridCol w:w="1132"/>
              <w:gridCol w:w="1132"/>
              <w:gridCol w:w="926"/>
              <w:gridCol w:w="99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65"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污染物</w:t>
                  </w:r>
                </w:p>
              </w:tc>
              <w:tc>
                <w:tcPr>
                  <w:tcW w:w="1816"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年评价指标</w:t>
                  </w:r>
                </w:p>
              </w:tc>
              <w:tc>
                <w:tcPr>
                  <w:tcW w:w="708" w:type="pct"/>
                  <w:tcBorders>
                    <w:tl2br w:val="nil"/>
                    <w:tr2bl w:val="nil"/>
                  </w:tcBorders>
                  <w:shd w:val="clear" w:color="auto" w:fill="auto"/>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现状浓度（μg/m</w:t>
                  </w:r>
                  <w:r>
                    <w:rPr>
                      <w:rFonts w:hint="default"/>
                      <w:color w:val="auto"/>
                      <w:szCs w:val="20"/>
                      <w:highlight w:val="none"/>
                      <w:vertAlign w:val="superscript"/>
                    </w:rPr>
                    <w:t>3</w:t>
                  </w:r>
                  <w:r>
                    <w:rPr>
                      <w:rFonts w:hint="default"/>
                      <w:color w:val="auto"/>
                      <w:szCs w:val="20"/>
                      <w:highlight w:val="none"/>
                    </w:rPr>
                    <w:t>）</w:t>
                  </w:r>
                </w:p>
              </w:tc>
              <w:tc>
                <w:tcPr>
                  <w:tcW w:w="708" w:type="pct"/>
                  <w:tcBorders>
                    <w:tl2br w:val="nil"/>
                    <w:tr2bl w:val="nil"/>
                  </w:tcBorders>
                  <w:shd w:val="clear" w:color="auto" w:fill="auto"/>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标准值（μg/m</w:t>
                  </w:r>
                  <w:r>
                    <w:rPr>
                      <w:rFonts w:hint="default"/>
                      <w:color w:val="auto"/>
                      <w:szCs w:val="20"/>
                      <w:highlight w:val="none"/>
                      <w:vertAlign w:val="superscript"/>
                    </w:rPr>
                    <w:t>3</w:t>
                  </w:r>
                  <w:r>
                    <w:rPr>
                      <w:rFonts w:hint="default"/>
                      <w:color w:val="auto"/>
                      <w:szCs w:val="20"/>
                      <w:highlight w:val="none"/>
                    </w:rPr>
                    <w:t>）</w:t>
                  </w:r>
                </w:p>
              </w:tc>
              <w:tc>
                <w:tcPr>
                  <w:tcW w:w="579" w:type="pct"/>
                  <w:tcBorders>
                    <w:tl2br w:val="nil"/>
                    <w:tr2bl w:val="nil"/>
                  </w:tcBorders>
                  <w:shd w:val="clear" w:color="auto" w:fill="auto"/>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占标率</w:t>
                  </w:r>
                  <w:r>
                    <w:rPr>
                      <w:rFonts w:hint="eastAsia"/>
                      <w:color w:val="auto"/>
                      <w:szCs w:val="20"/>
                      <w:highlight w:val="none"/>
                    </w:rPr>
                    <w:t>（%）</w:t>
                  </w:r>
                </w:p>
              </w:tc>
              <w:tc>
                <w:tcPr>
                  <w:tcW w:w="622" w:type="pct"/>
                  <w:tcBorders>
                    <w:tl2br w:val="nil"/>
                    <w:tr2bl w:val="nil"/>
                  </w:tcBorders>
                  <w:shd w:val="clear" w:color="auto" w:fill="auto"/>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达标</w:t>
                  </w:r>
                </w:p>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5"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default"/>
                      <w:color w:val="auto"/>
                      <w:szCs w:val="20"/>
                      <w:highlight w:val="none"/>
                    </w:rPr>
                    <w:t>PM</w:t>
                  </w:r>
                  <w:r>
                    <w:rPr>
                      <w:rFonts w:hint="default"/>
                      <w:color w:val="auto"/>
                      <w:szCs w:val="20"/>
                      <w:highlight w:val="none"/>
                      <w:vertAlign w:val="subscript"/>
                    </w:rPr>
                    <w:t>10</w:t>
                  </w:r>
                </w:p>
              </w:tc>
              <w:tc>
                <w:tcPr>
                  <w:tcW w:w="1816"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default"/>
                      <w:color w:val="auto"/>
                      <w:szCs w:val="20"/>
                      <w:highlight w:val="none"/>
                    </w:rPr>
                    <w:t>年平均质量浓度</w:t>
                  </w:r>
                </w:p>
              </w:tc>
              <w:tc>
                <w:tcPr>
                  <w:tcW w:w="708" w:type="pct"/>
                  <w:tcBorders>
                    <w:tl2br w:val="nil"/>
                    <w:tr2bl w:val="nil"/>
                  </w:tcBorders>
                  <w:shd w:val="clear" w:color="auto" w:fill="auto"/>
                  <w:vAlign w:val="center"/>
                </w:tcPr>
                <w:p>
                  <w:pPr>
                    <w:pStyle w:val="80"/>
                    <w:keepNext w:val="0"/>
                    <w:keepLines w:val="0"/>
                    <w:widowControl/>
                    <w:suppressLineNumbers w:val="0"/>
                    <w:spacing w:before="0" w:beforeAutospacing="0" w:after="0" w:afterAutospacing="0"/>
                    <w:ind w:left="0" w:right="0"/>
                    <w:rPr>
                      <w:rFonts w:hint="eastAsia" w:ascii="Times New Roman" w:hAnsi="Times New Roman" w:eastAsia="宋体" w:cs="Times New Roman"/>
                      <w:color w:val="auto"/>
                      <w:sz w:val="21"/>
                      <w:szCs w:val="20"/>
                      <w:highlight w:val="none"/>
                      <w:lang w:val="en-US" w:eastAsia="zh-CN" w:bidi="ar-SA"/>
                    </w:rPr>
                  </w:pPr>
                  <w:r>
                    <w:rPr>
                      <w:rFonts w:hint="eastAsia"/>
                      <w:color w:val="auto"/>
                      <w:kern w:val="44"/>
                      <w:szCs w:val="21"/>
                      <w:highlight w:val="none"/>
                    </w:rPr>
                    <w:t>8</w:t>
                  </w:r>
                  <w:r>
                    <w:rPr>
                      <w:rFonts w:hint="eastAsia"/>
                      <w:color w:val="auto"/>
                      <w:kern w:val="44"/>
                      <w:szCs w:val="21"/>
                      <w:highlight w:val="none"/>
                      <w:lang w:val="en-US" w:eastAsia="zh-CN"/>
                    </w:rPr>
                    <w:t>2</w:t>
                  </w:r>
                </w:p>
              </w:tc>
              <w:tc>
                <w:tcPr>
                  <w:tcW w:w="708" w:type="pct"/>
                  <w:tcBorders>
                    <w:tl2br w:val="nil"/>
                    <w:tr2bl w:val="nil"/>
                  </w:tcBorders>
                  <w:shd w:val="clear" w:color="auto" w:fill="auto"/>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default"/>
                      <w:color w:val="auto"/>
                      <w:kern w:val="44"/>
                      <w:szCs w:val="21"/>
                      <w:highlight w:val="none"/>
                    </w:rPr>
                    <w:t>70</w:t>
                  </w:r>
                </w:p>
              </w:tc>
              <w:tc>
                <w:tcPr>
                  <w:tcW w:w="579" w:type="pct"/>
                  <w:tcBorders>
                    <w:tl2br w:val="nil"/>
                    <w:tr2bl w:val="nil"/>
                  </w:tcBorders>
                  <w:shd w:val="clear" w:color="auto" w:fill="auto"/>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eastAsia"/>
                      <w:color w:val="auto"/>
                      <w:szCs w:val="20"/>
                      <w:highlight w:val="none"/>
                    </w:rPr>
                    <w:t>11</w:t>
                  </w:r>
                  <w:r>
                    <w:rPr>
                      <w:rFonts w:hint="eastAsia"/>
                      <w:color w:val="auto"/>
                      <w:szCs w:val="20"/>
                      <w:highlight w:val="none"/>
                      <w:lang w:val="en-US" w:eastAsia="zh-CN"/>
                    </w:rPr>
                    <w:t>7.1</w:t>
                  </w:r>
                </w:p>
              </w:tc>
              <w:tc>
                <w:tcPr>
                  <w:tcW w:w="622" w:type="pct"/>
                  <w:tcBorders>
                    <w:tl2br w:val="nil"/>
                    <w:tr2bl w:val="nil"/>
                  </w:tcBorders>
                  <w:shd w:val="clear" w:color="auto" w:fill="auto"/>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default"/>
                      <w:color w:val="auto"/>
                      <w:kern w:val="44"/>
                      <w:szCs w:val="21"/>
                      <w:highlight w:val="none"/>
                    </w:rPr>
                    <w:t>不达标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5"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default"/>
                      <w:color w:val="auto"/>
                      <w:szCs w:val="20"/>
                      <w:highlight w:val="none"/>
                    </w:rPr>
                    <w:t>PM</w:t>
                  </w:r>
                  <w:r>
                    <w:rPr>
                      <w:rFonts w:hint="default"/>
                      <w:color w:val="auto"/>
                      <w:szCs w:val="20"/>
                      <w:highlight w:val="none"/>
                      <w:vertAlign w:val="subscript"/>
                    </w:rPr>
                    <w:t>2.5</w:t>
                  </w:r>
                </w:p>
              </w:tc>
              <w:tc>
                <w:tcPr>
                  <w:tcW w:w="1816"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default"/>
                      <w:color w:val="auto"/>
                      <w:szCs w:val="20"/>
                      <w:highlight w:val="none"/>
                    </w:rPr>
                    <w:t>年平均质量浓度</w:t>
                  </w:r>
                </w:p>
              </w:tc>
              <w:tc>
                <w:tcPr>
                  <w:tcW w:w="708" w:type="pct"/>
                  <w:tcBorders>
                    <w:tl2br w:val="nil"/>
                    <w:tr2bl w:val="nil"/>
                  </w:tcBorders>
                  <w:shd w:val="clear" w:color="auto" w:fill="auto"/>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eastAsia"/>
                      <w:color w:val="auto"/>
                      <w:kern w:val="44"/>
                      <w:szCs w:val="21"/>
                      <w:highlight w:val="none"/>
                    </w:rPr>
                    <w:t>48</w:t>
                  </w:r>
                </w:p>
              </w:tc>
              <w:tc>
                <w:tcPr>
                  <w:tcW w:w="708" w:type="pct"/>
                  <w:tcBorders>
                    <w:tl2br w:val="nil"/>
                    <w:tr2bl w:val="nil"/>
                  </w:tcBorders>
                  <w:shd w:val="clear" w:color="auto" w:fill="auto"/>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default"/>
                      <w:color w:val="auto"/>
                      <w:kern w:val="44"/>
                      <w:szCs w:val="21"/>
                      <w:highlight w:val="none"/>
                    </w:rPr>
                    <w:t>35</w:t>
                  </w:r>
                </w:p>
              </w:tc>
              <w:tc>
                <w:tcPr>
                  <w:tcW w:w="579" w:type="pct"/>
                  <w:tcBorders>
                    <w:tl2br w:val="nil"/>
                    <w:tr2bl w:val="nil"/>
                  </w:tcBorders>
                  <w:shd w:val="clear" w:color="auto" w:fill="auto"/>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eastAsia"/>
                      <w:color w:val="auto"/>
                      <w:szCs w:val="21"/>
                      <w:highlight w:val="none"/>
                    </w:rPr>
                    <w:t>137.1</w:t>
                  </w:r>
                </w:p>
              </w:tc>
              <w:tc>
                <w:tcPr>
                  <w:tcW w:w="622" w:type="pct"/>
                  <w:tcBorders>
                    <w:tl2br w:val="nil"/>
                    <w:tr2bl w:val="nil"/>
                  </w:tcBorders>
                  <w:shd w:val="clear" w:color="auto" w:fill="auto"/>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default"/>
                      <w:color w:val="auto"/>
                      <w:kern w:val="44"/>
                      <w:szCs w:val="21"/>
                      <w:highlight w:val="none"/>
                    </w:rPr>
                    <w:t>不达标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5"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default"/>
                      <w:color w:val="auto"/>
                      <w:szCs w:val="20"/>
                      <w:highlight w:val="none"/>
                    </w:rPr>
                    <w:t>SO</w:t>
                  </w:r>
                  <w:r>
                    <w:rPr>
                      <w:rFonts w:hint="default"/>
                      <w:color w:val="auto"/>
                      <w:szCs w:val="20"/>
                      <w:highlight w:val="none"/>
                      <w:vertAlign w:val="subscript"/>
                    </w:rPr>
                    <w:t>2</w:t>
                  </w:r>
                </w:p>
              </w:tc>
              <w:tc>
                <w:tcPr>
                  <w:tcW w:w="1816"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default"/>
                      <w:color w:val="auto"/>
                      <w:szCs w:val="20"/>
                      <w:highlight w:val="none"/>
                    </w:rPr>
                    <w:t>年平均质量浓度</w:t>
                  </w:r>
                </w:p>
              </w:tc>
              <w:tc>
                <w:tcPr>
                  <w:tcW w:w="708" w:type="pct"/>
                  <w:tcBorders>
                    <w:tl2br w:val="nil"/>
                    <w:tr2bl w:val="nil"/>
                  </w:tcBorders>
                  <w:shd w:val="clear" w:color="auto" w:fill="auto"/>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eastAsia"/>
                      <w:color w:val="auto"/>
                      <w:kern w:val="44"/>
                      <w:szCs w:val="21"/>
                      <w:highlight w:val="none"/>
                    </w:rPr>
                    <w:t>7</w:t>
                  </w:r>
                </w:p>
              </w:tc>
              <w:tc>
                <w:tcPr>
                  <w:tcW w:w="708" w:type="pct"/>
                  <w:tcBorders>
                    <w:tl2br w:val="nil"/>
                    <w:tr2bl w:val="nil"/>
                  </w:tcBorders>
                  <w:shd w:val="clear" w:color="auto" w:fill="auto"/>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default"/>
                      <w:color w:val="auto"/>
                      <w:kern w:val="44"/>
                      <w:szCs w:val="21"/>
                      <w:highlight w:val="none"/>
                    </w:rPr>
                    <w:t>60</w:t>
                  </w:r>
                </w:p>
              </w:tc>
              <w:tc>
                <w:tcPr>
                  <w:tcW w:w="579" w:type="pct"/>
                  <w:tcBorders>
                    <w:tl2br w:val="nil"/>
                    <w:tr2bl w:val="nil"/>
                  </w:tcBorders>
                  <w:shd w:val="clear" w:color="auto" w:fill="auto"/>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eastAsia"/>
                      <w:color w:val="auto"/>
                      <w:szCs w:val="21"/>
                      <w:highlight w:val="none"/>
                    </w:rPr>
                    <w:t>11.7</w:t>
                  </w:r>
                </w:p>
              </w:tc>
              <w:tc>
                <w:tcPr>
                  <w:tcW w:w="622" w:type="pct"/>
                  <w:tcBorders>
                    <w:tl2br w:val="nil"/>
                    <w:tr2bl w:val="nil"/>
                  </w:tcBorders>
                  <w:shd w:val="clear" w:color="auto" w:fill="auto"/>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default"/>
                      <w:color w:val="auto"/>
                      <w:kern w:val="44"/>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5"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default"/>
                      <w:color w:val="auto"/>
                      <w:szCs w:val="20"/>
                      <w:highlight w:val="none"/>
                    </w:rPr>
                    <w:t>NO</w:t>
                  </w:r>
                  <w:r>
                    <w:rPr>
                      <w:rFonts w:hint="default"/>
                      <w:color w:val="auto"/>
                      <w:szCs w:val="20"/>
                      <w:highlight w:val="none"/>
                      <w:vertAlign w:val="subscript"/>
                    </w:rPr>
                    <w:t>2</w:t>
                  </w:r>
                </w:p>
              </w:tc>
              <w:tc>
                <w:tcPr>
                  <w:tcW w:w="1816"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default"/>
                      <w:color w:val="auto"/>
                      <w:szCs w:val="20"/>
                      <w:highlight w:val="none"/>
                    </w:rPr>
                    <w:t>年平均质量浓度</w:t>
                  </w:r>
                </w:p>
              </w:tc>
              <w:tc>
                <w:tcPr>
                  <w:tcW w:w="708" w:type="pct"/>
                  <w:tcBorders>
                    <w:tl2br w:val="nil"/>
                    <w:tr2bl w:val="nil"/>
                  </w:tcBorders>
                  <w:shd w:val="clear" w:color="auto" w:fill="auto"/>
                  <w:vAlign w:val="center"/>
                </w:tcPr>
                <w:p>
                  <w:pPr>
                    <w:pStyle w:val="80"/>
                    <w:keepNext w:val="0"/>
                    <w:keepLines w:val="0"/>
                    <w:widowControl/>
                    <w:suppressLineNumbers w:val="0"/>
                    <w:spacing w:before="0" w:beforeAutospacing="0" w:after="0" w:afterAutospacing="0"/>
                    <w:ind w:left="0" w:right="0"/>
                    <w:rPr>
                      <w:rFonts w:hint="eastAsia" w:ascii="Times New Roman" w:hAnsi="Times New Roman" w:eastAsia="宋体" w:cs="Times New Roman"/>
                      <w:color w:val="auto"/>
                      <w:sz w:val="21"/>
                      <w:szCs w:val="20"/>
                      <w:highlight w:val="none"/>
                      <w:lang w:val="en-US" w:eastAsia="zh-CN" w:bidi="ar-SA"/>
                    </w:rPr>
                  </w:pPr>
                  <w:r>
                    <w:rPr>
                      <w:rFonts w:hint="eastAsia"/>
                      <w:color w:val="auto"/>
                      <w:kern w:val="44"/>
                      <w:szCs w:val="21"/>
                      <w:highlight w:val="none"/>
                    </w:rPr>
                    <w:t>3</w:t>
                  </w:r>
                  <w:r>
                    <w:rPr>
                      <w:rFonts w:hint="eastAsia"/>
                      <w:color w:val="auto"/>
                      <w:kern w:val="44"/>
                      <w:szCs w:val="21"/>
                      <w:highlight w:val="none"/>
                      <w:lang w:val="en-US" w:eastAsia="zh-CN"/>
                    </w:rPr>
                    <w:t>7</w:t>
                  </w:r>
                </w:p>
              </w:tc>
              <w:tc>
                <w:tcPr>
                  <w:tcW w:w="708" w:type="pct"/>
                  <w:tcBorders>
                    <w:tl2br w:val="nil"/>
                    <w:tr2bl w:val="nil"/>
                  </w:tcBorders>
                  <w:shd w:val="clear" w:color="auto" w:fill="auto"/>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default"/>
                      <w:color w:val="auto"/>
                      <w:kern w:val="44"/>
                      <w:szCs w:val="21"/>
                      <w:highlight w:val="none"/>
                    </w:rPr>
                    <w:t>40</w:t>
                  </w:r>
                </w:p>
              </w:tc>
              <w:tc>
                <w:tcPr>
                  <w:tcW w:w="579" w:type="pct"/>
                  <w:tcBorders>
                    <w:tl2br w:val="nil"/>
                    <w:tr2bl w:val="nil"/>
                  </w:tcBorders>
                  <w:shd w:val="clear" w:color="auto" w:fill="auto"/>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eastAsia"/>
                      <w:color w:val="auto"/>
                      <w:szCs w:val="21"/>
                      <w:highlight w:val="none"/>
                    </w:rPr>
                    <w:t>9</w:t>
                  </w:r>
                  <w:r>
                    <w:rPr>
                      <w:rFonts w:hint="eastAsia"/>
                      <w:color w:val="auto"/>
                      <w:szCs w:val="21"/>
                      <w:highlight w:val="none"/>
                      <w:lang w:val="en-US" w:eastAsia="zh-CN"/>
                    </w:rPr>
                    <w:t>2.5</w:t>
                  </w:r>
                </w:p>
              </w:tc>
              <w:tc>
                <w:tcPr>
                  <w:tcW w:w="622" w:type="pct"/>
                  <w:tcBorders>
                    <w:tl2br w:val="nil"/>
                    <w:tr2bl w:val="nil"/>
                  </w:tcBorders>
                  <w:shd w:val="clear" w:color="auto" w:fill="auto"/>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default"/>
                      <w:color w:val="auto"/>
                      <w:kern w:val="44"/>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5"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default"/>
                      <w:color w:val="auto"/>
                      <w:szCs w:val="20"/>
                      <w:highlight w:val="none"/>
                    </w:rPr>
                    <w:t>CO</w:t>
                  </w:r>
                </w:p>
              </w:tc>
              <w:tc>
                <w:tcPr>
                  <w:tcW w:w="1816"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eastAsia"/>
                      <w:color w:val="auto"/>
                      <w:szCs w:val="20"/>
                      <w:highlight w:val="none"/>
                    </w:rPr>
                    <w:t>24 小时平均第95百分位浓度</w:t>
                  </w:r>
                </w:p>
              </w:tc>
              <w:tc>
                <w:tcPr>
                  <w:tcW w:w="708" w:type="pct"/>
                  <w:tcBorders>
                    <w:tl2br w:val="nil"/>
                    <w:tr2bl w:val="nil"/>
                  </w:tcBorders>
                  <w:shd w:val="clear" w:color="auto" w:fill="auto"/>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eastAsia"/>
                      <w:color w:val="auto"/>
                      <w:kern w:val="44"/>
                      <w:szCs w:val="21"/>
                      <w:highlight w:val="none"/>
                    </w:rPr>
                    <w:t>1</w:t>
                  </w:r>
                  <w:r>
                    <w:rPr>
                      <w:rFonts w:hint="eastAsia"/>
                      <w:color w:val="auto"/>
                      <w:kern w:val="44"/>
                      <w:szCs w:val="21"/>
                      <w:highlight w:val="none"/>
                      <w:lang w:val="en-US" w:eastAsia="zh-CN"/>
                    </w:rPr>
                    <w:t>3</w:t>
                  </w:r>
                  <w:r>
                    <w:rPr>
                      <w:rFonts w:hint="default"/>
                      <w:color w:val="auto"/>
                      <w:kern w:val="44"/>
                      <w:szCs w:val="21"/>
                      <w:highlight w:val="none"/>
                    </w:rPr>
                    <w:t>00</w:t>
                  </w:r>
                </w:p>
              </w:tc>
              <w:tc>
                <w:tcPr>
                  <w:tcW w:w="708" w:type="pct"/>
                  <w:tcBorders>
                    <w:tl2br w:val="nil"/>
                    <w:tr2bl w:val="nil"/>
                  </w:tcBorders>
                  <w:shd w:val="clear" w:color="auto" w:fill="auto"/>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default"/>
                      <w:color w:val="auto"/>
                      <w:kern w:val="44"/>
                      <w:szCs w:val="21"/>
                      <w:highlight w:val="none"/>
                    </w:rPr>
                    <w:t>4000</w:t>
                  </w:r>
                </w:p>
              </w:tc>
              <w:tc>
                <w:tcPr>
                  <w:tcW w:w="579" w:type="pct"/>
                  <w:tcBorders>
                    <w:tl2br w:val="nil"/>
                    <w:tr2bl w:val="nil"/>
                  </w:tcBorders>
                  <w:shd w:val="clear" w:color="auto" w:fill="auto"/>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eastAsia"/>
                      <w:color w:val="auto"/>
                      <w:szCs w:val="21"/>
                      <w:highlight w:val="none"/>
                    </w:rPr>
                    <w:t>3</w:t>
                  </w:r>
                  <w:r>
                    <w:rPr>
                      <w:rFonts w:hint="eastAsia"/>
                      <w:color w:val="auto"/>
                      <w:szCs w:val="21"/>
                      <w:highlight w:val="none"/>
                      <w:lang w:val="en-US" w:eastAsia="zh-CN"/>
                    </w:rPr>
                    <w:t>2.5</w:t>
                  </w:r>
                </w:p>
              </w:tc>
              <w:tc>
                <w:tcPr>
                  <w:tcW w:w="622" w:type="pct"/>
                  <w:tcBorders>
                    <w:tl2br w:val="nil"/>
                    <w:tr2bl w:val="nil"/>
                  </w:tcBorders>
                  <w:shd w:val="clear" w:color="auto" w:fill="auto"/>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default"/>
                      <w:color w:val="auto"/>
                      <w:kern w:val="44"/>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5"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default"/>
                      <w:color w:val="auto"/>
                      <w:szCs w:val="20"/>
                      <w:highlight w:val="none"/>
                    </w:rPr>
                    <w:t>O</w:t>
                  </w:r>
                  <w:r>
                    <w:rPr>
                      <w:rFonts w:hint="default"/>
                      <w:color w:val="auto"/>
                      <w:szCs w:val="20"/>
                      <w:highlight w:val="none"/>
                      <w:vertAlign w:val="subscript"/>
                    </w:rPr>
                    <w:t>3</w:t>
                  </w:r>
                </w:p>
              </w:tc>
              <w:tc>
                <w:tcPr>
                  <w:tcW w:w="1816"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default"/>
                      <w:color w:val="auto"/>
                      <w:szCs w:val="20"/>
                      <w:highlight w:val="none"/>
                    </w:rPr>
                    <w:t>8小时平均</w:t>
                  </w:r>
                  <w:r>
                    <w:rPr>
                      <w:rFonts w:hint="eastAsia"/>
                      <w:color w:val="auto"/>
                      <w:szCs w:val="20"/>
                      <w:highlight w:val="none"/>
                    </w:rPr>
                    <w:t>第90百分位</w:t>
                  </w:r>
                  <w:r>
                    <w:rPr>
                      <w:rFonts w:hint="default"/>
                      <w:color w:val="auto"/>
                      <w:szCs w:val="20"/>
                      <w:highlight w:val="none"/>
                    </w:rPr>
                    <w:t>浓度</w:t>
                  </w:r>
                </w:p>
              </w:tc>
              <w:tc>
                <w:tcPr>
                  <w:tcW w:w="708" w:type="pct"/>
                  <w:tcBorders>
                    <w:tl2br w:val="nil"/>
                    <w:tr2bl w:val="nil"/>
                  </w:tcBorders>
                  <w:shd w:val="clear" w:color="auto" w:fill="auto"/>
                  <w:vAlign w:val="center"/>
                </w:tcPr>
                <w:p>
                  <w:pPr>
                    <w:pStyle w:val="80"/>
                    <w:keepNext w:val="0"/>
                    <w:keepLines w:val="0"/>
                    <w:widowControl/>
                    <w:suppressLineNumbers w:val="0"/>
                    <w:spacing w:before="0" w:beforeAutospacing="0" w:after="0" w:afterAutospacing="0"/>
                    <w:ind w:left="0" w:right="0"/>
                    <w:rPr>
                      <w:rFonts w:hint="eastAsia" w:ascii="Times New Roman" w:hAnsi="Times New Roman" w:eastAsia="宋体" w:cs="Times New Roman"/>
                      <w:color w:val="auto"/>
                      <w:sz w:val="21"/>
                      <w:szCs w:val="20"/>
                      <w:highlight w:val="none"/>
                      <w:lang w:val="en-US" w:eastAsia="zh-CN" w:bidi="ar-SA"/>
                    </w:rPr>
                  </w:pPr>
                  <w:r>
                    <w:rPr>
                      <w:rFonts w:hint="eastAsia"/>
                      <w:color w:val="auto"/>
                      <w:kern w:val="44"/>
                      <w:szCs w:val="21"/>
                      <w:highlight w:val="none"/>
                    </w:rPr>
                    <w:t>16</w:t>
                  </w:r>
                  <w:r>
                    <w:rPr>
                      <w:rFonts w:hint="eastAsia"/>
                      <w:color w:val="auto"/>
                      <w:kern w:val="44"/>
                      <w:szCs w:val="21"/>
                      <w:highlight w:val="none"/>
                      <w:lang w:val="en-US" w:eastAsia="zh-CN"/>
                    </w:rPr>
                    <w:t>3</w:t>
                  </w:r>
                </w:p>
              </w:tc>
              <w:tc>
                <w:tcPr>
                  <w:tcW w:w="708" w:type="pct"/>
                  <w:tcBorders>
                    <w:tl2br w:val="nil"/>
                    <w:tr2bl w:val="nil"/>
                  </w:tcBorders>
                  <w:shd w:val="clear" w:color="auto" w:fill="auto"/>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default"/>
                      <w:color w:val="auto"/>
                      <w:kern w:val="44"/>
                      <w:szCs w:val="21"/>
                      <w:highlight w:val="none"/>
                    </w:rPr>
                    <w:t>160</w:t>
                  </w:r>
                </w:p>
              </w:tc>
              <w:tc>
                <w:tcPr>
                  <w:tcW w:w="579" w:type="pct"/>
                  <w:tcBorders>
                    <w:tl2br w:val="nil"/>
                    <w:tr2bl w:val="nil"/>
                  </w:tcBorders>
                  <w:shd w:val="clear" w:color="auto" w:fill="auto"/>
                  <w:vAlign w:val="center"/>
                </w:tcPr>
                <w:p>
                  <w:pPr>
                    <w:pStyle w:val="80"/>
                    <w:keepNext w:val="0"/>
                    <w:keepLines w:val="0"/>
                    <w:widowControl/>
                    <w:suppressLineNumbers w:val="0"/>
                    <w:spacing w:before="0" w:beforeAutospacing="0" w:after="0" w:afterAutospacing="0"/>
                    <w:ind w:left="0" w:right="0"/>
                    <w:rPr>
                      <w:rFonts w:hint="eastAsia" w:ascii="Times New Roman" w:hAnsi="Times New Roman" w:eastAsia="宋体" w:cs="Times New Roman"/>
                      <w:color w:val="auto"/>
                      <w:sz w:val="21"/>
                      <w:szCs w:val="20"/>
                      <w:highlight w:val="none"/>
                      <w:lang w:val="en-US" w:eastAsia="zh-CN" w:bidi="ar-SA"/>
                    </w:rPr>
                  </w:pPr>
                  <w:r>
                    <w:rPr>
                      <w:rFonts w:hint="eastAsia"/>
                      <w:color w:val="auto"/>
                      <w:szCs w:val="21"/>
                      <w:highlight w:val="none"/>
                    </w:rPr>
                    <w:t>101.</w:t>
                  </w:r>
                  <w:r>
                    <w:rPr>
                      <w:rFonts w:hint="eastAsia"/>
                      <w:color w:val="auto"/>
                      <w:szCs w:val="21"/>
                      <w:highlight w:val="none"/>
                      <w:lang w:val="en-US" w:eastAsia="zh-CN"/>
                    </w:rPr>
                    <w:t>8</w:t>
                  </w:r>
                </w:p>
              </w:tc>
              <w:tc>
                <w:tcPr>
                  <w:tcW w:w="622" w:type="pct"/>
                  <w:tcBorders>
                    <w:tl2br w:val="nil"/>
                    <w:tr2bl w:val="nil"/>
                  </w:tcBorders>
                  <w:shd w:val="clear" w:color="auto" w:fill="auto"/>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eastAsia"/>
                      <w:color w:val="auto"/>
                      <w:kern w:val="44"/>
                      <w:szCs w:val="21"/>
                      <w:highlight w:val="none"/>
                    </w:rPr>
                    <w:t>不</w:t>
                  </w:r>
                  <w:r>
                    <w:rPr>
                      <w:rFonts w:hint="default"/>
                      <w:color w:val="auto"/>
                      <w:kern w:val="44"/>
                      <w:szCs w:val="21"/>
                      <w:highlight w:val="none"/>
                    </w:rPr>
                    <w:t>达标</w:t>
                  </w:r>
                </w:p>
              </w:tc>
            </w:tr>
          </w:tbl>
          <w:p>
            <w:pPr>
              <w:keepNext w:val="0"/>
              <w:keepLines w:val="0"/>
              <w:suppressLineNumbers w:val="0"/>
              <w:tabs>
                <w:tab w:val="left" w:pos="8607"/>
              </w:tabs>
              <w:adjustRightInd w:val="0"/>
              <w:snapToGrid w:val="0"/>
              <w:spacing w:before="0" w:beforeAutospacing="0" w:after="0" w:afterAutospacing="0"/>
              <w:ind w:left="0" w:right="0" w:firstLine="480"/>
              <w:rPr>
                <w:rFonts w:hint="default"/>
                <w:color w:val="auto"/>
                <w:highlight w:val="none"/>
              </w:rPr>
            </w:pPr>
            <w:r>
              <w:rPr>
                <w:rFonts w:hint="default"/>
                <w:color w:val="auto"/>
                <w:szCs w:val="22"/>
                <w:highlight w:val="none"/>
              </w:rPr>
              <w:t>根据</w:t>
            </w:r>
            <w:r>
              <w:rPr>
                <w:rFonts w:hint="eastAsia"/>
                <w:color w:val="auto"/>
                <w:szCs w:val="22"/>
                <w:highlight w:val="none"/>
              </w:rPr>
              <w:t>“</w:t>
            </w:r>
            <w:r>
              <w:rPr>
                <w:rFonts w:hint="default"/>
                <w:color w:val="auto"/>
                <w:szCs w:val="22"/>
                <w:highlight w:val="none"/>
              </w:rPr>
              <w:t>环保快报（20</w:t>
            </w:r>
            <w:r>
              <w:rPr>
                <w:rFonts w:hint="eastAsia"/>
                <w:color w:val="auto"/>
                <w:szCs w:val="22"/>
                <w:highlight w:val="none"/>
              </w:rPr>
              <w:t>2</w:t>
            </w:r>
            <w:r>
              <w:rPr>
                <w:rFonts w:hint="eastAsia"/>
                <w:color w:val="auto"/>
                <w:szCs w:val="22"/>
                <w:highlight w:val="none"/>
                <w:lang w:val="en-US" w:eastAsia="zh-CN"/>
              </w:rPr>
              <w:t>3</w:t>
            </w:r>
            <w:r>
              <w:rPr>
                <w:rFonts w:hint="default"/>
                <w:color w:val="auto"/>
                <w:szCs w:val="22"/>
                <w:highlight w:val="none"/>
              </w:rPr>
              <w:t>年1~12月</w:t>
            </w:r>
            <w:r>
              <w:rPr>
                <w:rFonts w:hint="eastAsia"/>
                <w:color w:val="auto"/>
                <w:szCs w:val="22"/>
                <w:highlight w:val="none"/>
                <w:lang w:val="en-US" w:eastAsia="zh-CN"/>
              </w:rPr>
              <w:t>关中地区64个县（区）</w:t>
            </w:r>
            <w:r>
              <w:rPr>
                <w:rFonts w:hint="default"/>
                <w:color w:val="auto"/>
                <w:szCs w:val="22"/>
                <w:highlight w:val="none"/>
              </w:rPr>
              <w:t>空气质量状况</w:t>
            </w:r>
            <w:r>
              <w:rPr>
                <w:rFonts w:hint="eastAsia"/>
                <w:color w:val="auto"/>
                <w:szCs w:val="22"/>
                <w:highlight w:val="none"/>
                <w:lang w:val="en-US" w:eastAsia="zh-CN"/>
              </w:rPr>
              <w:t>统计表</w:t>
            </w:r>
            <w:r>
              <w:rPr>
                <w:rFonts w:hint="default"/>
                <w:color w:val="auto"/>
                <w:szCs w:val="22"/>
                <w:highlight w:val="none"/>
              </w:rPr>
              <w:t>）</w:t>
            </w:r>
            <w:r>
              <w:rPr>
                <w:rFonts w:hint="eastAsia"/>
                <w:color w:val="auto"/>
                <w:szCs w:val="22"/>
                <w:highlight w:val="none"/>
              </w:rPr>
              <w:t>”</w:t>
            </w:r>
            <w:r>
              <w:rPr>
                <w:rFonts w:hint="default"/>
                <w:color w:val="auto"/>
                <w:szCs w:val="22"/>
                <w:highlight w:val="none"/>
              </w:rPr>
              <w:t>，</w:t>
            </w:r>
            <w:r>
              <w:rPr>
                <w:rFonts w:hint="eastAsia"/>
                <w:color w:val="auto"/>
                <w:szCs w:val="22"/>
                <w:highlight w:val="none"/>
              </w:rPr>
              <w:t>西咸新区</w:t>
            </w:r>
            <w:r>
              <w:rPr>
                <w:rFonts w:hint="default"/>
                <w:color w:val="auto"/>
                <w:szCs w:val="22"/>
                <w:highlight w:val="none"/>
              </w:rPr>
              <w:t>环境空气6个监测项目中，SO</w:t>
            </w:r>
            <w:r>
              <w:rPr>
                <w:rFonts w:hint="default"/>
                <w:color w:val="auto"/>
                <w:szCs w:val="22"/>
                <w:highlight w:val="none"/>
                <w:vertAlign w:val="subscript"/>
              </w:rPr>
              <w:t>2</w:t>
            </w:r>
            <w:r>
              <w:rPr>
                <w:rFonts w:hint="default"/>
                <w:color w:val="auto"/>
                <w:szCs w:val="22"/>
                <w:highlight w:val="none"/>
              </w:rPr>
              <w:t>、NO</w:t>
            </w:r>
            <w:r>
              <w:rPr>
                <w:rFonts w:hint="default"/>
                <w:color w:val="auto"/>
                <w:szCs w:val="22"/>
                <w:highlight w:val="none"/>
                <w:vertAlign w:val="subscript"/>
              </w:rPr>
              <w:t>2</w:t>
            </w:r>
            <w:r>
              <w:rPr>
                <w:rFonts w:hint="default"/>
                <w:color w:val="auto"/>
                <w:szCs w:val="22"/>
                <w:highlight w:val="none"/>
              </w:rPr>
              <w:t>年</w:t>
            </w:r>
            <w:r>
              <w:rPr>
                <w:rFonts w:hint="eastAsia"/>
                <w:color w:val="auto"/>
                <w:szCs w:val="22"/>
                <w:highlight w:val="none"/>
              </w:rPr>
              <w:t>平</w:t>
            </w:r>
            <w:r>
              <w:rPr>
                <w:rFonts w:hint="default"/>
                <w:color w:val="auto"/>
                <w:szCs w:val="22"/>
                <w:highlight w:val="none"/>
              </w:rPr>
              <w:t>均质量浓度值</w:t>
            </w:r>
            <w:r>
              <w:rPr>
                <w:rFonts w:hint="eastAsia"/>
                <w:color w:val="auto"/>
                <w:szCs w:val="22"/>
                <w:highlight w:val="none"/>
              </w:rPr>
              <w:t>、</w:t>
            </w:r>
            <w:r>
              <w:rPr>
                <w:rFonts w:hint="default"/>
                <w:color w:val="auto"/>
                <w:szCs w:val="22"/>
                <w:highlight w:val="none"/>
              </w:rPr>
              <w:t>CO</w:t>
            </w:r>
            <w:r>
              <w:rPr>
                <w:rFonts w:hint="eastAsia"/>
                <w:color w:val="auto"/>
                <w:szCs w:val="22"/>
                <w:highlight w:val="none"/>
              </w:rPr>
              <w:t xml:space="preserve"> </w:t>
            </w:r>
            <w:r>
              <w:rPr>
                <w:rFonts w:hint="default"/>
                <w:color w:val="auto"/>
                <w:szCs w:val="22"/>
                <w:highlight w:val="none"/>
              </w:rPr>
              <w:t>24小时平均第95百分位浓度低于国家环境空气质量二级标准；PM</w:t>
            </w:r>
            <w:r>
              <w:rPr>
                <w:rFonts w:hint="default"/>
                <w:color w:val="auto"/>
                <w:szCs w:val="22"/>
                <w:highlight w:val="none"/>
                <w:vertAlign w:val="subscript"/>
              </w:rPr>
              <w:t>10</w:t>
            </w:r>
            <w:r>
              <w:rPr>
                <w:rFonts w:hint="default"/>
                <w:color w:val="auto"/>
                <w:szCs w:val="22"/>
                <w:highlight w:val="none"/>
              </w:rPr>
              <w:t>、PM</w:t>
            </w:r>
            <w:r>
              <w:rPr>
                <w:rFonts w:hint="default"/>
                <w:color w:val="auto"/>
                <w:szCs w:val="22"/>
                <w:highlight w:val="none"/>
                <w:vertAlign w:val="subscript"/>
              </w:rPr>
              <w:t>2.5</w:t>
            </w:r>
            <w:r>
              <w:rPr>
                <w:rFonts w:hint="default"/>
                <w:color w:val="auto"/>
                <w:szCs w:val="22"/>
                <w:highlight w:val="none"/>
              </w:rPr>
              <w:t>年均质量浓度值</w:t>
            </w:r>
            <w:r>
              <w:rPr>
                <w:rFonts w:hint="eastAsia"/>
                <w:color w:val="auto"/>
                <w:szCs w:val="22"/>
                <w:highlight w:val="none"/>
              </w:rPr>
              <w:t>和</w:t>
            </w:r>
            <w:r>
              <w:rPr>
                <w:rFonts w:hint="default"/>
                <w:color w:val="auto"/>
                <w:szCs w:val="22"/>
                <w:highlight w:val="none"/>
              </w:rPr>
              <w:t>O</w:t>
            </w:r>
            <w:r>
              <w:rPr>
                <w:rFonts w:hint="default"/>
                <w:color w:val="auto"/>
                <w:szCs w:val="22"/>
                <w:highlight w:val="none"/>
                <w:vertAlign w:val="subscript"/>
              </w:rPr>
              <w:t>3</w:t>
            </w:r>
            <w:r>
              <w:rPr>
                <w:rFonts w:hint="default"/>
                <w:color w:val="auto"/>
                <w:szCs w:val="22"/>
                <w:highlight w:val="none"/>
              </w:rPr>
              <w:t>日最大8小时平均第90百分位浓度高于国家环境空气质量二级标准。</w:t>
            </w:r>
            <w:r>
              <w:rPr>
                <w:rFonts w:hint="eastAsia"/>
                <w:color w:val="auto"/>
                <w:szCs w:val="22"/>
                <w:highlight w:val="none"/>
              </w:rPr>
              <w:t>说明</w:t>
            </w:r>
            <w:r>
              <w:rPr>
                <w:rFonts w:hint="default"/>
                <w:color w:val="auto"/>
                <w:szCs w:val="22"/>
                <w:highlight w:val="none"/>
              </w:rPr>
              <w:t>本项目</w:t>
            </w:r>
            <w:r>
              <w:rPr>
                <w:rFonts w:hint="eastAsia"/>
                <w:color w:val="auto"/>
                <w:szCs w:val="22"/>
                <w:highlight w:val="none"/>
              </w:rPr>
              <w:t>所在区域为</w:t>
            </w:r>
            <w:r>
              <w:rPr>
                <w:rFonts w:hint="default"/>
                <w:color w:val="auto"/>
                <w:szCs w:val="22"/>
                <w:highlight w:val="none"/>
              </w:rPr>
              <w:t>不达标区</w:t>
            </w:r>
            <w:r>
              <w:rPr>
                <w:rFonts w:hint="default"/>
                <w:color w:val="auto"/>
                <w:highlight w:val="none"/>
              </w:rPr>
              <w:t>。</w:t>
            </w:r>
          </w:p>
          <w:p>
            <w:pPr>
              <w:keepNext w:val="0"/>
              <w:keepLines w:val="0"/>
              <w:suppressLineNumbers w:val="0"/>
              <w:spacing w:before="0" w:beforeAutospacing="0" w:after="0" w:afterAutospacing="0"/>
              <w:ind w:left="0" w:right="0" w:firstLine="482"/>
              <w:rPr>
                <w:rFonts w:hint="default"/>
                <w:b/>
                <w:color w:val="auto"/>
                <w:highlight w:val="none"/>
              </w:rPr>
            </w:pPr>
            <w:r>
              <w:rPr>
                <w:rFonts w:hint="default"/>
                <w:b/>
                <w:color w:val="auto"/>
                <w:highlight w:val="none"/>
              </w:rPr>
              <w:t>2、</w:t>
            </w:r>
            <w:r>
              <w:rPr>
                <w:rFonts w:hint="eastAsia"/>
                <w:b/>
                <w:color w:val="auto"/>
                <w:highlight w:val="none"/>
              </w:rPr>
              <w:t>其他污染物因子</w:t>
            </w:r>
          </w:p>
          <w:p>
            <w:pPr>
              <w:keepNext w:val="0"/>
              <w:keepLines w:val="0"/>
              <w:widowControl/>
              <w:suppressLineNumbers w:val="0"/>
              <w:adjustRightInd w:val="0"/>
              <w:snapToGrid w:val="0"/>
              <w:spacing w:before="0" w:beforeAutospacing="0" w:after="0" w:afterAutospacing="0"/>
              <w:ind w:left="0" w:right="0" w:firstLine="480"/>
              <w:rPr>
                <w:rFonts w:hint="eastAsia"/>
                <w:color w:val="auto"/>
                <w:highlight w:val="none"/>
              </w:rPr>
            </w:pPr>
            <w:r>
              <w:rPr>
                <w:rFonts w:hint="eastAsia"/>
                <w:color w:val="auto"/>
                <w:highlight w:val="none"/>
                <w:lang w:val="en-US" w:eastAsia="zh-CN"/>
              </w:rPr>
              <w:t>本</w:t>
            </w:r>
            <w:r>
              <w:rPr>
                <w:rFonts w:hint="eastAsia"/>
                <w:color w:val="auto"/>
                <w:highlight w:val="none"/>
              </w:rPr>
              <w:t>项目特征</w:t>
            </w:r>
            <w:r>
              <w:rPr>
                <w:rFonts w:hint="eastAsia"/>
                <w:color w:val="auto"/>
                <w:highlight w:val="none"/>
                <w:lang w:val="en-US" w:eastAsia="zh-CN"/>
              </w:rPr>
              <w:t>污染物为</w:t>
            </w:r>
            <w:r>
              <w:rPr>
                <w:rFonts w:hint="eastAsia"/>
                <w:color w:val="auto"/>
                <w:highlight w:val="none"/>
              </w:rPr>
              <w:t>非甲烷总烃，本次评价</w:t>
            </w:r>
            <w:r>
              <w:rPr>
                <w:rFonts w:hint="eastAsia"/>
                <w:color w:val="auto"/>
                <w:highlight w:val="none"/>
                <w:lang w:val="en-US" w:eastAsia="zh-CN"/>
              </w:rPr>
              <w:t>引用</w:t>
            </w:r>
            <w:r>
              <w:rPr>
                <w:rFonts w:hint="eastAsia"/>
                <w:color w:val="auto"/>
                <w:highlight w:val="none"/>
                <w:lang w:eastAsia="zh-CN"/>
              </w:rPr>
              <w:t>《</w:t>
            </w:r>
            <w:r>
              <w:rPr>
                <w:rFonts w:hint="eastAsia"/>
                <w:color w:val="auto"/>
                <w:highlight w:val="none"/>
                <w:lang w:val="en-US" w:eastAsia="zh-CN"/>
              </w:rPr>
              <w:t>陕西国久泰新材料科技有限公司塑料管生产项目环境质量现状监测报告</w:t>
            </w:r>
            <w:r>
              <w:rPr>
                <w:rFonts w:hint="eastAsia"/>
                <w:color w:val="auto"/>
                <w:highlight w:val="none"/>
                <w:lang w:eastAsia="zh-CN"/>
              </w:rPr>
              <w:t>》</w:t>
            </w:r>
            <w:r>
              <w:rPr>
                <w:rFonts w:hint="eastAsia"/>
                <w:color w:val="auto"/>
                <w:highlight w:val="none"/>
              </w:rPr>
              <w:t>（秦研（</w:t>
            </w:r>
            <w:r>
              <w:rPr>
                <w:rFonts w:hint="eastAsia"/>
                <w:color w:val="auto"/>
                <w:highlight w:val="none"/>
                <w:lang w:val="en-US" w:eastAsia="zh-CN"/>
              </w:rPr>
              <w:t>综</w:t>
            </w:r>
            <w:r>
              <w:rPr>
                <w:rFonts w:hint="eastAsia"/>
                <w:color w:val="auto"/>
                <w:highlight w:val="none"/>
              </w:rPr>
              <w:t>）</w:t>
            </w:r>
            <w:r>
              <w:rPr>
                <w:rFonts w:hint="eastAsia"/>
                <w:color w:val="auto"/>
                <w:highlight w:val="none"/>
                <w:lang w:val="en-US" w:eastAsia="zh-CN"/>
              </w:rPr>
              <w:t>2212022</w:t>
            </w:r>
            <w:r>
              <w:rPr>
                <w:rFonts w:hint="eastAsia"/>
                <w:color w:val="auto"/>
                <w:highlight w:val="none"/>
              </w:rPr>
              <w:t>号，</w:t>
            </w:r>
            <w:r>
              <w:rPr>
                <w:rFonts w:hint="eastAsia"/>
                <w:color w:val="auto"/>
                <w:highlight w:val="none"/>
                <w:lang w:eastAsia="zh-CN"/>
              </w:rPr>
              <w:t>（</w:t>
            </w:r>
            <w:r>
              <w:rPr>
                <w:rFonts w:hint="eastAsia"/>
                <w:color w:val="auto"/>
                <w:highlight w:val="none"/>
              </w:rPr>
              <w:t>具体见附件</w:t>
            </w:r>
            <w:r>
              <w:rPr>
                <w:rFonts w:hint="eastAsia"/>
                <w:color w:val="auto"/>
                <w:highlight w:val="none"/>
                <w:lang w:val="en-US" w:eastAsia="zh-CN"/>
              </w:rPr>
              <w:t>11</w:t>
            </w:r>
            <w:r>
              <w:rPr>
                <w:rFonts w:hint="eastAsia"/>
                <w:color w:val="auto"/>
                <w:highlight w:val="none"/>
                <w:lang w:eastAsia="zh-CN"/>
              </w:rPr>
              <w:t>）</w:t>
            </w:r>
            <w:r>
              <w:rPr>
                <w:rFonts w:hint="default" w:ascii="Times New Roman" w:hAnsi="Times New Roman" w:cs="Times New Roman"/>
                <w:color w:val="auto"/>
                <w:sz w:val="24"/>
                <w:lang w:val="en-US" w:eastAsia="zh-CN"/>
              </w:rPr>
              <w:t>，</w:t>
            </w:r>
            <w:r>
              <w:rPr>
                <w:rFonts w:hint="default" w:ascii="Times New Roman" w:hAnsi="Times New Roman" w:cs="Times New Roman"/>
                <w:color w:val="auto"/>
                <w:sz w:val="24"/>
              </w:rPr>
              <w:t>监测点位</w:t>
            </w:r>
            <w:r>
              <w:rPr>
                <w:rFonts w:hint="eastAsia" w:cs="Times New Roman"/>
                <w:color w:val="auto"/>
                <w:sz w:val="24"/>
                <w:lang w:val="en-US" w:eastAsia="zh-CN"/>
              </w:rPr>
              <w:t>为</w:t>
            </w:r>
            <w:r>
              <w:rPr>
                <w:rFonts w:hint="default" w:ascii="Times New Roman" w:hAnsi="Times New Roman" w:cs="Times New Roman"/>
                <w:color w:val="auto"/>
                <w:sz w:val="24"/>
              </w:rPr>
              <w:t>本项目</w:t>
            </w:r>
            <w:r>
              <w:rPr>
                <w:rFonts w:hint="eastAsia" w:cs="Times New Roman"/>
                <w:color w:val="auto"/>
                <w:sz w:val="24"/>
                <w:lang w:val="en-US" w:eastAsia="zh-CN"/>
              </w:rPr>
              <w:t>南</w:t>
            </w:r>
            <w:r>
              <w:rPr>
                <w:rFonts w:hint="default" w:ascii="Times New Roman" w:hAnsi="Times New Roman" w:cs="Times New Roman"/>
                <w:color w:val="auto"/>
                <w:sz w:val="24"/>
              </w:rPr>
              <w:t>侧</w:t>
            </w:r>
            <w:r>
              <w:rPr>
                <w:rFonts w:hint="eastAsia" w:cs="Times New Roman"/>
                <w:color w:val="auto"/>
                <w:sz w:val="24"/>
                <w:lang w:val="en-US" w:eastAsia="zh-CN"/>
              </w:rPr>
              <w:t>956</w:t>
            </w:r>
            <w:r>
              <w:rPr>
                <w:rFonts w:hint="default" w:ascii="Times New Roman" w:hAnsi="Times New Roman" w:cs="Times New Roman"/>
                <w:color w:val="auto"/>
                <w:sz w:val="24"/>
                <w:lang w:val="en-US" w:eastAsia="zh-CN"/>
              </w:rPr>
              <w:t>m</w:t>
            </w:r>
            <w:r>
              <w:rPr>
                <w:rFonts w:hint="default" w:ascii="Times New Roman" w:hAnsi="Times New Roman" w:cs="Times New Roman"/>
                <w:color w:val="auto"/>
                <w:sz w:val="24"/>
              </w:rPr>
              <w:t>，监测日期为20</w:t>
            </w:r>
            <w:r>
              <w:rPr>
                <w:rFonts w:hint="default" w:ascii="Times New Roman" w:hAnsi="Times New Roman" w:cs="Times New Roman"/>
                <w:color w:val="auto"/>
                <w:sz w:val="24"/>
                <w:lang w:val="en-US" w:eastAsia="zh-CN"/>
              </w:rPr>
              <w:t>2</w:t>
            </w:r>
            <w:r>
              <w:rPr>
                <w:rFonts w:hint="eastAsia" w:cs="Times New Roman"/>
                <w:color w:val="auto"/>
                <w:sz w:val="24"/>
                <w:lang w:val="en-US" w:eastAsia="zh-CN"/>
              </w:rPr>
              <w:t>4</w:t>
            </w:r>
            <w:r>
              <w:rPr>
                <w:rFonts w:hint="default" w:ascii="Times New Roman" w:hAnsi="Times New Roman" w:cs="Times New Roman"/>
                <w:color w:val="auto"/>
                <w:sz w:val="24"/>
              </w:rPr>
              <w:t>年</w:t>
            </w:r>
            <w:r>
              <w:rPr>
                <w:rFonts w:hint="eastAsia" w:cs="Times New Roman"/>
                <w:color w:val="auto"/>
                <w:sz w:val="24"/>
                <w:lang w:val="en-US" w:eastAsia="zh-CN"/>
              </w:rPr>
              <w:t>1</w:t>
            </w:r>
            <w:r>
              <w:rPr>
                <w:rFonts w:hint="default" w:ascii="Times New Roman" w:hAnsi="Times New Roman" w:cs="Times New Roman"/>
                <w:color w:val="auto"/>
                <w:sz w:val="24"/>
              </w:rPr>
              <w:t>月1</w:t>
            </w:r>
            <w:r>
              <w:rPr>
                <w:rFonts w:hint="eastAsia" w:cs="Times New Roman"/>
                <w:color w:val="auto"/>
                <w:sz w:val="24"/>
                <w:lang w:val="en-US" w:eastAsia="zh-CN"/>
              </w:rPr>
              <w:t>2</w:t>
            </w:r>
            <w:r>
              <w:rPr>
                <w:rFonts w:hint="default" w:ascii="Times New Roman" w:hAnsi="Times New Roman" w:cs="Times New Roman"/>
                <w:color w:val="auto"/>
                <w:sz w:val="24"/>
              </w:rPr>
              <w:t>日至</w:t>
            </w:r>
            <w:r>
              <w:rPr>
                <w:rFonts w:hint="eastAsia" w:cs="Times New Roman"/>
                <w:color w:val="auto"/>
                <w:sz w:val="24"/>
                <w:lang w:val="en-US" w:eastAsia="zh-CN"/>
              </w:rPr>
              <w:t>1</w:t>
            </w:r>
            <w:r>
              <w:rPr>
                <w:rFonts w:hint="default" w:ascii="Times New Roman" w:hAnsi="Times New Roman" w:cs="Times New Roman"/>
                <w:color w:val="auto"/>
                <w:sz w:val="24"/>
              </w:rPr>
              <w:t>月</w:t>
            </w:r>
            <w:r>
              <w:rPr>
                <w:rFonts w:hint="eastAsia" w:cs="Times New Roman"/>
                <w:color w:val="auto"/>
                <w:sz w:val="24"/>
                <w:lang w:val="en-US" w:eastAsia="zh-CN"/>
              </w:rPr>
              <w:t>19</w:t>
            </w:r>
            <w:r>
              <w:rPr>
                <w:rFonts w:hint="default" w:ascii="Times New Roman" w:hAnsi="Times New Roman" w:cs="Times New Roman"/>
                <w:color w:val="auto"/>
                <w:sz w:val="24"/>
              </w:rPr>
              <w:t>日，监测数据</w:t>
            </w:r>
            <w:r>
              <w:rPr>
                <w:rFonts w:hint="eastAsia" w:ascii="Times New Roman" w:hAnsi="Times New Roman" w:cs="Times New Roman"/>
                <w:color w:val="auto"/>
                <w:sz w:val="24"/>
                <w:lang w:val="en-US" w:eastAsia="zh-CN"/>
              </w:rPr>
              <w:t>在有效期</w:t>
            </w:r>
            <w:r>
              <w:rPr>
                <w:rFonts w:hint="eastAsia" w:cs="Times New Roman"/>
                <w:color w:val="auto"/>
                <w:sz w:val="24"/>
                <w:lang w:val="en-US" w:eastAsia="zh-CN"/>
              </w:rPr>
              <w:t>内</w:t>
            </w:r>
            <w:r>
              <w:rPr>
                <w:rFonts w:hint="default" w:ascii="Times New Roman" w:hAnsi="Times New Roman" w:cs="Times New Roman"/>
                <w:color w:val="auto"/>
                <w:sz w:val="24"/>
              </w:rPr>
              <w:t>，由以上分析可知，本次监测数据引用合理</w:t>
            </w:r>
            <w:r>
              <w:rPr>
                <w:rFonts w:hint="eastAsia"/>
                <w:color w:val="auto"/>
                <w:highlight w:val="none"/>
              </w:rPr>
              <w:t>。</w:t>
            </w:r>
          </w:p>
          <w:p>
            <w:pPr>
              <w:keepNext w:val="0"/>
              <w:keepLines w:val="0"/>
              <w:widowControl/>
              <w:suppressLineNumbers w:val="0"/>
              <w:adjustRightInd w:val="0"/>
              <w:snapToGrid w:val="0"/>
              <w:spacing w:before="0" w:beforeAutospacing="0" w:after="0" w:afterAutospacing="0"/>
              <w:ind w:left="0" w:right="0" w:firstLine="480"/>
              <w:rPr>
                <w:rFonts w:hint="default" w:eastAsia="宋体"/>
                <w:b/>
                <w:bCs/>
                <w:color w:val="auto"/>
                <w:highlight w:val="none"/>
                <w:lang w:val="zh-CN"/>
              </w:rPr>
            </w:pPr>
            <w:r>
              <w:rPr>
                <w:rFonts w:hint="eastAsia"/>
                <w:bCs/>
                <w:color w:val="auto"/>
                <w:highlight w:val="none"/>
              </w:rPr>
              <w:t>监测结果内容如下。</w:t>
            </w:r>
          </w:p>
          <w:p>
            <w:pPr>
              <w:pStyle w:val="77"/>
              <w:keepNext w:val="0"/>
              <w:keepLines w:val="0"/>
              <w:widowControl/>
              <w:suppressLineNumbers w:val="0"/>
              <w:spacing w:before="0" w:beforeLines="0" w:beforeAutospacing="0" w:after="0" w:afterAutospacing="0" w:line="240" w:lineRule="auto"/>
              <w:ind w:left="0" w:right="0"/>
              <w:rPr>
                <w:rFonts w:hint="default" w:eastAsia="宋体"/>
                <w:b/>
                <w:bCs/>
                <w:color w:val="auto"/>
                <w:highlight w:val="none"/>
                <w:lang w:val="zh-CN"/>
              </w:rPr>
            </w:pPr>
            <w:r>
              <w:rPr>
                <w:rFonts w:hint="default" w:eastAsia="宋体"/>
                <w:b/>
                <w:bCs/>
                <w:color w:val="auto"/>
                <w:highlight w:val="none"/>
                <w:lang w:val="zh-CN"/>
              </w:rPr>
              <w:t>表</w:t>
            </w:r>
            <w:r>
              <w:rPr>
                <w:rFonts w:hint="eastAsia" w:eastAsia="宋体"/>
                <w:b/>
                <w:bCs/>
                <w:color w:val="auto"/>
                <w:highlight w:val="none"/>
              </w:rPr>
              <w:t>3-2</w:t>
            </w:r>
            <w:r>
              <w:rPr>
                <w:rFonts w:hint="default" w:eastAsia="宋体"/>
                <w:b/>
                <w:bCs/>
                <w:color w:val="auto"/>
                <w:highlight w:val="none"/>
                <w:lang w:val="zh-CN"/>
              </w:rPr>
              <w:t xml:space="preserve">  </w:t>
            </w:r>
            <w:r>
              <w:rPr>
                <w:rFonts w:hint="eastAsia" w:eastAsia="宋体"/>
                <w:b/>
                <w:bCs/>
                <w:color w:val="auto"/>
                <w:highlight w:val="none"/>
              </w:rPr>
              <w:t>特征污染物</w:t>
            </w:r>
            <w:r>
              <w:rPr>
                <w:rFonts w:hint="default" w:eastAsia="宋体"/>
                <w:b/>
                <w:bCs/>
                <w:color w:val="auto"/>
                <w:highlight w:val="none"/>
                <w:lang w:val="zh-CN"/>
              </w:rPr>
              <w:t>监测结果</w:t>
            </w:r>
            <w:r>
              <w:rPr>
                <w:rFonts w:hint="eastAsia" w:eastAsia="宋体"/>
                <w:b/>
                <w:bCs/>
                <w:color w:val="auto"/>
                <w:highlight w:val="none"/>
              </w:rPr>
              <w:t>一览</w:t>
            </w:r>
            <w:r>
              <w:rPr>
                <w:rFonts w:hint="default" w:eastAsia="宋体"/>
                <w:b/>
                <w:bCs/>
                <w:color w:val="auto"/>
                <w:highlight w:val="none"/>
                <w:lang w:val="zh-CN"/>
              </w:rPr>
              <w:t>表</w:t>
            </w:r>
          </w:p>
          <w:tbl>
            <w:tblPr>
              <w:tblStyle w:val="37"/>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630"/>
              <w:gridCol w:w="826"/>
              <w:gridCol w:w="788"/>
              <w:gridCol w:w="788"/>
              <w:gridCol w:w="788"/>
              <w:gridCol w:w="800"/>
              <w:gridCol w:w="864"/>
              <w:gridCol w:w="68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9" w:type="pct"/>
                  <w:vMerge w:val="restart"/>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污染物</w:t>
                  </w:r>
                </w:p>
              </w:tc>
              <w:tc>
                <w:tcPr>
                  <w:tcW w:w="1014" w:type="pct"/>
                  <w:vMerge w:val="restart"/>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采样日期</w:t>
                  </w:r>
                </w:p>
              </w:tc>
              <w:tc>
                <w:tcPr>
                  <w:tcW w:w="514" w:type="pct"/>
                  <w:vMerge w:val="restart"/>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单位</w:t>
                  </w:r>
                </w:p>
              </w:tc>
              <w:tc>
                <w:tcPr>
                  <w:tcW w:w="1969" w:type="pct"/>
                  <w:gridSpan w:val="4"/>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检测结果</w:t>
                  </w:r>
                </w:p>
              </w:tc>
              <w:tc>
                <w:tcPr>
                  <w:tcW w:w="537" w:type="pct"/>
                  <w:vMerge w:val="restart"/>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标准值</w:t>
                  </w:r>
                </w:p>
              </w:tc>
              <w:tc>
                <w:tcPr>
                  <w:tcW w:w="425" w:type="pct"/>
                  <w:vMerge w:val="restart"/>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9" w:type="pct"/>
                  <w:vMerge w:val="continue"/>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color w:val="auto"/>
                      <w:sz w:val="21"/>
                      <w:szCs w:val="21"/>
                      <w:highlight w:val="none"/>
                    </w:rPr>
                  </w:pPr>
                </w:p>
              </w:tc>
              <w:tc>
                <w:tcPr>
                  <w:tcW w:w="1014" w:type="pct"/>
                  <w:vMerge w:val="continue"/>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color w:val="auto"/>
                      <w:sz w:val="21"/>
                      <w:szCs w:val="21"/>
                      <w:highlight w:val="none"/>
                    </w:rPr>
                  </w:pPr>
                </w:p>
              </w:tc>
              <w:tc>
                <w:tcPr>
                  <w:tcW w:w="514" w:type="pct"/>
                  <w:vMerge w:val="continue"/>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color w:val="auto"/>
                      <w:sz w:val="21"/>
                      <w:szCs w:val="21"/>
                      <w:highlight w:val="none"/>
                    </w:rPr>
                  </w:pPr>
                </w:p>
              </w:tc>
              <w:tc>
                <w:tcPr>
                  <w:tcW w:w="490" w:type="pct"/>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rPr>
                      <w:rFonts w:hint="default"/>
                      <w:color w:val="auto"/>
                      <w:sz w:val="21"/>
                      <w:szCs w:val="21"/>
                      <w:highlight w:val="none"/>
                    </w:rPr>
                  </w:pPr>
                  <w:r>
                    <w:rPr>
                      <w:rFonts w:hint="eastAsia"/>
                      <w:color w:val="auto"/>
                      <w:sz w:val="20"/>
                      <w:szCs w:val="20"/>
                      <w:highlight w:val="none"/>
                    </w:rPr>
                    <w:t>第1次</w:t>
                  </w:r>
                </w:p>
              </w:tc>
              <w:tc>
                <w:tcPr>
                  <w:tcW w:w="490" w:type="pct"/>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eastAsia"/>
                      <w:color w:val="auto"/>
                      <w:sz w:val="20"/>
                      <w:szCs w:val="20"/>
                      <w:highlight w:val="none"/>
                    </w:rPr>
                    <w:t>第2次</w:t>
                  </w:r>
                </w:p>
              </w:tc>
              <w:tc>
                <w:tcPr>
                  <w:tcW w:w="490" w:type="pct"/>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eastAsia"/>
                      <w:color w:val="auto"/>
                      <w:sz w:val="20"/>
                      <w:szCs w:val="20"/>
                      <w:highlight w:val="none"/>
                    </w:rPr>
                    <w:t>第3次</w:t>
                  </w:r>
                </w:p>
              </w:tc>
              <w:tc>
                <w:tcPr>
                  <w:tcW w:w="497" w:type="pct"/>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eastAsia"/>
                      <w:color w:val="auto"/>
                      <w:sz w:val="20"/>
                      <w:szCs w:val="20"/>
                      <w:highlight w:val="none"/>
                    </w:rPr>
                    <w:t>第4次</w:t>
                  </w:r>
                </w:p>
              </w:tc>
              <w:tc>
                <w:tcPr>
                  <w:tcW w:w="537" w:type="pct"/>
                  <w:vMerge w:val="continue"/>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color w:val="auto"/>
                      <w:sz w:val="21"/>
                      <w:szCs w:val="21"/>
                      <w:highlight w:val="none"/>
                    </w:rPr>
                  </w:pPr>
                </w:p>
              </w:tc>
              <w:tc>
                <w:tcPr>
                  <w:tcW w:w="425" w:type="pct"/>
                  <w:vMerge w:val="continue"/>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9" w:type="pct"/>
                  <w:vMerge w:val="restart"/>
                  <w:tcBorders>
                    <w:tl2br w:val="nil"/>
                    <w:tr2bl w:val="nil"/>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非甲烷总烃</w:t>
                  </w:r>
                </w:p>
              </w:tc>
              <w:tc>
                <w:tcPr>
                  <w:tcW w:w="1014" w:type="pct"/>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color w:val="auto"/>
                      <w:sz w:val="21"/>
                      <w:szCs w:val="21"/>
                      <w:highlight w:val="none"/>
                    </w:rPr>
                  </w:pPr>
                  <w:r>
                    <w:rPr>
                      <w:rFonts w:hint="eastAsia"/>
                      <w:color w:val="auto"/>
                      <w:sz w:val="21"/>
                      <w:szCs w:val="21"/>
                      <w:highlight w:val="none"/>
                      <w:lang w:val="en-US" w:eastAsia="zh-CN"/>
                    </w:rPr>
                    <w:t>1</w:t>
                  </w:r>
                  <w:r>
                    <w:rPr>
                      <w:rFonts w:hint="default"/>
                      <w:color w:val="auto"/>
                      <w:sz w:val="21"/>
                      <w:szCs w:val="21"/>
                      <w:highlight w:val="none"/>
                    </w:rPr>
                    <w:t>月</w:t>
                  </w:r>
                  <w:r>
                    <w:rPr>
                      <w:rFonts w:hint="eastAsia"/>
                      <w:color w:val="auto"/>
                      <w:sz w:val="21"/>
                      <w:szCs w:val="21"/>
                      <w:highlight w:val="none"/>
                      <w:lang w:val="en-US" w:eastAsia="zh-CN"/>
                    </w:rPr>
                    <w:t>12</w:t>
                  </w:r>
                  <w:r>
                    <w:rPr>
                      <w:rFonts w:hint="default"/>
                      <w:color w:val="auto"/>
                      <w:sz w:val="21"/>
                      <w:szCs w:val="21"/>
                      <w:highlight w:val="none"/>
                    </w:rPr>
                    <w:t>日</w:t>
                  </w:r>
                  <w:r>
                    <w:rPr>
                      <w:rFonts w:hint="eastAsia"/>
                      <w:color w:val="auto"/>
                      <w:sz w:val="21"/>
                      <w:szCs w:val="21"/>
                      <w:highlight w:val="none"/>
                      <w:lang w:val="en-US" w:eastAsia="zh-CN"/>
                    </w:rPr>
                    <w:t>~13日</w:t>
                  </w:r>
                </w:p>
              </w:tc>
              <w:tc>
                <w:tcPr>
                  <w:tcW w:w="514" w:type="pct"/>
                  <w:vMerge w:val="restart"/>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color w:val="auto"/>
                      <w:sz w:val="21"/>
                      <w:szCs w:val="21"/>
                      <w:highlight w:val="none"/>
                    </w:rPr>
                  </w:pPr>
                  <w:r>
                    <w:rPr>
                      <w:rFonts w:hint="default"/>
                      <w:color w:val="auto"/>
                      <w:sz w:val="21"/>
                      <w:szCs w:val="21"/>
                      <w:highlight w:val="none"/>
                    </w:rPr>
                    <w:t>mg/m</w:t>
                  </w:r>
                  <w:r>
                    <w:rPr>
                      <w:rFonts w:hint="default"/>
                      <w:color w:val="auto"/>
                      <w:sz w:val="21"/>
                      <w:szCs w:val="21"/>
                      <w:highlight w:val="none"/>
                      <w:vertAlign w:val="superscript"/>
                    </w:rPr>
                    <w:t>3</w:t>
                  </w:r>
                </w:p>
              </w:tc>
              <w:tc>
                <w:tcPr>
                  <w:tcW w:w="490" w:type="pct"/>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0.87</w:t>
                  </w:r>
                </w:p>
              </w:tc>
              <w:tc>
                <w:tcPr>
                  <w:tcW w:w="490" w:type="pct"/>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0.92</w:t>
                  </w:r>
                </w:p>
              </w:tc>
              <w:tc>
                <w:tcPr>
                  <w:tcW w:w="490" w:type="pct"/>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0.89</w:t>
                  </w:r>
                </w:p>
              </w:tc>
              <w:tc>
                <w:tcPr>
                  <w:tcW w:w="497" w:type="pct"/>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0.89</w:t>
                  </w:r>
                </w:p>
              </w:tc>
              <w:tc>
                <w:tcPr>
                  <w:tcW w:w="537" w:type="pct"/>
                  <w:vMerge w:val="restart"/>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2.0</w:t>
                  </w:r>
                </w:p>
              </w:tc>
              <w:tc>
                <w:tcPr>
                  <w:tcW w:w="425" w:type="pct"/>
                  <w:vMerge w:val="restart"/>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9" w:type="pct"/>
                  <w:vMerge w:val="continue"/>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color w:val="auto"/>
                      <w:sz w:val="21"/>
                      <w:szCs w:val="21"/>
                      <w:highlight w:val="none"/>
                    </w:rPr>
                  </w:pPr>
                </w:p>
              </w:tc>
              <w:tc>
                <w:tcPr>
                  <w:tcW w:w="101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color w:val="auto"/>
                      <w:sz w:val="21"/>
                      <w:szCs w:val="21"/>
                      <w:highlight w:val="none"/>
                    </w:rPr>
                  </w:pPr>
                  <w:r>
                    <w:rPr>
                      <w:rFonts w:hint="eastAsia"/>
                      <w:color w:val="auto"/>
                      <w:sz w:val="21"/>
                      <w:szCs w:val="21"/>
                      <w:highlight w:val="none"/>
                      <w:lang w:val="en-US" w:eastAsia="zh-CN"/>
                    </w:rPr>
                    <w:t>1</w:t>
                  </w:r>
                  <w:r>
                    <w:rPr>
                      <w:rFonts w:hint="default"/>
                      <w:color w:val="auto"/>
                      <w:sz w:val="21"/>
                      <w:szCs w:val="21"/>
                      <w:highlight w:val="none"/>
                    </w:rPr>
                    <w:t>月</w:t>
                  </w:r>
                  <w:r>
                    <w:rPr>
                      <w:rFonts w:hint="eastAsia"/>
                      <w:color w:val="auto"/>
                      <w:sz w:val="21"/>
                      <w:szCs w:val="21"/>
                      <w:highlight w:val="none"/>
                      <w:lang w:val="en-US" w:eastAsia="zh-CN"/>
                    </w:rPr>
                    <w:t>13</w:t>
                  </w:r>
                  <w:r>
                    <w:rPr>
                      <w:rFonts w:hint="default"/>
                      <w:color w:val="auto"/>
                      <w:sz w:val="21"/>
                      <w:szCs w:val="21"/>
                      <w:highlight w:val="none"/>
                    </w:rPr>
                    <w:t>日</w:t>
                  </w:r>
                  <w:r>
                    <w:rPr>
                      <w:rFonts w:hint="eastAsia"/>
                      <w:color w:val="auto"/>
                      <w:sz w:val="21"/>
                      <w:szCs w:val="21"/>
                      <w:highlight w:val="none"/>
                      <w:lang w:val="en-US" w:eastAsia="zh-CN"/>
                    </w:rPr>
                    <w:t>~14日</w:t>
                  </w:r>
                </w:p>
              </w:tc>
              <w:tc>
                <w:tcPr>
                  <w:tcW w:w="514" w:type="pct"/>
                  <w:vMerge w:val="continue"/>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color w:val="auto"/>
                      <w:sz w:val="21"/>
                      <w:szCs w:val="21"/>
                      <w:highlight w:val="none"/>
                    </w:rPr>
                  </w:pPr>
                </w:p>
              </w:tc>
              <w:tc>
                <w:tcPr>
                  <w:tcW w:w="490" w:type="pct"/>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0.82</w:t>
                  </w:r>
                </w:p>
              </w:tc>
              <w:tc>
                <w:tcPr>
                  <w:tcW w:w="490" w:type="pct"/>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0.89</w:t>
                  </w:r>
                </w:p>
              </w:tc>
              <w:tc>
                <w:tcPr>
                  <w:tcW w:w="490" w:type="pct"/>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0.84</w:t>
                  </w:r>
                </w:p>
              </w:tc>
              <w:tc>
                <w:tcPr>
                  <w:tcW w:w="497" w:type="pct"/>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0.87</w:t>
                  </w:r>
                </w:p>
              </w:tc>
              <w:tc>
                <w:tcPr>
                  <w:tcW w:w="537" w:type="pct"/>
                  <w:vMerge w:val="continue"/>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color w:val="auto"/>
                      <w:sz w:val="21"/>
                      <w:szCs w:val="21"/>
                      <w:highlight w:val="none"/>
                    </w:rPr>
                  </w:pPr>
                </w:p>
              </w:tc>
              <w:tc>
                <w:tcPr>
                  <w:tcW w:w="425" w:type="pct"/>
                  <w:vMerge w:val="continue"/>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9" w:type="pct"/>
                  <w:vMerge w:val="continue"/>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color w:val="auto"/>
                      <w:sz w:val="21"/>
                      <w:szCs w:val="21"/>
                      <w:highlight w:val="none"/>
                    </w:rPr>
                  </w:pPr>
                </w:p>
              </w:tc>
              <w:tc>
                <w:tcPr>
                  <w:tcW w:w="101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color w:val="auto"/>
                      <w:sz w:val="21"/>
                      <w:szCs w:val="21"/>
                      <w:highlight w:val="none"/>
                    </w:rPr>
                  </w:pPr>
                  <w:r>
                    <w:rPr>
                      <w:rFonts w:hint="eastAsia"/>
                      <w:color w:val="auto"/>
                      <w:sz w:val="21"/>
                      <w:szCs w:val="21"/>
                      <w:highlight w:val="none"/>
                      <w:lang w:val="en-US" w:eastAsia="zh-CN"/>
                    </w:rPr>
                    <w:t>1</w:t>
                  </w:r>
                  <w:r>
                    <w:rPr>
                      <w:rFonts w:hint="default"/>
                      <w:color w:val="auto"/>
                      <w:sz w:val="21"/>
                      <w:szCs w:val="21"/>
                      <w:highlight w:val="none"/>
                    </w:rPr>
                    <w:t>月</w:t>
                  </w:r>
                  <w:r>
                    <w:rPr>
                      <w:rFonts w:hint="eastAsia"/>
                      <w:color w:val="auto"/>
                      <w:sz w:val="21"/>
                      <w:szCs w:val="21"/>
                      <w:highlight w:val="none"/>
                      <w:lang w:val="en-US" w:eastAsia="zh-CN"/>
                    </w:rPr>
                    <w:t>14</w:t>
                  </w:r>
                  <w:r>
                    <w:rPr>
                      <w:rFonts w:hint="default"/>
                      <w:color w:val="auto"/>
                      <w:sz w:val="21"/>
                      <w:szCs w:val="21"/>
                      <w:highlight w:val="none"/>
                    </w:rPr>
                    <w:t>日</w:t>
                  </w:r>
                  <w:r>
                    <w:rPr>
                      <w:rFonts w:hint="eastAsia"/>
                      <w:color w:val="auto"/>
                      <w:sz w:val="21"/>
                      <w:szCs w:val="21"/>
                      <w:highlight w:val="none"/>
                      <w:lang w:val="en-US" w:eastAsia="zh-CN"/>
                    </w:rPr>
                    <w:t>~15日</w:t>
                  </w:r>
                </w:p>
              </w:tc>
              <w:tc>
                <w:tcPr>
                  <w:tcW w:w="514" w:type="pct"/>
                  <w:vMerge w:val="continue"/>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color w:val="auto"/>
                      <w:sz w:val="21"/>
                      <w:szCs w:val="21"/>
                      <w:highlight w:val="none"/>
                    </w:rPr>
                  </w:pPr>
                </w:p>
              </w:tc>
              <w:tc>
                <w:tcPr>
                  <w:tcW w:w="490" w:type="pct"/>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0.87</w:t>
                  </w:r>
                </w:p>
              </w:tc>
              <w:tc>
                <w:tcPr>
                  <w:tcW w:w="490" w:type="pct"/>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0.87</w:t>
                  </w:r>
                </w:p>
              </w:tc>
              <w:tc>
                <w:tcPr>
                  <w:tcW w:w="490" w:type="pct"/>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0.85</w:t>
                  </w:r>
                </w:p>
              </w:tc>
              <w:tc>
                <w:tcPr>
                  <w:tcW w:w="497" w:type="pct"/>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0.85</w:t>
                  </w:r>
                </w:p>
              </w:tc>
              <w:tc>
                <w:tcPr>
                  <w:tcW w:w="537" w:type="pct"/>
                  <w:vMerge w:val="continue"/>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color w:val="auto"/>
                      <w:sz w:val="21"/>
                      <w:szCs w:val="21"/>
                      <w:highlight w:val="none"/>
                    </w:rPr>
                  </w:pPr>
                </w:p>
              </w:tc>
              <w:tc>
                <w:tcPr>
                  <w:tcW w:w="425" w:type="pct"/>
                  <w:vMerge w:val="continue"/>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54" w:hRule="atLeast"/>
                <w:jc w:val="center"/>
              </w:trPr>
              <w:tc>
                <w:tcPr>
                  <w:tcW w:w="539" w:type="pct"/>
                  <w:vMerge w:val="continue"/>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color w:val="auto"/>
                      <w:sz w:val="21"/>
                      <w:szCs w:val="21"/>
                      <w:highlight w:val="none"/>
                    </w:rPr>
                  </w:pPr>
                </w:p>
              </w:tc>
              <w:tc>
                <w:tcPr>
                  <w:tcW w:w="101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color w:val="auto"/>
                      <w:sz w:val="21"/>
                      <w:szCs w:val="21"/>
                      <w:highlight w:val="none"/>
                    </w:rPr>
                  </w:pPr>
                  <w:r>
                    <w:rPr>
                      <w:rFonts w:hint="eastAsia"/>
                      <w:color w:val="auto"/>
                      <w:sz w:val="21"/>
                      <w:szCs w:val="21"/>
                      <w:highlight w:val="none"/>
                      <w:lang w:val="en-US" w:eastAsia="zh-CN"/>
                    </w:rPr>
                    <w:t>1</w:t>
                  </w:r>
                  <w:r>
                    <w:rPr>
                      <w:rFonts w:hint="default"/>
                      <w:color w:val="auto"/>
                      <w:sz w:val="21"/>
                      <w:szCs w:val="21"/>
                      <w:highlight w:val="none"/>
                    </w:rPr>
                    <w:t>月</w:t>
                  </w:r>
                  <w:r>
                    <w:rPr>
                      <w:rFonts w:hint="eastAsia"/>
                      <w:color w:val="auto"/>
                      <w:sz w:val="21"/>
                      <w:szCs w:val="21"/>
                      <w:highlight w:val="none"/>
                      <w:lang w:val="en-US" w:eastAsia="zh-CN"/>
                    </w:rPr>
                    <w:t>15</w:t>
                  </w:r>
                  <w:r>
                    <w:rPr>
                      <w:rFonts w:hint="default"/>
                      <w:color w:val="auto"/>
                      <w:sz w:val="21"/>
                      <w:szCs w:val="21"/>
                      <w:highlight w:val="none"/>
                    </w:rPr>
                    <w:t>日</w:t>
                  </w:r>
                  <w:r>
                    <w:rPr>
                      <w:rFonts w:hint="eastAsia"/>
                      <w:color w:val="auto"/>
                      <w:sz w:val="21"/>
                      <w:szCs w:val="21"/>
                      <w:highlight w:val="none"/>
                      <w:lang w:val="en-US" w:eastAsia="zh-CN"/>
                    </w:rPr>
                    <w:t>~16日</w:t>
                  </w:r>
                </w:p>
              </w:tc>
              <w:tc>
                <w:tcPr>
                  <w:tcW w:w="514" w:type="pct"/>
                  <w:vMerge w:val="continue"/>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color w:val="auto"/>
                      <w:sz w:val="21"/>
                      <w:szCs w:val="21"/>
                      <w:highlight w:val="none"/>
                    </w:rPr>
                  </w:pPr>
                </w:p>
              </w:tc>
              <w:tc>
                <w:tcPr>
                  <w:tcW w:w="490" w:type="pct"/>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0.82</w:t>
                  </w:r>
                </w:p>
              </w:tc>
              <w:tc>
                <w:tcPr>
                  <w:tcW w:w="490" w:type="pct"/>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0.86</w:t>
                  </w:r>
                </w:p>
              </w:tc>
              <w:tc>
                <w:tcPr>
                  <w:tcW w:w="490" w:type="pct"/>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0.86</w:t>
                  </w:r>
                </w:p>
              </w:tc>
              <w:tc>
                <w:tcPr>
                  <w:tcW w:w="497" w:type="pct"/>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0.85</w:t>
                  </w:r>
                </w:p>
              </w:tc>
              <w:tc>
                <w:tcPr>
                  <w:tcW w:w="537" w:type="pct"/>
                  <w:vMerge w:val="continue"/>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color w:val="auto"/>
                      <w:sz w:val="21"/>
                      <w:szCs w:val="21"/>
                      <w:highlight w:val="none"/>
                    </w:rPr>
                  </w:pPr>
                </w:p>
              </w:tc>
              <w:tc>
                <w:tcPr>
                  <w:tcW w:w="425" w:type="pct"/>
                  <w:vMerge w:val="continue"/>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9" w:type="pct"/>
                  <w:vMerge w:val="continue"/>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color w:val="auto"/>
                      <w:sz w:val="21"/>
                      <w:szCs w:val="21"/>
                      <w:highlight w:val="none"/>
                    </w:rPr>
                  </w:pPr>
                </w:p>
              </w:tc>
              <w:tc>
                <w:tcPr>
                  <w:tcW w:w="101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color w:val="auto"/>
                      <w:sz w:val="21"/>
                      <w:szCs w:val="21"/>
                      <w:highlight w:val="none"/>
                    </w:rPr>
                  </w:pPr>
                  <w:r>
                    <w:rPr>
                      <w:rFonts w:hint="eastAsia"/>
                      <w:color w:val="auto"/>
                      <w:sz w:val="21"/>
                      <w:szCs w:val="21"/>
                      <w:highlight w:val="none"/>
                      <w:lang w:val="en-US" w:eastAsia="zh-CN"/>
                    </w:rPr>
                    <w:t>1</w:t>
                  </w:r>
                  <w:r>
                    <w:rPr>
                      <w:rFonts w:hint="default"/>
                      <w:color w:val="auto"/>
                      <w:sz w:val="21"/>
                      <w:szCs w:val="21"/>
                      <w:highlight w:val="none"/>
                    </w:rPr>
                    <w:t>月</w:t>
                  </w:r>
                  <w:r>
                    <w:rPr>
                      <w:rFonts w:hint="eastAsia"/>
                      <w:color w:val="auto"/>
                      <w:sz w:val="21"/>
                      <w:szCs w:val="21"/>
                      <w:highlight w:val="none"/>
                      <w:lang w:val="en-US" w:eastAsia="zh-CN"/>
                    </w:rPr>
                    <w:t>16</w:t>
                  </w:r>
                  <w:r>
                    <w:rPr>
                      <w:rFonts w:hint="default"/>
                      <w:color w:val="auto"/>
                      <w:sz w:val="21"/>
                      <w:szCs w:val="21"/>
                      <w:highlight w:val="none"/>
                    </w:rPr>
                    <w:t>日</w:t>
                  </w:r>
                  <w:r>
                    <w:rPr>
                      <w:rFonts w:hint="eastAsia"/>
                      <w:color w:val="auto"/>
                      <w:sz w:val="21"/>
                      <w:szCs w:val="21"/>
                      <w:highlight w:val="none"/>
                      <w:lang w:val="en-US" w:eastAsia="zh-CN"/>
                    </w:rPr>
                    <w:t>~17日</w:t>
                  </w:r>
                </w:p>
              </w:tc>
              <w:tc>
                <w:tcPr>
                  <w:tcW w:w="514" w:type="pct"/>
                  <w:vMerge w:val="continue"/>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color w:val="auto"/>
                      <w:sz w:val="21"/>
                      <w:szCs w:val="21"/>
                      <w:highlight w:val="none"/>
                    </w:rPr>
                  </w:pPr>
                </w:p>
              </w:tc>
              <w:tc>
                <w:tcPr>
                  <w:tcW w:w="490" w:type="pct"/>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0.90</w:t>
                  </w:r>
                </w:p>
              </w:tc>
              <w:tc>
                <w:tcPr>
                  <w:tcW w:w="490" w:type="pct"/>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0.88</w:t>
                  </w:r>
                </w:p>
              </w:tc>
              <w:tc>
                <w:tcPr>
                  <w:tcW w:w="490" w:type="pct"/>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0.83</w:t>
                  </w:r>
                </w:p>
              </w:tc>
              <w:tc>
                <w:tcPr>
                  <w:tcW w:w="497" w:type="pct"/>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0.80</w:t>
                  </w:r>
                </w:p>
              </w:tc>
              <w:tc>
                <w:tcPr>
                  <w:tcW w:w="537" w:type="pct"/>
                  <w:vMerge w:val="continue"/>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color w:val="auto"/>
                      <w:sz w:val="21"/>
                      <w:szCs w:val="21"/>
                      <w:highlight w:val="none"/>
                    </w:rPr>
                  </w:pPr>
                </w:p>
              </w:tc>
              <w:tc>
                <w:tcPr>
                  <w:tcW w:w="425" w:type="pct"/>
                  <w:vMerge w:val="continue"/>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9" w:type="pct"/>
                  <w:vMerge w:val="continue"/>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color w:val="auto"/>
                      <w:sz w:val="21"/>
                      <w:szCs w:val="21"/>
                      <w:highlight w:val="none"/>
                    </w:rPr>
                  </w:pPr>
                </w:p>
              </w:tc>
              <w:tc>
                <w:tcPr>
                  <w:tcW w:w="101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color w:val="auto"/>
                      <w:sz w:val="21"/>
                      <w:szCs w:val="21"/>
                      <w:highlight w:val="none"/>
                    </w:rPr>
                  </w:pPr>
                  <w:r>
                    <w:rPr>
                      <w:rFonts w:hint="eastAsia"/>
                      <w:color w:val="auto"/>
                      <w:sz w:val="21"/>
                      <w:szCs w:val="21"/>
                      <w:highlight w:val="none"/>
                      <w:lang w:val="en-US" w:eastAsia="zh-CN"/>
                    </w:rPr>
                    <w:t>1</w:t>
                  </w:r>
                  <w:r>
                    <w:rPr>
                      <w:rFonts w:hint="default"/>
                      <w:color w:val="auto"/>
                      <w:sz w:val="21"/>
                      <w:szCs w:val="21"/>
                      <w:highlight w:val="none"/>
                    </w:rPr>
                    <w:t>月</w:t>
                  </w:r>
                  <w:r>
                    <w:rPr>
                      <w:rFonts w:hint="eastAsia"/>
                      <w:color w:val="auto"/>
                      <w:sz w:val="21"/>
                      <w:szCs w:val="21"/>
                      <w:highlight w:val="none"/>
                      <w:lang w:val="en-US" w:eastAsia="zh-CN"/>
                    </w:rPr>
                    <w:t>17</w:t>
                  </w:r>
                  <w:r>
                    <w:rPr>
                      <w:rFonts w:hint="default"/>
                      <w:color w:val="auto"/>
                      <w:sz w:val="21"/>
                      <w:szCs w:val="21"/>
                      <w:highlight w:val="none"/>
                    </w:rPr>
                    <w:t>日</w:t>
                  </w:r>
                  <w:r>
                    <w:rPr>
                      <w:rFonts w:hint="eastAsia"/>
                      <w:color w:val="auto"/>
                      <w:sz w:val="21"/>
                      <w:szCs w:val="21"/>
                      <w:highlight w:val="none"/>
                      <w:lang w:val="en-US" w:eastAsia="zh-CN"/>
                    </w:rPr>
                    <w:t>~18日</w:t>
                  </w:r>
                </w:p>
              </w:tc>
              <w:tc>
                <w:tcPr>
                  <w:tcW w:w="514" w:type="pct"/>
                  <w:vMerge w:val="continue"/>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color w:val="auto"/>
                      <w:sz w:val="21"/>
                      <w:szCs w:val="21"/>
                      <w:highlight w:val="none"/>
                    </w:rPr>
                  </w:pPr>
                </w:p>
              </w:tc>
              <w:tc>
                <w:tcPr>
                  <w:tcW w:w="490" w:type="pct"/>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089</w:t>
                  </w:r>
                </w:p>
              </w:tc>
              <w:tc>
                <w:tcPr>
                  <w:tcW w:w="490" w:type="pct"/>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0.91</w:t>
                  </w:r>
                </w:p>
              </w:tc>
              <w:tc>
                <w:tcPr>
                  <w:tcW w:w="490" w:type="pct"/>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0.91</w:t>
                  </w:r>
                </w:p>
              </w:tc>
              <w:tc>
                <w:tcPr>
                  <w:tcW w:w="497" w:type="pct"/>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0.93</w:t>
                  </w:r>
                </w:p>
              </w:tc>
              <w:tc>
                <w:tcPr>
                  <w:tcW w:w="537" w:type="pct"/>
                  <w:vMerge w:val="continue"/>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color w:val="auto"/>
                      <w:sz w:val="21"/>
                      <w:szCs w:val="21"/>
                      <w:highlight w:val="none"/>
                    </w:rPr>
                  </w:pPr>
                </w:p>
              </w:tc>
              <w:tc>
                <w:tcPr>
                  <w:tcW w:w="425" w:type="pct"/>
                  <w:vMerge w:val="continue"/>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9" w:type="pct"/>
                  <w:vMerge w:val="continue"/>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color w:val="auto"/>
                      <w:sz w:val="21"/>
                      <w:szCs w:val="21"/>
                      <w:highlight w:val="none"/>
                    </w:rPr>
                  </w:pPr>
                </w:p>
              </w:tc>
              <w:tc>
                <w:tcPr>
                  <w:tcW w:w="101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color w:val="auto"/>
                      <w:sz w:val="21"/>
                      <w:szCs w:val="21"/>
                      <w:highlight w:val="none"/>
                    </w:rPr>
                  </w:pPr>
                  <w:r>
                    <w:rPr>
                      <w:rFonts w:hint="eastAsia"/>
                      <w:color w:val="auto"/>
                      <w:sz w:val="21"/>
                      <w:szCs w:val="21"/>
                      <w:highlight w:val="none"/>
                      <w:lang w:val="en-US" w:eastAsia="zh-CN"/>
                    </w:rPr>
                    <w:t>1</w:t>
                  </w:r>
                  <w:r>
                    <w:rPr>
                      <w:rFonts w:hint="default"/>
                      <w:color w:val="auto"/>
                      <w:sz w:val="21"/>
                      <w:szCs w:val="21"/>
                      <w:highlight w:val="none"/>
                    </w:rPr>
                    <w:t>月</w:t>
                  </w:r>
                  <w:r>
                    <w:rPr>
                      <w:rFonts w:hint="eastAsia"/>
                      <w:color w:val="auto"/>
                      <w:sz w:val="21"/>
                      <w:szCs w:val="21"/>
                      <w:highlight w:val="none"/>
                      <w:lang w:val="en-US" w:eastAsia="zh-CN"/>
                    </w:rPr>
                    <w:t>18</w:t>
                  </w:r>
                  <w:r>
                    <w:rPr>
                      <w:rFonts w:hint="default"/>
                      <w:color w:val="auto"/>
                      <w:sz w:val="21"/>
                      <w:szCs w:val="21"/>
                      <w:highlight w:val="none"/>
                    </w:rPr>
                    <w:t>日</w:t>
                  </w:r>
                  <w:r>
                    <w:rPr>
                      <w:rFonts w:hint="eastAsia"/>
                      <w:color w:val="auto"/>
                      <w:sz w:val="21"/>
                      <w:szCs w:val="21"/>
                      <w:highlight w:val="none"/>
                      <w:lang w:val="en-US" w:eastAsia="zh-CN"/>
                    </w:rPr>
                    <w:t>~19日</w:t>
                  </w:r>
                </w:p>
              </w:tc>
              <w:tc>
                <w:tcPr>
                  <w:tcW w:w="514" w:type="pct"/>
                  <w:vMerge w:val="continue"/>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color w:val="auto"/>
                      <w:sz w:val="21"/>
                      <w:szCs w:val="21"/>
                      <w:highlight w:val="none"/>
                    </w:rPr>
                  </w:pPr>
                </w:p>
              </w:tc>
              <w:tc>
                <w:tcPr>
                  <w:tcW w:w="490" w:type="pct"/>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0.90</w:t>
                  </w:r>
                </w:p>
              </w:tc>
              <w:tc>
                <w:tcPr>
                  <w:tcW w:w="490" w:type="pct"/>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0.88</w:t>
                  </w:r>
                </w:p>
              </w:tc>
              <w:tc>
                <w:tcPr>
                  <w:tcW w:w="490" w:type="pct"/>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0.89</w:t>
                  </w:r>
                </w:p>
              </w:tc>
              <w:tc>
                <w:tcPr>
                  <w:tcW w:w="497" w:type="pct"/>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0.87</w:t>
                  </w:r>
                </w:p>
              </w:tc>
              <w:tc>
                <w:tcPr>
                  <w:tcW w:w="537" w:type="pct"/>
                  <w:vMerge w:val="continue"/>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color w:val="auto"/>
                      <w:sz w:val="21"/>
                      <w:szCs w:val="21"/>
                      <w:highlight w:val="none"/>
                    </w:rPr>
                  </w:pPr>
                </w:p>
              </w:tc>
              <w:tc>
                <w:tcPr>
                  <w:tcW w:w="425" w:type="pct"/>
                  <w:vMerge w:val="continue"/>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color w:val="auto"/>
                      <w:sz w:val="21"/>
                      <w:szCs w:val="21"/>
                      <w:highlight w:val="none"/>
                    </w:rPr>
                  </w:pPr>
                </w:p>
              </w:tc>
            </w:tr>
          </w:tbl>
          <w:p>
            <w:pPr>
              <w:pStyle w:val="182"/>
              <w:keepNext w:val="0"/>
              <w:keepLines w:val="0"/>
              <w:suppressLineNumbers w:val="0"/>
              <w:spacing w:beforeAutospacing="0" w:after="0" w:afterAutospacing="0"/>
              <w:ind w:left="0" w:right="0"/>
              <w:rPr>
                <w:rFonts w:hint="default"/>
                <w:color w:val="auto"/>
                <w:highlight w:val="none"/>
              </w:rPr>
            </w:pPr>
            <w:r>
              <w:rPr>
                <w:rFonts w:hint="default"/>
                <w:color w:val="auto"/>
                <w:szCs w:val="22"/>
                <w:highlight w:val="none"/>
              </w:rPr>
              <w:t>从表中可以看出，监测区域内</w:t>
            </w:r>
            <w:r>
              <w:rPr>
                <w:rFonts w:hint="eastAsia"/>
                <w:color w:val="auto"/>
                <w:highlight w:val="none"/>
              </w:rPr>
              <w:t>非甲烷总烃浓度监测值满足《</w:t>
            </w:r>
            <w:r>
              <w:rPr>
                <w:rFonts w:hint="default"/>
                <w:color w:val="auto"/>
                <w:highlight w:val="none"/>
              </w:rPr>
              <w:t>大气污染物综合排放标准详解</w:t>
            </w:r>
            <w:r>
              <w:rPr>
                <w:rFonts w:hint="eastAsia"/>
                <w:color w:val="auto"/>
                <w:highlight w:val="none"/>
              </w:rPr>
              <w:t>》中规定的数值（</w:t>
            </w:r>
            <w:r>
              <w:rPr>
                <w:rFonts w:hint="eastAsia"/>
                <w:b/>
                <w:color w:val="auto"/>
                <w:highlight w:val="none"/>
                <w:lang w:val="en-US" w:eastAsia="zh-CN"/>
              </w:rPr>
              <w:t>≤</w:t>
            </w:r>
            <w:r>
              <w:rPr>
                <w:rFonts w:hint="default"/>
                <w:color w:val="auto"/>
                <w:highlight w:val="none"/>
              </w:rPr>
              <w:t>2mg/m</w:t>
            </w:r>
            <w:r>
              <w:rPr>
                <w:rFonts w:hint="default"/>
                <w:color w:val="auto"/>
                <w:highlight w:val="none"/>
                <w:vertAlign w:val="superscript"/>
              </w:rPr>
              <w:t>3</w:t>
            </w:r>
            <w:r>
              <w:rPr>
                <w:rFonts w:hint="eastAsia"/>
                <w:color w:val="auto"/>
                <w:highlight w:val="none"/>
              </w:rPr>
              <w:t>）。</w:t>
            </w:r>
          </w:p>
          <w:p>
            <w:pPr>
              <w:keepNext w:val="0"/>
              <w:keepLines w:val="0"/>
              <w:suppressLineNumbers w:val="0"/>
              <w:spacing w:before="0" w:beforeAutospacing="0" w:after="0" w:afterAutospacing="0"/>
              <w:ind w:left="0" w:right="0" w:firstLine="482"/>
              <w:rPr>
                <w:rFonts w:hint="default"/>
                <w:b/>
                <w:color w:val="auto"/>
                <w:highlight w:val="none"/>
              </w:rPr>
            </w:pPr>
            <w:r>
              <w:rPr>
                <w:rFonts w:hint="eastAsia"/>
                <w:b/>
                <w:color w:val="auto"/>
                <w:highlight w:val="none"/>
              </w:rPr>
              <w:t>3、声环境质量</w:t>
            </w:r>
          </w:p>
          <w:p>
            <w:pPr>
              <w:keepNext w:val="0"/>
              <w:keepLines w:val="0"/>
              <w:suppressLineNumbers w:val="0"/>
              <w:spacing w:before="0" w:beforeAutospacing="0" w:after="0" w:afterAutospacing="0"/>
              <w:ind w:left="0" w:right="0" w:firstLine="480"/>
              <w:rPr>
                <w:rFonts w:hint="default"/>
                <w:color w:val="auto"/>
                <w:highlight w:val="none"/>
              </w:rPr>
            </w:pPr>
            <w:r>
              <w:rPr>
                <w:rFonts w:hint="default"/>
                <w:color w:val="auto"/>
                <w:highlight w:val="none"/>
              </w:rPr>
              <w:t>根据现场勘查，本项目厂界周边50m范围内无声环境保护目标，且项目建设性质为</w:t>
            </w:r>
            <w:r>
              <w:rPr>
                <w:rFonts w:hint="eastAsia"/>
                <w:color w:val="auto"/>
                <w:highlight w:val="none"/>
                <w:lang w:val="en-US" w:eastAsia="zh-CN"/>
              </w:rPr>
              <w:t>迁</w:t>
            </w:r>
            <w:r>
              <w:rPr>
                <w:rFonts w:hint="default"/>
                <w:color w:val="auto"/>
                <w:highlight w:val="none"/>
              </w:rPr>
              <w:t>建，</w:t>
            </w:r>
            <w:r>
              <w:rPr>
                <w:rFonts w:hint="eastAsia"/>
                <w:color w:val="auto"/>
                <w:highlight w:val="none"/>
                <w:lang w:val="en-US" w:eastAsia="zh-CN"/>
              </w:rPr>
              <w:t>因此，可不</w:t>
            </w:r>
            <w:r>
              <w:rPr>
                <w:rFonts w:hint="default"/>
                <w:color w:val="auto"/>
                <w:highlight w:val="none"/>
              </w:rPr>
              <w:t>进行声环境质量现状监测及评价。</w:t>
            </w:r>
          </w:p>
          <w:p>
            <w:pPr>
              <w:keepNext w:val="0"/>
              <w:keepLines w:val="0"/>
              <w:suppressLineNumbers w:val="0"/>
              <w:spacing w:before="0" w:beforeAutospacing="0" w:after="0" w:afterAutospacing="0"/>
              <w:ind w:left="0" w:right="0" w:firstLine="482"/>
              <w:rPr>
                <w:rFonts w:hint="default"/>
                <w:b/>
                <w:color w:val="auto"/>
                <w:highlight w:val="none"/>
              </w:rPr>
            </w:pPr>
            <w:r>
              <w:rPr>
                <w:rFonts w:hint="eastAsia"/>
                <w:b/>
                <w:color w:val="auto"/>
                <w:highlight w:val="none"/>
              </w:rPr>
              <w:t>4、地下水、土壤环境质量</w:t>
            </w:r>
          </w:p>
          <w:p>
            <w:pPr>
              <w:keepNext w:val="0"/>
              <w:keepLines w:val="0"/>
              <w:suppressLineNumbers w:val="0"/>
              <w:adjustRightInd w:val="0"/>
              <w:snapToGrid w:val="0"/>
              <w:spacing w:before="0" w:beforeAutospacing="0" w:after="0" w:afterAutospacing="0"/>
              <w:ind w:left="0" w:right="0" w:firstLine="480"/>
              <w:rPr>
                <w:rFonts w:hint="default"/>
                <w:color w:val="auto"/>
                <w:highlight w:val="none"/>
              </w:rPr>
            </w:pPr>
            <w:r>
              <w:rPr>
                <w:rFonts w:hint="eastAsia"/>
                <w:color w:val="auto"/>
                <w:highlight w:val="none"/>
              </w:rPr>
              <w:t>根据《建设项目环境影响报告表编制技术指南》，原则上不开展地下水、土壤环境质量现状调查。本项目在已建成的厂房内建设，厂区内地面全部硬化，</w:t>
            </w:r>
            <w:r>
              <w:rPr>
                <w:rFonts w:hint="eastAsia"/>
                <w:color w:val="auto"/>
                <w:highlight w:val="none"/>
                <w:lang w:val="en-US" w:eastAsia="zh-CN"/>
              </w:rPr>
              <w:t>环评要求</w:t>
            </w:r>
            <w:r>
              <w:rPr>
                <w:rFonts w:hint="eastAsia"/>
                <w:color w:val="auto"/>
                <w:highlight w:val="none"/>
                <w:lang w:eastAsia="zh-CN"/>
              </w:rPr>
              <w:t>危废贮存库</w:t>
            </w:r>
            <w:r>
              <w:rPr>
                <w:rFonts w:hint="default"/>
                <w:color w:val="auto"/>
                <w:highlight w:val="none"/>
              </w:rPr>
              <w:t>采取防渗措施，</w:t>
            </w:r>
            <w:r>
              <w:rPr>
                <w:rFonts w:hint="eastAsia"/>
                <w:color w:val="auto"/>
                <w:highlight w:val="none"/>
              </w:rPr>
              <w:t>不存在地下水、土壤污染途径，故无需开展地下水、土壤环境质量现状调查。</w:t>
            </w:r>
          </w:p>
          <w:p>
            <w:pPr>
              <w:keepNext w:val="0"/>
              <w:keepLines w:val="0"/>
              <w:suppressLineNumbers w:val="0"/>
              <w:adjustRightInd w:val="0"/>
              <w:snapToGrid w:val="0"/>
              <w:spacing w:before="0" w:beforeAutospacing="0" w:after="0" w:afterAutospacing="0"/>
              <w:ind w:left="0" w:right="0" w:firstLine="482"/>
              <w:rPr>
                <w:rFonts w:hint="default"/>
                <w:b/>
                <w:bCs/>
                <w:color w:val="auto"/>
                <w:highlight w:val="none"/>
              </w:rPr>
            </w:pPr>
            <w:r>
              <w:rPr>
                <w:rFonts w:hint="eastAsia"/>
                <w:b/>
                <w:color w:val="auto"/>
                <w:highlight w:val="none"/>
              </w:rPr>
              <w:t>5、生态</w:t>
            </w:r>
            <w:r>
              <w:rPr>
                <w:rFonts w:hint="default"/>
                <w:b/>
                <w:bCs/>
                <w:color w:val="auto"/>
                <w:highlight w:val="none"/>
              </w:rPr>
              <w:t>环境质量现状</w:t>
            </w:r>
          </w:p>
          <w:p>
            <w:pPr>
              <w:keepNext w:val="0"/>
              <w:keepLines w:val="0"/>
              <w:suppressLineNumbers w:val="0"/>
              <w:adjustRightInd w:val="0"/>
              <w:snapToGrid w:val="0"/>
              <w:spacing w:before="0" w:beforeAutospacing="0" w:after="0" w:afterAutospacing="0"/>
              <w:ind w:left="0" w:right="0" w:firstLine="480"/>
              <w:rPr>
                <w:rFonts w:hint="default"/>
                <w:color w:val="auto"/>
                <w:highlight w:val="none"/>
              </w:rPr>
            </w:pPr>
            <w:r>
              <w:rPr>
                <w:rFonts w:hint="eastAsia"/>
                <w:color w:val="auto"/>
                <w:highlight w:val="none"/>
              </w:rPr>
              <w:t>根据《建设项目环境影响报告表编制技术指南》，本项目租赁已建好的标准厂房进行建设，无新增用地，故不进行生态现状调查。</w:t>
            </w:r>
          </w:p>
          <w:p>
            <w:pPr>
              <w:keepNext w:val="0"/>
              <w:keepLines w:val="0"/>
              <w:suppressLineNumbers w:val="0"/>
              <w:adjustRightInd w:val="0"/>
              <w:snapToGrid w:val="0"/>
              <w:spacing w:before="0" w:beforeAutospacing="0" w:after="0" w:afterAutospacing="0"/>
              <w:ind w:left="0" w:right="0" w:firstLine="480"/>
              <w:rPr>
                <w:rFonts w:hint="default"/>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51" w:hRule="atLeast"/>
          <w:jc w:val="center"/>
        </w:trPr>
        <w:tc>
          <w:tcPr>
            <w:tcW w:w="446" w:type="pct"/>
            <w:vAlign w:val="center"/>
          </w:tcPr>
          <w:p>
            <w:pPr>
              <w:pStyle w:val="80"/>
              <w:keepNext w:val="0"/>
              <w:keepLines w:val="0"/>
              <w:widowControl/>
              <w:suppressLineNumbers w:val="0"/>
              <w:spacing w:before="0" w:beforeAutospacing="0" w:after="0" w:afterAutospacing="0"/>
              <w:ind w:left="0" w:right="0"/>
              <w:rPr>
                <w:rFonts w:hint="default"/>
                <w:color w:val="auto"/>
                <w:sz w:val="24"/>
                <w:szCs w:val="20"/>
                <w:highlight w:val="none"/>
              </w:rPr>
            </w:pPr>
            <w:r>
              <w:rPr>
                <w:rFonts w:hint="default"/>
                <w:color w:val="auto"/>
                <w:sz w:val="24"/>
                <w:szCs w:val="20"/>
                <w:highlight w:val="none"/>
              </w:rPr>
              <w:t>环境</w:t>
            </w:r>
          </w:p>
          <w:p>
            <w:pPr>
              <w:pStyle w:val="80"/>
              <w:keepNext w:val="0"/>
              <w:keepLines w:val="0"/>
              <w:widowControl/>
              <w:suppressLineNumbers w:val="0"/>
              <w:spacing w:before="0" w:beforeAutospacing="0" w:after="0" w:afterAutospacing="0"/>
              <w:ind w:left="0" w:right="0"/>
              <w:rPr>
                <w:rFonts w:hint="default"/>
                <w:color w:val="auto"/>
                <w:sz w:val="24"/>
                <w:szCs w:val="20"/>
                <w:highlight w:val="none"/>
              </w:rPr>
            </w:pPr>
            <w:r>
              <w:rPr>
                <w:rFonts w:hint="default"/>
                <w:color w:val="auto"/>
                <w:sz w:val="24"/>
                <w:szCs w:val="20"/>
                <w:highlight w:val="none"/>
              </w:rPr>
              <w:t>保护</w:t>
            </w:r>
          </w:p>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 w:val="24"/>
                <w:szCs w:val="20"/>
                <w:highlight w:val="none"/>
              </w:rPr>
              <w:t>目标</w:t>
            </w:r>
          </w:p>
        </w:tc>
        <w:tc>
          <w:tcPr>
            <w:tcW w:w="4553" w:type="pct"/>
            <w:vAlign w:val="center"/>
          </w:tcPr>
          <w:p>
            <w:pPr>
              <w:keepNext w:val="0"/>
              <w:keepLines w:val="0"/>
              <w:suppressLineNumbers w:val="0"/>
              <w:autoSpaceDE w:val="0"/>
              <w:autoSpaceDN w:val="0"/>
              <w:adjustRightInd w:val="0"/>
              <w:spacing w:before="5" w:beforeAutospacing="0" w:after="0" w:afterAutospacing="0" w:line="10" w:lineRule="exact"/>
              <w:ind w:left="0" w:right="-20" w:firstLine="40"/>
              <w:rPr>
                <w:rFonts w:hint="default"/>
                <w:color w:val="auto"/>
                <w:kern w:val="0"/>
                <w:sz w:val="2"/>
                <w:szCs w:val="2"/>
                <w:highlight w:val="none"/>
              </w:rPr>
            </w:pPr>
          </w:p>
          <w:p>
            <w:pPr>
              <w:keepNext w:val="0"/>
              <w:keepLines w:val="0"/>
              <w:suppressLineNumbers w:val="0"/>
              <w:spacing w:before="0" w:beforeAutospacing="0" w:after="0" w:afterAutospacing="0"/>
              <w:ind w:left="0" w:right="0" w:firstLine="482"/>
              <w:rPr>
                <w:rFonts w:hint="default"/>
                <w:b/>
                <w:bCs/>
                <w:color w:val="auto"/>
                <w:highlight w:val="none"/>
              </w:rPr>
            </w:pPr>
            <w:r>
              <w:rPr>
                <w:rFonts w:hint="default"/>
                <w:b/>
                <w:bCs/>
                <w:color w:val="auto"/>
                <w:highlight w:val="none"/>
              </w:rPr>
              <w:t>主要环境保护目标（列出名单及保护级别）：</w:t>
            </w:r>
          </w:p>
          <w:p>
            <w:pPr>
              <w:keepNext w:val="0"/>
              <w:keepLines w:val="0"/>
              <w:suppressLineNumbers w:val="0"/>
              <w:spacing w:before="0" w:beforeAutospacing="0" w:after="0" w:afterAutospacing="0"/>
              <w:ind w:left="0" w:right="0" w:firstLine="600" w:firstLineChars="250"/>
              <w:rPr>
                <w:rFonts w:hint="default" w:eastAsia="宋体"/>
                <w:b/>
                <w:bCs/>
                <w:color w:val="auto"/>
                <w:highlight w:val="none"/>
              </w:rPr>
            </w:pPr>
            <w:r>
              <w:rPr>
                <w:rFonts w:hint="eastAsia"/>
                <w:color w:val="auto"/>
                <w:highlight w:val="none"/>
              </w:rPr>
              <w:t>本项目选址位于西咸新区</w:t>
            </w:r>
            <w:r>
              <w:rPr>
                <w:rFonts w:hint="eastAsia"/>
                <w:color w:val="auto"/>
                <w:highlight w:val="none"/>
                <w:lang w:eastAsia="zh-CN"/>
              </w:rPr>
              <w:t>泾河新城工业密集区永乐工业园尚家一街北</w:t>
            </w:r>
            <w:r>
              <w:rPr>
                <w:rFonts w:hint="eastAsia"/>
                <w:color w:val="auto"/>
                <w:highlight w:val="none"/>
              </w:rPr>
              <w:t>内</w:t>
            </w:r>
            <w:r>
              <w:rPr>
                <w:rFonts w:hint="eastAsia"/>
                <w:color w:val="auto"/>
                <w:highlight w:val="none"/>
                <w:lang w:eastAsia="zh-CN"/>
              </w:rPr>
              <w:t>。</w:t>
            </w:r>
            <w:r>
              <w:rPr>
                <w:rFonts w:hint="default"/>
                <w:color w:val="auto"/>
                <w:kern w:val="0"/>
                <w:highlight w:val="none"/>
              </w:rPr>
              <w:t>根据实地踏勘，本</w:t>
            </w:r>
            <w:r>
              <w:rPr>
                <w:rFonts w:hint="eastAsia"/>
                <w:color w:val="auto"/>
                <w:kern w:val="0"/>
                <w:highlight w:val="none"/>
                <w:lang w:val="en-US" w:eastAsia="zh-CN"/>
              </w:rPr>
              <w:t>项目</w:t>
            </w:r>
            <w:r>
              <w:rPr>
                <w:rFonts w:hint="default"/>
                <w:color w:val="auto"/>
                <w:kern w:val="0"/>
                <w:highlight w:val="none"/>
              </w:rPr>
              <w:t>厂界外500m范围内不存在自然保护区、风景名胜区等保护目标</w:t>
            </w:r>
            <w:r>
              <w:rPr>
                <w:rFonts w:hint="eastAsia"/>
                <w:color w:val="auto"/>
                <w:kern w:val="0"/>
                <w:highlight w:val="none"/>
                <w:lang w:eastAsia="zh-CN"/>
              </w:rPr>
              <w:t>，</w:t>
            </w:r>
            <w:r>
              <w:rPr>
                <w:rFonts w:hint="eastAsia"/>
                <w:color w:val="auto"/>
                <w:kern w:val="0"/>
                <w:highlight w:val="none"/>
                <w:lang w:val="en-US" w:eastAsia="zh-CN"/>
              </w:rPr>
              <w:t>以及</w:t>
            </w:r>
            <w:r>
              <w:rPr>
                <w:rFonts w:hint="default"/>
                <w:color w:val="auto"/>
                <w:kern w:val="0"/>
                <w:highlight w:val="none"/>
              </w:rPr>
              <w:t>集中式饮用水水源、热水、矿泉水、温泉等特殊地下水资源</w:t>
            </w:r>
            <w:r>
              <w:rPr>
                <w:rFonts w:hint="eastAsia"/>
                <w:color w:val="auto"/>
                <w:kern w:val="0"/>
                <w:highlight w:val="none"/>
                <w:lang w:eastAsia="zh-CN"/>
              </w:rPr>
              <w:t>；</w:t>
            </w:r>
            <w:r>
              <w:rPr>
                <w:rFonts w:hint="default"/>
                <w:color w:val="auto"/>
                <w:sz w:val="24"/>
              </w:rPr>
              <w:t>厂界外50m范围内</w:t>
            </w:r>
            <w:r>
              <w:rPr>
                <w:rFonts w:hint="eastAsia"/>
                <w:color w:val="auto"/>
                <w:sz w:val="24"/>
                <w:lang w:val="en-US" w:eastAsia="zh-CN"/>
              </w:rPr>
              <w:t>无</w:t>
            </w:r>
            <w:r>
              <w:rPr>
                <w:rFonts w:hint="default"/>
                <w:color w:val="auto"/>
                <w:sz w:val="24"/>
              </w:rPr>
              <w:t>声环境保护目标</w:t>
            </w:r>
            <w:r>
              <w:rPr>
                <w:rFonts w:hint="eastAsia"/>
                <w:color w:val="auto"/>
                <w:sz w:val="24"/>
                <w:lang w:eastAsia="zh-CN"/>
              </w:rPr>
              <w:t>；</w:t>
            </w:r>
            <w:r>
              <w:rPr>
                <w:rFonts w:hint="eastAsia"/>
                <w:color w:val="auto"/>
                <w:sz w:val="24"/>
                <w:lang w:val="en-US" w:eastAsia="zh-CN"/>
              </w:rPr>
              <w:t>项目</w:t>
            </w:r>
            <w:r>
              <w:rPr>
                <w:rFonts w:hint="default"/>
                <w:color w:val="auto"/>
                <w:sz w:val="24"/>
              </w:rPr>
              <w:t>500m范围内大气环境保护目标见</w:t>
            </w:r>
            <w:r>
              <w:rPr>
                <w:rFonts w:hint="eastAsia"/>
                <w:color w:val="auto"/>
                <w:sz w:val="24"/>
              </w:rPr>
              <w:t>下表</w:t>
            </w:r>
            <w:r>
              <w:rPr>
                <w:rFonts w:hint="default"/>
                <w:color w:val="auto"/>
                <w:kern w:val="0"/>
                <w:highlight w:val="none"/>
              </w:rPr>
              <w:t>。</w:t>
            </w:r>
          </w:p>
          <w:p>
            <w:pPr>
              <w:pStyle w:val="77"/>
              <w:keepNext w:val="0"/>
              <w:keepLines w:val="0"/>
              <w:widowControl/>
              <w:suppressLineNumbers w:val="0"/>
              <w:spacing w:before="0" w:beforeLines="0" w:beforeAutospacing="0" w:after="0" w:afterAutospacing="0" w:line="240" w:lineRule="auto"/>
              <w:ind w:left="0" w:right="0"/>
              <w:rPr>
                <w:rFonts w:hint="default" w:eastAsia="宋体"/>
                <w:b/>
                <w:bCs/>
                <w:color w:val="auto"/>
                <w:highlight w:val="none"/>
              </w:rPr>
            </w:pPr>
            <w:r>
              <w:rPr>
                <w:rFonts w:hint="default" w:eastAsia="宋体"/>
                <w:b/>
                <w:bCs/>
                <w:color w:val="auto"/>
                <w:highlight w:val="none"/>
              </w:rPr>
              <w:t>表3-3  主要环境保护目标</w:t>
            </w:r>
          </w:p>
          <w:tbl>
            <w:tblPr>
              <w:tblStyle w:val="37"/>
              <w:tblW w:w="497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9"/>
              <w:gridCol w:w="942"/>
              <w:gridCol w:w="1529"/>
              <w:gridCol w:w="1401"/>
              <w:gridCol w:w="613"/>
              <w:gridCol w:w="1367"/>
              <w:gridCol w:w="667"/>
              <w:gridCol w:w="78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30" w:type="pct"/>
                  <w:vMerge w:val="restar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保护内容</w:t>
                  </w:r>
                </w:p>
              </w:tc>
              <w:tc>
                <w:tcPr>
                  <w:tcW w:w="588" w:type="pct"/>
                  <w:vMerge w:val="restar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名称</w:t>
                  </w:r>
                </w:p>
              </w:tc>
              <w:tc>
                <w:tcPr>
                  <w:tcW w:w="1831" w:type="pct"/>
                  <w:gridSpan w:val="2"/>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坐标/°</w:t>
                  </w:r>
                </w:p>
              </w:tc>
              <w:tc>
                <w:tcPr>
                  <w:tcW w:w="383" w:type="pct"/>
                  <w:vMerge w:val="restar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保护对象</w:t>
                  </w:r>
                </w:p>
              </w:tc>
              <w:tc>
                <w:tcPr>
                  <w:tcW w:w="854" w:type="pct"/>
                  <w:vMerge w:val="restar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环境功能区</w:t>
                  </w:r>
                </w:p>
              </w:tc>
              <w:tc>
                <w:tcPr>
                  <w:tcW w:w="417" w:type="pct"/>
                  <w:vMerge w:val="restar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相对厂址方位</w:t>
                  </w:r>
                </w:p>
              </w:tc>
              <w:tc>
                <w:tcPr>
                  <w:tcW w:w="493" w:type="pct"/>
                  <w:vMerge w:val="restar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相对厂界距离（m）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30"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p>
              </w:tc>
              <w:tc>
                <w:tcPr>
                  <w:tcW w:w="588"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p>
              </w:tc>
              <w:tc>
                <w:tcPr>
                  <w:tcW w:w="955"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经度</w:t>
                  </w:r>
                </w:p>
              </w:tc>
              <w:tc>
                <w:tcPr>
                  <w:tcW w:w="875"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纬度</w:t>
                  </w:r>
                </w:p>
              </w:tc>
              <w:tc>
                <w:tcPr>
                  <w:tcW w:w="383"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p>
              </w:tc>
              <w:tc>
                <w:tcPr>
                  <w:tcW w:w="854"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p>
              </w:tc>
              <w:tc>
                <w:tcPr>
                  <w:tcW w:w="417"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p>
              </w:tc>
              <w:tc>
                <w:tcPr>
                  <w:tcW w:w="493"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30"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环境</w:t>
                  </w:r>
                </w:p>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空气</w:t>
                  </w:r>
                </w:p>
              </w:tc>
              <w:tc>
                <w:tcPr>
                  <w:tcW w:w="588"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eastAsia="宋体"/>
                      <w:color w:val="auto"/>
                      <w:sz w:val="21"/>
                      <w:szCs w:val="21"/>
                      <w:highlight w:val="none"/>
                      <w:lang w:eastAsia="zh-CN"/>
                    </w:rPr>
                  </w:pPr>
                  <w:r>
                    <w:rPr>
                      <w:rFonts w:hint="eastAsia"/>
                      <w:color w:val="auto"/>
                      <w:sz w:val="21"/>
                      <w:szCs w:val="21"/>
                      <w:highlight w:val="none"/>
                      <w:lang w:val="en-US" w:eastAsia="zh-CN"/>
                    </w:rPr>
                    <w:t>福多李村</w:t>
                  </w:r>
                </w:p>
              </w:tc>
              <w:tc>
                <w:tcPr>
                  <w:tcW w:w="955"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eastAsia"/>
                      <w:color w:val="auto"/>
                      <w:sz w:val="21"/>
                      <w:szCs w:val="21"/>
                      <w:highlight w:val="none"/>
                    </w:rPr>
                    <w:t>108.96021366</w:t>
                  </w:r>
                </w:p>
              </w:tc>
              <w:tc>
                <w:tcPr>
                  <w:tcW w:w="875"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eastAsia"/>
                      <w:color w:val="auto"/>
                      <w:sz w:val="21"/>
                      <w:szCs w:val="21"/>
                      <w:highlight w:val="none"/>
                    </w:rPr>
                    <w:t>34.53445484</w:t>
                  </w:r>
                </w:p>
              </w:tc>
              <w:tc>
                <w:tcPr>
                  <w:tcW w:w="383"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人群健康</w:t>
                  </w:r>
                </w:p>
              </w:tc>
              <w:tc>
                <w:tcPr>
                  <w:tcW w:w="854"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《环境空气质量标准》（GB3095-2012）二级标准</w:t>
                  </w:r>
                </w:p>
              </w:tc>
              <w:tc>
                <w:tcPr>
                  <w:tcW w:w="417"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eastAsia"/>
                      <w:color w:val="auto"/>
                      <w:sz w:val="21"/>
                      <w:szCs w:val="21"/>
                      <w:highlight w:val="none"/>
                      <w:lang w:val="en-US" w:eastAsia="zh-CN"/>
                    </w:rPr>
                    <w:t>东</w:t>
                  </w:r>
                  <w:r>
                    <w:rPr>
                      <w:rFonts w:hint="eastAsia"/>
                      <w:color w:val="auto"/>
                      <w:sz w:val="21"/>
                      <w:szCs w:val="21"/>
                      <w:highlight w:val="none"/>
                    </w:rPr>
                    <w:t>北</w:t>
                  </w:r>
                </w:p>
              </w:tc>
              <w:tc>
                <w:tcPr>
                  <w:tcW w:w="493"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469</w:t>
                  </w:r>
                </w:p>
              </w:tc>
            </w:tr>
          </w:tbl>
          <w:p>
            <w:pPr>
              <w:keepNext w:val="0"/>
              <w:keepLines w:val="0"/>
              <w:suppressLineNumbers w:val="0"/>
              <w:spacing w:before="0" w:beforeAutospacing="0" w:after="0" w:afterAutospacing="0"/>
              <w:ind w:left="0" w:right="0" w:firstLine="0" w:firstLineChars="0"/>
              <w:rPr>
                <w:rFonts w:hint="default"/>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6" w:type="pct"/>
            <w:tcMar>
              <w:left w:w="28" w:type="dxa"/>
              <w:right w:w="28" w:type="dxa"/>
            </w:tcMar>
            <w:vAlign w:val="center"/>
          </w:tcPr>
          <w:p>
            <w:pPr>
              <w:pStyle w:val="80"/>
              <w:keepNext w:val="0"/>
              <w:keepLines w:val="0"/>
              <w:widowControl/>
              <w:suppressLineNumbers w:val="0"/>
              <w:spacing w:before="0" w:beforeAutospacing="0" w:after="0" w:afterAutospacing="0"/>
              <w:ind w:left="0" w:right="0"/>
              <w:rPr>
                <w:rFonts w:hint="default"/>
                <w:color w:val="auto"/>
                <w:sz w:val="24"/>
                <w:szCs w:val="20"/>
                <w:highlight w:val="none"/>
              </w:rPr>
            </w:pPr>
            <w:r>
              <w:rPr>
                <w:rFonts w:hint="default"/>
                <w:color w:val="auto"/>
                <w:sz w:val="24"/>
                <w:szCs w:val="20"/>
                <w:highlight w:val="none"/>
              </w:rPr>
              <w:t>污染</w:t>
            </w:r>
          </w:p>
          <w:p>
            <w:pPr>
              <w:pStyle w:val="80"/>
              <w:keepNext w:val="0"/>
              <w:keepLines w:val="0"/>
              <w:widowControl/>
              <w:suppressLineNumbers w:val="0"/>
              <w:spacing w:before="0" w:beforeAutospacing="0" w:after="0" w:afterAutospacing="0"/>
              <w:ind w:left="0" w:right="0"/>
              <w:rPr>
                <w:rFonts w:hint="default"/>
                <w:color w:val="auto"/>
                <w:sz w:val="24"/>
                <w:szCs w:val="20"/>
                <w:highlight w:val="none"/>
              </w:rPr>
            </w:pPr>
            <w:r>
              <w:rPr>
                <w:rFonts w:hint="default"/>
                <w:color w:val="auto"/>
                <w:sz w:val="24"/>
                <w:szCs w:val="20"/>
                <w:highlight w:val="none"/>
              </w:rPr>
              <w:t>物排</w:t>
            </w:r>
          </w:p>
          <w:p>
            <w:pPr>
              <w:pStyle w:val="80"/>
              <w:keepNext w:val="0"/>
              <w:keepLines w:val="0"/>
              <w:widowControl/>
              <w:suppressLineNumbers w:val="0"/>
              <w:spacing w:before="0" w:beforeAutospacing="0" w:after="0" w:afterAutospacing="0"/>
              <w:ind w:left="0" w:right="0"/>
              <w:rPr>
                <w:rFonts w:hint="default"/>
                <w:color w:val="auto"/>
                <w:sz w:val="24"/>
                <w:szCs w:val="20"/>
                <w:highlight w:val="none"/>
              </w:rPr>
            </w:pPr>
            <w:r>
              <w:rPr>
                <w:rFonts w:hint="default"/>
                <w:color w:val="auto"/>
                <w:sz w:val="24"/>
                <w:szCs w:val="20"/>
                <w:highlight w:val="none"/>
              </w:rPr>
              <w:t>放控</w:t>
            </w:r>
          </w:p>
          <w:p>
            <w:pPr>
              <w:pStyle w:val="80"/>
              <w:keepNext w:val="0"/>
              <w:keepLines w:val="0"/>
              <w:widowControl/>
              <w:suppressLineNumbers w:val="0"/>
              <w:spacing w:before="0" w:beforeAutospacing="0" w:after="0" w:afterAutospacing="0"/>
              <w:ind w:left="0" w:right="0"/>
              <w:rPr>
                <w:rFonts w:hint="default"/>
                <w:color w:val="auto"/>
                <w:sz w:val="24"/>
                <w:szCs w:val="20"/>
                <w:highlight w:val="none"/>
              </w:rPr>
            </w:pPr>
            <w:r>
              <w:rPr>
                <w:rFonts w:hint="default"/>
                <w:color w:val="auto"/>
                <w:sz w:val="24"/>
                <w:szCs w:val="20"/>
                <w:highlight w:val="none"/>
              </w:rPr>
              <w:t>制标</w:t>
            </w:r>
          </w:p>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 w:val="24"/>
                <w:szCs w:val="20"/>
                <w:highlight w:val="none"/>
              </w:rPr>
              <w:t>准</w:t>
            </w:r>
          </w:p>
        </w:tc>
        <w:tc>
          <w:tcPr>
            <w:tcW w:w="4553" w:type="pct"/>
            <w:vAlign w:val="center"/>
          </w:tcPr>
          <w:p>
            <w:pPr>
              <w:keepNext w:val="0"/>
              <w:keepLines w:val="0"/>
              <w:suppressLineNumbers w:val="0"/>
              <w:spacing w:before="0" w:beforeAutospacing="0" w:after="0" w:afterAutospacing="0"/>
              <w:ind w:left="0" w:right="0" w:firstLine="482"/>
              <w:rPr>
                <w:rFonts w:hint="default"/>
                <w:b/>
                <w:color w:val="auto"/>
                <w:highlight w:val="none"/>
              </w:rPr>
            </w:pPr>
            <w:r>
              <w:rPr>
                <w:rFonts w:hint="eastAsia"/>
                <w:b/>
                <w:color w:val="auto"/>
                <w:highlight w:val="none"/>
              </w:rPr>
              <w:t>1、</w:t>
            </w:r>
            <w:r>
              <w:rPr>
                <w:rFonts w:hint="default"/>
                <w:b/>
                <w:color w:val="auto"/>
                <w:highlight w:val="none"/>
              </w:rPr>
              <w:t>废气</w:t>
            </w:r>
          </w:p>
          <w:p>
            <w:pPr>
              <w:pStyle w:val="32"/>
              <w:keepNext w:val="0"/>
              <w:keepLines w:val="0"/>
              <w:suppressLineNumbers w:val="0"/>
              <w:spacing w:before="0" w:beforeAutospacing="0" w:after="0" w:afterAutospacing="0"/>
              <w:ind w:left="0" w:right="0" w:firstLine="480"/>
              <w:rPr>
                <w:rFonts w:hint="default"/>
                <w:b/>
                <w:bCs/>
                <w:color w:val="auto"/>
                <w:szCs w:val="21"/>
                <w:highlight w:val="none"/>
              </w:rPr>
            </w:pPr>
            <w:r>
              <w:rPr>
                <w:rFonts w:hint="eastAsia" w:ascii="Times New Roman" w:hAnsi="Times New Roman"/>
                <w:color w:val="auto"/>
                <w:highlight w:val="none"/>
              </w:rPr>
              <w:t>施工期</w:t>
            </w:r>
            <w:r>
              <w:rPr>
                <w:rFonts w:hint="eastAsia"/>
                <w:color w:val="auto"/>
                <w:highlight w:val="none"/>
              </w:rPr>
              <w:t>扬尘排放执行《施工场界扬</w:t>
            </w:r>
            <w:r>
              <w:rPr>
                <w:rFonts w:hint="eastAsia" w:ascii="Times New Roman" w:hAnsi="Times New Roman"/>
                <w:color w:val="auto"/>
                <w:highlight w:val="none"/>
              </w:rPr>
              <w:t>尘排放限值》（DB61/1078-2017）表1中浓度限制；</w:t>
            </w:r>
            <w:r>
              <w:rPr>
                <w:rFonts w:hint="default" w:ascii="Times New Roman" w:hAnsi="Times New Roman"/>
                <w:color w:val="auto"/>
                <w:highlight w:val="none"/>
              </w:rPr>
              <w:t>运营期</w:t>
            </w:r>
            <w:r>
              <w:rPr>
                <w:rFonts w:hint="eastAsia" w:ascii="Times New Roman" w:hAnsi="Times New Roman"/>
                <w:color w:val="auto"/>
                <w:highlight w:val="none"/>
              </w:rPr>
              <w:t>挤出废气</w:t>
            </w:r>
            <w:r>
              <w:rPr>
                <w:rFonts w:hint="default" w:ascii="Times New Roman" w:hAnsi="Times New Roman"/>
                <w:color w:val="auto"/>
                <w:highlight w:val="none"/>
              </w:rPr>
              <w:t>排放执行《合成树脂工业污染物排放标准》（</w:t>
            </w:r>
            <w:r>
              <w:rPr>
                <w:rFonts w:hint="eastAsia" w:ascii="Times New Roman" w:hAnsi="Times New Roman"/>
                <w:color w:val="auto"/>
                <w:highlight w:val="none"/>
                <w:lang w:eastAsia="zh-CN"/>
              </w:rPr>
              <w:t>GB31572-2015，含2024年修改单</w:t>
            </w:r>
            <w:r>
              <w:rPr>
                <w:rFonts w:hint="default" w:ascii="Times New Roman" w:hAnsi="Times New Roman"/>
                <w:color w:val="auto"/>
                <w:highlight w:val="none"/>
              </w:rPr>
              <w:t>）表</w:t>
            </w:r>
            <w:r>
              <w:rPr>
                <w:rFonts w:hint="eastAsia" w:ascii="Times New Roman" w:hAnsi="Times New Roman"/>
                <w:color w:val="auto"/>
                <w:highlight w:val="none"/>
              </w:rPr>
              <w:t>5及表9</w:t>
            </w:r>
            <w:r>
              <w:rPr>
                <w:rFonts w:hint="default" w:ascii="Times New Roman" w:hAnsi="Times New Roman"/>
                <w:color w:val="auto"/>
                <w:highlight w:val="none"/>
              </w:rPr>
              <w:t>中</w:t>
            </w:r>
            <w:r>
              <w:rPr>
                <w:rFonts w:hint="eastAsia" w:ascii="Times New Roman" w:hAnsi="Times New Roman"/>
                <w:color w:val="auto"/>
                <w:highlight w:val="none"/>
              </w:rPr>
              <w:t>相</w:t>
            </w:r>
            <w:r>
              <w:rPr>
                <w:rFonts w:hint="default" w:ascii="Times New Roman" w:hAnsi="Times New Roman"/>
                <w:color w:val="auto"/>
                <w:highlight w:val="none"/>
              </w:rPr>
              <w:t>关限值要求</w:t>
            </w:r>
            <w:r>
              <w:rPr>
                <w:rFonts w:hint="eastAsia" w:ascii="Times New Roman" w:hAnsi="Times New Roman"/>
                <w:color w:val="auto"/>
                <w:highlight w:val="none"/>
              </w:rPr>
              <w:t>；</w:t>
            </w:r>
            <w:r>
              <w:rPr>
                <w:rFonts w:hint="default" w:ascii="Times New Roman" w:hAnsi="Times New Roman"/>
                <w:color w:val="auto"/>
                <w:kern w:val="2"/>
                <w:szCs w:val="24"/>
                <w:highlight w:val="none"/>
              </w:rPr>
              <w:t>非甲烷总烃无组织</w:t>
            </w:r>
            <w:r>
              <w:rPr>
                <w:rFonts w:hint="eastAsia" w:ascii="Times New Roman" w:hAnsi="Times New Roman"/>
                <w:color w:val="auto"/>
                <w:kern w:val="2"/>
                <w:szCs w:val="24"/>
                <w:highlight w:val="none"/>
              </w:rPr>
              <w:t>同时</w:t>
            </w:r>
            <w:r>
              <w:rPr>
                <w:rFonts w:hint="default" w:ascii="Times New Roman" w:hAnsi="Times New Roman"/>
                <w:color w:val="auto"/>
                <w:kern w:val="2"/>
                <w:szCs w:val="24"/>
                <w:highlight w:val="none"/>
              </w:rPr>
              <w:t>执行《挥发性有机物无组织排放控制标准》（GB37822-2019）中厂区内监控点浓度限值</w:t>
            </w:r>
            <w:r>
              <w:rPr>
                <w:rFonts w:hint="eastAsia" w:ascii="Times New Roman" w:hAnsi="Times New Roman"/>
                <w:color w:val="auto"/>
                <w:highlight w:val="none"/>
              </w:rPr>
              <w:t>。</w:t>
            </w:r>
          </w:p>
          <w:p>
            <w:pPr>
              <w:pStyle w:val="77"/>
              <w:keepNext w:val="0"/>
              <w:keepLines w:val="0"/>
              <w:widowControl/>
              <w:suppressLineNumbers w:val="0"/>
              <w:spacing w:before="0" w:beforeLines="0" w:beforeAutospacing="0" w:after="0" w:afterAutospacing="0" w:line="240" w:lineRule="auto"/>
              <w:ind w:left="0" w:right="0"/>
              <w:rPr>
                <w:rFonts w:hint="default" w:eastAsia="宋体"/>
                <w:b/>
                <w:bCs/>
                <w:color w:val="auto"/>
                <w:highlight w:val="none"/>
              </w:rPr>
            </w:pPr>
            <w:r>
              <w:rPr>
                <w:rFonts w:hint="default" w:eastAsia="宋体"/>
                <w:b/>
                <w:bCs/>
                <w:color w:val="auto"/>
                <w:highlight w:val="none"/>
              </w:rPr>
              <w:t>表</w:t>
            </w:r>
            <w:r>
              <w:rPr>
                <w:rFonts w:hint="eastAsia" w:eastAsia="宋体"/>
                <w:b/>
                <w:bCs/>
                <w:color w:val="auto"/>
                <w:highlight w:val="none"/>
              </w:rPr>
              <w:t xml:space="preserve">3-4  废气污染物排放标准  </w:t>
            </w:r>
          </w:p>
          <w:tbl>
            <w:tblPr>
              <w:tblStyle w:val="37"/>
              <w:tblW w:w="4963"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3"/>
              <w:gridCol w:w="502"/>
              <w:gridCol w:w="1353"/>
              <w:gridCol w:w="1524"/>
              <w:gridCol w:w="1496"/>
              <w:gridCol w:w="24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阶段</w:t>
                  </w:r>
                </w:p>
              </w:tc>
              <w:tc>
                <w:tcPr>
                  <w:tcW w:w="1162" w:type="pct"/>
                  <w:gridSpan w:val="2"/>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污染物</w:t>
                  </w:r>
                </w:p>
              </w:tc>
              <w:tc>
                <w:tcPr>
                  <w:tcW w:w="1892" w:type="pct"/>
                  <w:gridSpan w:val="2"/>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排放</w:t>
                  </w:r>
                  <w:r>
                    <w:rPr>
                      <w:rFonts w:hint="default"/>
                      <w:color w:val="auto"/>
                      <w:szCs w:val="20"/>
                      <w:highlight w:val="none"/>
                    </w:rPr>
                    <w:t>限值</w:t>
                  </w:r>
                </w:p>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kern w:val="24"/>
                      <w:szCs w:val="20"/>
                      <w:highlight w:val="none"/>
                    </w:rPr>
                    <w:t>（</w:t>
                  </w:r>
                  <w:r>
                    <w:rPr>
                      <w:rFonts w:hint="default"/>
                      <w:color w:val="auto"/>
                      <w:kern w:val="24"/>
                      <w:szCs w:val="20"/>
                      <w:highlight w:val="none"/>
                    </w:rPr>
                    <w:t>mg/m</w:t>
                  </w:r>
                  <w:r>
                    <w:rPr>
                      <w:rFonts w:hint="default"/>
                      <w:color w:val="auto"/>
                      <w:kern w:val="24"/>
                      <w:szCs w:val="20"/>
                      <w:highlight w:val="none"/>
                      <w:vertAlign w:val="superscript"/>
                    </w:rPr>
                    <w:t>3</w:t>
                  </w:r>
                  <w:r>
                    <w:rPr>
                      <w:rFonts w:hint="eastAsia"/>
                      <w:color w:val="auto"/>
                      <w:kern w:val="24"/>
                      <w:szCs w:val="20"/>
                      <w:highlight w:val="none"/>
                    </w:rPr>
                    <w:t>）</w:t>
                  </w:r>
                </w:p>
              </w:tc>
              <w:tc>
                <w:tcPr>
                  <w:tcW w:w="1504"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施工期</w:t>
                  </w:r>
                </w:p>
              </w:tc>
              <w:tc>
                <w:tcPr>
                  <w:tcW w:w="1162" w:type="pct"/>
                  <w:gridSpan w:val="2"/>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TSP</w:t>
                  </w:r>
                </w:p>
              </w:tc>
              <w:tc>
                <w:tcPr>
                  <w:tcW w:w="1892" w:type="pct"/>
                  <w:gridSpan w:val="2"/>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bCs/>
                      <w:color w:val="auto"/>
                      <w:szCs w:val="21"/>
                      <w:highlight w:val="none"/>
                    </w:rPr>
                  </w:pPr>
                  <w:r>
                    <w:rPr>
                      <w:rFonts w:hint="default"/>
                      <w:bCs/>
                      <w:color w:val="auto"/>
                      <w:szCs w:val="21"/>
                      <w:highlight w:val="none"/>
                    </w:rPr>
                    <w:t>≤0.7</w:t>
                  </w:r>
                  <w:r>
                    <w:rPr>
                      <w:rFonts w:hint="default"/>
                      <w:color w:val="auto"/>
                      <w:kern w:val="24"/>
                      <w:szCs w:val="20"/>
                      <w:highlight w:val="none"/>
                    </w:rPr>
                    <w:t>mg/m</w:t>
                  </w:r>
                  <w:r>
                    <w:rPr>
                      <w:rFonts w:hint="default"/>
                      <w:color w:val="auto"/>
                      <w:kern w:val="24"/>
                      <w:szCs w:val="20"/>
                      <w:highlight w:val="none"/>
                      <w:vertAlign w:val="superscript"/>
                    </w:rPr>
                    <w:t>3</w:t>
                  </w:r>
                </w:p>
              </w:tc>
              <w:tc>
                <w:tcPr>
                  <w:tcW w:w="1504"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《施工场界扬尘排放限值》（DB61/1078-2017）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0" w:type="pct"/>
                  <w:vMerge w:val="restar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运营期</w:t>
                  </w:r>
                </w:p>
              </w:tc>
              <w:tc>
                <w:tcPr>
                  <w:tcW w:w="314" w:type="pct"/>
                  <w:vMerge w:val="restar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有组织</w:t>
                  </w:r>
                </w:p>
              </w:tc>
              <w:tc>
                <w:tcPr>
                  <w:tcW w:w="847" w:type="pct"/>
                  <w:vMerge w:val="restar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非甲烷总烃</w:t>
                  </w:r>
                </w:p>
              </w:tc>
              <w:tc>
                <w:tcPr>
                  <w:tcW w:w="955"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1"/>
                      <w:highlight w:val="none"/>
                    </w:rPr>
                    <w:t>最高允许排放浓度（排气筒）</w:t>
                  </w:r>
                </w:p>
              </w:tc>
              <w:tc>
                <w:tcPr>
                  <w:tcW w:w="937"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60</w:t>
                  </w:r>
                </w:p>
              </w:tc>
              <w:tc>
                <w:tcPr>
                  <w:tcW w:w="1504"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1"/>
                      <w:highlight w:val="none"/>
                    </w:rPr>
                    <w:t>《合成树脂工业污染物排放标准》（</w:t>
                  </w:r>
                  <w:r>
                    <w:rPr>
                      <w:rFonts w:hint="eastAsia"/>
                      <w:color w:val="auto"/>
                      <w:szCs w:val="21"/>
                      <w:highlight w:val="none"/>
                      <w:lang w:eastAsia="zh-CN"/>
                    </w:rPr>
                    <w:t>GB31572-2015，含2024年修改单</w:t>
                  </w:r>
                  <w:r>
                    <w:rPr>
                      <w:rFonts w:hint="default"/>
                      <w:color w:val="auto"/>
                      <w:szCs w:val="21"/>
                      <w:highlight w:val="none"/>
                    </w:rPr>
                    <w:t>）</w:t>
                  </w:r>
                  <w:r>
                    <w:rPr>
                      <w:rFonts w:hint="eastAsia"/>
                      <w:color w:val="auto"/>
                      <w:szCs w:val="21"/>
                      <w:highlight w:val="none"/>
                    </w:rPr>
                    <w:t>表5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314" w:type="pct"/>
                  <w:vMerge w:val="restar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无组织</w:t>
                  </w:r>
                </w:p>
              </w:tc>
              <w:tc>
                <w:tcPr>
                  <w:tcW w:w="847" w:type="pct"/>
                  <w:vMerge w:val="restar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非甲烷总烃</w:t>
                  </w:r>
                </w:p>
              </w:tc>
              <w:tc>
                <w:tcPr>
                  <w:tcW w:w="955"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1"/>
                      <w:highlight w:val="none"/>
                    </w:rPr>
                    <w:t>厂界及周边污染控制要求</w:t>
                  </w:r>
                </w:p>
              </w:tc>
              <w:tc>
                <w:tcPr>
                  <w:tcW w:w="937"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4.0</w:t>
                  </w:r>
                </w:p>
              </w:tc>
              <w:tc>
                <w:tcPr>
                  <w:tcW w:w="1504"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kern w:val="24"/>
                      <w:szCs w:val="20"/>
                      <w:highlight w:val="none"/>
                    </w:rPr>
                  </w:pPr>
                  <w:r>
                    <w:rPr>
                      <w:rFonts w:hint="default"/>
                      <w:color w:val="auto"/>
                      <w:szCs w:val="21"/>
                      <w:highlight w:val="none"/>
                    </w:rPr>
                    <w:t>《合成树脂工业污染物排放标准》（</w:t>
                  </w:r>
                  <w:r>
                    <w:rPr>
                      <w:rFonts w:hint="eastAsia"/>
                      <w:color w:val="auto"/>
                      <w:szCs w:val="21"/>
                      <w:highlight w:val="none"/>
                      <w:lang w:eastAsia="zh-CN"/>
                    </w:rPr>
                    <w:t>GB31572-2015，含2024年修改单</w:t>
                  </w:r>
                  <w:r>
                    <w:rPr>
                      <w:rFonts w:hint="default"/>
                      <w:color w:val="auto"/>
                      <w:szCs w:val="21"/>
                      <w:highlight w:val="none"/>
                    </w:rPr>
                    <w:t>）</w:t>
                  </w:r>
                  <w:r>
                    <w:rPr>
                      <w:rFonts w:hint="eastAsia"/>
                      <w:color w:val="auto"/>
                      <w:kern w:val="24"/>
                      <w:szCs w:val="20"/>
                      <w:highlight w:val="none"/>
                    </w:rPr>
                    <w:t>表9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314"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847"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955"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1"/>
                      <w:highlight w:val="none"/>
                    </w:rPr>
                  </w:pPr>
                  <w:r>
                    <w:rPr>
                      <w:rFonts w:hint="default"/>
                      <w:color w:val="auto"/>
                      <w:kern w:val="2"/>
                      <w:szCs w:val="24"/>
                      <w:highlight w:val="none"/>
                    </w:rPr>
                    <w:t>厂区内监控点</w:t>
                  </w:r>
                  <w:r>
                    <w:rPr>
                      <w:rFonts w:hint="default"/>
                      <w:color w:val="auto"/>
                      <w:szCs w:val="21"/>
                      <w:highlight w:val="none"/>
                    </w:rPr>
                    <w:t>1h平均</w:t>
                  </w:r>
                  <w:r>
                    <w:rPr>
                      <w:rFonts w:hint="default"/>
                      <w:color w:val="auto"/>
                      <w:kern w:val="2"/>
                      <w:szCs w:val="24"/>
                      <w:highlight w:val="none"/>
                    </w:rPr>
                    <w:t>浓度限值</w:t>
                  </w:r>
                </w:p>
              </w:tc>
              <w:tc>
                <w:tcPr>
                  <w:tcW w:w="937"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6</w:t>
                  </w:r>
                </w:p>
              </w:tc>
              <w:tc>
                <w:tcPr>
                  <w:tcW w:w="1504" w:type="pct"/>
                  <w:vMerge w:val="restar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《挥发性有机物无组织排放控制标准》（GB37822-2019）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314"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847"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955"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kern w:val="2"/>
                      <w:szCs w:val="24"/>
                      <w:highlight w:val="none"/>
                    </w:rPr>
                  </w:pPr>
                  <w:r>
                    <w:rPr>
                      <w:rFonts w:hint="default"/>
                      <w:color w:val="auto"/>
                      <w:kern w:val="2"/>
                      <w:szCs w:val="24"/>
                      <w:highlight w:val="none"/>
                    </w:rPr>
                    <w:t>厂区内监控点</w:t>
                  </w:r>
                  <w:r>
                    <w:rPr>
                      <w:rFonts w:hint="default" w:ascii="Times New Roman" w:hAnsi="Times New Roman" w:cs="Times New Roman"/>
                      <w:color w:val="auto"/>
                      <w:szCs w:val="21"/>
                      <w:lang w:val="en-US" w:eastAsia="zh-CN"/>
                    </w:rPr>
                    <w:t>处任意一次浓度</w:t>
                  </w:r>
                  <w:r>
                    <w:rPr>
                      <w:rFonts w:hint="eastAsia" w:cs="Times New Roman"/>
                      <w:color w:val="auto"/>
                      <w:szCs w:val="21"/>
                      <w:lang w:val="en-US" w:eastAsia="zh-CN"/>
                    </w:rPr>
                    <w:t>限</w:t>
                  </w:r>
                  <w:r>
                    <w:rPr>
                      <w:rFonts w:hint="default" w:ascii="Times New Roman" w:hAnsi="Times New Roman" w:cs="Times New Roman"/>
                      <w:color w:val="auto"/>
                      <w:szCs w:val="21"/>
                      <w:lang w:val="en-US" w:eastAsia="zh-CN"/>
                    </w:rPr>
                    <w:t>值</w:t>
                  </w:r>
                </w:p>
              </w:tc>
              <w:tc>
                <w:tcPr>
                  <w:tcW w:w="937"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lang w:val="en-US" w:eastAsia="zh-CN"/>
                    </w:rPr>
                    <w:t>20</w:t>
                  </w:r>
                </w:p>
              </w:tc>
              <w:tc>
                <w:tcPr>
                  <w:tcW w:w="1504"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r>
          </w:tbl>
          <w:p>
            <w:pPr>
              <w:keepNext w:val="0"/>
              <w:keepLines w:val="0"/>
              <w:suppressLineNumbers w:val="0"/>
              <w:spacing w:before="0" w:beforeAutospacing="0" w:after="0" w:afterAutospacing="0"/>
              <w:ind w:left="480" w:right="0" w:firstLine="0" w:firstLineChars="0"/>
              <w:rPr>
                <w:rFonts w:hint="default"/>
                <w:b/>
                <w:color w:val="auto"/>
                <w:highlight w:val="none"/>
              </w:rPr>
            </w:pPr>
            <w:r>
              <w:rPr>
                <w:rFonts w:hint="eastAsia"/>
                <w:b/>
                <w:color w:val="auto"/>
                <w:highlight w:val="none"/>
              </w:rPr>
              <w:t>2、</w:t>
            </w:r>
            <w:r>
              <w:rPr>
                <w:rFonts w:hint="default"/>
                <w:b/>
                <w:color w:val="auto"/>
                <w:highlight w:val="none"/>
              </w:rPr>
              <w:t>废水</w:t>
            </w:r>
          </w:p>
          <w:p>
            <w:pPr>
              <w:keepNext w:val="0"/>
              <w:keepLines w:val="0"/>
              <w:suppressLineNumbers w:val="0"/>
              <w:autoSpaceDE w:val="0"/>
              <w:autoSpaceDN w:val="0"/>
              <w:adjustRightInd w:val="0"/>
              <w:snapToGrid w:val="0"/>
              <w:spacing w:before="0" w:beforeAutospacing="0" w:after="0" w:afterAutospacing="0"/>
              <w:ind w:left="0" w:right="0" w:firstLine="480"/>
              <w:rPr>
                <w:rFonts w:hint="default"/>
                <w:color w:val="auto"/>
                <w:kern w:val="0"/>
                <w:highlight w:val="none"/>
              </w:rPr>
            </w:pPr>
            <w:r>
              <w:rPr>
                <w:rFonts w:hint="eastAsia"/>
                <w:color w:val="auto"/>
                <w:highlight w:val="none"/>
              </w:rPr>
              <w:t>施工期主要为设备进场及安装，无施工废水产生；运营过程中冷却水循环使用，定期补充</w:t>
            </w:r>
            <w:r>
              <w:rPr>
                <w:rFonts w:hint="eastAsia"/>
                <w:color w:val="auto"/>
                <w:highlight w:val="none"/>
                <w:lang w:eastAsia="zh-CN"/>
              </w:rPr>
              <w:t>；</w:t>
            </w:r>
            <w:r>
              <w:rPr>
                <w:rFonts w:hint="eastAsia"/>
                <w:color w:val="auto"/>
                <w:highlight w:val="none"/>
              </w:rPr>
              <w:t>生活污水排至</w:t>
            </w:r>
            <w:r>
              <w:rPr>
                <w:rFonts w:hint="eastAsia"/>
                <w:color w:val="auto"/>
                <w:highlight w:val="none"/>
                <w:lang w:val="en-US" w:eastAsia="zh-CN"/>
              </w:rPr>
              <w:t>已建成</w:t>
            </w:r>
            <w:r>
              <w:rPr>
                <w:rFonts w:hint="eastAsia"/>
                <w:color w:val="auto"/>
                <w:highlight w:val="none"/>
              </w:rPr>
              <w:t>化粪池</w:t>
            </w:r>
            <w:r>
              <w:rPr>
                <w:rFonts w:hint="eastAsia"/>
                <w:color w:val="auto"/>
                <w:highlight w:val="none"/>
                <w:lang w:val="en-US" w:eastAsia="zh-CN"/>
              </w:rPr>
              <w:t>处理后</w:t>
            </w:r>
            <w:r>
              <w:rPr>
                <w:rFonts w:hint="eastAsia"/>
                <w:color w:val="auto"/>
                <w:highlight w:val="none"/>
              </w:rPr>
              <w:t>经市政管网排入泾河新城第二污水处理厂。污水</w:t>
            </w:r>
            <w:r>
              <w:rPr>
                <w:rFonts w:hint="default"/>
                <w:color w:val="auto"/>
                <w:highlight w:val="none"/>
              </w:rPr>
              <w:t>排放</w:t>
            </w:r>
            <w:r>
              <w:rPr>
                <w:rFonts w:hint="default"/>
                <w:color w:val="auto"/>
                <w:kern w:val="0"/>
                <w:highlight w:val="none"/>
              </w:rPr>
              <w:t>执行《污水综合排放标准》（GB8978-1996）三级标准及《污水排入城镇下水道水质标准》（GB/T 31962-2015）B级标准。</w:t>
            </w:r>
          </w:p>
          <w:p>
            <w:pPr>
              <w:pStyle w:val="77"/>
              <w:keepNext w:val="0"/>
              <w:keepLines w:val="0"/>
              <w:widowControl/>
              <w:suppressLineNumbers w:val="0"/>
              <w:spacing w:before="0" w:beforeLines="0" w:beforeAutospacing="0" w:after="0" w:afterAutospacing="0" w:line="240" w:lineRule="auto"/>
              <w:ind w:left="0" w:right="0"/>
              <w:rPr>
                <w:rFonts w:hint="default" w:eastAsia="宋体"/>
                <w:b/>
                <w:bCs/>
                <w:color w:val="auto"/>
                <w:highlight w:val="none"/>
              </w:rPr>
            </w:pPr>
            <w:r>
              <w:rPr>
                <w:rFonts w:hint="default" w:eastAsia="宋体"/>
                <w:b/>
                <w:bCs/>
                <w:color w:val="auto"/>
                <w:highlight w:val="none"/>
              </w:rPr>
              <w:t>表</w:t>
            </w:r>
            <w:r>
              <w:rPr>
                <w:rFonts w:hint="eastAsia" w:eastAsia="宋体"/>
                <w:b/>
                <w:bCs/>
                <w:color w:val="auto"/>
                <w:highlight w:val="none"/>
              </w:rPr>
              <w:t xml:space="preserve">3-5 </w:t>
            </w:r>
            <w:r>
              <w:rPr>
                <w:rFonts w:hint="default" w:eastAsia="宋体"/>
                <w:b/>
                <w:bCs/>
                <w:color w:val="auto"/>
                <w:highlight w:val="none"/>
              </w:rPr>
              <w:t xml:space="preserve"> 水污染物排放标准</w:t>
            </w:r>
          </w:p>
          <w:tbl>
            <w:tblPr>
              <w:tblStyle w:val="3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741"/>
              <w:gridCol w:w="1094"/>
              <w:gridCol w:w="1131"/>
              <w:gridCol w:w="338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25"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序号</w:t>
                  </w:r>
                </w:p>
              </w:tc>
              <w:tc>
                <w:tcPr>
                  <w:tcW w:w="1083"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污染物指标</w:t>
                  </w:r>
                </w:p>
              </w:tc>
              <w:tc>
                <w:tcPr>
                  <w:tcW w:w="680"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标准限值</w:t>
                  </w:r>
                </w:p>
              </w:tc>
              <w:tc>
                <w:tcPr>
                  <w:tcW w:w="703"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单位</w:t>
                  </w:r>
                </w:p>
              </w:tc>
              <w:tc>
                <w:tcPr>
                  <w:tcW w:w="2106"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执行标准</w:t>
                  </w:r>
                  <w:r>
                    <w:rPr>
                      <w:rFonts w:hint="eastAsia"/>
                      <w:color w:val="auto"/>
                      <w:szCs w:val="20"/>
                      <w:highlight w:val="none"/>
                    </w:rPr>
                    <w:t>及级别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25"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1</w:t>
                  </w:r>
                </w:p>
              </w:tc>
              <w:tc>
                <w:tcPr>
                  <w:tcW w:w="1083"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pH值</w:t>
                  </w:r>
                </w:p>
              </w:tc>
              <w:tc>
                <w:tcPr>
                  <w:tcW w:w="680"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6-9</w:t>
                  </w:r>
                </w:p>
              </w:tc>
              <w:tc>
                <w:tcPr>
                  <w:tcW w:w="703" w:type="pct"/>
                  <w:vMerge w:val="restar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mg/L</w:t>
                  </w:r>
                </w:p>
              </w:tc>
              <w:tc>
                <w:tcPr>
                  <w:tcW w:w="2106" w:type="pct"/>
                  <w:vMerge w:val="restar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《污水综合排放标准》（GB 8978-1996）表4中三级标准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25"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2</w:t>
                  </w:r>
                </w:p>
              </w:tc>
              <w:tc>
                <w:tcPr>
                  <w:tcW w:w="1083"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化学需氧量</w:t>
                  </w:r>
                </w:p>
              </w:tc>
              <w:tc>
                <w:tcPr>
                  <w:tcW w:w="680"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5</w:t>
                  </w:r>
                  <w:r>
                    <w:rPr>
                      <w:rFonts w:hint="default"/>
                      <w:color w:val="auto"/>
                      <w:szCs w:val="20"/>
                      <w:highlight w:val="none"/>
                    </w:rPr>
                    <w:t>00</w:t>
                  </w:r>
                </w:p>
              </w:tc>
              <w:tc>
                <w:tcPr>
                  <w:tcW w:w="703" w:type="pct"/>
                  <w:vMerge w:val="continue"/>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2106" w:type="pct"/>
                  <w:vMerge w:val="continue"/>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25"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3</w:t>
                  </w:r>
                </w:p>
              </w:tc>
              <w:tc>
                <w:tcPr>
                  <w:tcW w:w="1083"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五日生化需氧量</w:t>
                  </w:r>
                </w:p>
              </w:tc>
              <w:tc>
                <w:tcPr>
                  <w:tcW w:w="680"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3</w:t>
                  </w:r>
                  <w:r>
                    <w:rPr>
                      <w:rFonts w:hint="default"/>
                      <w:color w:val="auto"/>
                      <w:szCs w:val="20"/>
                      <w:highlight w:val="none"/>
                    </w:rPr>
                    <w:t>00</w:t>
                  </w:r>
                </w:p>
              </w:tc>
              <w:tc>
                <w:tcPr>
                  <w:tcW w:w="703" w:type="pct"/>
                  <w:vMerge w:val="continue"/>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2106" w:type="pct"/>
                  <w:vMerge w:val="continue"/>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25"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4</w:t>
                  </w:r>
                </w:p>
              </w:tc>
              <w:tc>
                <w:tcPr>
                  <w:tcW w:w="1083"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悬浮物</w:t>
                  </w:r>
                </w:p>
              </w:tc>
              <w:tc>
                <w:tcPr>
                  <w:tcW w:w="680"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4</w:t>
                  </w:r>
                  <w:r>
                    <w:rPr>
                      <w:rFonts w:hint="default"/>
                      <w:color w:val="auto"/>
                      <w:szCs w:val="20"/>
                      <w:highlight w:val="none"/>
                    </w:rPr>
                    <w:t>00</w:t>
                  </w:r>
                </w:p>
              </w:tc>
              <w:tc>
                <w:tcPr>
                  <w:tcW w:w="703" w:type="pct"/>
                  <w:vMerge w:val="continue"/>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2106" w:type="pct"/>
                  <w:vMerge w:val="continue"/>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25" w:type="pct"/>
                  <w:vAlign w:val="center"/>
                </w:tcPr>
                <w:p>
                  <w:pPr>
                    <w:pStyle w:val="80"/>
                    <w:keepNext w:val="0"/>
                    <w:keepLines w:val="0"/>
                    <w:widowControl/>
                    <w:suppressLineNumbers w:val="0"/>
                    <w:spacing w:before="0" w:beforeAutospacing="0" w:after="0" w:afterAutospacing="0"/>
                    <w:ind w:left="0" w:right="0"/>
                    <w:rPr>
                      <w:rFonts w:hint="eastAsia" w:eastAsia="宋体"/>
                      <w:color w:val="auto"/>
                      <w:szCs w:val="20"/>
                      <w:highlight w:val="none"/>
                      <w:lang w:eastAsia="zh-CN"/>
                    </w:rPr>
                  </w:pPr>
                  <w:r>
                    <w:rPr>
                      <w:rFonts w:hint="eastAsia"/>
                      <w:color w:val="auto"/>
                      <w:szCs w:val="20"/>
                      <w:highlight w:val="none"/>
                      <w:lang w:eastAsia="zh-CN"/>
                    </w:rPr>
                    <w:t>5</w:t>
                  </w:r>
                </w:p>
              </w:tc>
              <w:tc>
                <w:tcPr>
                  <w:tcW w:w="1083"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氨氮</w:t>
                  </w:r>
                </w:p>
              </w:tc>
              <w:tc>
                <w:tcPr>
                  <w:tcW w:w="680"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4</w:t>
                  </w:r>
                  <w:r>
                    <w:rPr>
                      <w:rFonts w:hint="default"/>
                      <w:color w:val="auto"/>
                      <w:szCs w:val="20"/>
                      <w:highlight w:val="none"/>
                    </w:rPr>
                    <w:t>5</w:t>
                  </w:r>
                </w:p>
              </w:tc>
              <w:tc>
                <w:tcPr>
                  <w:tcW w:w="703" w:type="pct"/>
                  <w:vMerge w:val="continue"/>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2106" w:type="pct"/>
                  <w:vMerge w:val="restar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《污水排入城镇下水道水质标准》（GB/T 31962-2015）中B级标准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25" w:type="pct"/>
                  <w:vAlign w:val="center"/>
                </w:tcPr>
                <w:p>
                  <w:pPr>
                    <w:pStyle w:val="80"/>
                    <w:keepNext w:val="0"/>
                    <w:keepLines w:val="0"/>
                    <w:widowControl/>
                    <w:suppressLineNumbers w:val="0"/>
                    <w:spacing w:before="0" w:beforeAutospacing="0" w:after="0" w:afterAutospacing="0"/>
                    <w:ind w:left="0" w:right="0"/>
                    <w:rPr>
                      <w:rFonts w:hint="eastAsia" w:eastAsia="宋体"/>
                      <w:color w:val="auto"/>
                      <w:szCs w:val="20"/>
                      <w:highlight w:val="none"/>
                      <w:lang w:val="en-US" w:eastAsia="zh-CN"/>
                    </w:rPr>
                  </w:pPr>
                  <w:r>
                    <w:rPr>
                      <w:rFonts w:hint="eastAsia"/>
                      <w:color w:val="auto"/>
                      <w:szCs w:val="20"/>
                      <w:highlight w:val="none"/>
                      <w:lang w:val="en-US" w:eastAsia="zh-CN"/>
                    </w:rPr>
                    <w:t>6</w:t>
                  </w:r>
                </w:p>
              </w:tc>
              <w:tc>
                <w:tcPr>
                  <w:tcW w:w="1083"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总磷</w:t>
                  </w:r>
                </w:p>
              </w:tc>
              <w:tc>
                <w:tcPr>
                  <w:tcW w:w="680"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8</w:t>
                  </w:r>
                </w:p>
              </w:tc>
              <w:tc>
                <w:tcPr>
                  <w:tcW w:w="703" w:type="pct"/>
                  <w:vMerge w:val="continue"/>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2106" w:type="pct"/>
                  <w:vMerge w:val="continue"/>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25" w:type="pct"/>
                  <w:vAlign w:val="center"/>
                </w:tcPr>
                <w:p>
                  <w:pPr>
                    <w:pStyle w:val="80"/>
                    <w:keepNext w:val="0"/>
                    <w:keepLines w:val="0"/>
                    <w:widowControl/>
                    <w:suppressLineNumbers w:val="0"/>
                    <w:spacing w:before="0" w:beforeAutospacing="0" w:after="0" w:afterAutospacing="0"/>
                    <w:ind w:left="0" w:right="0"/>
                    <w:rPr>
                      <w:rFonts w:hint="eastAsia" w:eastAsia="宋体"/>
                      <w:color w:val="auto"/>
                      <w:szCs w:val="20"/>
                      <w:highlight w:val="none"/>
                      <w:lang w:eastAsia="zh-CN"/>
                    </w:rPr>
                  </w:pPr>
                  <w:r>
                    <w:rPr>
                      <w:rFonts w:hint="eastAsia"/>
                      <w:color w:val="auto"/>
                      <w:szCs w:val="20"/>
                      <w:highlight w:val="none"/>
                      <w:lang w:val="en-US" w:eastAsia="zh-CN"/>
                    </w:rPr>
                    <w:t>7</w:t>
                  </w:r>
                </w:p>
              </w:tc>
              <w:tc>
                <w:tcPr>
                  <w:tcW w:w="1083"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总氮</w:t>
                  </w:r>
                </w:p>
              </w:tc>
              <w:tc>
                <w:tcPr>
                  <w:tcW w:w="680"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70</w:t>
                  </w:r>
                </w:p>
              </w:tc>
              <w:tc>
                <w:tcPr>
                  <w:tcW w:w="703" w:type="pct"/>
                  <w:vMerge w:val="continue"/>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2106" w:type="pct"/>
                  <w:vMerge w:val="continue"/>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r>
          </w:tbl>
          <w:p>
            <w:pPr>
              <w:keepNext w:val="0"/>
              <w:keepLines w:val="0"/>
              <w:suppressLineNumbers w:val="0"/>
              <w:tabs>
                <w:tab w:val="left" w:pos="8607"/>
              </w:tabs>
              <w:adjustRightInd w:val="0"/>
              <w:snapToGrid w:val="0"/>
              <w:spacing w:before="0" w:beforeAutospacing="0" w:after="0" w:afterAutospacing="0"/>
              <w:ind w:left="480" w:right="0" w:firstLine="0" w:firstLineChars="0"/>
              <w:rPr>
                <w:rFonts w:hint="default"/>
                <w:b/>
                <w:color w:val="auto"/>
                <w:highlight w:val="none"/>
              </w:rPr>
            </w:pPr>
            <w:r>
              <w:rPr>
                <w:rFonts w:hint="eastAsia"/>
                <w:b/>
                <w:color w:val="auto"/>
                <w:highlight w:val="none"/>
              </w:rPr>
              <w:t>3、</w:t>
            </w:r>
            <w:r>
              <w:rPr>
                <w:rFonts w:hint="default"/>
                <w:b/>
                <w:color w:val="auto"/>
                <w:highlight w:val="none"/>
              </w:rPr>
              <w:t>噪声</w:t>
            </w:r>
          </w:p>
          <w:p>
            <w:pPr>
              <w:keepNext w:val="0"/>
              <w:keepLines w:val="0"/>
              <w:suppressLineNumbers w:val="0"/>
              <w:tabs>
                <w:tab w:val="left" w:pos="8607"/>
              </w:tabs>
              <w:spacing w:before="0" w:beforeAutospacing="0" w:after="0" w:afterAutospacing="0"/>
              <w:ind w:left="0" w:right="0" w:firstLine="480"/>
              <w:rPr>
                <w:rFonts w:hint="default"/>
                <w:color w:val="auto"/>
                <w:highlight w:val="none"/>
              </w:rPr>
            </w:pPr>
            <w:r>
              <w:rPr>
                <w:rFonts w:hint="eastAsia"/>
                <w:color w:val="auto"/>
                <w:highlight w:val="none"/>
              </w:rPr>
              <w:t>施工期间噪声执行《</w:t>
            </w:r>
            <w:r>
              <w:rPr>
                <w:rFonts w:hint="eastAsia"/>
                <w:color w:val="auto"/>
                <w:highlight w:val="none"/>
                <w:lang w:eastAsia="zh-CN"/>
              </w:rPr>
              <w:t>建筑施工场界环境噪声排放标准</w:t>
            </w:r>
            <w:r>
              <w:rPr>
                <w:rFonts w:hint="eastAsia"/>
                <w:color w:val="auto"/>
                <w:highlight w:val="none"/>
              </w:rPr>
              <w:t>》（GB12523-2011） 中的要求；运营期</w:t>
            </w:r>
            <w:r>
              <w:rPr>
                <w:rFonts w:hint="default"/>
                <w:color w:val="auto"/>
                <w:highlight w:val="none"/>
              </w:rPr>
              <w:t>噪声</w:t>
            </w:r>
            <w:r>
              <w:rPr>
                <w:rFonts w:hint="eastAsia"/>
                <w:color w:val="auto"/>
                <w:highlight w:val="none"/>
              </w:rPr>
              <w:t>排放</w:t>
            </w:r>
            <w:r>
              <w:rPr>
                <w:rFonts w:hint="default"/>
                <w:color w:val="auto"/>
                <w:highlight w:val="none"/>
              </w:rPr>
              <w:t>执行《工业企业厂界环境噪声排放标准》（GB12348-2008）中</w:t>
            </w:r>
            <w:r>
              <w:rPr>
                <w:rFonts w:hint="eastAsia"/>
                <w:color w:val="auto"/>
                <w:highlight w:val="none"/>
              </w:rPr>
              <w:t>3</w:t>
            </w:r>
            <w:r>
              <w:rPr>
                <w:rFonts w:hint="default"/>
                <w:color w:val="auto"/>
                <w:highlight w:val="none"/>
              </w:rPr>
              <w:t>类标准</w:t>
            </w:r>
            <w:r>
              <w:rPr>
                <w:rFonts w:hint="eastAsia"/>
                <w:color w:val="auto"/>
                <w:highlight w:val="none"/>
              </w:rPr>
              <w:t>要求</w:t>
            </w:r>
            <w:r>
              <w:rPr>
                <w:rFonts w:hint="default"/>
                <w:color w:val="auto"/>
                <w:highlight w:val="none"/>
              </w:rPr>
              <w:t>。</w:t>
            </w:r>
          </w:p>
          <w:p>
            <w:pPr>
              <w:pStyle w:val="77"/>
              <w:keepNext w:val="0"/>
              <w:keepLines w:val="0"/>
              <w:widowControl/>
              <w:suppressLineNumbers w:val="0"/>
              <w:spacing w:before="0" w:beforeLines="0" w:beforeAutospacing="0" w:after="0" w:afterAutospacing="0" w:line="240" w:lineRule="auto"/>
              <w:ind w:left="0" w:right="0"/>
              <w:rPr>
                <w:rFonts w:hint="default" w:eastAsia="宋体"/>
                <w:b/>
                <w:bCs/>
                <w:color w:val="auto"/>
                <w:highlight w:val="none"/>
              </w:rPr>
            </w:pPr>
            <w:r>
              <w:rPr>
                <w:rFonts w:hint="default" w:eastAsia="宋体"/>
                <w:b/>
                <w:bCs/>
                <w:color w:val="auto"/>
                <w:highlight w:val="none"/>
              </w:rPr>
              <w:t>表</w:t>
            </w:r>
            <w:r>
              <w:rPr>
                <w:rFonts w:hint="eastAsia" w:eastAsia="宋体"/>
                <w:b/>
                <w:bCs/>
                <w:color w:val="auto"/>
                <w:highlight w:val="none"/>
              </w:rPr>
              <w:t>3-6</w:t>
            </w:r>
            <w:r>
              <w:rPr>
                <w:rFonts w:hint="default" w:eastAsia="宋体"/>
                <w:b/>
                <w:bCs/>
                <w:color w:val="auto"/>
                <w:highlight w:val="none"/>
              </w:rPr>
              <w:t xml:space="preserve">  </w:t>
            </w:r>
            <w:r>
              <w:rPr>
                <w:rFonts w:hint="eastAsia" w:eastAsia="宋体"/>
                <w:b/>
                <w:bCs/>
                <w:color w:val="auto"/>
                <w:highlight w:val="none"/>
              </w:rPr>
              <w:t>工业企业环境噪声</w:t>
            </w:r>
            <w:r>
              <w:rPr>
                <w:rFonts w:hint="default" w:eastAsia="宋体"/>
                <w:b/>
                <w:bCs/>
                <w:color w:val="auto"/>
                <w:highlight w:val="none"/>
              </w:rPr>
              <w:t>排放标准</w:t>
            </w:r>
          </w:p>
          <w:tbl>
            <w:tblPr>
              <w:tblStyle w:val="3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57" w:type="dxa"/>
                <w:left w:w="28" w:type="dxa"/>
                <w:bottom w:w="57" w:type="dxa"/>
                <w:right w:w="28" w:type="dxa"/>
              </w:tblCellMar>
            </w:tblPr>
            <w:tblGrid>
              <w:gridCol w:w="1225"/>
              <w:gridCol w:w="4868"/>
              <w:gridCol w:w="1049"/>
              <w:gridCol w:w="8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28" w:type="dxa"/>
                  <w:bottom w:w="57" w:type="dxa"/>
                  <w:right w:w="28" w:type="dxa"/>
                </w:tblCellMar>
              </w:tblPrEx>
              <w:trPr>
                <w:trHeight w:val="90" w:hRule="atLeast"/>
                <w:jc w:val="center"/>
              </w:trPr>
              <w:tc>
                <w:tcPr>
                  <w:tcW w:w="762" w:type="pct"/>
                  <w:vMerge w:val="restart"/>
                  <w:tcBorders>
                    <w:tl2br w:val="nil"/>
                    <w:tr2bl w:val="nil"/>
                  </w:tcBorders>
                  <w:tcMar>
                    <w:left w:w="57" w:type="dxa"/>
                    <w:right w:w="57" w:type="dxa"/>
                  </w:tcMar>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类别</w:t>
                  </w:r>
                </w:p>
              </w:tc>
              <w:tc>
                <w:tcPr>
                  <w:tcW w:w="3028" w:type="pct"/>
                  <w:vMerge w:val="restart"/>
                  <w:tcBorders>
                    <w:tl2br w:val="nil"/>
                    <w:tr2bl w:val="nil"/>
                  </w:tcBorders>
                  <w:tcMar>
                    <w:left w:w="57" w:type="dxa"/>
                    <w:right w:w="57" w:type="dxa"/>
                  </w:tcMar>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标准名称及级（类别）</w:t>
                  </w:r>
                </w:p>
              </w:tc>
              <w:tc>
                <w:tcPr>
                  <w:tcW w:w="1208" w:type="pct"/>
                  <w:gridSpan w:val="2"/>
                  <w:tcBorders>
                    <w:tl2br w:val="nil"/>
                    <w:tr2bl w:val="nil"/>
                  </w:tcBorders>
                  <w:tcMar>
                    <w:left w:w="57" w:type="dxa"/>
                    <w:right w:w="57" w:type="dxa"/>
                  </w:tcMar>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标准</w:t>
                  </w:r>
                  <w:r>
                    <w:rPr>
                      <w:rFonts w:hint="eastAsia"/>
                      <w:color w:val="auto"/>
                      <w:szCs w:val="20"/>
                      <w:highlight w:val="none"/>
                    </w:rPr>
                    <w:t>限</w:t>
                  </w:r>
                  <w:r>
                    <w:rPr>
                      <w:rFonts w:hint="default"/>
                      <w:color w:val="auto"/>
                      <w:szCs w:val="20"/>
                      <w:highlight w:val="none"/>
                    </w:rPr>
                    <w:t>值</w:t>
                  </w:r>
                  <w:r>
                    <w:rPr>
                      <w:rFonts w:hint="eastAsia"/>
                      <w:color w:val="auto"/>
                      <w:szCs w:val="20"/>
                      <w:highlight w:val="none"/>
                    </w:rPr>
                    <w:t>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28" w:type="dxa"/>
                  <w:bottom w:w="57" w:type="dxa"/>
                  <w:right w:w="28" w:type="dxa"/>
                </w:tblCellMar>
              </w:tblPrEx>
              <w:trPr>
                <w:trHeight w:val="90" w:hRule="atLeast"/>
                <w:jc w:val="center"/>
              </w:trPr>
              <w:tc>
                <w:tcPr>
                  <w:tcW w:w="762" w:type="pct"/>
                  <w:vMerge w:val="continue"/>
                  <w:tcBorders>
                    <w:tl2br w:val="nil"/>
                    <w:tr2bl w:val="nil"/>
                  </w:tcBorders>
                  <w:tcMar>
                    <w:left w:w="57" w:type="dxa"/>
                    <w:right w:w="57" w:type="dxa"/>
                  </w:tcMar>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3028" w:type="pct"/>
                  <w:vMerge w:val="continue"/>
                  <w:tcBorders>
                    <w:tl2br w:val="nil"/>
                    <w:tr2bl w:val="nil"/>
                  </w:tcBorders>
                  <w:tcMar>
                    <w:left w:w="57" w:type="dxa"/>
                    <w:right w:w="57" w:type="dxa"/>
                  </w:tcMar>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653" w:type="pct"/>
                  <w:tcBorders>
                    <w:tl2br w:val="nil"/>
                    <w:tr2bl w:val="nil"/>
                  </w:tcBorders>
                  <w:tcMar>
                    <w:left w:w="57" w:type="dxa"/>
                    <w:right w:w="57" w:type="dxa"/>
                  </w:tcMar>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昼间</w:t>
                  </w:r>
                </w:p>
              </w:tc>
              <w:tc>
                <w:tcPr>
                  <w:tcW w:w="555" w:type="pct"/>
                  <w:tcBorders>
                    <w:tl2br w:val="nil"/>
                    <w:tr2bl w:val="nil"/>
                  </w:tcBorders>
                  <w:tcMar>
                    <w:left w:w="57" w:type="dxa"/>
                    <w:right w:w="57" w:type="dxa"/>
                  </w:tcMar>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28" w:type="dxa"/>
                  <w:bottom w:w="57" w:type="dxa"/>
                  <w:right w:w="28" w:type="dxa"/>
                </w:tblCellMar>
              </w:tblPrEx>
              <w:trPr>
                <w:trHeight w:val="454" w:hRule="atLeast"/>
                <w:jc w:val="center"/>
              </w:trPr>
              <w:tc>
                <w:tcPr>
                  <w:tcW w:w="762" w:type="pct"/>
                  <w:tcBorders>
                    <w:tl2br w:val="nil"/>
                    <w:tr2bl w:val="nil"/>
                  </w:tcBorders>
                  <w:tcMar>
                    <w:left w:w="57" w:type="dxa"/>
                    <w:right w:w="57" w:type="dxa"/>
                  </w:tcMar>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施工期噪声</w:t>
                  </w:r>
                </w:p>
              </w:tc>
              <w:tc>
                <w:tcPr>
                  <w:tcW w:w="3028" w:type="pct"/>
                  <w:tcBorders>
                    <w:tl2br w:val="nil"/>
                    <w:tr2bl w:val="nil"/>
                  </w:tcBorders>
                  <w:tcMar>
                    <w:left w:w="57" w:type="dxa"/>
                    <w:right w:w="57" w:type="dxa"/>
                  </w:tcMar>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w:t>
                  </w:r>
                  <w:r>
                    <w:rPr>
                      <w:rFonts w:hint="eastAsia"/>
                      <w:color w:val="auto"/>
                      <w:szCs w:val="20"/>
                      <w:highlight w:val="none"/>
                      <w:lang w:eastAsia="zh-CN"/>
                    </w:rPr>
                    <w:t>建筑施工场界环境噪声排放标准</w:t>
                  </w:r>
                  <w:r>
                    <w:rPr>
                      <w:rFonts w:hint="eastAsia"/>
                      <w:color w:val="auto"/>
                      <w:szCs w:val="20"/>
                      <w:highlight w:val="none"/>
                    </w:rPr>
                    <w:t>》（GB12523-2011）中标准限值</w:t>
                  </w:r>
                </w:p>
              </w:tc>
              <w:tc>
                <w:tcPr>
                  <w:tcW w:w="653" w:type="pct"/>
                  <w:tcBorders>
                    <w:tl2br w:val="nil"/>
                    <w:tr2bl w:val="nil"/>
                  </w:tcBorders>
                  <w:tcMar>
                    <w:left w:w="57" w:type="dxa"/>
                    <w:right w:w="57" w:type="dxa"/>
                  </w:tcMar>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70</w:t>
                  </w:r>
                </w:p>
              </w:tc>
              <w:tc>
                <w:tcPr>
                  <w:tcW w:w="555" w:type="pct"/>
                  <w:tcBorders>
                    <w:tl2br w:val="nil"/>
                    <w:tr2bl w:val="nil"/>
                  </w:tcBorders>
                  <w:tcMar>
                    <w:left w:w="57" w:type="dxa"/>
                    <w:right w:w="57" w:type="dxa"/>
                  </w:tcMar>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28" w:type="dxa"/>
                  <w:bottom w:w="57" w:type="dxa"/>
                  <w:right w:w="28" w:type="dxa"/>
                </w:tblCellMar>
              </w:tblPrEx>
              <w:trPr>
                <w:trHeight w:val="454" w:hRule="atLeast"/>
                <w:jc w:val="center"/>
              </w:trPr>
              <w:tc>
                <w:tcPr>
                  <w:tcW w:w="762" w:type="pct"/>
                  <w:tcBorders>
                    <w:tl2br w:val="nil"/>
                    <w:tr2bl w:val="nil"/>
                  </w:tcBorders>
                  <w:tcMar>
                    <w:left w:w="57" w:type="dxa"/>
                    <w:right w:w="57" w:type="dxa"/>
                  </w:tcMar>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运营期噪声</w:t>
                  </w:r>
                </w:p>
              </w:tc>
              <w:tc>
                <w:tcPr>
                  <w:tcW w:w="3028" w:type="pct"/>
                  <w:tcBorders>
                    <w:tl2br w:val="nil"/>
                    <w:tr2bl w:val="nil"/>
                  </w:tcBorders>
                  <w:tcMar>
                    <w:left w:w="57" w:type="dxa"/>
                    <w:right w:w="57" w:type="dxa"/>
                  </w:tcMar>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《工业企业厂界环境噪声排放标准》（GB12348-2008）</w:t>
                  </w:r>
                  <w:r>
                    <w:rPr>
                      <w:rFonts w:hint="eastAsia"/>
                      <w:color w:val="auto"/>
                      <w:szCs w:val="20"/>
                      <w:highlight w:val="none"/>
                    </w:rPr>
                    <w:t>3</w:t>
                  </w:r>
                  <w:r>
                    <w:rPr>
                      <w:rFonts w:hint="default"/>
                      <w:color w:val="auto"/>
                      <w:szCs w:val="20"/>
                      <w:highlight w:val="none"/>
                    </w:rPr>
                    <w:t>类</w:t>
                  </w:r>
                  <w:r>
                    <w:rPr>
                      <w:rFonts w:hint="eastAsia"/>
                      <w:color w:val="auto"/>
                      <w:szCs w:val="20"/>
                      <w:highlight w:val="none"/>
                    </w:rPr>
                    <w:t>区</w:t>
                  </w:r>
                  <w:r>
                    <w:rPr>
                      <w:rFonts w:hint="default"/>
                      <w:color w:val="auto"/>
                      <w:szCs w:val="20"/>
                      <w:highlight w:val="none"/>
                    </w:rPr>
                    <w:t>标准</w:t>
                  </w:r>
                </w:p>
              </w:tc>
              <w:tc>
                <w:tcPr>
                  <w:tcW w:w="653" w:type="pct"/>
                  <w:tcBorders>
                    <w:tl2br w:val="nil"/>
                    <w:tr2bl w:val="nil"/>
                  </w:tcBorders>
                  <w:tcMar>
                    <w:left w:w="57" w:type="dxa"/>
                    <w:right w:w="57" w:type="dxa"/>
                  </w:tcMar>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65</w:t>
                  </w:r>
                </w:p>
              </w:tc>
              <w:tc>
                <w:tcPr>
                  <w:tcW w:w="555" w:type="pct"/>
                  <w:tcBorders>
                    <w:tl2br w:val="nil"/>
                    <w:tr2bl w:val="nil"/>
                  </w:tcBorders>
                  <w:tcMar>
                    <w:left w:w="57" w:type="dxa"/>
                    <w:right w:w="57" w:type="dxa"/>
                  </w:tcMar>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55</w:t>
                  </w:r>
                </w:p>
              </w:tc>
            </w:tr>
          </w:tbl>
          <w:p>
            <w:pPr>
              <w:keepNext w:val="0"/>
              <w:keepLines w:val="0"/>
              <w:suppressLineNumbers w:val="0"/>
              <w:spacing w:before="0" w:beforeAutospacing="0" w:after="0" w:afterAutospacing="0"/>
              <w:ind w:left="0" w:right="0" w:firstLine="482"/>
              <w:rPr>
                <w:rFonts w:hint="default"/>
                <w:b/>
                <w:color w:val="auto"/>
                <w:highlight w:val="none"/>
              </w:rPr>
            </w:pPr>
            <w:r>
              <w:rPr>
                <w:rFonts w:hint="eastAsia"/>
                <w:b/>
                <w:color w:val="auto"/>
                <w:highlight w:val="none"/>
              </w:rPr>
              <w:t>4、固废</w:t>
            </w:r>
          </w:p>
          <w:p>
            <w:pPr>
              <w:keepNext w:val="0"/>
              <w:keepLines w:val="0"/>
              <w:suppressLineNumbers w:val="0"/>
              <w:spacing w:before="0" w:beforeAutospacing="0" w:after="0" w:afterAutospacing="0"/>
              <w:ind w:left="0" w:right="0" w:firstLine="480"/>
              <w:rPr>
                <w:rFonts w:hint="default"/>
                <w:color w:val="auto"/>
                <w:kern w:val="0"/>
                <w:szCs w:val="21"/>
                <w:highlight w:val="none"/>
              </w:rPr>
            </w:pPr>
            <w:r>
              <w:rPr>
                <w:rFonts w:hint="eastAsia"/>
                <w:color w:val="auto"/>
                <w:highlight w:val="none"/>
              </w:rPr>
              <w:t>一般固体废物执行《一般工业固体废物贮存和填埋污染控制标准》（GB18599-2020）中相关要求；危险废物执行《危险废物贮存污染控制标准》（GB18597-2023）中相关要求。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446" w:type="pct"/>
            <w:vAlign w:val="center"/>
          </w:tcPr>
          <w:p>
            <w:pPr>
              <w:pStyle w:val="80"/>
              <w:keepNext w:val="0"/>
              <w:keepLines w:val="0"/>
              <w:widowControl/>
              <w:suppressLineNumbers w:val="0"/>
              <w:spacing w:before="0" w:beforeAutospacing="0" w:after="0" w:afterAutospacing="0"/>
              <w:ind w:left="0" w:right="0"/>
              <w:rPr>
                <w:rFonts w:hint="default"/>
                <w:color w:val="auto"/>
                <w:sz w:val="24"/>
                <w:szCs w:val="20"/>
                <w:highlight w:val="none"/>
              </w:rPr>
            </w:pPr>
            <w:r>
              <w:rPr>
                <w:rFonts w:hint="default"/>
                <w:color w:val="auto"/>
                <w:sz w:val="24"/>
                <w:szCs w:val="20"/>
                <w:highlight w:val="none"/>
              </w:rPr>
              <w:t>总量</w:t>
            </w:r>
          </w:p>
          <w:p>
            <w:pPr>
              <w:pStyle w:val="80"/>
              <w:keepNext w:val="0"/>
              <w:keepLines w:val="0"/>
              <w:widowControl/>
              <w:suppressLineNumbers w:val="0"/>
              <w:spacing w:before="0" w:beforeAutospacing="0" w:after="0" w:afterAutospacing="0"/>
              <w:ind w:left="0" w:right="0"/>
              <w:rPr>
                <w:rFonts w:hint="default"/>
                <w:color w:val="auto"/>
                <w:sz w:val="24"/>
                <w:szCs w:val="20"/>
                <w:highlight w:val="none"/>
              </w:rPr>
            </w:pPr>
            <w:r>
              <w:rPr>
                <w:rFonts w:hint="default"/>
                <w:color w:val="auto"/>
                <w:sz w:val="24"/>
                <w:szCs w:val="20"/>
                <w:highlight w:val="none"/>
              </w:rPr>
              <w:t>控制</w:t>
            </w:r>
          </w:p>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 w:val="24"/>
                <w:szCs w:val="20"/>
                <w:highlight w:val="none"/>
              </w:rPr>
              <w:t>指标</w:t>
            </w:r>
          </w:p>
        </w:tc>
        <w:tc>
          <w:tcPr>
            <w:tcW w:w="4553" w:type="pct"/>
            <w:vAlign w:val="center"/>
          </w:tcPr>
          <w:p>
            <w:pPr>
              <w:keepNext w:val="0"/>
              <w:keepLines w:val="0"/>
              <w:suppressLineNumbers w:val="0"/>
              <w:spacing w:before="0" w:beforeAutospacing="0" w:after="0" w:afterAutospacing="0"/>
              <w:ind w:left="0" w:right="0" w:firstLine="480"/>
              <w:jc w:val="left"/>
              <w:rPr>
                <w:rFonts w:hint="default"/>
                <w:color w:val="auto"/>
                <w:highlight w:val="none"/>
              </w:rPr>
            </w:pPr>
            <w:r>
              <w:rPr>
                <w:rFonts w:hint="default"/>
                <w:color w:val="auto"/>
                <w:highlight w:val="none"/>
              </w:rPr>
              <w:t>根</w:t>
            </w:r>
            <w:r>
              <w:rPr>
                <w:rFonts w:hint="eastAsia" w:ascii="宋体"/>
                <w:color w:val="auto"/>
                <w:highlight w:val="none"/>
              </w:rPr>
              <w:t>据“十四五”期间总量控制要求，我国“十四五”</w:t>
            </w:r>
            <w:r>
              <w:rPr>
                <w:rFonts w:hint="default"/>
                <w:color w:val="auto"/>
                <w:highlight w:val="none"/>
              </w:rPr>
              <w:t>期间</w:t>
            </w:r>
            <w:r>
              <w:rPr>
                <w:rFonts w:hint="eastAsia"/>
                <w:color w:val="auto"/>
                <w:highlight w:val="none"/>
              </w:rPr>
              <w:t>对</w:t>
            </w:r>
            <w:r>
              <w:rPr>
                <w:rFonts w:hint="default"/>
                <w:color w:val="auto"/>
                <w:highlight w:val="none"/>
              </w:rPr>
              <w:t>COD、NH</w:t>
            </w:r>
            <w:r>
              <w:rPr>
                <w:rFonts w:hint="default"/>
                <w:color w:val="auto"/>
                <w:highlight w:val="none"/>
                <w:vertAlign w:val="subscript"/>
              </w:rPr>
              <w:t>3</w:t>
            </w:r>
            <w:r>
              <w:rPr>
                <w:rFonts w:hint="default"/>
                <w:color w:val="auto"/>
                <w:highlight w:val="none"/>
              </w:rPr>
              <w:t>-N、NOx、VOCs</w:t>
            </w:r>
            <w:r>
              <w:rPr>
                <w:rFonts w:hint="eastAsia"/>
                <w:color w:val="auto"/>
                <w:highlight w:val="none"/>
              </w:rPr>
              <w:t>这4种</w:t>
            </w:r>
            <w:r>
              <w:rPr>
                <w:rFonts w:hint="default"/>
                <w:color w:val="auto"/>
                <w:highlight w:val="none"/>
              </w:rPr>
              <w:t>污染物实行排放总量控制。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本项目总量指标如下：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COD</w:t>
            </w:r>
            <w:r>
              <w:rPr>
                <w:rFonts w:hint="eastAsia"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084</w:t>
            </w:r>
            <w:r>
              <w:rPr>
                <w:rFonts w:hint="eastAsia" w:ascii="Times New Roman" w:hAnsi="Times New Roman" w:eastAsia="宋体" w:cs="Times New Roman"/>
                <w:color w:val="auto"/>
                <w:sz w:val="24"/>
                <w:szCs w:val="24"/>
                <w:highlight w:val="none"/>
                <w:lang w:val="en-US" w:eastAsia="zh-CN"/>
              </w:rPr>
              <w:t>t/a；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NH</w:t>
            </w:r>
            <w:r>
              <w:rPr>
                <w:rFonts w:hint="default" w:ascii="Times New Roman" w:hAnsi="Times New Roman" w:eastAsia="宋体" w:cs="Times New Roman"/>
                <w:color w:val="auto"/>
                <w:sz w:val="24"/>
                <w:szCs w:val="24"/>
                <w:highlight w:val="none"/>
                <w:vertAlign w:val="subscript"/>
                <w:lang w:val="en-US" w:eastAsia="zh-CN"/>
              </w:rPr>
              <w:t>3</w:t>
            </w:r>
            <w:r>
              <w:rPr>
                <w:rFonts w:hint="default" w:ascii="Times New Roman" w:hAnsi="Times New Roman" w:eastAsia="宋体" w:cs="Times New Roman"/>
                <w:color w:val="auto"/>
                <w:sz w:val="24"/>
                <w:szCs w:val="24"/>
                <w:highlight w:val="none"/>
                <w:lang w:val="en-US" w:eastAsia="zh-CN"/>
              </w:rPr>
              <w:t>-N</w:t>
            </w: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0.011</w:t>
            </w:r>
            <w:r>
              <w:rPr>
                <w:rFonts w:hint="eastAsia" w:ascii="Times New Roman" w:hAnsi="Times New Roman" w:eastAsia="宋体" w:cs="Times New Roman"/>
                <w:color w:val="auto"/>
                <w:sz w:val="24"/>
                <w:szCs w:val="24"/>
                <w:highlight w:val="none"/>
                <w:lang w:val="en-US" w:eastAsia="zh-CN"/>
              </w:rPr>
              <w:t>t/a；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VOCs：</w:t>
            </w:r>
            <w:r>
              <w:rPr>
                <w:rFonts w:hint="eastAsia" w:cs="Times New Roman"/>
                <w:color w:val="auto"/>
                <w:sz w:val="24"/>
                <w:szCs w:val="24"/>
                <w:highlight w:val="none"/>
                <w:lang w:val="en-US" w:eastAsia="zh-CN"/>
              </w:rPr>
              <w:t>8.124</w:t>
            </w:r>
            <w:r>
              <w:rPr>
                <w:rFonts w:hint="default" w:ascii="Times New Roman" w:hAnsi="Times New Roman" w:eastAsia="宋体" w:cs="Times New Roman"/>
                <w:color w:val="auto"/>
                <w:sz w:val="24"/>
                <w:szCs w:val="24"/>
                <w:highlight w:val="none"/>
                <w:lang w:val="en-US" w:eastAsia="zh-CN"/>
              </w:rPr>
              <w:t>t/a</w:t>
            </w:r>
            <w:r>
              <w:rPr>
                <w:rFonts w:hint="eastAsia" w:ascii="Times New Roman" w:hAnsi="Times New Roman" w:eastAsia="宋体" w:cs="Times New Roman"/>
                <w:color w:val="auto"/>
                <w:sz w:val="24"/>
                <w:szCs w:val="24"/>
                <w:highlight w:val="none"/>
                <w:lang w:val="en-US" w:eastAsia="zh-CN"/>
              </w:rPr>
              <w:t>。</w:t>
            </w:r>
          </w:p>
          <w:p>
            <w:pPr>
              <w:keepNext w:val="0"/>
              <w:keepLines w:val="0"/>
              <w:suppressLineNumbers w:val="0"/>
              <w:spacing w:before="0" w:beforeAutospacing="0" w:after="0" w:afterAutospacing="0"/>
              <w:ind w:left="0" w:right="0" w:firstLine="480"/>
              <w:rPr>
                <w:rFonts w:hint="default"/>
                <w:color w:val="auto"/>
                <w:kern w:val="0"/>
                <w:szCs w:val="21"/>
                <w:highlight w:val="none"/>
              </w:rPr>
            </w:pPr>
            <w:r>
              <w:rPr>
                <w:rFonts w:hint="eastAsia"/>
                <w:color w:val="auto"/>
                <w:highlight w:val="none"/>
              </w:rPr>
              <w:t>本项目</w:t>
            </w:r>
            <w:r>
              <w:rPr>
                <w:rFonts w:hint="eastAsia" w:ascii="Times New Roman" w:hAnsi="Times New Roman" w:cs="Times New Roman"/>
                <w:color w:val="auto"/>
                <w:sz w:val="24"/>
                <w:highlight w:val="none"/>
                <w:lang w:val="en-US" w:eastAsia="zh-CN"/>
              </w:rPr>
              <w:t>废水</w:t>
            </w:r>
            <w:r>
              <w:rPr>
                <w:rFonts w:hint="eastAsia"/>
                <w:color w:val="auto"/>
                <w:highlight w:val="none"/>
              </w:rPr>
              <w:t>排放</w:t>
            </w:r>
            <w:r>
              <w:rPr>
                <w:rFonts w:hint="default"/>
                <w:color w:val="auto"/>
                <w:highlight w:val="none"/>
              </w:rPr>
              <w:t>总量</w:t>
            </w:r>
            <w:r>
              <w:rPr>
                <w:rFonts w:hint="eastAsia"/>
                <w:color w:val="auto"/>
                <w:highlight w:val="none"/>
              </w:rPr>
              <w:t>纳入泾河新城第二污水处理厂总量指标，因此</w:t>
            </w:r>
            <w:r>
              <w:rPr>
                <w:rFonts w:hint="default"/>
                <w:color w:val="auto"/>
                <w:kern w:val="0"/>
                <w:highlight w:val="none"/>
                <w:lang w:val="zh-CN"/>
              </w:rPr>
              <w:t>本项目</w:t>
            </w:r>
            <w:r>
              <w:rPr>
                <w:rFonts w:hint="default"/>
                <w:color w:val="auto"/>
                <w:kern w:val="0"/>
                <w:highlight w:val="none"/>
              </w:rPr>
              <w:t>建议</w:t>
            </w:r>
            <w:r>
              <w:rPr>
                <w:rFonts w:hint="default"/>
                <w:color w:val="auto"/>
                <w:kern w:val="0"/>
                <w:highlight w:val="none"/>
                <w:lang w:val="zh-CN"/>
              </w:rPr>
              <w:t>申请总量为：</w:t>
            </w:r>
            <w:r>
              <w:rPr>
                <w:rFonts w:hint="default"/>
                <w:color w:val="auto"/>
                <w:kern w:val="0"/>
                <w:szCs w:val="20"/>
                <w:highlight w:val="none"/>
              </w:rPr>
              <w:t>VOCs：</w:t>
            </w:r>
            <w:r>
              <w:rPr>
                <w:rFonts w:hint="eastAsia"/>
                <w:color w:val="auto"/>
                <w:kern w:val="0"/>
                <w:szCs w:val="20"/>
                <w:highlight w:val="none"/>
                <w:lang w:val="en-US" w:eastAsia="zh-CN"/>
              </w:rPr>
              <w:t>8.124</w:t>
            </w:r>
            <w:r>
              <w:rPr>
                <w:rFonts w:hint="default"/>
                <w:color w:val="auto"/>
                <w:kern w:val="0"/>
                <w:szCs w:val="20"/>
                <w:highlight w:val="none"/>
              </w:rPr>
              <w:t>t/a</w:t>
            </w:r>
            <w:r>
              <w:rPr>
                <w:rFonts w:hint="eastAsia"/>
                <w:color w:val="auto"/>
                <w:kern w:val="0"/>
                <w:szCs w:val="20"/>
                <w:highlight w:val="none"/>
              </w:rPr>
              <w:t>。</w:t>
            </w:r>
          </w:p>
        </w:tc>
      </w:tr>
    </w:tbl>
    <w:p>
      <w:pPr>
        <w:pStyle w:val="32"/>
        <w:ind w:firstLine="0" w:firstLineChars="0"/>
        <w:jc w:val="center"/>
        <w:outlineLvl w:val="0"/>
        <w:rPr>
          <w:rFonts w:ascii="Times New Roman" w:hAnsi="Times New Roman" w:eastAsia="黑体"/>
          <w:snapToGrid w:val="0"/>
          <w:color w:val="auto"/>
          <w:sz w:val="30"/>
          <w:szCs w:val="30"/>
          <w:highlight w:val="none"/>
        </w:rPr>
      </w:pPr>
      <w:r>
        <w:rPr>
          <w:rFonts w:ascii="Times New Roman" w:hAnsi="Times New Roman" w:eastAsia="黑体"/>
          <w:snapToGrid w:val="0"/>
          <w:color w:val="auto"/>
          <w:sz w:val="36"/>
          <w:szCs w:val="36"/>
          <w:highlight w:val="none"/>
        </w:rPr>
        <w:br w:type="page"/>
      </w:r>
      <w:r>
        <w:rPr>
          <w:rFonts w:ascii="Times New Roman" w:hAnsi="Times New Roman" w:eastAsia="黑体"/>
          <w:snapToGrid w:val="0"/>
          <w:color w:val="auto"/>
          <w:sz w:val="30"/>
          <w:szCs w:val="30"/>
          <w:highlight w:val="none"/>
        </w:rPr>
        <w:t>四、主要环境影响和保护措施</w:t>
      </w:r>
    </w:p>
    <w:tbl>
      <w:tblPr>
        <w:tblStyle w:val="37"/>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4"/>
        <w:gridCol w:w="84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5" w:hRule="atLeast"/>
          <w:jc w:val="center"/>
        </w:trPr>
        <w:tc>
          <w:tcPr>
            <w:tcW w:w="494" w:type="dxa"/>
            <w:tcMar>
              <w:left w:w="28" w:type="dxa"/>
              <w:right w:w="28" w:type="dxa"/>
            </w:tcMar>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施工</w:t>
            </w:r>
          </w:p>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期环</w:t>
            </w:r>
          </w:p>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境保</w:t>
            </w:r>
          </w:p>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护措</w:t>
            </w:r>
          </w:p>
          <w:p>
            <w:pPr>
              <w:pStyle w:val="80"/>
              <w:keepNext w:val="0"/>
              <w:keepLines w:val="0"/>
              <w:widowControl/>
              <w:suppressLineNumbers w:val="0"/>
              <w:spacing w:before="0" w:beforeAutospacing="0" w:after="0" w:afterAutospacing="0"/>
              <w:ind w:left="0" w:right="0"/>
              <w:rPr>
                <w:rFonts w:hint="default"/>
                <w:bCs/>
                <w:color w:val="auto"/>
                <w:szCs w:val="20"/>
                <w:highlight w:val="none"/>
              </w:rPr>
            </w:pPr>
            <w:r>
              <w:rPr>
                <w:rFonts w:hint="default"/>
                <w:color w:val="auto"/>
                <w:szCs w:val="20"/>
                <w:highlight w:val="none"/>
              </w:rPr>
              <w:t>施</w:t>
            </w:r>
          </w:p>
        </w:tc>
        <w:tc>
          <w:tcPr>
            <w:tcW w:w="8487" w:type="dxa"/>
            <w:vAlign w:val="center"/>
          </w:tcPr>
          <w:p>
            <w:pPr>
              <w:keepNext w:val="0"/>
              <w:keepLines w:val="0"/>
              <w:suppressLineNumbers w:val="0"/>
              <w:spacing w:before="0" w:beforeAutospacing="0" w:after="0" w:afterAutospacing="0"/>
              <w:ind w:left="0" w:right="0" w:firstLine="480"/>
              <w:rPr>
                <w:rFonts w:hint="default"/>
                <w:color w:val="auto"/>
                <w:highlight w:val="none"/>
              </w:rPr>
            </w:pPr>
            <w:r>
              <w:rPr>
                <w:rFonts w:hint="eastAsia"/>
                <w:color w:val="auto"/>
                <w:highlight w:val="none"/>
              </w:rPr>
              <w:t>本项目</w:t>
            </w:r>
            <w:r>
              <w:rPr>
                <w:rFonts w:hint="eastAsia"/>
                <w:color w:val="auto"/>
                <w:highlight w:val="none"/>
                <w:lang w:val="en-US" w:eastAsia="zh-CN"/>
              </w:rPr>
              <w:t>租赁</w:t>
            </w:r>
            <w:r>
              <w:rPr>
                <w:rFonts w:hint="eastAsia"/>
                <w:color w:val="auto"/>
                <w:highlight w:val="none"/>
              </w:rPr>
              <w:t>已建成厂房进行生产，施工期无土建施工作业，主要施工内容为设备安装。因此施工期仅产生施工人员生活污水、装修废气、机械设备噪声和少量固废。</w:t>
            </w:r>
          </w:p>
          <w:p>
            <w:pPr>
              <w:keepNext w:val="0"/>
              <w:keepLines w:val="0"/>
              <w:suppressLineNumbers w:val="0"/>
              <w:spacing w:before="0" w:beforeAutospacing="0" w:after="0" w:afterAutospacing="0"/>
              <w:ind w:left="0" w:right="0" w:firstLine="480"/>
              <w:rPr>
                <w:rFonts w:hint="default"/>
                <w:color w:val="auto"/>
                <w:highlight w:val="none"/>
              </w:rPr>
            </w:pPr>
            <w:r>
              <w:rPr>
                <w:rFonts w:hint="default"/>
                <w:color w:val="auto"/>
                <w:highlight w:val="none"/>
              </w:rPr>
              <w:t>（1）废水：</w:t>
            </w:r>
            <w:r>
              <w:rPr>
                <w:rFonts w:hint="eastAsia"/>
                <w:color w:val="auto"/>
                <w:highlight w:val="none"/>
              </w:rPr>
              <w:t>产生的少量</w:t>
            </w:r>
            <w:r>
              <w:rPr>
                <w:rFonts w:hint="default"/>
                <w:color w:val="auto"/>
                <w:highlight w:val="none"/>
              </w:rPr>
              <w:t>生活污水</w:t>
            </w:r>
            <w:r>
              <w:rPr>
                <w:rFonts w:hint="eastAsia"/>
                <w:color w:val="auto"/>
                <w:highlight w:val="none"/>
              </w:rPr>
              <w:t>依托</w:t>
            </w:r>
            <w:r>
              <w:rPr>
                <w:rFonts w:hint="eastAsia"/>
                <w:color w:val="auto"/>
                <w:highlight w:val="none"/>
                <w:lang w:val="en-US" w:eastAsia="zh-CN"/>
              </w:rPr>
              <w:t>已有</w:t>
            </w:r>
            <w:r>
              <w:rPr>
                <w:rFonts w:hint="default"/>
                <w:color w:val="auto"/>
                <w:highlight w:val="none"/>
              </w:rPr>
              <w:t>化粪池</w:t>
            </w:r>
            <w:r>
              <w:rPr>
                <w:rFonts w:hint="eastAsia"/>
                <w:color w:val="auto"/>
                <w:highlight w:val="none"/>
              </w:rPr>
              <w:t>处理</w:t>
            </w:r>
            <w:r>
              <w:rPr>
                <w:rFonts w:hint="default"/>
                <w:color w:val="auto"/>
                <w:highlight w:val="none"/>
              </w:rPr>
              <w:t>。</w:t>
            </w:r>
          </w:p>
          <w:p>
            <w:pPr>
              <w:keepNext w:val="0"/>
              <w:keepLines w:val="0"/>
              <w:suppressLineNumbers w:val="0"/>
              <w:spacing w:before="0" w:beforeAutospacing="0" w:after="0" w:afterAutospacing="0"/>
              <w:ind w:left="0" w:right="0" w:firstLine="480"/>
              <w:rPr>
                <w:rFonts w:hint="default"/>
                <w:color w:val="auto"/>
                <w:highlight w:val="none"/>
              </w:rPr>
            </w:pPr>
            <w:r>
              <w:rPr>
                <w:rFonts w:hint="default"/>
                <w:color w:val="auto"/>
                <w:highlight w:val="none"/>
              </w:rPr>
              <w:t>（2）</w:t>
            </w:r>
            <w:r>
              <w:rPr>
                <w:rFonts w:hint="eastAsia"/>
                <w:color w:val="auto"/>
                <w:highlight w:val="none"/>
              </w:rPr>
              <w:t>废气</w:t>
            </w:r>
            <w:r>
              <w:rPr>
                <w:rFonts w:hint="default"/>
                <w:color w:val="auto"/>
                <w:highlight w:val="none"/>
              </w:rPr>
              <w:t>：</w:t>
            </w:r>
            <w:r>
              <w:rPr>
                <w:rFonts w:hint="eastAsia"/>
                <w:color w:val="auto"/>
                <w:highlight w:val="none"/>
              </w:rPr>
              <w:t>施工期间会产生少量装修废气，装修过程中采取加强通风措施控制。装修完成后不再产生废气。</w:t>
            </w:r>
          </w:p>
          <w:p>
            <w:pPr>
              <w:keepNext w:val="0"/>
              <w:keepLines w:val="0"/>
              <w:suppressLineNumbers w:val="0"/>
              <w:spacing w:before="0" w:beforeAutospacing="0" w:after="0" w:afterAutospacing="0"/>
              <w:ind w:left="0" w:right="0" w:firstLine="480"/>
              <w:rPr>
                <w:rFonts w:hint="default"/>
                <w:color w:val="auto"/>
                <w:highlight w:val="none"/>
              </w:rPr>
            </w:pPr>
            <w:r>
              <w:rPr>
                <w:rFonts w:hint="default"/>
                <w:color w:val="auto"/>
                <w:highlight w:val="none"/>
              </w:rPr>
              <w:t>（</w:t>
            </w:r>
            <w:r>
              <w:rPr>
                <w:rFonts w:hint="eastAsia"/>
                <w:color w:val="auto"/>
                <w:highlight w:val="none"/>
              </w:rPr>
              <w:t>3</w:t>
            </w:r>
            <w:r>
              <w:rPr>
                <w:rFonts w:hint="default"/>
                <w:color w:val="auto"/>
                <w:highlight w:val="none"/>
              </w:rPr>
              <w:t>）噪声：合理安排施工时间，夜间（</w:t>
            </w:r>
            <w:r>
              <w:rPr>
                <w:rFonts w:hint="eastAsia"/>
                <w:color w:val="auto"/>
                <w:highlight w:val="none"/>
              </w:rPr>
              <w:t>22：00-6：00</w:t>
            </w:r>
            <w:r>
              <w:rPr>
                <w:rFonts w:hint="default"/>
                <w:color w:val="auto"/>
                <w:highlight w:val="none"/>
              </w:rPr>
              <w:t>）禁止高噪声设备施工，合理布局施工现场，选用低噪声设备进行施工，安装过程中采取基础减振、设备隔声等综合降噪措施。采取以上措施后噪声排放可满足《建筑施工场界环境噪声排放标准》（GB12523-2011）相关规定。</w:t>
            </w:r>
          </w:p>
          <w:p>
            <w:pPr>
              <w:keepNext w:val="0"/>
              <w:keepLines w:val="0"/>
              <w:suppressLineNumbers w:val="0"/>
              <w:spacing w:before="0" w:beforeAutospacing="0" w:after="0" w:afterAutospacing="0"/>
              <w:ind w:left="0" w:right="0" w:firstLine="480"/>
              <w:rPr>
                <w:rFonts w:hint="default"/>
                <w:bCs/>
                <w:color w:val="auto"/>
                <w:spacing w:val="4"/>
                <w:szCs w:val="21"/>
                <w:highlight w:val="none"/>
              </w:rPr>
            </w:pPr>
            <w:r>
              <w:rPr>
                <w:rFonts w:hint="default"/>
                <w:color w:val="auto"/>
                <w:kern w:val="0"/>
                <w:highlight w:val="none"/>
              </w:rPr>
              <w:t>（</w:t>
            </w:r>
            <w:r>
              <w:rPr>
                <w:rFonts w:hint="eastAsia"/>
                <w:color w:val="auto"/>
                <w:kern w:val="0"/>
                <w:highlight w:val="none"/>
              </w:rPr>
              <w:t>4</w:t>
            </w:r>
            <w:r>
              <w:rPr>
                <w:rFonts w:hint="default"/>
                <w:color w:val="auto"/>
                <w:kern w:val="0"/>
                <w:highlight w:val="none"/>
              </w:rPr>
              <w:t>）固废：施工生活垃圾禁止</w:t>
            </w:r>
            <w:r>
              <w:rPr>
                <w:rFonts w:hint="eastAsia"/>
                <w:color w:val="auto"/>
                <w:kern w:val="0"/>
                <w:highlight w:val="none"/>
                <w:lang w:val="en-US" w:eastAsia="zh-CN"/>
              </w:rPr>
              <w:t>乱丢乱放</w:t>
            </w:r>
            <w:r>
              <w:rPr>
                <w:rFonts w:hint="default"/>
                <w:color w:val="auto"/>
                <w:kern w:val="0"/>
                <w:highlight w:val="none"/>
              </w:rPr>
              <w:t>，工地设置垃圾桶进行收集后，交由环卫部门处理。设备安装废弃包装材料集中</w:t>
            </w:r>
            <w:r>
              <w:rPr>
                <w:rFonts w:hint="eastAsia"/>
                <w:color w:val="auto"/>
                <w:kern w:val="0"/>
                <w:highlight w:val="none"/>
              </w:rPr>
              <w:t>收集外售。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94" w:type="dxa"/>
            <w:tcMar>
              <w:left w:w="28" w:type="dxa"/>
              <w:right w:w="28" w:type="dxa"/>
            </w:tcMar>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运营</w:t>
            </w:r>
          </w:p>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期环</w:t>
            </w:r>
          </w:p>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境影</w:t>
            </w:r>
          </w:p>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响和</w:t>
            </w:r>
          </w:p>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保护</w:t>
            </w:r>
          </w:p>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措施</w:t>
            </w:r>
          </w:p>
        </w:tc>
        <w:tc>
          <w:tcPr>
            <w:tcW w:w="8487" w:type="dxa"/>
            <w:vAlign w:val="center"/>
          </w:tcPr>
          <w:p>
            <w:pPr>
              <w:keepNext w:val="0"/>
              <w:keepLines w:val="0"/>
              <w:suppressLineNumbers w:val="0"/>
              <w:spacing w:before="0" w:beforeAutospacing="0" w:after="0" w:afterAutospacing="0"/>
              <w:ind w:left="0" w:right="0" w:firstLine="482"/>
              <w:rPr>
                <w:rFonts w:hint="default"/>
                <w:b/>
                <w:color w:val="auto"/>
                <w:highlight w:val="none"/>
              </w:rPr>
            </w:pPr>
            <w:r>
              <w:rPr>
                <w:rFonts w:hint="default"/>
                <w:b/>
                <w:color w:val="auto"/>
                <w:highlight w:val="none"/>
              </w:rPr>
              <w:t>一、</w:t>
            </w:r>
            <w:r>
              <w:rPr>
                <w:rFonts w:hint="eastAsia"/>
                <w:b/>
                <w:color w:val="auto"/>
                <w:highlight w:val="none"/>
              </w:rPr>
              <w:t>废气</w:t>
            </w:r>
          </w:p>
          <w:p>
            <w:pPr>
              <w:keepNext w:val="0"/>
              <w:keepLines w:val="0"/>
              <w:suppressLineNumbers w:val="0"/>
              <w:spacing w:before="0" w:beforeAutospacing="0" w:after="0" w:afterAutospacing="0"/>
              <w:ind w:left="0" w:right="0" w:firstLine="480"/>
              <w:rPr>
                <w:rFonts w:hint="default"/>
                <w:color w:val="auto"/>
                <w:highlight w:val="none"/>
              </w:rPr>
            </w:pPr>
            <w:r>
              <w:rPr>
                <w:rFonts w:hint="eastAsia"/>
                <w:color w:val="auto"/>
                <w:highlight w:val="none"/>
              </w:rPr>
              <w:t>本项目运营期产生的废气主要为</w:t>
            </w:r>
            <w:r>
              <w:rPr>
                <w:rFonts w:hint="eastAsia"/>
                <w:color w:val="auto"/>
                <w:highlight w:val="none"/>
                <w:lang w:val="en-US" w:eastAsia="zh-CN"/>
              </w:rPr>
              <w:t>挤出废气</w:t>
            </w:r>
            <w:r>
              <w:rPr>
                <w:rFonts w:hint="eastAsia"/>
                <w:color w:val="auto"/>
                <w:highlight w:val="none"/>
              </w:rPr>
              <w:t>。</w:t>
            </w:r>
          </w:p>
          <w:p>
            <w:pPr>
              <w:keepNext w:val="0"/>
              <w:keepLines w:val="0"/>
              <w:suppressLineNumbers w:val="0"/>
              <w:spacing w:before="0" w:beforeAutospacing="0" w:after="0" w:afterAutospacing="0"/>
              <w:ind w:left="0" w:right="0" w:firstLine="482"/>
              <w:rPr>
                <w:rFonts w:hint="default"/>
                <w:b/>
                <w:color w:val="auto"/>
                <w:highlight w:val="none"/>
              </w:rPr>
            </w:pPr>
            <w:r>
              <w:rPr>
                <w:rFonts w:hint="eastAsia"/>
                <w:b/>
                <w:color w:val="auto"/>
                <w:highlight w:val="none"/>
              </w:rPr>
              <w:t>1、废气排放情况</w:t>
            </w:r>
          </w:p>
          <w:p>
            <w:pPr>
              <w:keepNext w:val="0"/>
              <w:keepLines w:val="0"/>
              <w:suppressLineNumbers w:val="0"/>
              <w:spacing w:before="0" w:beforeAutospacing="0" w:after="0" w:afterAutospacing="0"/>
              <w:ind w:left="0" w:right="0" w:firstLine="480"/>
              <w:rPr>
                <w:rFonts w:hint="default"/>
                <w:color w:val="auto"/>
                <w:kern w:val="0"/>
                <w:highlight w:val="none"/>
              </w:rPr>
            </w:pPr>
            <w:r>
              <w:rPr>
                <w:rFonts w:hint="eastAsia"/>
                <w:color w:val="auto"/>
                <w:highlight w:val="none"/>
              </w:rPr>
              <w:t>废气源强核算结果见下表：</w:t>
            </w:r>
          </w:p>
        </w:tc>
      </w:tr>
    </w:tbl>
    <w:p>
      <w:pPr>
        <w:pStyle w:val="80"/>
        <w:rPr>
          <w:color w:val="auto"/>
          <w:highlight w:val="none"/>
        </w:rPr>
        <w:sectPr>
          <w:pgSz w:w="11907" w:h="16840"/>
          <w:pgMar w:top="1701" w:right="1531" w:bottom="2127" w:left="1531" w:header="851" w:footer="1134" w:gutter="0"/>
          <w:pgBorders>
            <w:top w:val="none" w:sz="0" w:space="0"/>
            <w:left w:val="none" w:sz="0" w:space="0"/>
            <w:bottom w:val="none" w:sz="0" w:space="0"/>
            <w:right w:val="none" w:sz="0" w:space="0"/>
          </w:pgBorders>
          <w:pgNumType w:fmt="numberInDash"/>
          <w:cols w:space="720" w:num="1"/>
          <w:docGrid w:linePitch="312" w:charSpace="0"/>
        </w:sectPr>
      </w:pPr>
    </w:p>
    <w:tbl>
      <w:tblPr>
        <w:tblStyle w:val="38"/>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3" w:hRule="atLeast"/>
        </w:trPr>
        <w:tc>
          <w:tcPr>
            <w:tcW w:w="280"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left"/>
              <w:rPr>
                <w:rFonts w:hint="default"/>
                <w:bCs/>
                <w:color w:val="auto"/>
                <w:kern w:val="21"/>
                <w:highlight w:val="none"/>
              </w:rPr>
            </w:pPr>
            <w:r>
              <w:rPr>
                <w:rFonts w:hint="default"/>
                <w:bCs/>
                <w:color w:val="auto"/>
                <w:kern w:val="21"/>
                <w:highlight w:val="none"/>
              </w:rPr>
              <w:t>运营期环</w:t>
            </w:r>
          </w:p>
          <w:p>
            <w:pPr>
              <w:keepNext w:val="0"/>
              <w:keepLines w:val="0"/>
              <w:suppressLineNumbers w:val="0"/>
              <w:adjustRightInd w:val="0"/>
              <w:snapToGrid w:val="0"/>
              <w:spacing w:before="0" w:beforeAutospacing="0" w:after="0" w:afterAutospacing="0" w:line="240" w:lineRule="auto"/>
              <w:ind w:left="0" w:right="0" w:firstLine="0" w:firstLineChars="0"/>
              <w:jc w:val="left"/>
              <w:rPr>
                <w:rFonts w:hint="default"/>
                <w:bCs/>
                <w:color w:val="auto"/>
                <w:kern w:val="21"/>
                <w:highlight w:val="none"/>
              </w:rPr>
            </w:pPr>
            <w:r>
              <w:rPr>
                <w:rFonts w:hint="default"/>
                <w:bCs/>
                <w:color w:val="auto"/>
                <w:kern w:val="21"/>
                <w:highlight w:val="none"/>
              </w:rPr>
              <w:t>境影响和</w:t>
            </w:r>
          </w:p>
          <w:p>
            <w:pPr>
              <w:keepNext w:val="0"/>
              <w:keepLines w:val="0"/>
              <w:suppressLineNumbers w:val="0"/>
              <w:adjustRightInd w:val="0"/>
              <w:snapToGrid w:val="0"/>
              <w:spacing w:before="0" w:beforeAutospacing="0" w:after="0" w:afterAutospacing="0" w:line="240" w:lineRule="auto"/>
              <w:ind w:left="0" w:right="0" w:firstLine="0" w:firstLineChars="0"/>
              <w:jc w:val="left"/>
              <w:rPr>
                <w:rFonts w:hint="default"/>
                <w:color w:val="auto"/>
                <w:sz w:val="21"/>
                <w:highlight w:val="none"/>
              </w:rPr>
            </w:pPr>
            <w:r>
              <w:rPr>
                <w:rFonts w:hint="default"/>
                <w:bCs/>
                <w:color w:val="auto"/>
                <w:kern w:val="21"/>
                <w:highlight w:val="none"/>
              </w:rPr>
              <w:t>保护措施</w:t>
            </w:r>
          </w:p>
        </w:tc>
        <w:tc>
          <w:tcPr>
            <w:tcW w:w="4719" w:type="pct"/>
          </w:tcPr>
          <w:p>
            <w:pPr>
              <w:pStyle w:val="77"/>
              <w:keepNext w:val="0"/>
              <w:keepLines w:val="0"/>
              <w:widowControl/>
              <w:suppressLineNumbers w:val="0"/>
              <w:spacing w:before="120" w:beforeAutospacing="0" w:after="0" w:afterAutospacing="0" w:line="240" w:lineRule="auto"/>
              <w:ind w:left="0" w:right="0"/>
              <w:rPr>
                <w:rFonts w:hint="default" w:eastAsia="宋体"/>
                <w:b/>
                <w:bCs/>
                <w:color w:val="auto"/>
                <w:highlight w:val="none"/>
              </w:rPr>
            </w:pPr>
            <w:r>
              <w:rPr>
                <w:rFonts w:hint="eastAsia" w:eastAsia="宋体"/>
                <w:b/>
                <w:bCs/>
                <w:color w:val="auto"/>
                <w:highlight w:val="none"/>
              </w:rPr>
              <w:t>表4-1  废气污染源源强核算结果及相关参数一览表</w:t>
            </w:r>
          </w:p>
          <w:tbl>
            <w:tblPr>
              <w:tblStyle w:val="37"/>
              <w:tblW w:w="1231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22"/>
              <w:gridCol w:w="6"/>
              <w:gridCol w:w="825"/>
              <w:gridCol w:w="415"/>
              <w:gridCol w:w="371"/>
              <w:gridCol w:w="1036"/>
              <w:gridCol w:w="858"/>
              <w:gridCol w:w="771"/>
              <w:gridCol w:w="6"/>
              <w:gridCol w:w="996"/>
              <w:gridCol w:w="1049"/>
              <w:gridCol w:w="872"/>
              <w:gridCol w:w="818"/>
              <w:gridCol w:w="844"/>
              <w:gridCol w:w="916"/>
              <w:gridCol w:w="823"/>
              <w:gridCol w:w="88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3" w:type="pct"/>
                  <w:vMerge w:val="restar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产污环节</w:t>
                  </w:r>
                </w:p>
              </w:tc>
              <w:tc>
                <w:tcPr>
                  <w:tcW w:w="337" w:type="pct"/>
                  <w:gridSpan w:val="2"/>
                  <w:vMerge w:val="restar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污染物种类</w:t>
                  </w:r>
                </w:p>
              </w:tc>
              <w:tc>
                <w:tcPr>
                  <w:tcW w:w="1403" w:type="pct"/>
                  <w:gridSpan w:val="6"/>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污染物产生</w:t>
                  </w:r>
                </w:p>
              </w:tc>
              <w:tc>
                <w:tcPr>
                  <w:tcW w:w="1184" w:type="pct"/>
                  <w:gridSpan w:val="3"/>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治理措施</w:t>
                  </w:r>
                </w:p>
              </w:tc>
              <w:tc>
                <w:tcPr>
                  <w:tcW w:w="1046" w:type="pct"/>
                  <w:gridSpan w:val="3"/>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污染物排放</w:t>
                  </w:r>
                </w:p>
              </w:tc>
              <w:tc>
                <w:tcPr>
                  <w:tcW w:w="334" w:type="pct"/>
                  <w:vMerge w:val="restar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排放时间h/a</w:t>
                  </w:r>
                </w:p>
              </w:tc>
              <w:tc>
                <w:tcPr>
                  <w:tcW w:w="359" w:type="pct"/>
                  <w:vMerge w:val="restar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排放标准值（mg/m</w:t>
                  </w:r>
                  <w:r>
                    <w:rPr>
                      <w:rFonts w:hint="default"/>
                      <w:color w:val="auto"/>
                      <w:sz w:val="21"/>
                      <w:szCs w:val="21"/>
                      <w:highlight w:val="none"/>
                      <w:vertAlign w:val="superscript"/>
                    </w:rPr>
                    <w:t>3</w:t>
                  </w:r>
                  <w:r>
                    <w:rPr>
                      <w:rFonts w:hint="default"/>
                      <w:color w:val="auto"/>
                      <w:sz w:val="2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3"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p>
              </w:tc>
              <w:tc>
                <w:tcPr>
                  <w:tcW w:w="337" w:type="pct"/>
                  <w:gridSpan w:val="2"/>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p>
              </w:tc>
              <w:tc>
                <w:tcPr>
                  <w:tcW w:w="168"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核算方法</w:t>
                  </w:r>
                </w:p>
              </w:tc>
              <w:tc>
                <w:tcPr>
                  <w:tcW w:w="150"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排放方式</w:t>
                  </w:r>
                </w:p>
              </w:tc>
              <w:tc>
                <w:tcPr>
                  <w:tcW w:w="420" w:type="pct"/>
                  <w:tcBorders>
                    <w:right w:val="single" w:color="000000" w:sz="8"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产生浓度mg/m</w:t>
                  </w:r>
                  <w:r>
                    <w:rPr>
                      <w:rFonts w:hint="default"/>
                      <w:color w:val="auto"/>
                      <w:sz w:val="21"/>
                      <w:szCs w:val="21"/>
                      <w:highlight w:val="none"/>
                      <w:vertAlign w:val="superscript"/>
                    </w:rPr>
                    <w:t>3</w:t>
                  </w:r>
                </w:p>
              </w:tc>
              <w:tc>
                <w:tcPr>
                  <w:tcW w:w="348" w:type="pct"/>
                  <w:tcBorders>
                    <w:left w:val="single" w:color="000000" w:sz="8"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产生速率kg/h</w:t>
                  </w:r>
                </w:p>
              </w:tc>
              <w:tc>
                <w:tcPr>
                  <w:tcW w:w="313" w:type="pct"/>
                  <w:tcBorders>
                    <w:lef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产生量t/a</w:t>
                  </w:r>
                </w:p>
              </w:tc>
              <w:tc>
                <w:tcPr>
                  <w:tcW w:w="406" w:type="pct"/>
                  <w:gridSpan w:val="2"/>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工艺</w:t>
                  </w:r>
                </w:p>
              </w:tc>
              <w:tc>
                <w:tcPr>
                  <w:tcW w:w="425" w:type="pct"/>
                  <w:tcBorders>
                    <w:right w:val="single" w:color="000000" w:sz="8"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效率%</w:t>
                  </w:r>
                </w:p>
              </w:tc>
              <w:tc>
                <w:tcPr>
                  <w:tcW w:w="354" w:type="pct"/>
                  <w:tcBorders>
                    <w:left w:val="single" w:color="000000" w:sz="8"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是否为可行技术</w:t>
                  </w:r>
                </w:p>
              </w:tc>
              <w:tc>
                <w:tcPr>
                  <w:tcW w:w="332"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排放浓度mg/m</w:t>
                  </w:r>
                  <w:r>
                    <w:rPr>
                      <w:rFonts w:hint="default"/>
                      <w:color w:val="auto"/>
                      <w:sz w:val="21"/>
                      <w:szCs w:val="21"/>
                      <w:highlight w:val="none"/>
                      <w:vertAlign w:val="superscript"/>
                    </w:rPr>
                    <w:t>3</w:t>
                  </w:r>
                </w:p>
              </w:tc>
              <w:tc>
                <w:tcPr>
                  <w:tcW w:w="342"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排放速率kg/h</w:t>
                  </w:r>
                </w:p>
              </w:tc>
              <w:tc>
                <w:tcPr>
                  <w:tcW w:w="371"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排放量t/a</w:t>
                  </w:r>
                </w:p>
              </w:tc>
              <w:tc>
                <w:tcPr>
                  <w:tcW w:w="334"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p>
              </w:tc>
              <w:tc>
                <w:tcPr>
                  <w:tcW w:w="359"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6" w:type="pct"/>
                  <w:gridSpan w:val="2"/>
                  <w:vMerge w:val="restar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eastAsia"/>
                      <w:color w:val="auto"/>
                      <w:sz w:val="21"/>
                      <w:szCs w:val="21"/>
                      <w:highlight w:val="none"/>
                    </w:rPr>
                    <w:t>挤出废气</w:t>
                  </w:r>
                </w:p>
              </w:tc>
              <w:tc>
                <w:tcPr>
                  <w:tcW w:w="335" w:type="pct"/>
                  <w:vMerge w:val="restar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eastAsia"/>
                      <w:color w:val="auto"/>
                      <w:sz w:val="21"/>
                      <w:szCs w:val="21"/>
                      <w:highlight w:val="none"/>
                    </w:rPr>
                    <w:t>非甲烷总烃</w:t>
                  </w:r>
                </w:p>
              </w:tc>
              <w:tc>
                <w:tcPr>
                  <w:tcW w:w="168" w:type="pct"/>
                  <w:vMerge w:val="restar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eastAsia"/>
                      <w:color w:val="auto"/>
                      <w:sz w:val="21"/>
                      <w:szCs w:val="21"/>
                      <w:highlight w:val="none"/>
                    </w:rPr>
                    <w:t>产污系数法</w:t>
                  </w:r>
                </w:p>
              </w:tc>
              <w:tc>
                <w:tcPr>
                  <w:tcW w:w="150"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eastAsia"/>
                      <w:color w:val="auto"/>
                      <w:sz w:val="21"/>
                      <w:szCs w:val="21"/>
                      <w:highlight w:val="none"/>
                    </w:rPr>
                    <w:t>有组织</w:t>
                  </w:r>
                </w:p>
              </w:tc>
              <w:tc>
                <w:tcPr>
                  <w:tcW w:w="420" w:type="pct"/>
                  <w:tcBorders>
                    <w:right w:val="single" w:color="000000" w:sz="8" w:space="0"/>
                  </w:tcBorders>
                  <w:vAlign w:val="center"/>
                </w:tcPr>
                <w:p>
                  <w:pPr>
                    <w:keepNext w:val="0"/>
                    <w:keepLines w:val="0"/>
                    <w:widowControl/>
                    <w:suppressLineNumbers w:val="0"/>
                    <w:spacing w:before="0" w:beforeAutospacing="0" w:after="0" w:afterAutospacing="0" w:line="240" w:lineRule="auto"/>
                    <w:ind w:left="0" w:right="0" w:firstLine="0" w:firstLineChars="0"/>
                    <w:jc w:val="center"/>
                    <w:textAlignment w:val="bottom"/>
                    <w:rPr>
                      <w:rFonts w:hint="default"/>
                      <w:color w:val="auto"/>
                      <w:sz w:val="21"/>
                      <w:szCs w:val="21"/>
                      <w:highlight w:val="none"/>
                      <w:lang w:val="en-US"/>
                    </w:rPr>
                  </w:pPr>
                  <w:r>
                    <w:rPr>
                      <w:rFonts w:hint="eastAsia"/>
                      <w:color w:val="auto"/>
                      <w:kern w:val="0"/>
                      <w:sz w:val="21"/>
                      <w:szCs w:val="21"/>
                      <w:highlight w:val="none"/>
                      <w:lang w:val="en-US" w:eastAsia="zh-CN" w:bidi="ar"/>
                    </w:rPr>
                    <w:t>78.7</w:t>
                  </w:r>
                </w:p>
              </w:tc>
              <w:tc>
                <w:tcPr>
                  <w:tcW w:w="348" w:type="pct"/>
                  <w:tcBorders>
                    <w:left w:val="single" w:color="000000" w:sz="8"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lang w:val="en-US"/>
                    </w:rPr>
                  </w:pPr>
                  <w:r>
                    <w:rPr>
                      <w:rFonts w:hint="eastAsia"/>
                      <w:color w:val="auto"/>
                      <w:sz w:val="21"/>
                      <w:szCs w:val="21"/>
                      <w:highlight w:val="none"/>
                      <w:lang w:val="en-US" w:eastAsia="zh-CN"/>
                    </w:rPr>
                    <w:t>1.417</w:t>
                  </w:r>
                </w:p>
              </w:tc>
              <w:tc>
                <w:tcPr>
                  <w:tcW w:w="315" w:type="pct"/>
                  <w:gridSpan w:val="2"/>
                  <w:tcBorders>
                    <w:lef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lang w:val="en-US"/>
                    </w:rPr>
                  </w:pPr>
                  <w:r>
                    <w:rPr>
                      <w:rFonts w:hint="eastAsia"/>
                      <w:color w:val="auto"/>
                      <w:sz w:val="21"/>
                      <w:szCs w:val="21"/>
                      <w:highlight w:val="none"/>
                      <w:lang w:val="en-US" w:eastAsia="zh-CN"/>
                    </w:rPr>
                    <w:t>10.2</w:t>
                  </w:r>
                </w:p>
              </w:tc>
              <w:tc>
                <w:tcPr>
                  <w:tcW w:w="404"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eastAsia"/>
                      <w:color w:val="auto"/>
                      <w:sz w:val="21"/>
                      <w:szCs w:val="21"/>
                      <w:highlight w:val="none"/>
                    </w:rPr>
                    <w:t>集气罩+二级活性炭吸附+15m排气筒</w:t>
                  </w:r>
                </w:p>
              </w:tc>
              <w:tc>
                <w:tcPr>
                  <w:tcW w:w="425" w:type="pct"/>
                  <w:tcBorders>
                    <w:right w:val="single" w:color="000000" w:sz="8"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eastAsia"/>
                      <w:color w:val="auto"/>
                      <w:sz w:val="21"/>
                      <w:szCs w:val="21"/>
                      <w:highlight w:val="none"/>
                    </w:rPr>
                    <w:t>收集效率8</w:t>
                  </w:r>
                  <w:r>
                    <w:rPr>
                      <w:rFonts w:hint="eastAsia"/>
                      <w:color w:val="auto"/>
                      <w:sz w:val="21"/>
                      <w:szCs w:val="21"/>
                      <w:highlight w:val="none"/>
                      <w:lang w:val="en-US" w:eastAsia="zh-CN"/>
                    </w:rPr>
                    <w:t>5</w:t>
                  </w:r>
                  <w:r>
                    <w:rPr>
                      <w:rFonts w:hint="eastAsia"/>
                      <w:color w:val="auto"/>
                      <w:sz w:val="21"/>
                      <w:szCs w:val="21"/>
                      <w:highlight w:val="none"/>
                    </w:rPr>
                    <w:t>%、处理效率</w:t>
                  </w:r>
                  <w:r>
                    <w:rPr>
                      <w:rFonts w:hint="eastAsia"/>
                      <w:color w:val="auto"/>
                      <w:sz w:val="21"/>
                      <w:szCs w:val="21"/>
                      <w:highlight w:val="none"/>
                      <w:lang w:val="en-US" w:eastAsia="zh-CN"/>
                    </w:rPr>
                    <w:t>38%</w:t>
                  </w:r>
                </w:p>
              </w:tc>
              <w:tc>
                <w:tcPr>
                  <w:tcW w:w="354" w:type="pct"/>
                  <w:tcBorders>
                    <w:left w:val="single" w:color="000000" w:sz="8"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eastAsia"/>
                      <w:color w:val="auto"/>
                      <w:sz w:val="21"/>
                      <w:szCs w:val="21"/>
                      <w:highlight w:val="none"/>
                    </w:rPr>
                    <w:t>是</w:t>
                  </w:r>
                </w:p>
              </w:tc>
              <w:tc>
                <w:tcPr>
                  <w:tcW w:w="332" w:type="pct"/>
                  <w:vAlign w:val="center"/>
                </w:tcPr>
                <w:p>
                  <w:pPr>
                    <w:keepNext w:val="0"/>
                    <w:keepLines w:val="0"/>
                    <w:widowControl/>
                    <w:suppressLineNumbers w:val="0"/>
                    <w:spacing w:before="0" w:beforeAutospacing="0" w:after="0" w:afterAutospacing="0" w:line="240" w:lineRule="auto"/>
                    <w:ind w:left="0" w:right="0" w:firstLine="0" w:firstLineChars="0"/>
                    <w:jc w:val="center"/>
                    <w:textAlignment w:val="bottom"/>
                    <w:rPr>
                      <w:rFonts w:hint="default" w:eastAsia="宋体"/>
                      <w:color w:val="auto"/>
                      <w:sz w:val="21"/>
                      <w:szCs w:val="21"/>
                      <w:highlight w:val="none"/>
                      <w:lang w:val="en-US" w:eastAsia="zh-CN"/>
                    </w:rPr>
                  </w:pPr>
                  <w:r>
                    <w:rPr>
                      <w:rFonts w:hint="eastAsia"/>
                      <w:color w:val="auto"/>
                      <w:kern w:val="0"/>
                      <w:sz w:val="21"/>
                      <w:szCs w:val="21"/>
                      <w:highlight w:val="none"/>
                      <w:lang w:val="en-US" w:eastAsia="zh-CN" w:bidi="ar"/>
                    </w:rPr>
                    <w:t>48.8</w:t>
                  </w:r>
                </w:p>
              </w:tc>
              <w:tc>
                <w:tcPr>
                  <w:tcW w:w="342" w:type="pct"/>
                  <w:vAlign w:val="center"/>
                </w:tcPr>
                <w:p>
                  <w:pPr>
                    <w:keepNext w:val="0"/>
                    <w:keepLines w:val="0"/>
                    <w:widowControl/>
                    <w:suppressLineNumbers w:val="0"/>
                    <w:spacing w:before="0" w:beforeAutospacing="0" w:after="0" w:afterAutospacing="0" w:line="240" w:lineRule="auto"/>
                    <w:ind w:left="0" w:right="0" w:firstLine="0" w:firstLineChars="0"/>
                    <w:jc w:val="center"/>
                    <w:textAlignment w:val="bottom"/>
                    <w:rPr>
                      <w:rFonts w:hint="default" w:eastAsia="宋体"/>
                      <w:color w:val="auto"/>
                      <w:sz w:val="21"/>
                      <w:szCs w:val="21"/>
                      <w:highlight w:val="none"/>
                      <w:lang w:val="en-US" w:eastAsia="zh-CN"/>
                    </w:rPr>
                  </w:pPr>
                  <w:r>
                    <w:rPr>
                      <w:rFonts w:hint="eastAsia"/>
                      <w:color w:val="auto"/>
                      <w:sz w:val="21"/>
                      <w:szCs w:val="21"/>
                      <w:highlight w:val="none"/>
                      <w:lang w:val="en-US" w:eastAsia="zh-CN"/>
                    </w:rPr>
                    <w:t>0.878</w:t>
                  </w:r>
                </w:p>
              </w:tc>
              <w:tc>
                <w:tcPr>
                  <w:tcW w:w="371" w:type="pct"/>
                  <w:vAlign w:val="center"/>
                </w:tcPr>
                <w:p>
                  <w:pPr>
                    <w:keepNext w:val="0"/>
                    <w:keepLines w:val="0"/>
                    <w:widowControl/>
                    <w:suppressLineNumbers w:val="0"/>
                    <w:spacing w:before="0" w:beforeAutospacing="0" w:after="0" w:afterAutospacing="0" w:line="240" w:lineRule="auto"/>
                    <w:ind w:left="0" w:right="0" w:firstLine="0" w:firstLineChars="0"/>
                    <w:jc w:val="center"/>
                    <w:textAlignment w:val="bottom"/>
                    <w:rPr>
                      <w:rFonts w:hint="default" w:eastAsia="宋体"/>
                      <w:color w:val="auto"/>
                      <w:sz w:val="21"/>
                      <w:szCs w:val="21"/>
                      <w:highlight w:val="none"/>
                      <w:lang w:val="en-US" w:eastAsia="zh-CN"/>
                    </w:rPr>
                  </w:pPr>
                  <w:r>
                    <w:rPr>
                      <w:rFonts w:hint="eastAsia"/>
                      <w:color w:val="auto"/>
                      <w:kern w:val="0"/>
                      <w:sz w:val="21"/>
                      <w:szCs w:val="21"/>
                      <w:highlight w:val="none"/>
                      <w:lang w:val="en-US" w:eastAsia="zh-CN" w:bidi="ar"/>
                    </w:rPr>
                    <w:t>6.324</w:t>
                  </w:r>
                </w:p>
              </w:tc>
              <w:tc>
                <w:tcPr>
                  <w:tcW w:w="334"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eastAsia"/>
                      <w:color w:val="auto"/>
                      <w:sz w:val="21"/>
                      <w:szCs w:val="21"/>
                      <w:highlight w:val="none"/>
                      <w:lang w:val="en-US" w:eastAsia="zh-CN"/>
                    </w:rPr>
                    <w:t>72</w:t>
                  </w:r>
                  <w:r>
                    <w:rPr>
                      <w:rFonts w:hint="eastAsia"/>
                      <w:color w:val="auto"/>
                      <w:sz w:val="21"/>
                      <w:szCs w:val="21"/>
                      <w:highlight w:val="none"/>
                    </w:rPr>
                    <w:t>00</w:t>
                  </w:r>
                </w:p>
              </w:tc>
              <w:tc>
                <w:tcPr>
                  <w:tcW w:w="359"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eastAsia"/>
                      <w:color w:val="auto"/>
                      <w:sz w:val="21"/>
                      <w:szCs w:val="21"/>
                      <w:highlight w:val="none"/>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6" w:type="pct"/>
                  <w:gridSpan w:val="2"/>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p>
              </w:tc>
              <w:tc>
                <w:tcPr>
                  <w:tcW w:w="335"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p>
              </w:tc>
              <w:tc>
                <w:tcPr>
                  <w:tcW w:w="168"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p>
              </w:tc>
              <w:tc>
                <w:tcPr>
                  <w:tcW w:w="150"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eastAsia"/>
                      <w:color w:val="auto"/>
                      <w:sz w:val="21"/>
                      <w:szCs w:val="21"/>
                      <w:highlight w:val="none"/>
                    </w:rPr>
                    <w:t>无组织</w:t>
                  </w:r>
                </w:p>
              </w:tc>
              <w:tc>
                <w:tcPr>
                  <w:tcW w:w="420" w:type="pct"/>
                  <w:tcBorders>
                    <w:right w:val="single" w:color="000000" w:sz="8"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eastAsia"/>
                      <w:color w:val="auto"/>
                      <w:sz w:val="21"/>
                      <w:szCs w:val="21"/>
                      <w:highlight w:val="none"/>
                    </w:rPr>
                    <w:t>/</w:t>
                  </w:r>
                </w:p>
              </w:tc>
              <w:tc>
                <w:tcPr>
                  <w:tcW w:w="348" w:type="pct"/>
                  <w:tcBorders>
                    <w:left w:val="single" w:color="000000" w:sz="8"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0.25</w:t>
                  </w:r>
                </w:p>
              </w:tc>
              <w:tc>
                <w:tcPr>
                  <w:tcW w:w="315" w:type="pct"/>
                  <w:gridSpan w:val="2"/>
                  <w:tcBorders>
                    <w:lef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1.8</w:t>
                  </w:r>
                </w:p>
              </w:tc>
              <w:tc>
                <w:tcPr>
                  <w:tcW w:w="404"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eastAsia"/>
                      <w:color w:val="auto"/>
                      <w:sz w:val="21"/>
                      <w:szCs w:val="21"/>
                      <w:highlight w:val="none"/>
                    </w:rPr>
                    <w:t>/</w:t>
                  </w:r>
                </w:p>
              </w:tc>
              <w:tc>
                <w:tcPr>
                  <w:tcW w:w="425" w:type="pct"/>
                  <w:tcBorders>
                    <w:right w:val="single" w:color="000000" w:sz="8"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eastAsia"/>
                      <w:color w:val="auto"/>
                      <w:sz w:val="21"/>
                      <w:szCs w:val="21"/>
                      <w:highlight w:val="none"/>
                    </w:rPr>
                    <w:t>/</w:t>
                  </w:r>
                </w:p>
              </w:tc>
              <w:tc>
                <w:tcPr>
                  <w:tcW w:w="354" w:type="pct"/>
                  <w:tcBorders>
                    <w:left w:val="single" w:color="000000" w:sz="8"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eastAsia"/>
                      <w:color w:val="auto"/>
                      <w:sz w:val="21"/>
                      <w:szCs w:val="21"/>
                      <w:highlight w:val="none"/>
                    </w:rPr>
                    <w:t>/</w:t>
                  </w:r>
                </w:p>
              </w:tc>
              <w:tc>
                <w:tcPr>
                  <w:tcW w:w="332"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eastAsia"/>
                      <w:color w:val="auto"/>
                      <w:sz w:val="21"/>
                      <w:szCs w:val="21"/>
                      <w:highlight w:val="none"/>
                    </w:rPr>
                    <w:t>/</w:t>
                  </w:r>
                </w:p>
              </w:tc>
              <w:tc>
                <w:tcPr>
                  <w:tcW w:w="342"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eastAsia"/>
                      <w:color w:val="auto"/>
                      <w:sz w:val="21"/>
                      <w:szCs w:val="21"/>
                      <w:highlight w:val="none"/>
                      <w:lang w:val="en-US" w:eastAsia="zh-CN"/>
                    </w:rPr>
                    <w:t>0.25</w:t>
                  </w:r>
                </w:p>
              </w:tc>
              <w:tc>
                <w:tcPr>
                  <w:tcW w:w="371"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eastAsia"/>
                      <w:color w:val="auto"/>
                      <w:sz w:val="21"/>
                      <w:szCs w:val="21"/>
                      <w:highlight w:val="none"/>
                      <w:lang w:val="en-US" w:eastAsia="zh-CN"/>
                    </w:rPr>
                    <w:t>1.8</w:t>
                  </w:r>
                </w:p>
              </w:tc>
              <w:tc>
                <w:tcPr>
                  <w:tcW w:w="334"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highlight w:val="none"/>
                    </w:rPr>
                  </w:pPr>
                  <w:r>
                    <w:rPr>
                      <w:rFonts w:hint="eastAsia"/>
                      <w:color w:val="auto"/>
                      <w:sz w:val="21"/>
                      <w:szCs w:val="21"/>
                      <w:highlight w:val="none"/>
                      <w:lang w:val="en-US" w:eastAsia="zh-CN"/>
                    </w:rPr>
                    <w:t>72</w:t>
                  </w:r>
                  <w:r>
                    <w:rPr>
                      <w:rFonts w:hint="eastAsia"/>
                      <w:color w:val="auto"/>
                      <w:sz w:val="21"/>
                      <w:szCs w:val="21"/>
                      <w:highlight w:val="none"/>
                    </w:rPr>
                    <w:t>00</w:t>
                  </w:r>
                </w:p>
              </w:tc>
              <w:tc>
                <w:tcPr>
                  <w:tcW w:w="359"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color w:val="auto"/>
                      <w:sz w:val="21"/>
                      <w:szCs w:val="21"/>
                      <w:highlight w:val="none"/>
                      <w:lang w:val="en-US" w:eastAsia="zh-CN"/>
                    </w:rPr>
                  </w:pPr>
                  <w:r>
                    <w:rPr>
                      <w:rFonts w:hint="eastAsia"/>
                      <w:color w:val="auto"/>
                      <w:sz w:val="21"/>
                      <w:szCs w:val="21"/>
                      <w:highlight w:val="none"/>
                    </w:rPr>
                    <w:t>6</w:t>
                  </w:r>
                  <w:r>
                    <w:rPr>
                      <w:rFonts w:hint="eastAsia"/>
                      <w:color w:val="auto"/>
                      <w:sz w:val="21"/>
                      <w:szCs w:val="21"/>
                      <w:highlight w:val="none"/>
                      <w:lang w:val="en-US" w:eastAsia="zh-CN"/>
                    </w:rPr>
                    <w:t>/20</w:t>
                  </w:r>
                </w:p>
              </w:tc>
            </w:tr>
          </w:tbl>
          <w:p>
            <w:pPr>
              <w:keepNext w:val="0"/>
              <w:keepLines w:val="0"/>
              <w:suppressLineNumbers w:val="0"/>
              <w:snapToGrid w:val="0"/>
              <w:spacing w:before="0" w:beforeAutospacing="0" w:after="0" w:afterAutospacing="0"/>
              <w:ind w:left="0" w:right="0" w:firstLine="360"/>
              <w:jc w:val="left"/>
              <w:rPr>
                <w:rFonts w:hint="default"/>
                <w:color w:val="auto"/>
                <w:kern w:val="0"/>
                <w:sz w:val="18"/>
                <w:szCs w:val="20"/>
                <w:highlight w:val="none"/>
              </w:rPr>
            </w:pPr>
          </w:p>
        </w:tc>
      </w:tr>
    </w:tbl>
    <w:p>
      <w:pPr>
        <w:pStyle w:val="80"/>
        <w:rPr>
          <w:color w:val="auto"/>
          <w:highlight w:val="none"/>
        </w:rPr>
        <w:sectPr>
          <w:pgSz w:w="16840" w:h="11907" w:orient="landscape"/>
          <w:pgMar w:top="1531" w:right="1701" w:bottom="1531" w:left="2127" w:header="851" w:footer="851" w:gutter="0"/>
          <w:pgBorders>
            <w:top w:val="none" w:sz="0" w:space="0"/>
            <w:left w:val="none" w:sz="0" w:space="0"/>
            <w:bottom w:val="none" w:sz="0" w:space="0"/>
            <w:right w:val="none" w:sz="0" w:space="0"/>
          </w:pgBorders>
          <w:pgNumType w:fmt="numberInDash"/>
          <w:cols w:space="720" w:num="1"/>
          <w:docGrid w:linePitch="312" w:charSpace="0"/>
        </w:sectPr>
      </w:pPr>
    </w:p>
    <w:tbl>
      <w:tblPr>
        <w:tblStyle w:val="37"/>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4"/>
        <w:gridCol w:w="84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85" w:hRule="atLeast"/>
          <w:jc w:val="center"/>
        </w:trPr>
        <w:tc>
          <w:tcPr>
            <w:tcW w:w="494" w:type="dxa"/>
            <w:tcMar>
              <w:left w:w="28" w:type="dxa"/>
              <w:right w:w="28" w:type="dxa"/>
            </w:tcMar>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运营</w:t>
            </w:r>
          </w:p>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期环</w:t>
            </w:r>
          </w:p>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境影</w:t>
            </w:r>
          </w:p>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响和</w:t>
            </w:r>
          </w:p>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保护</w:t>
            </w:r>
          </w:p>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措施</w:t>
            </w:r>
          </w:p>
        </w:tc>
        <w:tc>
          <w:tcPr>
            <w:tcW w:w="8487" w:type="dxa"/>
          </w:tcPr>
          <w:p>
            <w:pPr>
              <w:keepNext w:val="0"/>
              <w:keepLines w:val="0"/>
              <w:suppressLineNumbers w:val="0"/>
              <w:spacing w:before="0" w:beforeAutospacing="0" w:after="0" w:afterAutospacing="0"/>
              <w:ind w:left="0" w:right="0" w:firstLine="482"/>
              <w:rPr>
                <w:rFonts w:hint="default"/>
                <w:b/>
                <w:color w:val="auto"/>
                <w:highlight w:val="none"/>
              </w:rPr>
            </w:pPr>
            <w:r>
              <w:rPr>
                <w:rFonts w:hint="eastAsia"/>
                <w:b/>
                <w:color w:val="auto"/>
                <w:highlight w:val="none"/>
              </w:rPr>
              <w:t>2、源强核算</w:t>
            </w:r>
          </w:p>
          <w:p>
            <w:pPr>
              <w:keepNext w:val="0"/>
              <w:keepLines w:val="0"/>
              <w:suppressLineNumbers w:val="0"/>
              <w:spacing w:before="0" w:beforeAutospacing="0" w:after="0" w:afterAutospacing="0"/>
              <w:ind w:left="0" w:right="0" w:firstLine="480"/>
              <w:textAlignment w:val="baseline"/>
              <w:rPr>
                <w:rFonts w:hint="default"/>
                <w:color w:val="auto"/>
                <w:highlight w:val="none"/>
              </w:rPr>
            </w:pPr>
            <w:r>
              <w:rPr>
                <w:rFonts w:hint="eastAsia" w:ascii="Times New Roman" w:hAnsi="Times New Roman" w:eastAsia="宋体" w:cs="Times New Roman"/>
                <w:bCs/>
                <w:color w:val="auto"/>
                <w:sz w:val="24"/>
                <w:highlight w:val="none"/>
                <w:lang w:val="en-US" w:eastAsia="zh-CN"/>
              </w:rPr>
              <w:t>本项目原料</w:t>
            </w:r>
            <w:r>
              <w:rPr>
                <w:rFonts w:hint="eastAsia" w:cs="Times New Roman"/>
                <w:bCs/>
                <w:color w:val="auto"/>
                <w:sz w:val="24"/>
                <w:highlight w:val="none"/>
                <w:lang w:eastAsia="zh-CN"/>
              </w:rPr>
              <w:t>高密度聚乙烯</w:t>
            </w:r>
            <w:r>
              <w:rPr>
                <w:rFonts w:hint="eastAsia" w:ascii="Times New Roman" w:hAnsi="Times New Roman" w:eastAsia="宋体" w:cs="Times New Roman"/>
                <w:bCs/>
                <w:color w:val="auto"/>
                <w:sz w:val="24"/>
                <w:highlight w:val="none"/>
                <w:lang w:val="en-US" w:eastAsia="zh-CN"/>
              </w:rPr>
              <w:t>颗粒</w:t>
            </w:r>
            <w:r>
              <w:rPr>
                <w:rFonts w:hint="default" w:ascii="Times New Roman" w:hAnsi="Times New Roman" w:eastAsia="宋体" w:cs="Times New Roman"/>
                <w:bCs/>
                <w:color w:val="auto"/>
                <w:sz w:val="24"/>
                <w:highlight w:val="none"/>
              </w:rPr>
              <w:t>为高分子聚合物，为无毒无害的材料。</w:t>
            </w:r>
            <w:r>
              <w:rPr>
                <w:rFonts w:hint="eastAsia" w:ascii="Times New Roman" w:hAnsi="Times New Roman" w:eastAsia="宋体" w:cs="Times New Roman"/>
                <w:bCs/>
                <w:color w:val="auto"/>
                <w:sz w:val="24"/>
                <w:highlight w:val="none"/>
                <w:lang w:val="en-US" w:eastAsia="zh-CN"/>
              </w:rPr>
              <w:t>生产过程中</w:t>
            </w:r>
            <w:r>
              <w:rPr>
                <w:rFonts w:hint="eastAsia"/>
                <w:color w:val="auto"/>
                <w:kern w:val="0"/>
                <w:highlight w:val="none"/>
                <w:lang w:val="en-US" w:eastAsia="zh-CN"/>
              </w:rPr>
              <w:t>对原料进行加热挤出成型时</w:t>
            </w:r>
            <w:r>
              <w:rPr>
                <w:rFonts w:hint="eastAsia"/>
                <w:color w:val="auto"/>
                <w:highlight w:val="none"/>
                <w:lang w:eastAsia="zh-CN"/>
              </w:rPr>
              <w:t>（</w:t>
            </w:r>
            <w:r>
              <w:rPr>
                <w:rFonts w:hint="eastAsia"/>
                <w:color w:val="auto"/>
                <w:highlight w:val="none"/>
                <w:lang w:val="zh-CN"/>
              </w:rPr>
              <w:t>温度为2</w:t>
            </w:r>
            <w:r>
              <w:rPr>
                <w:rFonts w:hint="eastAsia"/>
                <w:color w:val="auto"/>
                <w:highlight w:val="none"/>
                <w:lang w:val="en-US" w:eastAsia="zh-CN"/>
              </w:rPr>
              <w:t>0</w:t>
            </w:r>
            <w:r>
              <w:rPr>
                <w:rFonts w:hint="eastAsia"/>
                <w:color w:val="auto"/>
                <w:highlight w:val="none"/>
                <w:lang w:val="zh-CN"/>
              </w:rPr>
              <w:t>0℃</w:t>
            </w:r>
            <w:r>
              <w:rPr>
                <w:rFonts w:hint="eastAsia"/>
                <w:color w:val="auto"/>
                <w:highlight w:val="none"/>
                <w:lang w:eastAsia="zh-CN"/>
              </w:rPr>
              <w:t>）</w:t>
            </w:r>
            <w:r>
              <w:rPr>
                <w:rFonts w:hint="eastAsia"/>
                <w:color w:val="auto"/>
                <w:highlight w:val="none"/>
              </w:rPr>
              <w:t>，</w:t>
            </w:r>
            <w:r>
              <w:rPr>
                <w:rFonts w:hint="eastAsia"/>
                <w:color w:val="auto"/>
                <w:kern w:val="0"/>
                <w:highlight w:val="none"/>
                <w:lang w:val="en-US" w:eastAsia="zh-CN"/>
              </w:rPr>
              <w:t>会产生少量挥发性有机废气，</w:t>
            </w:r>
            <w:r>
              <w:rPr>
                <w:rFonts w:hint="eastAsia"/>
                <w:color w:val="auto"/>
                <w:sz w:val="24"/>
                <w:szCs w:val="24"/>
                <w:highlight w:val="none"/>
                <w:lang w:val="en-US" w:eastAsia="zh-CN"/>
              </w:rPr>
              <w:t>以</w:t>
            </w:r>
            <w:r>
              <w:rPr>
                <w:rFonts w:hint="eastAsia"/>
                <w:color w:val="auto"/>
                <w:sz w:val="24"/>
                <w:szCs w:val="24"/>
                <w:highlight w:val="none"/>
              </w:rPr>
              <w:t>非甲烷总烃</w:t>
            </w:r>
            <w:r>
              <w:rPr>
                <w:rFonts w:hint="default"/>
                <w:color w:val="auto"/>
                <w:highlight w:val="none"/>
                <w:lang w:val="zh-CN"/>
              </w:rPr>
              <w:t>计</w:t>
            </w:r>
            <w:r>
              <w:rPr>
                <w:rFonts w:hint="default"/>
                <w:color w:val="auto"/>
                <w:highlight w:val="none"/>
              </w:rPr>
              <w:t>。</w:t>
            </w:r>
          </w:p>
          <w:p>
            <w:pPr>
              <w:keepNext w:val="0"/>
              <w:keepLines w:val="0"/>
              <w:suppressLineNumbers w:val="0"/>
              <w:spacing w:before="0" w:beforeAutospacing="0" w:after="0" w:afterAutospacing="0"/>
              <w:ind w:left="0" w:right="0" w:firstLine="480"/>
              <w:textAlignment w:val="baseline"/>
              <w:rPr>
                <w:rFonts w:hint="default"/>
                <w:color w:val="auto"/>
                <w:spacing w:val="4"/>
                <w:highlight w:val="none"/>
              </w:rPr>
            </w:pPr>
            <w:r>
              <w:rPr>
                <w:rFonts w:hint="eastAsia" w:ascii="Times New Roman" w:hAnsi="Times New Roman" w:eastAsia="宋体" w:cs="Times New Roman"/>
                <w:bCs/>
                <w:color w:val="auto"/>
                <w:sz w:val="24"/>
                <w:highlight w:val="none"/>
                <w:lang w:val="en-US" w:eastAsia="zh-CN"/>
              </w:rPr>
              <w:t>根据《排放源统计调查产排污核算方法和系数手册》中2922</w:t>
            </w:r>
            <w:r>
              <w:rPr>
                <w:rFonts w:hint="default" w:ascii="Times New Roman" w:hAnsi="Times New Roman" w:eastAsia="宋体" w:cs="Times New Roman"/>
                <w:bCs/>
                <w:color w:val="auto"/>
                <w:sz w:val="24"/>
                <w:highlight w:val="none"/>
                <w:lang w:val="en-US" w:eastAsia="zh-CN"/>
              </w:rPr>
              <w:t>塑料板、管、型材制造行业系数表</w:t>
            </w:r>
            <w:r>
              <w:rPr>
                <w:rFonts w:hint="eastAsia" w:ascii="Times New Roman" w:hAnsi="Times New Roman" w:eastAsia="宋体" w:cs="Times New Roman"/>
                <w:bCs/>
                <w:color w:val="auto"/>
                <w:sz w:val="24"/>
                <w:highlight w:val="none"/>
                <w:lang w:val="en-US" w:eastAsia="zh-CN"/>
              </w:rPr>
              <w:t>：挤出工序挥发性有机物废气产生系数为1.5kg/t产品。</w:t>
            </w:r>
            <w:r>
              <w:rPr>
                <w:rFonts w:hint="default" w:ascii="Times New Roman" w:hAnsi="Times New Roman" w:cs="Times New Roman"/>
                <w:color w:val="auto"/>
                <w:sz w:val="24"/>
                <w:highlight w:val="none"/>
              </w:rPr>
              <w:t>挤出机每天运行</w:t>
            </w:r>
            <w:r>
              <w:rPr>
                <w:rFonts w:hint="eastAsia" w:ascii="Times New Roman" w:hAnsi="Times New Roman" w:cs="Times New Roman"/>
                <w:color w:val="auto"/>
                <w:sz w:val="24"/>
                <w:highlight w:val="none"/>
                <w:lang w:val="en-US" w:eastAsia="zh-CN"/>
              </w:rPr>
              <w:t>24</w:t>
            </w:r>
            <w:r>
              <w:rPr>
                <w:rFonts w:hint="default" w:ascii="Times New Roman" w:hAnsi="Times New Roman" w:cs="Times New Roman"/>
                <w:color w:val="auto"/>
                <w:sz w:val="24"/>
                <w:highlight w:val="none"/>
              </w:rPr>
              <w:t>h，年工作时间为</w:t>
            </w:r>
            <w:r>
              <w:rPr>
                <w:rFonts w:hint="eastAsia" w:ascii="Times New Roman" w:hAnsi="Times New Roman" w:cs="Times New Roman"/>
                <w:color w:val="auto"/>
                <w:sz w:val="24"/>
                <w:highlight w:val="none"/>
                <w:lang w:val="en-US" w:eastAsia="zh-CN"/>
              </w:rPr>
              <w:t>72</w:t>
            </w:r>
            <w:r>
              <w:rPr>
                <w:rFonts w:hint="default" w:ascii="Times New Roman" w:hAnsi="Times New Roman" w:cs="Times New Roman"/>
                <w:color w:val="auto"/>
                <w:sz w:val="24"/>
                <w:highlight w:val="none"/>
              </w:rPr>
              <w:t>00h。</w:t>
            </w:r>
            <w:r>
              <w:rPr>
                <w:rFonts w:hint="default"/>
                <w:color w:val="auto"/>
                <w:position w:val="2"/>
                <w:szCs w:val="22"/>
                <w:highlight w:val="none"/>
                <w:lang w:val="zh-CN" w:bidi="zh-CN"/>
              </w:rPr>
              <w:t>本项目</w:t>
            </w:r>
            <w:r>
              <w:rPr>
                <w:rFonts w:hint="eastAsia"/>
                <w:color w:val="auto"/>
                <w:position w:val="2"/>
                <w:szCs w:val="22"/>
                <w:highlight w:val="none"/>
                <w:lang w:val="en-US" w:bidi="zh-CN"/>
              </w:rPr>
              <w:t>产品产</w:t>
            </w:r>
            <w:r>
              <w:rPr>
                <w:rFonts w:hint="eastAsia"/>
                <w:color w:val="auto"/>
                <w:spacing w:val="4"/>
                <w:highlight w:val="none"/>
              </w:rPr>
              <w:t>量为8</w:t>
            </w:r>
            <w:r>
              <w:rPr>
                <w:rFonts w:hint="eastAsia"/>
                <w:color w:val="auto"/>
                <w:spacing w:val="4"/>
                <w:highlight w:val="none"/>
                <w:lang w:val="en-US" w:eastAsia="zh-CN"/>
              </w:rPr>
              <w:t>00</w:t>
            </w:r>
            <w:r>
              <w:rPr>
                <w:rFonts w:hint="eastAsia"/>
                <w:color w:val="auto"/>
                <w:spacing w:val="4"/>
                <w:highlight w:val="none"/>
              </w:rPr>
              <w:t>0t/a，则非甲烷总烃产生量为</w:t>
            </w:r>
            <w:r>
              <w:rPr>
                <w:rFonts w:hint="eastAsia"/>
                <w:color w:val="auto"/>
                <w:spacing w:val="4"/>
                <w:highlight w:val="none"/>
                <w:lang w:val="en-US" w:eastAsia="zh-CN"/>
              </w:rPr>
              <w:t>12</w:t>
            </w:r>
            <w:r>
              <w:rPr>
                <w:rFonts w:hint="eastAsia"/>
                <w:color w:val="auto"/>
                <w:spacing w:val="4"/>
                <w:highlight w:val="none"/>
              </w:rPr>
              <w:t>t/a。</w:t>
            </w:r>
          </w:p>
          <w:p>
            <w:pPr>
              <w:keepNext w:val="0"/>
              <w:keepLines w:val="0"/>
              <w:suppressLineNumbers w:val="0"/>
              <w:spacing w:before="0" w:beforeAutospacing="0" w:after="0" w:afterAutospacing="0"/>
              <w:ind w:left="0" w:right="0" w:firstLine="480"/>
              <w:rPr>
                <w:rFonts w:hint="default"/>
                <w:color w:val="auto"/>
                <w:highlight w:val="none"/>
              </w:rPr>
            </w:pPr>
            <w:r>
              <w:rPr>
                <w:rFonts w:hint="eastAsia"/>
                <w:color w:val="auto"/>
                <w:spacing w:val="4"/>
                <w:highlight w:val="none"/>
              </w:rPr>
              <w:t>建设单位分别在挤出</w:t>
            </w:r>
            <w:r>
              <w:rPr>
                <w:rFonts w:hint="eastAsia"/>
                <w:color w:val="auto"/>
                <w:spacing w:val="4"/>
                <w:highlight w:val="none"/>
                <w:lang w:val="en-US" w:eastAsia="zh-CN"/>
              </w:rPr>
              <w:t>机</w:t>
            </w:r>
            <w:r>
              <w:rPr>
                <w:rFonts w:hint="eastAsia"/>
                <w:color w:val="auto"/>
                <w:spacing w:val="4"/>
                <w:highlight w:val="none"/>
              </w:rPr>
              <w:t>上方设置集气罩（共</w:t>
            </w:r>
            <w:r>
              <w:rPr>
                <w:rFonts w:hint="eastAsia"/>
                <w:color w:val="auto"/>
                <w:spacing w:val="4"/>
                <w:highlight w:val="none"/>
                <w:lang w:val="en-US" w:eastAsia="zh-CN"/>
              </w:rPr>
              <w:t>6</w:t>
            </w:r>
            <w:r>
              <w:rPr>
                <w:rFonts w:hint="eastAsia"/>
                <w:color w:val="auto"/>
                <w:spacing w:val="4"/>
                <w:highlight w:val="none"/>
              </w:rPr>
              <w:t>个），废气分别经过集气罩收集后经管道进入</w:t>
            </w:r>
            <w:r>
              <w:rPr>
                <w:rFonts w:hint="eastAsia"/>
                <w:color w:val="auto"/>
                <w:spacing w:val="4"/>
                <w:highlight w:val="none"/>
                <w:lang w:val="en-US" w:eastAsia="zh-CN"/>
              </w:rPr>
              <w:t>1</w:t>
            </w:r>
            <w:r>
              <w:rPr>
                <w:rFonts w:hint="eastAsia"/>
                <w:color w:val="auto"/>
                <w:spacing w:val="4"/>
                <w:highlight w:val="none"/>
              </w:rPr>
              <w:t>套“二级活性炭吸附装置”处理后通过</w:t>
            </w:r>
            <w:r>
              <w:rPr>
                <w:rFonts w:hint="eastAsia"/>
                <w:color w:val="auto"/>
                <w:spacing w:val="4"/>
                <w:highlight w:val="none"/>
                <w:lang w:val="en-US" w:eastAsia="zh-CN"/>
              </w:rPr>
              <w:t>1</w:t>
            </w:r>
            <w:r>
              <w:rPr>
                <w:rFonts w:hint="eastAsia"/>
                <w:color w:val="auto"/>
                <w:spacing w:val="4"/>
                <w:highlight w:val="none"/>
              </w:rPr>
              <w:t>根15m高排气筒（DA00</w:t>
            </w:r>
            <w:r>
              <w:rPr>
                <w:rFonts w:hint="eastAsia"/>
                <w:color w:val="auto"/>
                <w:spacing w:val="4"/>
                <w:highlight w:val="none"/>
                <w:lang w:val="en-US" w:eastAsia="zh-CN"/>
              </w:rPr>
              <w:t>1</w:t>
            </w:r>
            <w:r>
              <w:rPr>
                <w:rFonts w:hint="eastAsia"/>
                <w:color w:val="auto"/>
                <w:spacing w:val="4"/>
                <w:highlight w:val="none"/>
              </w:rPr>
              <w:t>）排放，活性炭吸附装置风机总风量为</w:t>
            </w:r>
            <w:r>
              <w:rPr>
                <w:rFonts w:hint="eastAsia"/>
                <w:color w:val="auto"/>
                <w:spacing w:val="4"/>
                <w:highlight w:val="none"/>
                <w:lang w:val="en-US" w:eastAsia="zh-CN"/>
              </w:rPr>
              <w:t>18</w:t>
            </w:r>
            <w:r>
              <w:rPr>
                <w:rFonts w:hint="eastAsia"/>
                <w:color w:val="auto"/>
                <w:spacing w:val="4"/>
                <w:highlight w:val="none"/>
              </w:rPr>
              <w:t>000m</w:t>
            </w:r>
            <w:r>
              <w:rPr>
                <w:rFonts w:hint="eastAsia"/>
                <w:color w:val="auto"/>
                <w:spacing w:val="4"/>
                <w:highlight w:val="none"/>
                <w:vertAlign w:val="superscript"/>
              </w:rPr>
              <w:t>3</w:t>
            </w:r>
            <w:r>
              <w:rPr>
                <w:rFonts w:hint="eastAsia"/>
                <w:color w:val="auto"/>
                <w:spacing w:val="4"/>
                <w:highlight w:val="none"/>
              </w:rPr>
              <w:t>/h，年运行</w:t>
            </w:r>
            <w:r>
              <w:rPr>
                <w:rFonts w:hint="eastAsia"/>
                <w:color w:val="auto"/>
                <w:spacing w:val="4"/>
                <w:highlight w:val="none"/>
                <w:lang w:val="en-US" w:eastAsia="zh-CN"/>
              </w:rPr>
              <w:t>72</w:t>
            </w:r>
            <w:r>
              <w:rPr>
                <w:rFonts w:hint="eastAsia"/>
                <w:color w:val="auto"/>
                <w:spacing w:val="4"/>
                <w:highlight w:val="none"/>
              </w:rPr>
              <w:t>00h，废气收集效率为8</w:t>
            </w:r>
            <w:r>
              <w:rPr>
                <w:rFonts w:hint="eastAsia"/>
                <w:color w:val="auto"/>
                <w:spacing w:val="4"/>
                <w:highlight w:val="none"/>
                <w:lang w:val="en-US" w:eastAsia="zh-CN"/>
              </w:rPr>
              <w:t>5</w:t>
            </w:r>
            <w:r>
              <w:rPr>
                <w:rFonts w:hint="eastAsia"/>
                <w:color w:val="auto"/>
                <w:spacing w:val="4"/>
                <w:highlight w:val="none"/>
              </w:rPr>
              <w:t>%，二级活性炭吸附</w:t>
            </w:r>
            <w:r>
              <w:rPr>
                <w:rFonts w:hint="eastAsia"/>
                <w:color w:val="auto"/>
                <w:spacing w:val="4"/>
                <w:highlight w:val="none"/>
                <w:lang w:val="en-US" w:eastAsia="zh-CN"/>
              </w:rPr>
              <w:t>处理</w:t>
            </w:r>
            <w:r>
              <w:rPr>
                <w:rFonts w:hint="eastAsia"/>
                <w:color w:val="auto"/>
                <w:spacing w:val="4"/>
                <w:highlight w:val="none"/>
              </w:rPr>
              <w:t>效率取</w:t>
            </w:r>
            <w:r>
              <w:rPr>
                <w:rFonts w:hint="eastAsia"/>
                <w:color w:val="auto"/>
                <w:spacing w:val="4"/>
                <w:highlight w:val="none"/>
                <w:lang w:val="en-US" w:eastAsia="zh-CN"/>
              </w:rPr>
              <w:t>38%</w:t>
            </w:r>
            <w:r>
              <w:rPr>
                <w:rFonts w:hint="eastAsia"/>
                <w:color w:val="auto"/>
                <w:spacing w:val="4"/>
                <w:highlight w:val="none"/>
              </w:rPr>
              <w:t>，</w:t>
            </w:r>
            <w:r>
              <w:rPr>
                <w:rFonts w:hint="eastAsia"/>
                <w:color w:val="auto"/>
                <w:highlight w:val="none"/>
              </w:rPr>
              <w:t>则有组织</w:t>
            </w:r>
            <w:r>
              <w:rPr>
                <w:rFonts w:hint="eastAsia"/>
                <w:color w:val="auto"/>
                <w:highlight w:val="none"/>
                <w:lang w:val="en-US" w:eastAsia="zh-CN"/>
              </w:rPr>
              <w:t>废气</w:t>
            </w:r>
            <w:r>
              <w:rPr>
                <w:rFonts w:hint="eastAsia"/>
                <w:color w:val="auto"/>
                <w:highlight w:val="none"/>
              </w:rPr>
              <w:t>产</w:t>
            </w:r>
            <w:r>
              <w:rPr>
                <w:rFonts w:hint="default"/>
                <w:color w:val="auto"/>
                <w:highlight w:val="none"/>
              </w:rPr>
              <w:t>生量为</w:t>
            </w:r>
            <w:r>
              <w:rPr>
                <w:rFonts w:hint="eastAsia"/>
                <w:color w:val="auto"/>
                <w:highlight w:val="none"/>
                <w:lang w:val="en-US" w:eastAsia="zh-CN"/>
              </w:rPr>
              <w:t>10.2</w:t>
            </w:r>
            <w:r>
              <w:rPr>
                <w:rFonts w:hint="default"/>
                <w:color w:val="auto"/>
                <w:highlight w:val="none"/>
              </w:rPr>
              <w:t>t/a，</w:t>
            </w:r>
            <w:r>
              <w:rPr>
                <w:rFonts w:hint="eastAsia"/>
                <w:color w:val="auto"/>
                <w:highlight w:val="none"/>
              </w:rPr>
              <w:t>产生</w:t>
            </w:r>
            <w:r>
              <w:rPr>
                <w:rFonts w:hint="default"/>
                <w:color w:val="auto"/>
                <w:highlight w:val="none"/>
              </w:rPr>
              <w:t>浓度为</w:t>
            </w:r>
            <w:r>
              <w:rPr>
                <w:rFonts w:hint="eastAsia"/>
                <w:color w:val="auto"/>
                <w:highlight w:val="none"/>
                <w:lang w:val="en-US" w:eastAsia="zh-CN"/>
              </w:rPr>
              <w:t>78.7</w:t>
            </w:r>
            <w:r>
              <w:rPr>
                <w:rFonts w:hint="default"/>
                <w:color w:val="auto"/>
                <w:highlight w:val="none"/>
              </w:rPr>
              <w:t>mg/</w:t>
            </w:r>
            <w:r>
              <w:rPr>
                <w:rFonts w:hint="eastAsia"/>
                <w:color w:val="auto"/>
                <w:highlight w:val="none"/>
                <w:lang w:bidi="zh-CN"/>
              </w:rPr>
              <w:t>m</w:t>
            </w:r>
            <w:r>
              <w:rPr>
                <w:rFonts w:hint="default"/>
                <w:color w:val="auto"/>
                <w:highlight w:val="none"/>
                <w:vertAlign w:val="superscript"/>
                <w:lang w:bidi="zh-CN"/>
              </w:rPr>
              <w:t>3</w:t>
            </w:r>
            <w:r>
              <w:rPr>
                <w:rFonts w:hint="default"/>
                <w:color w:val="auto"/>
                <w:highlight w:val="none"/>
              </w:rPr>
              <w:t>，</w:t>
            </w:r>
            <w:r>
              <w:rPr>
                <w:rFonts w:hint="eastAsia"/>
                <w:color w:val="auto"/>
                <w:highlight w:val="none"/>
              </w:rPr>
              <w:t>产生速率</w:t>
            </w:r>
            <w:r>
              <w:rPr>
                <w:rFonts w:hint="default"/>
                <w:color w:val="auto"/>
                <w:highlight w:val="none"/>
              </w:rPr>
              <w:t>为</w:t>
            </w:r>
            <w:r>
              <w:rPr>
                <w:rFonts w:hint="eastAsia"/>
                <w:color w:val="auto"/>
                <w:highlight w:val="none"/>
                <w:lang w:val="en-US" w:eastAsia="zh-CN"/>
              </w:rPr>
              <w:t>1.417</w:t>
            </w:r>
            <w:r>
              <w:rPr>
                <w:rFonts w:hint="default"/>
                <w:color w:val="auto"/>
                <w:highlight w:val="none"/>
              </w:rPr>
              <w:t>kg/h；</w:t>
            </w:r>
            <w:r>
              <w:rPr>
                <w:rFonts w:hint="eastAsia"/>
                <w:color w:val="auto"/>
                <w:highlight w:val="none"/>
                <w:lang w:val="en-US" w:eastAsia="zh-CN"/>
              </w:rPr>
              <w:t>废气经处理后</w:t>
            </w:r>
            <w:r>
              <w:rPr>
                <w:rFonts w:hint="eastAsia"/>
                <w:color w:val="auto"/>
                <w:highlight w:val="none"/>
              </w:rPr>
              <w:t>有组织</w:t>
            </w:r>
            <w:r>
              <w:rPr>
                <w:rFonts w:hint="default"/>
                <w:color w:val="auto"/>
                <w:highlight w:val="none"/>
              </w:rPr>
              <w:t>排放量为</w:t>
            </w:r>
            <w:r>
              <w:rPr>
                <w:rFonts w:hint="eastAsia"/>
                <w:color w:val="auto"/>
                <w:highlight w:val="none"/>
                <w:lang w:val="en-US" w:eastAsia="zh-CN"/>
              </w:rPr>
              <w:t>6.324</w:t>
            </w:r>
            <w:r>
              <w:rPr>
                <w:rFonts w:hint="default"/>
                <w:color w:val="auto"/>
                <w:highlight w:val="none"/>
              </w:rPr>
              <w:t>t/a，排放浓度为</w:t>
            </w:r>
            <w:r>
              <w:rPr>
                <w:rFonts w:hint="eastAsia"/>
                <w:color w:val="auto"/>
                <w:highlight w:val="none"/>
                <w:lang w:val="en-US" w:eastAsia="zh-CN"/>
              </w:rPr>
              <w:t>48.8</w:t>
            </w:r>
            <w:r>
              <w:rPr>
                <w:rFonts w:hint="default"/>
                <w:color w:val="auto"/>
                <w:highlight w:val="none"/>
              </w:rPr>
              <w:t>mg/</w:t>
            </w:r>
            <w:r>
              <w:rPr>
                <w:rFonts w:hint="eastAsia"/>
                <w:color w:val="auto"/>
                <w:highlight w:val="none"/>
                <w:lang w:bidi="zh-CN"/>
              </w:rPr>
              <w:t>m</w:t>
            </w:r>
            <w:r>
              <w:rPr>
                <w:rFonts w:hint="default"/>
                <w:color w:val="auto"/>
                <w:highlight w:val="none"/>
                <w:vertAlign w:val="superscript"/>
                <w:lang w:bidi="zh-CN"/>
              </w:rPr>
              <w:t>3</w:t>
            </w:r>
            <w:r>
              <w:rPr>
                <w:rFonts w:hint="eastAsia"/>
                <w:color w:val="auto"/>
                <w:highlight w:val="none"/>
              </w:rPr>
              <w:t>，</w:t>
            </w:r>
            <w:r>
              <w:rPr>
                <w:rFonts w:hint="default"/>
                <w:color w:val="auto"/>
                <w:highlight w:val="none"/>
              </w:rPr>
              <w:t>排放速率为</w:t>
            </w:r>
            <w:r>
              <w:rPr>
                <w:rFonts w:hint="eastAsia"/>
                <w:color w:val="auto"/>
                <w:highlight w:val="none"/>
              </w:rPr>
              <w:t>0.</w:t>
            </w:r>
            <w:r>
              <w:rPr>
                <w:rFonts w:hint="eastAsia"/>
                <w:color w:val="auto"/>
                <w:highlight w:val="none"/>
                <w:lang w:val="en-US" w:eastAsia="zh-CN"/>
              </w:rPr>
              <w:t>878</w:t>
            </w:r>
            <w:r>
              <w:rPr>
                <w:rFonts w:hint="default"/>
                <w:color w:val="auto"/>
                <w:highlight w:val="none"/>
              </w:rPr>
              <w:t>kg/h。</w:t>
            </w:r>
          </w:p>
          <w:p>
            <w:pPr>
              <w:keepNext w:val="0"/>
              <w:keepLines w:val="0"/>
              <w:suppressLineNumbers w:val="0"/>
              <w:spacing w:before="0" w:beforeAutospacing="0" w:after="0" w:afterAutospacing="0"/>
              <w:ind w:left="0" w:right="0" w:firstLine="482"/>
              <w:rPr>
                <w:rFonts w:hint="eastAsia"/>
                <w:color w:val="auto"/>
                <w:highlight w:val="none"/>
              </w:rPr>
            </w:pPr>
            <w:r>
              <w:rPr>
                <w:rFonts w:hint="eastAsia"/>
                <w:color w:val="auto"/>
                <w:highlight w:val="none"/>
              </w:rPr>
              <w:t>未被收集的</w:t>
            </w:r>
            <w:r>
              <w:rPr>
                <w:rFonts w:hint="eastAsia"/>
                <w:color w:val="auto"/>
                <w:highlight w:val="none"/>
                <w:lang w:val="en-US" w:eastAsia="zh-CN"/>
              </w:rPr>
              <w:t>有机</w:t>
            </w:r>
            <w:r>
              <w:rPr>
                <w:rFonts w:hint="eastAsia"/>
                <w:color w:val="auto"/>
                <w:highlight w:val="none"/>
              </w:rPr>
              <w:t>废气无组织排放量为</w:t>
            </w:r>
            <w:r>
              <w:rPr>
                <w:rFonts w:hint="eastAsia"/>
                <w:color w:val="auto"/>
                <w:highlight w:val="none"/>
                <w:lang w:val="en-US" w:eastAsia="zh-CN"/>
              </w:rPr>
              <w:t>1.8</w:t>
            </w:r>
            <w:r>
              <w:rPr>
                <w:rFonts w:hint="eastAsia"/>
                <w:color w:val="auto"/>
                <w:highlight w:val="none"/>
              </w:rPr>
              <w:t>t/a，排放速率为0.</w:t>
            </w:r>
            <w:r>
              <w:rPr>
                <w:rFonts w:hint="eastAsia"/>
                <w:color w:val="auto"/>
                <w:highlight w:val="none"/>
                <w:lang w:val="en-US" w:eastAsia="zh-CN"/>
              </w:rPr>
              <w:t>25</w:t>
            </w:r>
            <w:r>
              <w:rPr>
                <w:rFonts w:hint="eastAsia"/>
                <w:color w:val="auto"/>
                <w:highlight w:val="none"/>
              </w:rPr>
              <w:t>kg/h。</w:t>
            </w:r>
          </w:p>
          <w:p>
            <w:pPr>
              <w:keepNext w:val="0"/>
              <w:keepLines w:val="0"/>
              <w:suppressLineNumbers w:val="0"/>
              <w:spacing w:before="0" w:beforeAutospacing="0" w:after="0" w:afterAutospacing="0"/>
              <w:ind w:left="0" w:right="0" w:firstLine="482"/>
              <w:rPr>
                <w:rFonts w:hint="default"/>
                <w:b/>
                <w:color w:val="auto"/>
                <w:highlight w:val="none"/>
              </w:rPr>
            </w:pPr>
            <w:r>
              <w:rPr>
                <w:rFonts w:hint="eastAsia"/>
                <w:b/>
                <w:color w:val="auto"/>
                <w:highlight w:val="none"/>
              </w:rPr>
              <w:t>3、排放口基本情况</w:t>
            </w:r>
          </w:p>
          <w:p>
            <w:pPr>
              <w:pStyle w:val="170"/>
              <w:keepNext w:val="0"/>
              <w:keepLines w:val="0"/>
              <w:suppressLineNumbers w:val="0"/>
              <w:spacing w:before="0" w:beforeAutospacing="0" w:after="0" w:afterAutospacing="0" w:line="360" w:lineRule="auto"/>
              <w:ind w:left="0" w:right="0"/>
              <w:rPr>
                <w:rFonts w:hint="default" w:hAnsi="Times New Roman" w:cs="Times New Roman"/>
                <w:color w:val="auto"/>
                <w:highlight w:val="none"/>
              </w:rPr>
            </w:pPr>
            <w:r>
              <w:rPr>
                <w:rFonts w:hint="default" w:hAnsi="Times New Roman" w:cs="Times New Roman"/>
                <w:color w:val="auto"/>
                <w:highlight w:val="none"/>
              </w:rPr>
              <w:t>本项目废气排放口基本情况见下表：</w:t>
            </w:r>
          </w:p>
          <w:p>
            <w:pPr>
              <w:pStyle w:val="77"/>
              <w:keepNext w:val="0"/>
              <w:keepLines w:val="0"/>
              <w:widowControl/>
              <w:suppressLineNumbers w:val="0"/>
              <w:spacing w:before="0" w:beforeLines="0" w:beforeAutospacing="0" w:after="0" w:afterAutospacing="0" w:line="240" w:lineRule="auto"/>
              <w:ind w:left="0" w:right="0"/>
              <w:rPr>
                <w:rFonts w:hint="default" w:eastAsia="宋体"/>
                <w:b/>
                <w:bCs/>
                <w:color w:val="auto"/>
                <w:highlight w:val="none"/>
              </w:rPr>
            </w:pPr>
            <w:r>
              <w:rPr>
                <w:rFonts w:hint="eastAsia" w:eastAsia="宋体"/>
                <w:b/>
                <w:bCs/>
                <w:color w:val="auto"/>
                <w:highlight w:val="none"/>
              </w:rPr>
              <w:t>表4-</w:t>
            </w:r>
            <w:r>
              <w:rPr>
                <w:rFonts w:hint="eastAsia" w:eastAsia="宋体"/>
                <w:b/>
                <w:bCs/>
                <w:color w:val="auto"/>
                <w:highlight w:val="none"/>
                <w:lang w:val="en-US" w:eastAsia="zh-CN"/>
              </w:rPr>
              <w:t>2</w:t>
            </w:r>
            <w:r>
              <w:rPr>
                <w:rFonts w:hint="eastAsia" w:eastAsia="宋体"/>
                <w:b/>
                <w:bCs/>
                <w:color w:val="auto"/>
                <w:highlight w:val="none"/>
              </w:rPr>
              <w:t xml:space="preserve">    废气排放口基本情况一览表</w:t>
            </w:r>
          </w:p>
          <w:tbl>
            <w:tblPr>
              <w:tblStyle w:val="37"/>
              <w:tblW w:w="5000" w:type="pct"/>
              <w:jc w:val="center"/>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
            <w:tblGrid>
              <w:gridCol w:w="1362"/>
              <w:gridCol w:w="2274"/>
              <w:gridCol w:w="1185"/>
              <w:gridCol w:w="1200"/>
              <w:gridCol w:w="1023"/>
              <w:gridCol w:w="1227"/>
            </w:tblGrid>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23"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排放口名称</w:t>
                  </w:r>
                </w:p>
              </w:tc>
              <w:tc>
                <w:tcPr>
                  <w:tcW w:w="1374"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污染物</w:t>
                  </w:r>
                </w:p>
              </w:tc>
              <w:tc>
                <w:tcPr>
                  <w:tcW w:w="716"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排气筒高度</w:t>
                  </w:r>
                </w:p>
              </w:tc>
              <w:tc>
                <w:tcPr>
                  <w:tcW w:w="725"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排气筒内径</w:t>
                  </w:r>
                </w:p>
              </w:tc>
              <w:tc>
                <w:tcPr>
                  <w:tcW w:w="618" w:type="pct"/>
                  <w:tcBorders>
                    <w:right w:val="single" w:color="auto" w:sz="4" w:space="0"/>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烟气温度</w:t>
                  </w:r>
                </w:p>
              </w:tc>
              <w:tc>
                <w:tcPr>
                  <w:tcW w:w="741" w:type="pct"/>
                  <w:tcBorders>
                    <w:left w:val="single" w:color="auto" w:sz="4" w:space="0"/>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排放口类型</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23" w:type="pct"/>
                  <w:vAlign w:val="center"/>
                </w:tcPr>
                <w:p>
                  <w:pPr>
                    <w:pStyle w:val="80"/>
                    <w:keepNext w:val="0"/>
                    <w:keepLines w:val="0"/>
                    <w:widowControl/>
                    <w:suppressLineNumbers w:val="0"/>
                    <w:spacing w:before="0" w:beforeAutospacing="0" w:after="0" w:afterAutospacing="0"/>
                    <w:ind w:left="0" w:right="0"/>
                    <w:rPr>
                      <w:rFonts w:hint="eastAsia" w:eastAsia="宋体"/>
                      <w:color w:val="auto"/>
                      <w:szCs w:val="20"/>
                      <w:highlight w:val="none"/>
                      <w:lang w:eastAsia="zh-CN"/>
                    </w:rPr>
                  </w:pPr>
                  <w:r>
                    <w:rPr>
                      <w:rFonts w:hint="eastAsia"/>
                      <w:color w:val="auto"/>
                      <w:szCs w:val="20"/>
                      <w:highlight w:val="none"/>
                    </w:rPr>
                    <w:t>DA00</w:t>
                  </w:r>
                  <w:r>
                    <w:rPr>
                      <w:rFonts w:hint="eastAsia"/>
                      <w:color w:val="auto"/>
                      <w:szCs w:val="20"/>
                      <w:highlight w:val="none"/>
                      <w:lang w:val="en-US" w:eastAsia="zh-CN"/>
                    </w:rPr>
                    <w:t>1</w:t>
                  </w:r>
                </w:p>
              </w:tc>
              <w:tc>
                <w:tcPr>
                  <w:tcW w:w="1374"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非甲烷总烃</w:t>
                  </w:r>
                </w:p>
              </w:tc>
              <w:tc>
                <w:tcPr>
                  <w:tcW w:w="716"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15m</w:t>
                  </w:r>
                </w:p>
              </w:tc>
              <w:tc>
                <w:tcPr>
                  <w:tcW w:w="725"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0.8m</w:t>
                  </w:r>
                </w:p>
              </w:tc>
              <w:tc>
                <w:tcPr>
                  <w:tcW w:w="618" w:type="pct"/>
                  <w:tcBorders>
                    <w:right w:val="single" w:color="auto" w:sz="4" w:space="0"/>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lang w:val="en-US" w:eastAsia="zh-CN"/>
                    </w:rPr>
                    <w:t>42</w:t>
                  </w:r>
                  <w:r>
                    <w:rPr>
                      <w:rFonts w:hint="eastAsia"/>
                      <w:color w:val="auto"/>
                      <w:szCs w:val="20"/>
                      <w:highlight w:val="none"/>
                    </w:rPr>
                    <w:t>℃</w:t>
                  </w:r>
                </w:p>
              </w:tc>
              <w:tc>
                <w:tcPr>
                  <w:tcW w:w="741" w:type="pct"/>
                  <w:tcBorders>
                    <w:left w:val="single" w:color="auto" w:sz="4" w:space="0"/>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一般排放口</w:t>
                  </w:r>
                </w:p>
              </w:tc>
            </w:tr>
          </w:tbl>
          <w:p>
            <w:pPr>
              <w:keepNext w:val="0"/>
              <w:keepLines w:val="0"/>
              <w:suppressLineNumbers w:val="0"/>
              <w:spacing w:before="0" w:beforeAutospacing="0" w:after="0" w:afterAutospacing="0"/>
              <w:ind w:left="0" w:right="0" w:firstLine="482"/>
              <w:rPr>
                <w:rFonts w:hint="default"/>
                <w:b/>
                <w:bCs/>
                <w:color w:val="auto"/>
                <w:highlight w:val="none"/>
              </w:rPr>
            </w:pPr>
            <w:r>
              <w:rPr>
                <w:rFonts w:hint="eastAsia"/>
                <w:b/>
                <w:bCs/>
                <w:color w:val="auto"/>
                <w:highlight w:val="none"/>
              </w:rPr>
              <w:t>排气筒高度符合性分析：</w:t>
            </w:r>
          </w:p>
          <w:p>
            <w:pPr>
              <w:keepNext w:val="0"/>
              <w:keepLines w:val="0"/>
              <w:suppressLineNumbers w:val="0"/>
              <w:spacing w:before="0" w:beforeAutospacing="0" w:after="0" w:afterAutospacing="0"/>
              <w:ind w:left="0" w:right="0" w:firstLine="480"/>
              <w:rPr>
                <w:rFonts w:hint="default"/>
                <w:color w:val="auto"/>
                <w:highlight w:val="none"/>
              </w:rPr>
            </w:pPr>
            <w:r>
              <w:rPr>
                <w:rFonts w:hint="eastAsia"/>
                <w:color w:val="auto"/>
                <w:highlight w:val="none"/>
              </w:rPr>
              <w:t>根据《合成树脂工业污染物排放标准》（</w:t>
            </w:r>
            <w:r>
              <w:rPr>
                <w:rFonts w:hint="eastAsia"/>
                <w:color w:val="auto"/>
                <w:highlight w:val="none"/>
                <w:lang w:eastAsia="zh-CN"/>
              </w:rPr>
              <w:t>GB31572-2015，含2024年修改单</w:t>
            </w:r>
            <w:r>
              <w:rPr>
                <w:rFonts w:hint="eastAsia"/>
                <w:color w:val="auto"/>
                <w:highlight w:val="none"/>
              </w:rPr>
              <w:t>）中要求排气筒高度不低于15m。根据现场勘查，项目所在产业园区内厂房高度为12m，本项目设置排气筒高度为15m符合标准要求。</w:t>
            </w:r>
          </w:p>
          <w:p>
            <w:pPr>
              <w:keepNext w:val="0"/>
              <w:keepLines w:val="0"/>
              <w:suppressLineNumbers w:val="0"/>
              <w:spacing w:before="0" w:beforeAutospacing="0" w:after="0" w:afterAutospacing="0"/>
              <w:ind w:left="0" w:right="0" w:firstLine="482"/>
              <w:rPr>
                <w:rFonts w:hint="default"/>
                <w:b/>
                <w:color w:val="auto"/>
                <w:highlight w:val="none"/>
              </w:rPr>
            </w:pPr>
            <w:r>
              <w:rPr>
                <w:rFonts w:hint="eastAsia"/>
                <w:b/>
                <w:color w:val="auto"/>
                <w:highlight w:val="none"/>
              </w:rPr>
              <w:t>4、废气监测计划</w:t>
            </w:r>
          </w:p>
          <w:p>
            <w:pPr>
              <w:pStyle w:val="170"/>
              <w:keepNext w:val="0"/>
              <w:keepLines w:val="0"/>
              <w:suppressLineNumbers w:val="0"/>
              <w:spacing w:before="0" w:beforeAutospacing="0" w:after="0" w:afterAutospacing="0" w:line="360" w:lineRule="auto"/>
              <w:ind w:left="0" w:right="0"/>
              <w:rPr>
                <w:rFonts w:hint="default"/>
                <w:color w:val="auto"/>
                <w:szCs w:val="24"/>
                <w:highlight w:val="none"/>
              </w:rPr>
            </w:pPr>
            <w:r>
              <w:rPr>
                <w:rFonts w:hint="eastAsia" w:hAnsi="Times New Roman" w:cs="Times New Roman"/>
                <w:color w:val="auto"/>
                <w:szCs w:val="24"/>
                <w:highlight w:val="none"/>
              </w:rPr>
              <w:t>根据</w:t>
            </w:r>
            <w:r>
              <w:rPr>
                <w:rFonts w:hint="eastAsia" w:hAnsi="Times New Roman" w:cs="Times New Roman"/>
                <w:color w:val="auto"/>
                <w:highlight w:val="none"/>
              </w:rPr>
              <w:t>《排污单位自行监测技术指南 橡胶和塑料制品》（HJ1207-2021）</w:t>
            </w:r>
            <w:r>
              <w:rPr>
                <w:rFonts w:hint="eastAsia"/>
                <w:color w:val="auto"/>
                <w:szCs w:val="24"/>
                <w:highlight w:val="none"/>
              </w:rPr>
              <w:t>，废气监测计划如下。</w:t>
            </w:r>
          </w:p>
          <w:p>
            <w:pPr>
              <w:pStyle w:val="77"/>
              <w:keepNext w:val="0"/>
              <w:keepLines w:val="0"/>
              <w:widowControl/>
              <w:suppressLineNumbers w:val="0"/>
              <w:spacing w:before="0" w:beforeLines="0" w:beforeAutospacing="0" w:after="0" w:afterAutospacing="0" w:line="240" w:lineRule="auto"/>
              <w:ind w:left="0" w:right="0"/>
              <w:rPr>
                <w:rFonts w:hint="default" w:eastAsia="宋体"/>
                <w:b/>
                <w:bCs/>
                <w:color w:val="auto"/>
                <w:highlight w:val="none"/>
              </w:rPr>
            </w:pPr>
            <w:r>
              <w:rPr>
                <w:rFonts w:hint="eastAsia" w:eastAsia="宋体"/>
                <w:b/>
                <w:bCs/>
                <w:color w:val="auto"/>
                <w:highlight w:val="none"/>
              </w:rPr>
              <w:t>表4-3    运营期废气监测计划明细表</w:t>
            </w:r>
          </w:p>
          <w:tbl>
            <w:tblPr>
              <w:tblStyle w:val="37"/>
              <w:tblW w:w="4984" w:type="pct"/>
              <w:jc w:val="center"/>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
            <w:tblGrid>
              <w:gridCol w:w="939"/>
              <w:gridCol w:w="1254"/>
              <w:gridCol w:w="981"/>
              <w:gridCol w:w="886"/>
              <w:gridCol w:w="849"/>
              <w:gridCol w:w="3336"/>
            </w:tblGrid>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69"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污染源名称</w:t>
                  </w:r>
                </w:p>
              </w:tc>
              <w:tc>
                <w:tcPr>
                  <w:tcW w:w="760"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监测项目</w:t>
                  </w:r>
                </w:p>
              </w:tc>
              <w:tc>
                <w:tcPr>
                  <w:tcW w:w="594"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监测地点</w:t>
                  </w:r>
                </w:p>
              </w:tc>
              <w:tc>
                <w:tcPr>
                  <w:tcW w:w="537"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监测点数</w:t>
                  </w:r>
                </w:p>
              </w:tc>
              <w:tc>
                <w:tcPr>
                  <w:tcW w:w="514"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监测</w:t>
                  </w:r>
                </w:p>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频率</w:t>
                  </w:r>
                </w:p>
              </w:tc>
              <w:tc>
                <w:tcPr>
                  <w:tcW w:w="2023"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控制指标</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69"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有组织</w:t>
                  </w:r>
                </w:p>
              </w:tc>
              <w:tc>
                <w:tcPr>
                  <w:tcW w:w="760" w:type="pct"/>
                  <w:tcBorders>
                    <w:bottom w:val="single" w:color="auto" w:sz="4" w:space="0"/>
                  </w:tcBorders>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eastAsia"/>
                      <w:color w:val="auto"/>
                      <w:szCs w:val="20"/>
                      <w:highlight w:val="none"/>
                    </w:rPr>
                    <w:t>非甲烷总烃</w:t>
                  </w:r>
                </w:p>
              </w:tc>
              <w:tc>
                <w:tcPr>
                  <w:tcW w:w="594" w:type="pct"/>
                  <w:tcBorders>
                    <w:bottom w:val="single" w:color="auto" w:sz="4" w:space="0"/>
                  </w:tcBorders>
                  <w:vAlign w:val="center"/>
                </w:tcPr>
                <w:p>
                  <w:pPr>
                    <w:pStyle w:val="80"/>
                    <w:keepNext w:val="0"/>
                    <w:keepLines w:val="0"/>
                    <w:widowControl/>
                    <w:suppressLineNumbers w:val="0"/>
                    <w:spacing w:before="0" w:beforeAutospacing="0" w:after="0" w:afterAutospacing="0"/>
                    <w:ind w:left="0" w:right="0"/>
                    <w:rPr>
                      <w:rFonts w:hint="eastAsia" w:ascii="Times New Roman" w:hAnsi="Times New Roman" w:eastAsia="宋体" w:cs="Times New Roman"/>
                      <w:color w:val="auto"/>
                      <w:sz w:val="21"/>
                      <w:szCs w:val="20"/>
                      <w:highlight w:val="none"/>
                      <w:lang w:val="en-US" w:eastAsia="zh-CN" w:bidi="ar-SA"/>
                    </w:rPr>
                  </w:pPr>
                  <w:r>
                    <w:rPr>
                      <w:rFonts w:hint="eastAsia"/>
                      <w:color w:val="auto"/>
                      <w:szCs w:val="20"/>
                      <w:highlight w:val="none"/>
                    </w:rPr>
                    <w:t>DA00</w:t>
                  </w:r>
                  <w:r>
                    <w:rPr>
                      <w:rFonts w:hint="eastAsia"/>
                      <w:color w:val="auto"/>
                      <w:szCs w:val="20"/>
                      <w:highlight w:val="none"/>
                      <w:lang w:val="en-US" w:eastAsia="zh-CN"/>
                    </w:rPr>
                    <w:t>1</w:t>
                  </w:r>
                </w:p>
              </w:tc>
              <w:tc>
                <w:tcPr>
                  <w:tcW w:w="537" w:type="pct"/>
                  <w:tcBorders>
                    <w:bottom w:val="single" w:color="auto" w:sz="4" w:space="0"/>
                  </w:tcBorders>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default"/>
                      <w:color w:val="auto"/>
                      <w:szCs w:val="20"/>
                      <w:highlight w:val="none"/>
                    </w:rPr>
                    <w:t>1个</w:t>
                  </w:r>
                </w:p>
              </w:tc>
              <w:tc>
                <w:tcPr>
                  <w:tcW w:w="514" w:type="pct"/>
                  <w:tcBorders>
                    <w:bottom w:val="single" w:color="auto" w:sz="4" w:space="0"/>
                  </w:tcBorders>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eastAsia"/>
                      <w:color w:val="auto"/>
                      <w:szCs w:val="20"/>
                      <w:highlight w:val="none"/>
                    </w:rPr>
                    <w:t>1次/半年</w:t>
                  </w:r>
                </w:p>
              </w:tc>
              <w:tc>
                <w:tcPr>
                  <w:tcW w:w="2023"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《合成树脂工业污染物排放标准》（</w:t>
                  </w:r>
                  <w:r>
                    <w:rPr>
                      <w:rFonts w:hint="eastAsia"/>
                      <w:color w:val="auto"/>
                      <w:szCs w:val="20"/>
                      <w:highlight w:val="none"/>
                      <w:lang w:eastAsia="zh-CN"/>
                    </w:rPr>
                    <w:t>GB31572-2015，含2024年修改单</w:t>
                  </w:r>
                  <w:r>
                    <w:rPr>
                      <w:rFonts w:hint="eastAsia"/>
                      <w:color w:val="auto"/>
                      <w:szCs w:val="20"/>
                      <w:highlight w:val="none"/>
                    </w:rPr>
                    <w:t>）表5</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69" w:type="pct"/>
                  <w:vMerge w:val="restar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无组织</w:t>
                  </w:r>
                </w:p>
              </w:tc>
              <w:tc>
                <w:tcPr>
                  <w:tcW w:w="760"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非甲烷总烃</w:t>
                  </w:r>
                  <w:r>
                    <w:rPr>
                      <w:rFonts w:hint="eastAsia"/>
                      <w:color w:val="auto"/>
                      <w:szCs w:val="20"/>
                      <w:highlight w:val="none"/>
                    </w:rPr>
                    <w:t>（厂界）</w:t>
                  </w:r>
                </w:p>
              </w:tc>
              <w:tc>
                <w:tcPr>
                  <w:tcW w:w="594" w:type="pct"/>
                  <w:vMerge w:val="restar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周界外浓度最高点</w:t>
                  </w:r>
                </w:p>
              </w:tc>
              <w:tc>
                <w:tcPr>
                  <w:tcW w:w="537"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上风向1</w:t>
                  </w:r>
                </w:p>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个，下风向3个</w:t>
                  </w:r>
                </w:p>
              </w:tc>
              <w:tc>
                <w:tcPr>
                  <w:tcW w:w="514" w:type="pct"/>
                  <w:vMerge w:val="restart"/>
                  <w:tcBorders>
                    <w:top w:val="single" w:color="auto" w:sz="4" w:space="0"/>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1次/年</w:t>
                  </w:r>
                </w:p>
              </w:tc>
              <w:tc>
                <w:tcPr>
                  <w:tcW w:w="2023" w:type="pct"/>
                  <w:tcBorders>
                    <w:top w:val="single" w:color="auto" w:sz="4" w:space="0"/>
                  </w:tcBorders>
                  <w:vAlign w:val="center"/>
                </w:tcPr>
                <w:p>
                  <w:pPr>
                    <w:pStyle w:val="80"/>
                    <w:keepNext w:val="0"/>
                    <w:keepLines w:val="0"/>
                    <w:widowControl/>
                    <w:suppressLineNumbers w:val="0"/>
                    <w:spacing w:before="0" w:beforeAutospacing="0" w:after="0" w:afterAutospacing="0"/>
                    <w:ind w:left="0" w:right="0"/>
                    <w:rPr>
                      <w:rFonts w:hint="default"/>
                      <w:color w:val="auto"/>
                      <w:szCs w:val="21"/>
                      <w:highlight w:val="none"/>
                    </w:rPr>
                  </w:pPr>
                  <w:r>
                    <w:rPr>
                      <w:rFonts w:hint="eastAsia"/>
                      <w:color w:val="auto"/>
                      <w:szCs w:val="20"/>
                      <w:highlight w:val="none"/>
                    </w:rPr>
                    <w:t>《合成树脂工业污染物排放标准》（</w:t>
                  </w:r>
                  <w:r>
                    <w:rPr>
                      <w:rFonts w:hint="eastAsia"/>
                      <w:color w:val="auto"/>
                      <w:szCs w:val="20"/>
                      <w:highlight w:val="none"/>
                      <w:lang w:eastAsia="zh-CN"/>
                    </w:rPr>
                    <w:t>GB31572-2015，含2024年修改单</w:t>
                  </w:r>
                  <w:r>
                    <w:rPr>
                      <w:rFonts w:hint="eastAsia"/>
                      <w:color w:val="auto"/>
                      <w:szCs w:val="20"/>
                      <w:highlight w:val="none"/>
                    </w:rPr>
                    <w:t>）表9</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69" w:type="pct"/>
                  <w:vMerge w:val="continue"/>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760"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非甲烷总烃</w:t>
                  </w:r>
                  <w:r>
                    <w:rPr>
                      <w:rFonts w:hint="eastAsia"/>
                      <w:color w:val="auto"/>
                      <w:szCs w:val="20"/>
                      <w:highlight w:val="none"/>
                    </w:rPr>
                    <w:t>（厂区内）</w:t>
                  </w:r>
                </w:p>
              </w:tc>
              <w:tc>
                <w:tcPr>
                  <w:tcW w:w="594" w:type="pct"/>
                  <w:vMerge w:val="continue"/>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537"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厂区内3个点</w:t>
                  </w:r>
                </w:p>
              </w:tc>
              <w:tc>
                <w:tcPr>
                  <w:tcW w:w="514" w:type="pct"/>
                  <w:vMerge w:val="continue"/>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2023"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《挥发性有机物无组织排放控制标准》（GB37822-2019）</w:t>
                  </w:r>
                </w:p>
              </w:tc>
            </w:tr>
          </w:tbl>
          <w:p>
            <w:pPr>
              <w:keepNext w:val="0"/>
              <w:keepLines w:val="0"/>
              <w:suppressLineNumbers w:val="0"/>
              <w:spacing w:before="0" w:beforeAutospacing="0" w:after="0" w:afterAutospacing="0"/>
              <w:ind w:left="0" w:right="0" w:firstLine="482"/>
              <w:rPr>
                <w:rFonts w:hint="default"/>
                <w:b/>
                <w:color w:val="auto"/>
                <w:highlight w:val="none"/>
              </w:rPr>
            </w:pPr>
            <w:r>
              <w:rPr>
                <w:rFonts w:hint="eastAsia"/>
                <w:b/>
                <w:color w:val="auto"/>
                <w:highlight w:val="none"/>
              </w:rPr>
              <w:t>5、</w:t>
            </w:r>
            <w:r>
              <w:rPr>
                <w:rFonts w:hint="default"/>
                <w:b/>
                <w:color w:val="auto"/>
                <w:highlight w:val="none"/>
              </w:rPr>
              <w:t>非正常工况</w:t>
            </w:r>
          </w:p>
          <w:p>
            <w:pPr>
              <w:keepNext w:val="0"/>
              <w:keepLines w:val="0"/>
              <w:suppressLineNumbers w:val="0"/>
              <w:spacing w:before="0" w:beforeAutospacing="0" w:after="0" w:afterAutospacing="0"/>
              <w:ind w:left="0" w:right="0" w:firstLine="480"/>
              <w:rPr>
                <w:rFonts w:hint="default"/>
                <w:color w:val="auto"/>
                <w:highlight w:val="none"/>
              </w:rPr>
            </w:pPr>
            <w:r>
              <w:rPr>
                <w:rFonts w:hint="eastAsia"/>
                <w:color w:val="auto"/>
                <w:highlight w:val="none"/>
              </w:rPr>
              <w:t>本项目非正常工况主要为废气处理装置故障导致的废气非正常排放。该情况下的事故排放源强按未经过处理的污染物产生量计算，非正常工况下主要大气污染物的排放源强见下表：</w:t>
            </w:r>
          </w:p>
          <w:p>
            <w:pPr>
              <w:pStyle w:val="77"/>
              <w:keepNext w:val="0"/>
              <w:keepLines w:val="0"/>
              <w:widowControl/>
              <w:suppressLineNumbers w:val="0"/>
              <w:spacing w:before="0" w:beforeLines="0" w:beforeAutospacing="0" w:after="0" w:afterAutospacing="0" w:line="240" w:lineRule="auto"/>
              <w:ind w:left="0" w:right="0"/>
              <w:rPr>
                <w:rFonts w:hint="default" w:eastAsia="宋体"/>
                <w:b/>
                <w:bCs/>
                <w:color w:val="auto"/>
                <w:highlight w:val="none"/>
                <w:lang w:val="zh-CN"/>
              </w:rPr>
            </w:pPr>
            <w:r>
              <w:rPr>
                <w:rFonts w:hint="default" w:eastAsia="宋体"/>
                <w:b/>
                <w:bCs/>
                <w:color w:val="auto"/>
                <w:highlight w:val="none"/>
                <w:lang w:val="zh-CN"/>
              </w:rPr>
              <w:t>表</w:t>
            </w:r>
            <w:r>
              <w:rPr>
                <w:rFonts w:hint="eastAsia" w:eastAsia="宋体"/>
                <w:b/>
                <w:bCs/>
                <w:color w:val="auto"/>
                <w:highlight w:val="none"/>
              </w:rPr>
              <w:t>4-4</w:t>
            </w:r>
            <w:r>
              <w:rPr>
                <w:rFonts w:hint="default" w:eastAsia="宋体"/>
                <w:b/>
                <w:bCs/>
                <w:color w:val="auto"/>
                <w:highlight w:val="none"/>
                <w:lang w:val="zh-CN"/>
              </w:rPr>
              <w:t xml:space="preserve">  </w:t>
            </w:r>
            <w:r>
              <w:rPr>
                <w:rFonts w:hint="eastAsia" w:eastAsia="宋体"/>
                <w:b/>
                <w:bCs/>
                <w:color w:val="auto"/>
                <w:highlight w:val="none"/>
                <w:lang w:val="en-US" w:eastAsia="zh-CN"/>
              </w:rPr>
              <w:t xml:space="preserve">  </w:t>
            </w:r>
            <w:r>
              <w:rPr>
                <w:rFonts w:hint="default" w:eastAsia="宋体"/>
                <w:b/>
                <w:bCs/>
                <w:color w:val="auto"/>
                <w:highlight w:val="none"/>
                <w:lang w:val="zh-CN"/>
              </w:rPr>
              <w:t>非正常工况</w:t>
            </w:r>
            <w:r>
              <w:rPr>
                <w:rFonts w:hint="eastAsia" w:eastAsia="宋体"/>
                <w:b/>
                <w:bCs/>
                <w:color w:val="auto"/>
                <w:highlight w:val="none"/>
              </w:rPr>
              <w:t>废气污染物情况</w:t>
            </w:r>
            <w:r>
              <w:rPr>
                <w:rFonts w:hint="default" w:eastAsia="宋体"/>
                <w:b/>
                <w:bCs/>
                <w:color w:val="auto"/>
                <w:highlight w:val="none"/>
                <w:lang w:val="zh-CN"/>
              </w:rPr>
              <w:t>一览表</w:t>
            </w:r>
          </w:p>
          <w:tbl>
            <w:tblPr>
              <w:tblStyle w:val="37"/>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68"/>
              <w:gridCol w:w="941"/>
              <w:gridCol w:w="1174"/>
              <w:gridCol w:w="1136"/>
              <w:gridCol w:w="1042"/>
              <w:gridCol w:w="954"/>
              <w:gridCol w:w="752"/>
              <w:gridCol w:w="12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排放口编号</w:t>
                  </w:r>
                </w:p>
              </w:tc>
              <w:tc>
                <w:tcPr>
                  <w:tcW w:w="569"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污染物</w:t>
                  </w:r>
                </w:p>
              </w:tc>
              <w:tc>
                <w:tcPr>
                  <w:tcW w:w="71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非正常排放浓度mg/m</w:t>
                  </w:r>
                  <w:r>
                    <w:rPr>
                      <w:rFonts w:hint="default"/>
                      <w:color w:val="auto"/>
                      <w:szCs w:val="20"/>
                      <w:highlight w:val="none"/>
                      <w:vertAlign w:val="superscript"/>
                    </w:rPr>
                    <w:t>3</w:t>
                  </w:r>
                </w:p>
              </w:tc>
              <w:tc>
                <w:tcPr>
                  <w:tcW w:w="687"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非正常排放速率kg/h</w:t>
                  </w:r>
                </w:p>
              </w:tc>
              <w:tc>
                <w:tcPr>
                  <w:tcW w:w="63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非正常排放量kg</w:t>
                  </w:r>
                </w:p>
              </w:tc>
              <w:tc>
                <w:tcPr>
                  <w:tcW w:w="577"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单次持续时间/h</w:t>
                  </w:r>
                </w:p>
              </w:tc>
              <w:tc>
                <w:tcPr>
                  <w:tcW w:w="455"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年发生频次</w:t>
                  </w:r>
                </w:p>
              </w:tc>
              <w:tc>
                <w:tcPr>
                  <w:tcW w:w="784"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应对措施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eastAsia="宋体"/>
                      <w:color w:val="auto"/>
                      <w:szCs w:val="20"/>
                      <w:highlight w:val="none"/>
                      <w:lang w:eastAsia="zh-CN"/>
                    </w:rPr>
                  </w:pPr>
                  <w:r>
                    <w:rPr>
                      <w:rFonts w:hint="default"/>
                      <w:color w:val="auto"/>
                      <w:szCs w:val="20"/>
                      <w:highlight w:val="none"/>
                    </w:rPr>
                    <w:t>DA00</w:t>
                  </w:r>
                  <w:r>
                    <w:rPr>
                      <w:rFonts w:hint="eastAsia"/>
                      <w:color w:val="auto"/>
                      <w:szCs w:val="20"/>
                      <w:highlight w:val="none"/>
                      <w:lang w:val="en-US" w:eastAsia="zh-CN"/>
                    </w:rPr>
                    <w:t>1</w:t>
                  </w:r>
                </w:p>
              </w:tc>
              <w:tc>
                <w:tcPr>
                  <w:tcW w:w="569"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非甲烷总烃</w:t>
                  </w:r>
                </w:p>
              </w:tc>
              <w:tc>
                <w:tcPr>
                  <w:tcW w:w="1174" w:type="dxa"/>
                  <w:tcBorders>
                    <w:tl2br w:val="nil"/>
                    <w:tr2bl w:val="nil"/>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color w:val="auto"/>
                      <w:highlight w:val="none"/>
                      <w:lang w:val="en-US" w:eastAsia="zh-CN"/>
                    </w:rPr>
                  </w:pPr>
                  <w:r>
                    <w:rPr>
                      <w:rFonts w:hint="eastAsia"/>
                      <w:color w:val="auto"/>
                      <w:kern w:val="0"/>
                      <w:sz w:val="21"/>
                      <w:szCs w:val="21"/>
                      <w:highlight w:val="none"/>
                      <w:lang w:val="en-US" w:eastAsia="zh-CN" w:bidi="ar"/>
                    </w:rPr>
                    <w:t>78.7</w:t>
                  </w:r>
                </w:p>
              </w:tc>
              <w:tc>
                <w:tcPr>
                  <w:tcW w:w="1136" w:type="dxa"/>
                  <w:tcBorders>
                    <w:tl2br w:val="nil"/>
                    <w:tr2bl w:val="nil"/>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1.417</w:t>
                  </w:r>
                </w:p>
              </w:tc>
              <w:tc>
                <w:tcPr>
                  <w:tcW w:w="1042" w:type="dxa"/>
                  <w:tcBorders>
                    <w:tl2br w:val="nil"/>
                    <w:tr2bl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textAlignment w:val="bottom"/>
                    <w:rPr>
                      <w:rFonts w:hint="default" w:eastAsia="宋体"/>
                      <w:color w:val="auto"/>
                      <w:sz w:val="21"/>
                      <w:szCs w:val="21"/>
                      <w:highlight w:val="none"/>
                      <w:lang w:val="en-US" w:eastAsia="zh-CN"/>
                    </w:rPr>
                  </w:pPr>
                  <w:r>
                    <w:rPr>
                      <w:rFonts w:hint="eastAsia"/>
                      <w:color w:val="auto"/>
                      <w:sz w:val="21"/>
                      <w:szCs w:val="21"/>
                      <w:highlight w:val="none"/>
                      <w:lang w:val="en-US" w:eastAsia="zh-CN"/>
                    </w:rPr>
                    <w:t>1.417</w:t>
                  </w:r>
                </w:p>
              </w:tc>
              <w:tc>
                <w:tcPr>
                  <w:tcW w:w="577"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0.5</w:t>
                  </w:r>
                </w:p>
              </w:tc>
              <w:tc>
                <w:tcPr>
                  <w:tcW w:w="455"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2</w:t>
                  </w:r>
                </w:p>
              </w:tc>
              <w:tc>
                <w:tcPr>
                  <w:tcW w:w="784"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关闭电源、关闭排口，检修维护</w:t>
                  </w:r>
                </w:p>
              </w:tc>
            </w:tr>
          </w:tbl>
          <w:p>
            <w:pPr>
              <w:keepNext w:val="0"/>
              <w:keepLines w:val="0"/>
              <w:suppressLineNumbers w:val="0"/>
              <w:spacing w:before="0" w:beforeAutospacing="0" w:after="0" w:afterAutospacing="0"/>
              <w:ind w:left="0" w:right="0" w:firstLine="480"/>
              <w:rPr>
                <w:rFonts w:hint="default" w:eastAsia="宋体"/>
                <w:color w:val="auto"/>
                <w:highlight w:val="none"/>
                <w:lang w:val="en-US" w:eastAsia="zh-CN"/>
              </w:rPr>
            </w:pPr>
            <w:r>
              <w:rPr>
                <w:rFonts w:hint="eastAsia"/>
                <w:color w:val="auto"/>
                <w:highlight w:val="none"/>
              </w:rPr>
              <w:t>由上表可知，项目非正常工况时事故排放源的废气污染物排放浓度超标；</w:t>
            </w:r>
            <w:r>
              <w:rPr>
                <w:rFonts w:hint="eastAsia"/>
                <w:color w:val="auto"/>
                <w:kern w:val="0"/>
                <w:sz w:val="24"/>
                <w:szCs w:val="24"/>
                <w:highlight w:val="none"/>
              </w:rPr>
              <w:t>本次评价要求当发生</w:t>
            </w:r>
            <w:r>
              <w:rPr>
                <w:rFonts w:hint="eastAsia"/>
                <w:color w:val="auto"/>
                <w:kern w:val="0"/>
                <w:sz w:val="24"/>
                <w:szCs w:val="24"/>
                <w:highlight w:val="none"/>
                <w:lang w:val="en-US" w:eastAsia="zh-CN"/>
              </w:rPr>
              <w:t>废气处理装置故障</w:t>
            </w:r>
            <w:r>
              <w:rPr>
                <w:rFonts w:hint="eastAsia"/>
                <w:color w:val="auto"/>
                <w:kern w:val="0"/>
                <w:sz w:val="24"/>
                <w:szCs w:val="24"/>
                <w:highlight w:val="none"/>
              </w:rPr>
              <w:t>的情况时，应立即停止生产，对</w:t>
            </w:r>
            <w:r>
              <w:rPr>
                <w:rFonts w:hint="eastAsia"/>
                <w:color w:val="auto"/>
                <w:kern w:val="0"/>
                <w:sz w:val="24"/>
                <w:szCs w:val="24"/>
                <w:highlight w:val="none"/>
                <w:lang w:val="en-US" w:eastAsia="zh-CN"/>
              </w:rPr>
              <w:t>处理</w:t>
            </w:r>
            <w:r>
              <w:rPr>
                <w:rFonts w:hint="eastAsia"/>
                <w:color w:val="auto"/>
                <w:kern w:val="0"/>
                <w:sz w:val="24"/>
                <w:szCs w:val="24"/>
                <w:highlight w:val="none"/>
              </w:rPr>
              <w:t>设施进行检修，待</w:t>
            </w:r>
            <w:r>
              <w:rPr>
                <w:rFonts w:hint="eastAsia"/>
                <w:color w:val="auto"/>
                <w:kern w:val="0"/>
                <w:sz w:val="24"/>
                <w:szCs w:val="24"/>
                <w:highlight w:val="none"/>
                <w:lang w:val="en-US" w:eastAsia="zh-CN"/>
              </w:rPr>
              <w:t>废气处理</w:t>
            </w:r>
            <w:r>
              <w:rPr>
                <w:rFonts w:hint="eastAsia"/>
                <w:color w:val="auto"/>
                <w:kern w:val="0"/>
                <w:sz w:val="24"/>
                <w:szCs w:val="24"/>
                <w:highlight w:val="none"/>
              </w:rPr>
              <w:t>设施可正常运行后，再进行生产</w:t>
            </w:r>
            <w:r>
              <w:rPr>
                <w:rFonts w:hint="eastAsia"/>
                <w:color w:val="auto"/>
                <w:highlight w:val="none"/>
              </w:rPr>
              <w:t>。</w:t>
            </w:r>
            <w:r>
              <w:rPr>
                <w:rFonts w:hint="eastAsia"/>
                <w:color w:val="auto"/>
                <w:highlight w:val="none"/>
                <w:lang w:val="en-US" w:eastAsia="zh-CN"/>
              </w:rPr>
              <w:t>日常运行中加强对废气处理设备的维护和保养，避免废气非正常排放的发生。</w:t>
            </w:r>
          </w:p>
          <w:p>
            <w:pPr>
              <w:keepNext w:val="0"/>
              <w:keepLines w:val="0"/>
              <w:suppressLineNumbers w:val="0"/>
              <w:spacing w:before="0" w:beforeAutospacing="0" w:after="0" w:afterAutospacing="0"/>
              <w:ind w:left="0" w:right="0" w:firstLine="482"/>
              <w:rPr>
                <w:rFonts w:hint="default"/>
                <w:b/>
                <w:color w:val="auto"/>
                <w:highlight w:val="none"/>
              </w:rPr>
            </w:pPr>
            <w:r>
              <w:rPr>
                <w:rFonts w:hint="eastAsia"/>
                <w:b/>
                <w:color w:val="auto"/>
                <w:highlight w:val="none"/>
              </w:rPr>
              <w:t>6、污染防治措施可行性分析</w:t>
            </w:r>
          </w:p>
          <w:p>
            <w:pPr>
              <w:keepNext w:val="0"/>
              <w:keepLines w:val="0"/>
              <w:suppressLineNumbers w:val="0"/>
              <w:spacing w:before="0" w:beforeAutospacing="0" w:after="0" w:afterAutospacing="0"/>
              <w:ind w:left="0" w:right="0" w:firstLine="496"/>
              <w:rPr>
                <w:rFonts w:hint="default"/>
                <w:color w:val="auto"/>
                <w:highlight w:val="none"/>
                <w:lang w:val="zh-CN"/>
              </w:rPr>
            </w:pPr>
            <w:r>
              <w:rPr>
                <w:rFonts w:hint="eastAsia"/>
                <w:color w:val="auto"/>
                <w:spacing w:val="4"/>
                <w:highlight w:val="none"/>
              </w:rPr>
              <w:t>本项目各生产工序产生的有机废气分别经</w:t>
            </w:r>
            <w:r>
              <w:rPr>
                <w:rFonts w:hint="eastAsia"/>
                <w:color w:val="auto"/>
                <w:highlight w:val="none"/>
              </w:rPr>
              <w:t>集气罩收集后</w:t>
            </w:r>
            <w:r>
              <w:rPr>
                <w:rFonts w:hint="eastAsia"/>
                <w:color w:val="auto"/>
                <w:highlight w:val="none"/>
                <w:lang w:val="zh-CN"/>
              </w:rPr>
              <w:t>采用</w:t>
            </w:r>
            <w:r>
              <w:rPr>
                <w:rFonts w:hint="eastAsia"/>
                <w:color w:val="auto"/>
                <w:highlight w:val="none"/>
              </w:rPr>
              <w:t>两级活性炭吸附+15m</w:t>
            </w:r>
            <w:r>
              <w:rPr>
                <w:rFonts w:hint="eastAsia"/>
                <w:color w:val="auto"/>
                <w:highlight w:val="none"/>
                <w:lang w:val="zh-CN"/>
              </w:rPr>
              <w:t>高</w:t>
            </w:r>
            <w:r>
              <w:rPr>
                <w:rFonts w:hint="default"/>
                <w:color w:val="auto"/>
                <w:highlight w:val="none"/>
                <w:lang w:val="zh-CN"/>
              </w:rPr>
              <w:t>排气筒</w:t>
            </w:r>
            <w:r>
              <w:rPr>
                <w:rFonts w:hint="eastAsia"/>
                <w:color w:val="auto"/>
                <w:highlight w:val="none"/>
                <w:lang w:val="zh-CN"/>
              </w:rPr>
              <w:t>（</w:t>
            </w:r>
            <w:r>
              <w:rPr>
                <w:rFonts w:hint="eastAsia"/>
                <w:color w:val="auto"/>
                <w:highlight w:val="none"/>
              </w:rPr>
              <w:t>DA00</w:t>
            </w:r>
            <w:r>
              <w:rPr>
                <w:rFonts w:hint="eastAsia"/>
                <w:color w:val="auto"/>
                <w:highlight w:val="none"/>
                <w:lang w:val="en-US" w:eastAsia="zh-CN"/>
              </w:rPr>
              <w:t>1</w:t>
            </w:r>
            <w:r>
              <w:rPr>
                <w:rFonts w:hint="eastAsia"/>
                <w:color w:val="auto"/>
                <w:highlight w:val="none"/>
                <w:lang w:val="zh-CN"/>
              </w:rPr>
              <w:t>）</w:t>
            </w:r>
            <w:r>
              <w:rPr>
                <w:rFonts w:hint="default"/>
                <w:color w:val="auto"/>
                <w:highlight w:val="none"/>
                <w:lang w:val="zh-CN"/>
              </w:rPr>
              <w:t>达标排放</w:t>
            </w:r>
            <w:r>
              <w:rPr>
                <w:rFonts w:hint="eastAsia"/>
                <w:color w:val="auto"/>
                <w:highlight w:val="none"/>
                <w:lang w:val="zh-CN"/>
              </w:rPr>
              <w:t>；</w:t>
            </w:r>
            <w:r>
              <w:rPr>
                <w:rFonts w:hint="eastAsia"/>
                <w:color w:val="auto"/>
                <w:spacing w:val="4"/>
                <w:highlight w:val="none"/>
              </w:rPr>
              <w:t>根据《</w:t>
            </w:r>
            <w:r>
              <w:rPr>
                <w:rFonts w:hint="eastAsia"/>
                <w:color w:val="auto"/>
                <w:highlight w:val="none"/>
              </w:rPr>
              <w:t>排污许可证申请与核发技术规范 橡胶和塑料制品工业</w:t>
            </w:r>
            <w:r>
              <w:rPr>
                <w:rFonts w:hint="eastAsia"/>
                <w:color w:val="auto"/>
                <w:spacing w:val="4"/>
                <w:highlight w:val="none"/>
              </w:rPr>
              <w:t>》</w:t>
            </w:r>
            <w:r>
              <w:rPr>
                <w:rFonts w:hint="eastAsia"/>
                <w:color w:val="auto"/>
                <w:highlight w:val="none"/>
              </w:rPr>
              <w:t>（HJ 1122-2020）</w:t>
            </w:r>
            <w:r>
              <w:rPr>
                <w:rFonts w:hint="eastAsia"/>
                <w:color w:val="auto"/>
                <w:kern w:val="0"/>
                <w:szCs w:val="20"/>
                <w:highlight w:val="none"/>
              </w:rPr>
              <w:t>附录A 表A.2 塑料制品工业排污单位废气污染防治可行技术参考表，本项目废气防治措施可行</w:t>
            </w:r>
            <w:r>
              <w:rPr>
                <w:rFonts w:hint="default"/>
                <w:color w:val="auto"/>
                <w:highlight w:val="none"/>
                <w:lang w:val="zh-CN"/>
              </w:rPr>
              <w:t>。</w:t>
            </w:r>
          </w:p>
          <w:p>
            <w:pPr>
              <w:keepNext w:val="0"/>
              <w:keepLines w:val="0"/>
              <w:suppressLineNumbers w:val="0"/>
              <w:adjustRightInd w:val="0"/>
              <w:snapToGrid w:val="0"/>
              <w:spacing w:before="0" w:beforeAutospacing="0" w:after="0" w:afterAutospacing="0"/>
              <w:ind w:left="0" w:right="0" w:firstLine="480"/>
              <w:rPr>
                <w:rFonts w:hint="default"/>
                <w:color w:val="auto"/>
                <w:highlight w:val="none"/>
                <w:lang w:bidi="zh-CN"/>
              </w:rPr>
            </w:pPr>
            <w:r>
              <w:rPr>
                <w:rFonts w:hint="eastAsia"/>
                <w:color w:val="auto"/>
                <w:highlight w:val="none"/>
              </w:rPr>
              <w:t>综上可知，本项目采取可行性环保措施后，有组织废气污染物排放浓度</w:t>
            </w:r>
            <w:r>
              <w:rPr>
                <w:rFonts w:hint="default"/>
                <w:color w:val="auto"/>
                <w:highlight w:val="none"/>
              </w:rPr>
              <w:t>满足《合成树脂工业污染物排放标准》（</w:t>
            </w:r>
            <w:r>
              <w:rPr>
                <w:rFonts w:hint="eastAsia"/>
                <w:color w:val="auto"/>
                <w:highlight w:val="none"/>
                <w:lang w:eastAsia="zh-CN"/>
              </w:rPr>
              <w:t>GB31572-2015，含2024年修改单</w:t>
            </w:r>
            <w:r>
              <w:rPr>
                <w:rFonts w:hint="default"/>
                <w:color w:val="auto"/>
                <w:highlight w:val="none"/>
              </w:rPr>
              <w:t>）</w:t>
            </w:r>
            <w:r>
              <w:rPr>
                <w:rFonts w:hint="eastAsia"/>
                <w:color w:val="auto"/>
                <w:highlight w:val="none"/>
              </w:rPr>
              <w:t>中表5中有关限值要求</w:t>
            </w:r>
            <w:r>
              <w:rPr>
                <w:rFonts w:hint="default"/>
                <w:color w:val="auto"/>
                <w:highlight w:val="none"/>
              </w:rPr>
              <w:t>。</w:t>
            </w:r>
            <w:r>
              <w:rPr>
                <w:rFonts w:hint="eastAsia"/>
                <w:color w:val="auto"/>
                <w:highlight w:val="none"/>
              </w:rPr>
              <w:t>无组织排放浓度满足</w:t>
            </w:r>
            <w:r>
              <w:rPr>
                <w:rFonts w:hint="default"/>
                <w:color w:val="auto"/>
                <w:highlight w:val="none"/>
              </w:rPr>
              <w:t>《合成树脂工业污染物排放标准》（</w:t>
            </w:r>
            <w:r>
              <w:rPr>
                <w:rFonts w:hint="eastAsia"/>
                <w:color w:val="auto"/>
                <w:highlight w:val="none"/>
                <w:lang w:eastAsia="zh-CN"/>
              </w:rPr>
              <w:t>GB31572-2015，含2024年修改单</w:t>
            </w:r>
            <w:r>
              <w:rPr>
                <w:rFonts w:hint="default"/>
                <w:color w:val="auto"/>
                <w:highlight w:val="none"/>
              </w:rPr>
              <w:t>）</w:t>
            </w:r>
            <w:r>
              <w:rPr>
                <w:rFonts w:hint="eastAsia"/>
                <w:color w:val="auto"/>
                <w:highlight w:val="none"/>
              </w:rPr>
              <w:t>表9限值要求</w:t>
            </w:r>
            <w:r>
              <w:rPr>
                <w:rFonts w:hint="eastAsia"/>
                <w:color w:val="auto"/>
                <w:highlight w:val="none"/>
                <w:lang w:val="en-US" w:eastAsia="zh-CN"/>
              </w:rPr>
              <w:t>及</w:t>
            </w:r>
            <w:r>
              <w:rPr>
                <w:rFonts w:hint="default"/>
                <w:color w:val="auto"/>
                <w:highlight w:val="none"/>
              </w:rPr>
              <w:t>《挥发性有机物无组织排放控制标准》（GB37822-2019）</w:t>
            </w:r>
            <w:r>
              <w:rPr>
                <w:rFonts w:hint="eastAsia"/>
                <w:color w:val="auto"/>
                <w:highlight w:val="none"/>
              </w:rPr>
              <w:t>中相关要求。</w:t>
            </w:r>
          </w:p>
          <w:p>
            <w:pPr>
              <w:keepNext w:val="0"/>
              <w:keepLines w:val="0"/>
              <w:suppressLineNumbers w:val="0"/>
              <w:spacing w:before="0" w:beforeAutospacing="0" w:after="0" w:afterAutospacing="0"/>
              <w:ind w:left="0" w:right="0" w:firstLine="480"/>
              <w:rPr>
                <w:rFonts w:hint="default"/>
                <w:color w:val="auto"/>
                <w:highlight w:val="none"/>
              </w:rPr>
            </w:pPr>
            <w:r>
              <w:rPr>
                <w:rFonts w:hint="eastAsia"/>
                <w:color w:val="auto"/>
                <w:highlight w:val="none"/>
              </w:rPr>
              <w:t>项目在运营期采取环评提出的各项污染防治措施后，对大气环境影响较小。</w:t>
            </w:r>
          </w:p>
          <w:p>
            <w:pPr>
              <w:keepNext w:val="0"/>
              <w:keepLines w:val="0"/>
              <w:suppressLineNumbers w:val="0"/>
              <w:spacing w:before="0" w:beforeAutospacing="0" w:after="0" w:afterAutospacing="0"/>
              <w:ind w:left="0" w:right="0" w:firstLine="482"/>
              <w:rPr>
                <w:rFonts w:hint="default"/>
                <w:b/>
                <w:color w:val="auto"/>
                <w:highlight w:val="none"/>
              </w:rPr>
            </w:pPr>
            <w:r>
              <w:rPr>
                <w:rFonts w:hint="default"/>
                <w:b/>
                <w:color w:val="auto"/>
                <w:highlight w:val="none"/>
              </w:rPr>
              <w:t>二、</w:t>
            </w:r>
            <w:r>
              <w:rPr>
                <w:rFonts w:hint="eastAsia"/>
                <w:b/>
                <w:color w:val="auto"/>
                <w:highlight w:val="none"/>
              </w:rPr>
              <w:t>废水</w:t>
            </w:r>
          </w:p>
          <w:p>
            <w:pPr>
              <w:keepNext w:val="0"/>
              <w:keepLines w:val="0"/>
              <w:suppressLineNumbers w:val="0"/>
              <w:spacing w:before="0" w:beforeAutospacing="0" w:after="0" w:afterAutospacing="0"/>
              <w:ind w:left="0" w:right="0" w:firstLine="480"/>
              <w:rPr>
                <w:rFonts w:hint="default"/>
                <w:color w:val="auto"/>
                <w:highlight w:val="none"/>
              </w:rPr>
            </w:pPr>
            <w:r>
              <w:rPr>
                <w:rFonts w:hint="eastAsia"/>
                <w:color w:val="auto"/>
                <w:highlight w:val="none"/>
              </w:rPr>
              <w:t>本项目用水主要为冷却</w:t>
            </w:r>
            <w:r>
              <w:rPr>
                <w:rFonts w:hint="eastAsia"/>
                <w:color w:val="auto"/>
                <w:highlight w:val="none"/>
                <w:lang w:val="en-US" w:eastAsia="zh-CN"/>
              </w:rPr>
              <w:t>水及</w:t>
            </w:r>
            <w:r>
              <w:rPr>
                <w:rFonts w:hint="eastAsia"/>
                <w:color w:val="auto"/>
                <w:highlight w:val="none"/>
              </w:rPr>
              <w:t>生活用水。</w:t>
            </w:r>
          </w:p>
          <w:p>
            <w:pPr>
              <w:keepNext w:val="0"/>
              <w:keepLines w:val="0"/>
              <w:suppressLineNumbers w:val="0"/>
              <w:adjustRightInd w:val="0"/>
              <w:snapToGrid w:val="0"/>
              <w:spacing w:before="0" w:beforeAutospacing="0" w:after="0" w:afterAutospacing="0"/>
              <w:ind w:left="0" w:right="0" w:firstLine="480"/>
              <w:rPr>
                <w:rFonts w:hint="default"/>
                <w:color w:val="auto"/>
                <w:highlight w:val="none"/>
              </w:rPr>
            </w:pPr>
            <w:r>
              <w:rPr>
                <w:rFonts w:hint="eastAsia"/>
                <w:color w:val="auto"/>
                <w:highlight w:val="none"/>
              </w:rPr>
              <w:t>1、废水产排情况</w:t>
            </w:r>
          </w:p>
          <w:p>
            <w:pPr>
              <w:keepNext w:val="0"/>
              <w:keepLines w:val="0"/>
              <w:suppressLineNumbers w:val="0"/>
              <w:spacing w:before="0" w:beforeAutospacing="0" w:after="0" w:afterAutospacing="0"/>
              <w:ind w:left="0" w:right="0" w:firstLine="480"/>
              <w:rPr>
                <w:rFonts w:hint="default"/>
                <w:color w:val="auto"/>
                <w:highlight w:val="none"/>
              </w:rPr>
            </w:pPr>
            <w:r>
              <w:rPr>
                <w:rFonts w:hint="default"/>
                <w:color w:val="auto"/>
                <w:highlight w:val="none"/>
              </w:rPr>
              <w:t>本项目</w:t>
            </w:r>
            <w:r>
              <w:rPr>
                <w:rFonts w:hint="eastAsia"/>
                <w:color w:val="auto"/>
                <w:highlight w:val="none"/>
              </w:rPr>
              <w:t>冷却</w:t>
            </w:r>
            <w:r>
              <w:rPr>
                <w:rFonts w:hint="eastAsia"/>
                <w:color w:val="auto"/>
                <w:highlight w:val="none"/>
                <w:lang w:val="en-US" w:eastAsia="zh-CN"/>
              </w:rPr>
              <w:t>水循环使用，不外排</w:t>
            </w:r>
            <w:r>
              <w:rPr>
                <w:rFonts w:hint="eastAsia"/>
                <w:color w:val="auto"/>
                <w:highlight w:val="none"/>
              </w:rPr>
              <w:t>；生活污水</w:t>
            </w:r>
            <w:r>
              <w:rPr>
                <w:rFonts w:hint="default"/>
                <w:color w:val="auto"/>
                <w:highlight w:val="none"/>
              </w:rPr>
              <w:t>产生量</w:t>
            </w:r>
            <w:r>
              <w:rPr>
                <w:rFonts w:hint="eastAsia"/>
                <w:color w:val="auto"/>
                <w:highlight w:val="none"/>
              </w:rPr>
              <w:t>共</w:t>
            </w:r>
            <w:r>
              <w:rPr>
                <w:rFonts w:hint="default"/>
                <w:color w:val="auto"/>
                <w:highlight w:val="none"/>
              </w:rPr>
              <w:t>为</w:t>
            </w:r>
            <w:r>
              <w:rPr>
                <w:rFonts w:hint="eastAsia"/>
                <w:color w:val="auto"/>
                <w:highlight w:val="none"/>
                <w:lang w:val="en-US" w:eastAsia="zh-CN"/>
              </w:rPr>
              <w:t>300</w:t>
            </w:r>
            <w:r>
              <w:rPr>
                <w:rFonts w:hint="default"/>
                <w:color w:val="auto"/>
                <w:highlight w:val="none"/>
              </w:rPr>
              <w:t>m</w:t>
            </w:r>
            <w:r>
              <w:rPr>
                <w:rFonts w:hint="default"/>
                <w:color w:val="auto"/>
                <w:highlight w:val="none"/>
                <w:vertAlign w:val="superscript"/>
              </w:rPr>
              <w:t>3</w:t>
            </w:r>
            <w:r>
              <w:rPr>
                <w:rFonts w:hint="default"/>
                <w:color w:val="auto"/>
                <w:highlight w:val="none"/>
              </w:rPr>
              <w:t>/a</w:t>
            </w:r>
            <w:r>
              <w:rPr>
                <w:rFonts w:hint="eastAsia"/>
                <w:color w:val="auto"/>
                <w:highlight w:val="none"/>
              </w:rPr>
              <w:t>，即</w:t>
            </w:r>
            <w:r>
              <w:rPr>
                <w:rFonts w:hint="eastAsia"/>
                <w:color w:val="auto"/>
                <w:highlight w:val="none"/>
                <w:lang w:val="en-US" w:eastAsia="zh-CN"/>
              </w:rPr>
              <w:t>1</w:t>
            </w:r>
            <w:r>
              <w:rPr>
                <w:rFonts w:hint="default"/>
                <w:color w:val="auto"/>
                <w:highlight w:val="none"/>
              </w:rPr>
              <w:t>m</w:t>
            </w:r>
            <w:r>
              <w:rPr>
                <w:rFonts w:hint="default"/>
                <w:color w:val="auto"/>
                <w:highlight w:val="none"/>
                <w:vertAlign w:val="superscript"/>
              </w:rPr>
              <w:t>3</w:t>
            </w:r>
            <w:r>
              <w:rPr>
                <w:rFonts w:hint="default"/>
                <w:color w:val="auto"/>
                <w:highlight w:val="none"/>
              </w:rPr>
              <w:t>/d</w:t>
            </w:r>
            <w:r>
              <w:rPr>
                <w:rFonts w:hint="eastAsia"/>
                <w:color w:val="auto"/>
                <w:highlight w:val="none"/>
              </w:rPr>
              <w:t>，</w:t>
            </w:r>
            <w:r>
              <w:rPr>
                <w:rFonts w:hint="default"/>
                <w:color w:val="auto"/>
                <w:highlight w:val="none"/>
              </w:rPr>
              <w:t>主要污染物为COD、BOD</w:t>
            </w:r>
            <w:r>
              <w:rPr>
                <w:rFonts w:hint="default"/>
                <w:color w:val="auto"/>
                <w:highlight w:val="none"/>
                <w:vertAlign w:val="subscript"/>
              </w:rPr>
              <w:t>5</w:t>
            </w:r>
            <w:r>
              <w:rPr>
                <w:rFonts w:hint="default"/>
                <w:color w:val="auto"/>
                <w:highlight w:val="none"/>
              </w:rPr>
              <w:t>、SS、氨氮</w:t>
            </w:r>
            <w:r>
              <w:rPr>
                <w:rFonts w:hint="eastAsia"/>
                <w:color w:val="auto"/>
                <w:highlight w:val="none"/>
              </w:rPr>
              <w:t>、总氮、总磷等</w:t>
            </w:r>
            <w:r>
              <w:rPr>
                <w:rFonts w:hint="default"/>
                <w:color w:val="auto"/>
                <w:highlight w:val="none"/>
              </w:rPr>
              <w:t>，</w:t>
            </w:r>
            <w:r>
              <w:rPr>
                <w:rFonts w:hint="eastAsia"/>
                <w:color w:val="auto"/>
                <w:highlight w:val="none"/>
                <w:lang w:val="en-US" w:eastAsia="zh-CN"/>
              </w:rPr>
              <w:t>生活污水依托</w:t>
            </w:r>
            <w:r>
              <w:rPr>
                <w:rFonts w:hint="eastAsia"/>
                <w:color w:val="auto"/>
                <w:sz w:val="24"/>
                <w:szCs w:val="24"/>
                <w:highlight w:val="none"/>
                <w:lang w:val="en-US" w:eastAsia="zh-CN"/>
              </w:rPr>
              <w:t>已建成</w:t>
            </w:r>
            <w:r>
              <w:rPr>
                <w:rFonts w:hint="eastAsia"/>
                <w:color w:val="auto"/>
                <w:sz w:val="24"/>
                <w:szCs w:val="24"/>
                <w:highlight w:val="none"/>
              </w:rPr>
              <w:t>化粪池</w:t>
            </w:r>
            <w:r>
              <w:rPr>
                <w:rFonts w:hint="eastAsia"/>
                <w:color w:val="auto"/>
                <w:sz w:val="24"/>
                <w:szCs w:val="24"/>
                <w:highlight w:val="none"/>
                <w:lang w:val="en-US" w:eastAsia="zh-CN"/>
              </w:rPr>
              <w:t>处理后</w:t>
            </w:r>
            <w:r>
              <w:rPr>
                <w:rFonts w:hint="eastAsia"/>
                <w:color w:val="auto"/>
                <w:sz w:val="24"/>
                <w:szCs w:val="24"/>
                <w:highlight w:val="none"/>
              </w:rPr>
              <w:t>经市政管网排入泾河新城第二污水处理厂</w:t>
            </w:r>
            <w:r>
              <w:rPr>
                <w:rFonts w:hint="eastAsia"/>
                <w:color w:val="auto"/>
                <w:sz w:val="24"/>
                <w:szCs w:val="24"/>
                <w:highlight w:val="none"/>
                <w:lang w:eastAsia="zh-CN"/>
              </w:rPr>
              <w:t>。</w:t>
            </w:r>
            <w:r>
              <w:rPr>
                <w:rFonts w:hint="default"/>
                <w:color w:val="auto"/>
                <w:highlight w:val="none"/>
              </w:rPr>
              <w:t>项目进水水质参考《给排水设计手册》（第五分册）典型生活污水水质</w:t>
            </w:r>
            <w:r>
              <w:rPr>
                <w:rFonts w:hint="eastAsia"/>
                <w:color w:val="auto"/>
                <w:highlight w:val="none"/>
              </w:rPr>
              <w:t>，本项目生活污水产排情况见下表。</w:t>
            </w:r>
          </w:p>
          <w:p>
            <w:pPr>
              <w:pStyle w:val="77"/>
              <w:keepNext w:val="0"/>
              <w:keepLines w:val="0"/>
              <w:widowControl/>
              <w:suppressLineNumbers w:val="0"/>
              <w:spacing w:before="0" w:beforeLines="0" w:beforeAutospacing="0" w:after="0" w:afterAutospacing="0" w:line="240" w:lineRule="auto"/>
              <w:ind w:left="0" w:right="0"/>
              <w:rPr>
                <w:rFonts w:hint="default" w:eastAsia="宋体"/>
                <w:b/>
                <w:bCs/>
                <w:color w:val="auto"/>
                <w:highlight w:val="none"/>
              </w:rPr>
            </w:pPr>
            <w:r>
              <w:rPr>
                <w:rFonts w:hint="default" w:eastAsia="宋体"/>
                <w:b/>
                <w:bCs/>
                <w:color w:val="auto"/>
                <w:highlight w:val="none"/>
              </w:rPr>
              <w:t>表</w:t>
            </w:r>
            <w:r>
              <w:rPr>
                <w:rFonts w:hint="eastAsia" w:eastAsia="宋体"/>
                <w:b/>
                <w:bCs/>
                <w:color w:val="auto"/>
                <w:highlight w:val="none"/>
              </w:rPr>
              <w:t>4-5</w:t>
            </w:r>
            <w:r>
              <w:rPr>
                <w:rFonts w:hint="default" w:eastAsia="宋体"/>
                <w:b/>
                <w:bCs/>
                <w:color w:val="auto"/>
                <w:highlight w:val="none"/>
              </w:rPr>
              <w:t xml:space="preserve"> </w:t>
            </w:r>
            <w:r>
              <w:rPr>
                <w:rFonts w:hint="eastAsia" w:eastAsia="宋体"/>
                <w:b/>
                <w:bCs/>
                <w:color w:val="auto"/>
                <w:highlight w:val="none"/>
                <w:lang w:val="en-US" w:eastAsia="zh-CN"/>
              </w:rPr>
              <w:t xml:space="preserve">  </w:t>
            </w:r>
            <w:r>
              <w:rPr>
                <w:rFonts w:hint="eastAsia" w:eastAsia="宋体"/>
                <w:b/>
                <w:bCs/>
                <w:color w:val="auto"/>
                <w:highlight w:val="none"/>
              </w:rPr>
              <w:t xml:space="preserve"> </w:t>
            </w:r>
            <w:r>
              <w:rPr>
                <w:rFonts w:hint="default" w:eastAsia="宋体"/>
                <w:b/>
                <w:bCs/>
                <w:color w:val="auto"/>
                <w:highlight w:val="none"/>
              </w:rPr>
              <w:t>生活污水产排情况</w:t>
            </w:r>
            <w:r>
              <w:rPr>
                <w:rFonts w:hint="eastAsia" w:eastAsia="宋体"/>
                <w:b/>
                <w:bCs/>
                <w:color w:val="auto"/>
                <w:highlight w:val="none"/>
              </w:rPr>
              <w:t>一览表</w:t>
            </w:r>
          </w:p>
          <w:tbl>
            <w:tblPr>
              <w:tblStyle w:val="38"/>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07"/>
              <w:gridCol w:w="870"/>
              <w:gridCol w:w="764"/>
              <w:gridCol w:w="855"/>
              <w:gridCol w:w="450"/>
              <w:gridCol w:w="581"/>
              <w:gridCol w:w="943"/>
              <w:gridCol w:w="834"/>
              <w:gridCol w:w="1079"/>
              <w:gridCol w:w="158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5" w:type="pct"/>
                  <w:vMerge w:val="restar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类别</w:t>
                  </w:r>
                </w:p>
              </w:tc>
              <w:tc>
                <w:tcPr>
                  <w:tcW w:w="525" w:type="pct"/>
                  <w:vMerge w:val="restar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污染物</w:t>
                  </w:r>
                </w:p>
              </w:tc>
              <w:tc>
                <w:tcPr>
                  <w:tcW w:w="978" w:type="pct"/>
                  <w:gridSpan w:val="2"/>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产生情况</w:t>
                  </w:r>
                </w:p>
              </w:tc>
              <w:tc>
                <w:tcPr>
                  <w:tcW w:w="272" w:type="pct"/>
                  <w:vMerge w:val="restar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治理措施</w:t>
                  </w:r>
                </w:p>
              </w:tc>
              <w:tc>
                <w:tcPr>
                  <w:tcW w:w="351" w:type="pct"/>
                  <w:vMerge w:val="restar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去除率（%）</w:t>
                  </w:r>
                </w:p>
              </w:tc>
              <w:tc>
                <w:tcPr>
                  <w:tcW w:w="1074" w:type="pct"/>
                  <w:gridSpan w:val="2"/>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排放情况</w:t>
                  </w:r>
                </w:p>
              </w:tc>
              <w:tc>
                <w:tcPr>
                  <w:tcW w:w="1612" w:type="pct"/>
                  <w:gridSpan w:val="2"/>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标准限值（</w:t>
                  </w:r>
                  <w:r>
                    <w:rPr>
                      <w:rFonts w:hint="default"/>
                      <w:color w:val="auto"/>
                      <w:szCs w:val="20"/>
                      <w:highlight w:val="none"/>
                    </w:rPr>
                    <w:t>mg/L</w:t>
                  </w:r>
                  <w:r>
                    <w:rPr>
                      <w:rFonts w:hint="eastAsia"/>
                      <w:color w:val="auto"/>
                      <w:szCs w:val="20"/>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5"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525"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461"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浓度（mg/L）</w:t>
                  </w:r>
                </w:p>
              </w:tc>
              <w:tc>
                <w:tcPr>
                  <w:tcW w:w="516"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产生量(t/a)</w:t>
                  </w:r>
                </w:p>
              </w:tc>
              <w:tc>
                <w:tcPr>
                  <w:tcW w:w="272"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351"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57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浓度（mg/L）</w:t>
                  </w:r>
                </w:p>
              </w:tc>
              <w:tc>
                <w:tcPr>
                  <w:tcW w:w="504"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排放量(t/a)</w:t>
                  </w:r>
                </w:p>
              </w:tc>
              <w:tc>
                <w:tcPr>
                  <w:tcW w:w="652"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GB</w:t>
                  </w:r>
                  <w:r>
                    <w:rPr>
                      <w:rFonts w:hint="eastAsia"/>
                      <w:color w:val="auto"/>
                      <w:szCs w:val="21"/>
                      <w:highlight w:val="none"/>
                    </w:rPr>
                    <w:t>8978-1996</w:t>
                  </w:r>
                  <w:r>
                    <w:rPr>
                      <w:rFonts w:hint="eastAsia"/>
                      <w:color w:val="auto"/>
                      <w:szCs w:val="20"/>
                      <w:highlight w:val="none"/>
                    </w:rPr>
                    <w:t>限值</w:t>
                  </w:r>
                </w:p>
              </w:tc>
              <w:tc>
                <w:tcPr>
                  <w:tcW w:w="959"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GB/T31962-2015</w:t>
                  </w:r>
                  <w:r>
                    <w:rPr>
                      <w:rFonts w:hint="eastAsia"/>
                      <w:color w:val="auto"/>
                      <w:szCs w:val="20"/>
                      <w:highlight w:val="none"/>
                    </w:rPr>
                    <w:t>B级标准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5" w:type="pct"/>
                  <w:vMerge w:val="restar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lang w:val="en-US" w:eastAsia="zh-CN"/>
                    </w:rPr>
                    <w:t>生活</w:t>
                  </w:r>
                  <w:r>
                    <w:rPr>
                      <w:rFonts w:hint="eastAsia"/>
                      <w:color w:val="auto"/>
                      <w:szCs w:val="20"/>
                      <w:highlight w:val="none"/>
                    </w:rPr>
                    <w:t>污水</w:t>
                  </w:r>
                </w:p>
              </w:tc>
              <w:tc>
                <w:tcPr>
                  <w:tcW w:w="525"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水量</w:t>
                  </w:r>
                </w:p>
              </w:tc>
              <w:tc>
                <w:tcPr>
                  <w:tcW w:w="461"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w:t>
                  </w:r>
                </w:p>
              </w:tc>
              <w:tc>
                <w:tcPr>
                  <w:tcW w:w="516"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lang w:val="en-US" w:eastAsia="zh-CN"/>
                    </w:rPr>
                    <w:t>300</w:t>
                  </w:r>
                </w:p>
              </w:tc>
              <w:tc>
                <w:tcPr>
                  <w:tcW w:w="272" w:type="pct"/>
                  <w:vMerge w:val="restar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化粪池</w:t>
                  </w:r>
                </w:p>
              </w:tc>
              <w:tc>
                <w:tcPr>
                  <w:tcW w:w="351"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w:t>
                  </w:r>
                </w:p>
              </w:tc>
              <w:tc>
                <w:tcPr>
                  <w:tcW w:w="57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w:t>
                  </w:r>
                </w:p>
              </w:tc>
              <w:tc>
                <w:tcPr>
                  <w:tcW w:w="504"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lang w:val="en-US" w:eastAsia="zh-CN"/>
                    </w:rPr>
                    <w:t>300</w:t>
                  </w:r>
                </w:p>
              </w:tc>
              <w:tc>
                <w:tcPr>
                  <w:tcW w:w="652"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w:t>
                  </w:r>
                </w:p>
              </w:tc>
              <w:tc>
                <w:tcPr>
                  <w:tcW w:w="959"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5"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525"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COD</w:t>
                  </w:r>
                </w:p>
              </w:tc>
              <w:tc>
                <w:tcPr>
                  <w:tcW w:w="461"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350</w:t>
                  </w:r>
                </w:p>
              </w:tc>
              <w:tc>
                <w:tcPr>
                  <w:tcW w:w="516"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rPr>
                    <w:t>0.</w:t>
                  </w:r>
                  <w:r>
                    <w:rPr>
                      <w:rFonts w:hint="eastAsia"/>
                      <w:color w:val="auto"/>
                      <w:szCs w:val="20"/>
                      <w:highlight w:val="none"/>
                      <w:lang w:val="en-US" w:eastAsia="zh-CN"/>
                    </w:rPr>
                    <w:t>105</w:t>
                  </w:r>
                </w:p>
              </w:tc>
              <w:tc>
                <w:tcPr>
                  <w:tcW w:w="272"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351"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20</w:t>
                  </w:r>
                </w:p>
              </w:tc>
              <w:tc>
                <w:tcPr>
                  <w:tcW w:w="57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280</w:t>
                  </w:r>
                </w:p>
              </w:tc>
              <w:tc>
                <w:tcPr>
                  <w:tcW w:w="504"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rPr>
                    <w:t>0.</w:t>
                  </w:r>
                  <w:r>
                    <w:rPr>
                      <w:rFonts w:hint="eastAsia"/>
                      <w:color w:val="auto"/>
                      <w:szCs w:val="20"/>
                      <w:highlight w:val="none"/>
                      <w:lang w:val="en-US" w:eastAsia="zh-CN"/>
                    </w:rPr>
                    <w:t>084</w:t>
                  </w:r>
                </w:p>
              </w:tc>
              <w:tc>
                <w:tcPr>
                  <w:tcW w:w="652"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500</w:t>
                  </w:r>
                </w:p>
              </w:tc>
              <w:tc>
                <w:tcPr>
                  <w:tcW w:w="959"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5"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525"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BOD</w:t>
                  </w:r>
                  <w:r>
                    <w:rPr>
                      <w:rFonts w:hint="eastAsia"/>
                      <w:color w:val="auto"/>
                      <w:szCs w:val="20"/>
                      <w:highlight w:val="none"/>
                      <w:vertAlign w:val="subscript"/>
                    </w:rPr>
                    <w:t>5</w:t>
                  </w:r>
                </w:p>
              </w:tc>
              <w:tc>
                <w:tcPr>
                  <w:tcW w:w="461"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220</w:t>
                  </w:r>
                </w:p>
              </w:tc>
              <w:tc>
                <w:tcPr>
                  <w:tcW w:w="516"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rPr>
                    <w:t>0.</w:t>
                  </w:r>
                  <w:r>
                    <w:rPr>
                      <w:rFonts w:hint="eastAsia"/>
                      <w:color w:val="auto"/>
                      <w:szCs w:val="20"/>
                      <w:highlight w:val="none"/>
                      <w:lang w:val="en-US" w:eastAsia="zh-CN"/>
                    </w:rPr>
                    <w:t>066</w:t>
                  </w:r>
                </w:p>
              </w:tc>
              <w:tc>
                <w:tcPr>
                  <w:tcW w:w="272"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351"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20</w:t>
                  </w:r>
                </w:p>
              </w:tc>
              <w:tc>
                <w:tcPr>
                  <w:tcW w:w="57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176</w:t>
                  </w:r>
                </w:p>
              </w:tc>
              <w:tc>
                <w:tcPr>
                  <w:tcW w:w="504"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rPr>
                    <w:t>0.</w:t>
                  </w:r>
                  <w:r>
                    <w:rPr>
                      <w:rFonts w:hint="eastAsia"/>
                      <w:color w:val="auto"/>
                      <w:szCs w:val="20"/>
                      <w:highlight w:val="none"/>
                      <w:lang w:val="en-US" w:eastAsia="zh-CN"/>
                    </w:rPr>
                    <w:t>053</w:t>
                  </w:r>
                </w:p>
              </w:tc>
              <w:tc>
                <w:tcPr>
                  <w:tcW w:w="652"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300</w:t>
                  </w:r>
                </w:p>
              </w:tc>
              <w:tc>
                <w:tcPr>
                  <w:tcW w:w="959"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5"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525"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SS</w:t>
                  </w:r>
                </w:p>
              </w:tc>
              <w:tc>
                <w:tcPr>
                  <w:tcW w:w="461"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300</w:t>
                  </w:r>
                </w:p>
              </w:tc>
              <w:tc>
                <w:tcPr>
                  <w:tcW w:w="516"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rPr>
                    <w:t>0.</w:t>
                  </w:r>
                  <w:r>
                    <w:rPr>
                      <w:rFonts w:hint="eastAsia"/>
                      <w:color w:val="auto"/>
                      <w:szCs w:val="20"/>
                      <w:highlight w:val="none"/>
                      <w:lang w:val="en-US" w:eastAsia="zh-CN"/>
                    </w:rPr>
                    <w:t>09</w:t>
                  </w:r>
                </w:p>
              </w:tc>
              <w:tc>
                <w:tcPr>
                  <w:tcW w:w="272"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351"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10</w:t>
                  </w:r>
                </w:p>
              </w:tc>
              <w:tc>
                <w:tcPr>
                  <w:tcW w:w="57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270</w:t>
                  </w:r>
                </w:p>
              </w:tc>
              <w:tc>
                <w:tcPr>
                  <w:tcW w:w="504"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rPr>
                    <w:t>0.</w:t>
                  </w:r>
                  <w:r>
                    <w:rPr>
                      <w:rFonts w:hint="eastAsia"/>
                      <w:color w:val="auto"/>
                      <w:szCs w:val="20"/>
                      <w:highlight w:val="none"/>
                      <w:lang w:val="en-US" w:eastAsia="zh-CN"/>
                    </w:rPr>
                    <w:t>081</w:t>
                  </w:r>
                </w:p>
              </w:tc>
              <w:tc>
                <w:tcPr>
                  <w:tcW w:w="652"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400</w:t>
                  </w:r>
                </w:p>
              </w:tc>
              <w:tc>
                <w:tcPr>
                  <w:tcW w:w="959"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5"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525"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NH</w:t>
                  </w:r>
                  <w:r>
                    <w:rPr>
                      <w:rFonts w:hint="eastAsia"/>
                      <w:color w:val="auto"/>
                      <w:szCs w:val="20"/>
                      <w:highlight w:val="none"/>
                      <w:vertAlign w:val="subscript"/>
                    </w:rPr>
                    <w:t>3</w:t>
                  </w:r>
                  <w:r>
                    <w:rPr>
                      <w:rFonts w:hint="eastAsia"/>
                      <w:color w:val="auto"/>
                      <w:szCs w:val="20"/>
                      <w:highlight w:val="none"/>
                    </w:rPr>
                    <w:t>-N</w:t>
                  </w:r>
                </w:p>
              </w:tc>
              <w:tc>
                <w:tcPr>
                  <w:tcW w:w="461"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36</w:t>
                  </w:r>
                </w:p>
              </w:tc>
              <w:tc>
                <w:tcPr>
                  <w:tcW w:w="516"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rPr>
                    <w:t>0.</w:t>
                  </w:r>
                  <w:r>
                    <w:rPr>
                      <w:rFonts w:hint="eastAsia"/>
                      <w:color w:val="auto"/>
                      <w:szCs w:val="20"/>
                      <w:highlight w:val="none"/>
                      <w:lang w:val="en-US" w:eastAsia="zh-CN"/>
                    </w:rPr>
                    <w:t>011</w:t>
                  </w:r>
                </w:p>
              </w:tc>
              <w:tc>
                <w:tcPr>
                  <w:tcW w:w="272"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351"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0</w:t>
                  </w:r>
                </w:p>
              </w:tc>
              <w:tc>
                <w:tcPr>
                  <w:tcW w:w="57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36</w:t>
                  </w:r>
                </w:p>
              </w:tc>
              <w:tc>
                <w:tcPr>
                  <w:tcW w:w="834"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0.</w:t>
                  </w:r>
                  <w:r>
                    <w:rPr>
                      <w:rFonts w:hint="eastAsia"/>
                      <w:color w:val="auto"/>
                      <w:szCs w:val="20"/>
                      <w:highlight w:val="none"/>
                      <w:lang w:val="en-US" w:eastAsia="zh-CN"/>
                    </w:rPr>
                    <w:t>011</w:t>
                  </w:r>
                </w:p>
              </w:tc>
              <w:tc>
                <w:tcPr>
                  <w:tcW w:w="652"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w:t>
                  </w:r>
                </w:p>
              </w:tc>
              <w:tc>
                <w:tcPr>
                  <w:tcW w:w="959"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5"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525"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TN</w:t>
                  </w:r>
                </w:p>
              </w:tc>
              <w:tc>
                <w:tcPr>
                  <w:tcW w:w="461"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50</w:t>
                  </w:r>
                </w:p>
              </w:tc>
              <w:tc>
                <w:tcPr>
                  <w:tcW w:w="516"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rPr>
                    <w:t>0.0</w:t>
                  </w:r>
                  <w:r>
                    <w:rPr>
                      <w:rFonts w:hint="eastAsia"/>
                      <w:color w:val="auto"/>
                      <w:szCs w:val="20"/>
                      <w:highlight w:val="none"/>
                      <w:lang w:val="en-US" w:eastAsia="zh-CN"/>
                    </w:rPr>
                    <w:t>15</w:t>
                  </w:r>
                </w:p>
              </w:tc>
              <w:tc>
                <w:tcPr>
                  <w:tcW w:w="272"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351"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0</w:t>
                  </w:r>
                </w:p>
              </w:tc>
              <w:tc>
                <w:tcPr>
                  <w:tcW w:w="57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50</w:t>
                  </w:r>
                </w:p>
              </w:tc>
              <w:tc>
                <w:tcPr>
                  <w:tcW w:w="834"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0.0</w:t>
                  </w:r>
                  <w:r>
                    <w:rPr>
                      <w:rFonts w:hint="eastAsia"/>
                      <w:color w:val="auto"/>
                      <w:szCs w:val="20"/>
                      <w:highlight w:val="none"/>
                      <w:lang w:val="en-US" w:eastAsia="zh-CN"/>
                    </w:rPr>
                    <w:t>15</w:t>
                  </w:r>
                </w:p>
              </w:tc>
              <w:tc>
                <w:tcPr>
                  <w:tcW w:w="652"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w:t>
                  </w:r>
                </w:p>
              </w:tc>
              <w:tc>
                <w:tcPr>
                  <w:tcW w:w="959"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5"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525"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TP</w:t>
                  </w:r>
                </w:p>
              </w:tc>
              <w:tc>
                <w:tcPr>
                  <w:tcW w:w="461"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5</w:t>
                  </w:r>
                </w:p>
              </w:tc>
              <w:tc>
                <w:tcPr>
                  <w:tcW w:w="516"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rPr>
                    <w:t>0.00</w:t>
                  </w:r>
                  <w:r>
                    <w:rPr>
                      <w:rFonts w:hint="eastAsia"/>
                      <w:color w:val="auto"/>
                      <w:szCs w:val="20"/>
                      <w:highlight w:val="none"/>
                      <w:lang w:val="en-US" w:eastAsia="zh-CN"/>
                    </w:rPr>
                    <w:t>15</w:t>
                  </w:r>
                </w:p>
              </w:tc>
              <w:tc>
                <w:tcPr>
                  <w:tcW w:w="272"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351"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0</w:t>
                  </w:r>
                </w:p>
              </w:tc>
              <w:tc>
                <w:tcPr>
                  <w:tcW w:w="570"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5</w:t>
                  </w:r>
                </w:p>
              </w:tc>
              <w:tc>
                <w:tcPr>
                  <w:tcW w:w="834"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0.00</w:t>
                  </w:r>
                  <w:r>
                    <w:rPr>
                      <w:rFonts w:hint="eastAsia"/>
                      <w:color w:val="auto"/>
                      <w:szCs w:val="20"/>
                      <w:highlight w:val="none"/>
                      <w:lang w:val="en-US" w:eastAsia="zh-CN"/>
                    </w:rPr>
                    <w:t>15</w:t>
                  </w:r>
                </w:p>
              </w:tc>
              <w:tc>
                <w:tcPr>
                  <w:tcW w:w="652"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w:t>
                  </w:r>
                </w:p>
              </w:tc>
              <w:tc>
                <w:tcPr>
                  <w:tcW w:w="959"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8</w:t>
                  </w:r>
                </w:p>
              </w:tc>
            </w:tr>
          </w:tbl>
          <w:p>
            <w:pPr>
              <w:keepNext w:val="0"/>
              <w:keepLines w:val="0"/>
              <w:suppressLineNumbers w:val="0"/>
              <w:spacing w:before="0" w:beforeAutospacing="0" w:after="0" w:afterAutospacing="0"/>
              <w:ind w:left="0" w:right="0" w:firstLine="480"/>
              <w:rPr>
                <w:rFonts w:hint="default"/>
                <w:color w:val="auto"/>
                <w:highlight w:val="none"/>
              </w:rPr>
            </w:pPr>
            <w:r>
              <w:rPr>
                <w:rFonts w:hint="eastAsia"/>
                <w:color w:val="auto"/>
                <w:highlight w:val="none"/>
              </w:rPr>
              <w:t>2、废水类别污染物及污染治理设施信息</w:t>
            </w:r>
          </w:p>
          <w:p>
            <w:pPr>
              <w:keepNext w:val="0"/>
              <w:keepLines w:val="0"/>
              <w:suppressLineNumbers w:val="0"/>
              <w:spacing w:before="0" w:beforeAutospacing="0" w:after="0" w:afterAutospacing="0"/>
              <w:ind w:left="0" w:right="0" w:firstLine="480"/>
              <w:rPr>
                <w:rFonts w:hint="eastAsia"/>
                <w:color w:val="auto"/>
                <w:highlight w:val="none"/>
              </w:rPr>
            </w:pPr>
            <w:r>
              <w:rPr>
                <w:rFonts w:hint="eastAsia"/>
                <w:color w:val="auto"/>
                <w:highlight w:val="none"/>
              </w:rPr>
              <w:t>废水类别、污染物及污染治理设施信息表、废水间接排放口基本情况表以及监测计划见下表。</w:t>
            </w:r>
          </w:p>
          <w:p>
            <w:pPr>
              <w:pStyle w:val="77"/>
              <w:keepNext w:val="0"/>
              <w:keepLines w:val="0"/>
              <w:widowControl/>
              <w:suppressLineNumbers w:val="0"/>
              <w:spacing w:before="0" w:beforeLines="0" w:beforeAutospacing="0" w:after="0" w:afterAutospacing="0" w:line="240" w:lineRule="auto"/>
              <w:ind w:left="0" w:right="0"/>
              <w:rPr>
                <w:rFonts w:hint="default" w:eastAsia="宋体"/>
                <w:b/>
                <w:bCs/>
                <w:color w:val="auto"/>
                <w:highlight w:val="none"/>
              </w:rPr>
            </w:pPr>
            <w:r>
              <w:rPr>
                <w:rFonts w:hint="default" w:eastAsia="宋体"/>
                <w:b/>
                <w:bCs/>
                <w:color w:val="auto"/>
                <w:highlight w:val="none"/>
              </w:rPr>
              <w:t>表</w:t>
            </w:r>
            <w:r>
              <w:rPr>
                <w:rFonts w:hint="eastAsia" w:eastAsia="宋体"/>
                <w:b/>
                <w:bCs/>
                <w:color w:val="auto"/>
                <w:highlight w:val="none"/>
              </w:rPr>
              <w:t>4-6</w:t>
            </w:r>
            <w:r>
              <w:rPr>
                <w:rFonts w:hint="default" w:eastAsia="宋体"/>
                <w:b/>
                <w:bCs/>
                <w:color w:val="auto"/>
                <w:highlight w:val="none"/>
              </w:rPr>
              <w:t xml:space="preserve"> </w:t>
            </w:r>
            <w:r>
              <w:rPr>
                <w:rFonts w:hint="eastAsia" w:eastAsia="宋体"/>
                <w:b/>
                <w:bCs/>
                <w:color w:val="auto"/>
                <w:highlight w:val="none"/>
                <w:lang w:val="en-US" w:eastAsia="zh-CN"/>
              </w:rPr>
              <w:t xml:space="preserve">  </w:t>
            </w:r>
            <w:r>
              <w:rPr>
                <w:rFonts w:hint="default" w:eastAsia="宋体"/>
                <w:b/>
                <w:bCs/>
                <w:color w:val="auto"/>
                <w:highlight w:val="none"/>
              </w:rPr>
              <w:t xml:space="preserve"> 废水类别、污染物及污染治理设施信息表</w:t>
            </w:r>
          </w:p>
          <w:tbl>
            <w:tblPr>
              <w:tblStyle w:val="37"/>
              <w:tblW w:w="496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28" w:type="dxa"/>
                <w:left w:w="108" w:type="dxa"/>
                <w:bottom w:w="28" w:type="dxa"/>
                <w:right w:w="108" w:type="dxa"/>
              </w:tblCellMar>
            </w:tblPr>
            <w:tblGrid>
              <w:gridCol w:w="412"/>
              <w:gridCol w:w="476"/>
              <w:gridCol w:w="984"/>
              <w:gridCol w:w="632"/>
              <w:gridCol w:w="434"/>
              <w:gridCol w:w="881"/>
              <w:gridCol w:w="688"/>
              <w:gridCol w:w="728"/>
              <w:gridCol w:w="902"/>
              <w:gridCol w:w="741"/>
              <w:gridCol w:w="133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54" w:hRule="atLeast"/>
                <w:jc w:val="center"/>
              </w:trPr>
              <w:tc>
                <w:tcPr>
                  <w:tcW w:w="250" w:type="pct"/>
                  <w:vMerge w:val="restar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序号</w:t>
                  </w:r>
                </w:p>
              </w:tc>
              <w:tc>
                <w:tcPr>
                  <w:tcW w:w="289" w:type="pct"/>
                  <w:vMerge w:val="restar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废水类别</w:t>
                  </w:r>
                </w:p>
              </w:tc>
              <w:tc>
                <w:tcPr>
                  <w:tcW w:w="598" w:type="pct"/>
                  <w:vMerge w:val="restar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污染物种类</w:t>
                  </w:r>
                </w:p>
              </w:tc>
              <w:tc>
                <w:tcPr>
                  <w:tcW w:w="384" w:type="pct"/>
                  <w:vMerge w:val="restar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排放去向</w:t>
                  </w:r>
                </w:p>
              </w:tc>
              <w:tc>
                <w:tcPr>
                  <w:tcW w:w="264" w:type="pct"/>
                  <w:vMerge w:val="restar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排放规律</w:t>
                  </w:r>
                </w:p>
              </w:tc>
              <w:tc>
                <w:tcPr>
                  <w:tcW w:w="1398" w:type="pct"/>
                  <w:gridSpan w:val="3"/>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污染治理设施</w:t>
                  </w:r>
                </w:p>
              </w:tc>
              <w:tc>
                <w:tcPr>
                  <w:tcW w:w="549" w:type="pct"/>
                  <w:vMerge w:val="restar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排放口编号</w:t>
                  </w:r>
                </w:p>
              </w:tc>
              <w:tc>
                <w:tcPr>
                  <w:tcW w:w="451" w:type="pct"/>
                  <w:vMerge w:val="restar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排放口设置是否符合</w:t>
                  </w:r>
                </w:p>
              </w:tc>
              <w:tc>
                <w:tcPr>
                  <w:tcW w:w="813" w:type="pct"/>
                  <w:vMerge w:val="restar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排放口类型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250" w:type="pct"/>
                  <w:vMerge w:val="continue"/>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289" w:type="pct"/>
                  <w:vMerge w:val="continue"/>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598" w:type="pct"/>
                  <w:vMerge w:val="continue"/>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384" w:type="pct"/>
                  <w:vMerge w:val="continue"/>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264" w:type="pct"/>
                  <w:vMerge w:val="continue"/>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536"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污染物治理设施编号</w:t>
                  </w:r>
                </w:p>
              </w:tc>
              <w:tc>
                <w:tcPr>
                  <w:tcW w:w="419"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污染治理设施名称</w:t>
                  </w:r>
                </w:p>
              </w:tc>
              <w:tc>
                <w:tcPr>
                  <w:tcW w:w="441"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污染治理设施工艺</w:t>
                  </w:r>
                </w:p>
              </w:tc>
              <w:tc>
                <w:tcPr>
                  <w:tcW w:w="549" w:type="pct"/>
                  <w:vMerge w:val="continue"/>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451" w:type="pct"/>
                  <w:vMerge w:val="continue"/>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813" w:type="pct"/>
                  <w:vMerge w:val="continue"/>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3453" w:hRule="atLeast"/>
                <w:jc w:val="center"/>
              </w:trPr>
              <w:tc>
                <w:tcPr>
                  <w:tcW w:w="250" w:type="pct"/>
                  <w:vAlign w:val="center"/>
                </w:tcPr>
                <w:p>
                  <w:pPr>
                    <w:pStyle w:val="80"/>
                    <w:keepNext w:val="0"/>
                    <w:keepLines w:val="0"/>
                    <w:widowControl/>
                    <w:suppressLineNumbers w:val="0"/>
                    <w:spacing w:before="0" w:beforeAutospacing="0" w:after="0" w:afterAutospacing="0"/>
                    <w:ind w:left="0" w:right="0"/>
                    <w:rPr>
                      <w:rFonts w:hint="default"/>
                      <w:color w:val="auto"/>
                      <w:szCs w:val="21"/>
                      <w:highlight w:val="none"/>
                    </w:rPr>
                  </w:pPr>
                  <w:r>
                    <w:rPr>
                      <w:rFonts w:hint="default"/>
                      <w:color w:val="auto"/>
                      <w:szCs w:val="21"/>
                      <w:highlight w:val="none"/>
                    </w:rPr>
                    <w:t>1</w:t>
                  </w:r>
                </w:p>
              </w:tc>
              <w:tc>
                <w:tcPr>
                  <w:tcW w:w="289" w:type="pct"/>
                  <w:vAlign w:val="center"/>
                </w:tcPr>
                <w:p>
                  <w:pPr>
                    <w:pStyle w:val="80"/>
                    <w:keepNext w:val="0"/>
                    <w:keepLines w:val="0"/>
                    <w:widowControl/>
                    <w:suppressLineNumbers w:val="0"/>
                    <w:spacing w:before="0" w:beforeAutospacing="0" w:after="0" w:afterAutospacing="0"/>
                    <w:ind w:left="0" w:right="0"/>
                    <w:rPr>
                      <w:rFonts w:hint="default"/>
                      <w:color w:val="auto"/>
                      <w:szCs w:val="21"/>
                      <w:highlight w:val="none"/>
                    </w:rPr>
                  </w:pPr>
                  <w:r>
                    <w:rPr>
                      <w:rFonts w:hint="default"/>
                      <w:color w:val="auto"/>
                      <w:szCs w:val="21"/>
                      <w:highlight w:val="none"/>
                    </w:rPr>
                    <w:t>生活</w:t>
                  </w:r>
                  <w:r>
                    <w:rPr>
                      <w:rFonts w:hint="eastAsia"/>
                      <w:color w:val="auto"/>
                      <w:szCs w:val="21"/>
                      <w:highlight w:val="none"/>
                    </w:rPr>
                    <w:t>污水</w:t>
                  </w:r>
                </w:p>
              </w:tc>
              <w:tc>
                <w:tcPr>
                  <w:tcW w:w="598" w:type="pct"/>
                  <w:vAlign w:val="center"/>
                </w:tcPr>
                <w:p>
                  <w:pPr>
                    <w:pStyle w:val="80"/>
                    <w:keepNext w:val="0"/>
                    <w:keepLines w:val="0"/>
                    <w:widowControl/>
                    <w:suppressLineNumbers w:val="0"/>
                    <w:spacing w:before="0" w:beforeAutospacing="0" w:after="0" w:afterAutospacing="0"/>
                    <w:ind w:left="0" w:right="0"/>
                    <w:rPr>
                      <w:rFonts w:hint="default"/>
                      <w:color w:val="auto"/>
                      <w:szCs w:val="21"/>
                      <w:highlight w:val="none"/>
                    </w:rPr>
                  </w:pPr>
                  <w:r>
                    <w:rPr>
                      <w:rFonts w:hint="default"/>
                      <w:color w:val="auto"/>
                      <w:szCs w:val="21"/>
                      <w:highlight w:val="none"/>
                    </w:rPr>
                    <w:t>COD、SS、BOD</w:t>
                  </w:r>
                  <w:r>
                    <w:rPr>
                      <w:rFonts w:hint="default"/>
                      <w:color w:val="auto"/>
                      <w:szCs w:val="21"/>
                      <w:highlight w:val="none"/>
                      <w:vertAlign w:val="subscript"/>
                    </w:rPr>
                    <w:t>5</w:t>
                  </w:r>
                  <w:r>
                    <w:rPr>
                      <w:rFonts w:hint="default"/>
                      <w:color w:val="auto"/>
                      <w:szCs w:val="21"/>
                      <w:highlight w:val="none"/>
                    </w:rPr>
                    <w:t>、NH</w:t>
                  </w:r>
                  <w:r>
                    <w:rPr>
                      <w:rFonts w:hint="default"/>
                      <w:color w:val="auto"/>
                      <w:szCs w:val="21"/>
                      <w:highlight w:val="none"/>
                      <w:vertAlign w:val="subscript"/>
                    </w:rPr>
                    <w:t>3</w:t>
                  </w:r>
                  <w:r>
                    <w:rPr>
                      <w:rFonts w:hint="default"/>
                      <w:color w:val="auto"/>
                      <w:szCs w:val="21"/>
                      <w:highlight w:val="none"/>
                    </w:rPr>
                    <w:t>-N</w:t>
                  </w:r>
                  <w:r>
                    <w:rPr>
                      <w:rFonts w:hint="eastAsia"/>
                      <w:color w:val="auto"/>
                      <w:szCs w:val="21"/>
                      <w:highlight w:val="none"/>
                    </w:rPr>
                    <w:t>、TN、TP</w:t>
                  </w:r>
                </w:p>
              </w:tc>
              <w:tc>
                <w:tcPr>
                  <w:tcW w:w="384" w:type="pct"/>
                  <w:vAlign w:val="center"/>
                </w:tcPr>
                <w:p>
                  <w:pPr>
                    <w:pStyle w:val="80"/>
                    <w:keepNext w:val="0"/>
                    <w:keepLines w:val="0"/>
                    <w:widowControl/>
                    <w:suppressLineNumbers w:val="0"/>
                    <w:spacing w:before="0" w:beforeAutospacing="0" w:after="0" w:afterAutospacing="0"/>
                    <w:ind w:left="0" w:right="0"/>
                    <w:rPr>
                      <w:rFonts w:hint="default"/>
                      <w:color w:val="auto"/>
                      <w:szCs w:val="21"/>
                      <w:highlight w:val="none"/>
                    </w:rPr>
                  </w:pPr>
                  <w:r>
                    <w:rPr>
                      <w:rFonts w:hint="eastAsia"/>
                      <w:color w:val="auto"/>
                      <w:szCs w:val="21"/>
                      <w:highlight w:val="none"/>
                    </w:rPr>
                    <w:t>泾河新城第二污水处理厂</w:t>
                  </w:r>
                </w:p>
              </w:tc>
              <w:tc>
                <w:tcPr>
                  <w:tcW w:w="264" w:type="pct"/>
                  <w:vAlign w:val="center"/>
                </w:tcPr>
                <w:p>
                  <w:pPr>
                    <w:pStyle w:val="80"/>
                    <w:keepNext w:val="0"/>
                    <w:keepLines w:val="0"/>
                    <w:widowControl/>
                    <w:suppressLineNumbers w:val="0"/>
                    <w:spacing w:before="0" w:beforeAutospacing="0" w:after="0" w:afterAutospacing="0"/>
                    <w:ind w:left="0" w:right="0"/>
                    <w:rPr>
                      <w:rFonts w:hint="default"/>
                      <w:color w:val="auto"/>
                      <w:szCs w:val="21"/>
                      <w:highlight w:val="none"/>
                    </w:rPr>
                  </w:pPr>
                  <w:r>
                    <w:rPr>
                      <w:rFonts w:hint="default"/>
                      <w:color w:val="auto"/>
                      <w:szCs w:val="21"/>
                      <w:highlight w:val="none"/>
                    </w:rPr>
                    <w:t>间断</w:t>
                  </w:r>
                </w:p>
              </w:tc>
              <w:tc>
                <w:tcPr>
                  <w:tcW w:w="536" w:type="pct"/>
                  <w:vAlign w:val="center"/>
                </w:tcPr>
                <w:p>
                  <w:pPr>
                    <w:pStyle w:val="80"/>
                    <w:keepNext w:val="0"/>
                    <w:keepLines w:val="0"/>
                    <w:widowControl/>
                    <w:suppressLineNumbers w:val="0"/>
                    <w:spacing w:before="0" w:beforeAutospacing="0" w:after="0" w:afterAutospacing="0"/>
                    <w:ind w:left="0" w:right="0"/>
                    <w:rPr>
                      <w:rFonts w:hint="default"/>
                      <w:color w:val="auto"/>
                      <w:szCs w:val="21"/>
                      <w:highlight w:val="none"/>
                    </w:rPr>
                  </w:pPr>
                  <w:r>
                    <w:rPr>
                      <w:rFonts w:hint="default"/>
                      <w:color w:val="auto"/>
                      <w:szCs w:val="21"/>
                      <w:highlight w:val="none"/>
                    </w:rPr>
                    <w:t>TW001</w:t>
                  </w:r>
                </w:p>
              </w:tc>
              <w:tc>
                <w:tcPr>
                  <w:tcW w:w="419" w:type="pct"/>
                  <w:vAlign w:val="center"/>
                </w:tcPr>
                <w:p>
                  <w:pPr>
                    <w:pStyle w:val="80"/>
                    <w:keepNext w:val="0"/>
                    <w:keepLines w:val="0"/>
                    <w:widowControl/>
                    <w:suppressLineNumbers w:val="0"/>
                    <w:spacing w:before="0" w:beforeAutospacing="0" w:after="0" w:afterAutospacing="0"/>
                    <w:ind w:left="0" w:right="0"/>
                    <w:rPr>
                      <w:rFonts w:hint="default"/>
                      <w:color w:val="auto"/>
                      <w:szCs w:val="21"/>
                      <w:highlight w:val="none"/>
                    </w:rPr>
                  </w:pPr>
                  <w:r>
                    <w:rPr>
                      <w:rFonts w:hint="eastAsia"/>
                      <w:color w:val="auto"/>
                      <w:szCs w:val="21"/>
                      <w:highlight w:val="none"/>
                    </w:rPr>
                    <w:t>化粪池</w:t>
                  </w:r>
                </w:p>
              </w:tc>
              <w:tc>
                <w:tcPr>
                  <w:tcW w:w="441" w:type="pct"/>
                  <w:vAlign w:val="center"/>
                </w:tcPr>
                <w:p>
                  <w:pPr>
                    <w:pStyle w:val="80"/>
                    <w:keepNext w:val="0"/>
                    <w:keepLines w:val="0"/>
                    <w:widowControl/>
                    <w:suppressLineNumbers w:val="0"/>
                    <w:spacing w:before="0" w:beforeAutospacing="0" w:after="0" w:afterAutospacing="0"/>
                    <w:ind w:left="0" w:right="0"/>
                    <w:rPr>
                      <w:rFonts w:hint="default"/>
                      <w:color w:val="auto"/>
                      <w:szCs w:val="21"/>
                      <w:highlight w:val="none"/>
                    </w:rPr>
                  </w:pPr>
                  <w:r>
                    <w:rPr>
                      <w:rFonts w:hint="eastAsia"/>
                      <w:color w:val="auto"/>
                      <w:szCs w:val="21"/>
                      <w:highlight w:val="none"/>
                    </w:rPr>
                    <w:t>化粪池</w:t>
                  </w:r>
                </w:p>
              </w:tc>
              <w:tc>
                <w:tcPr>
                  <w:tcW w:w="549" w:type="pct"/>
                  <w:vAlign w:val="center"/>
                </w:tcPr>
                <w:p>
                  <w:pPr>
                    <w:pStyle w:val="80"/>
                    <w:keepNext w:val="0"/>
                    <w:keepLines w:val="0"/>
                    <w:widowControl/>
                    <w:suppressLineNumbers w:val="0"/>
                    <w:spacing w:before="0" w:beforeAutospacing="0" w:after="0" w:afterAutospacing="0"/>
                    <w:ind w:left="0" w:right="0"/>
                    <w:rPr>
                      <w:rFonts w:hint="default"/>
                      <w:color w:val="auto"/>
                      <w:szCs w:val="21"/>
                      <w:highlight w:val="none"/>
                    </w:rPr>
                  </w:pPr>
                  <w:r>
                    <w:rPr>
                      <w:rFonts w:hint="default"/>
                      <w:color w:val="auto"/>
                      <w:szCs w:val="21"/>
                      <w:highlight w:val="none"/>
                    </w:rPr>
                    <w:t>DW001</w:t>
                  </w:r>
                </w:p>
              </w:tc>
              <w:tc>
                <w:tcPr>
                  <w:tcW w:w="451" w:type="pct"/>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0"/>
                      <w:highlight w:val="none"/>
                    </w:rPr>
                  </w:pPr>
                  <w:r>
                    <w:rPr>
                      <w:rFonts w:hint="eastAsia"/>
                      <w:color w:val="auto"/>
                      <w:sz w:val="21"/>
                      <w:szCs w:val="20"/>
                      <w:highlight w:val="none"/>
                    </w:rPr>
                    <w:t>☑是</w:t>
                  </w:r>
                </w:p>
                <w:p>
                  <w:pPr>
                    <w:pStyle w:val="80"/>
                    <w:keepNext w:val="0"/>
                    <w:keepLines w:val="0"/>
                    <w:widowControl/>
                    <w:suppressLineNumbers w:val="0"/>
                    <w:spacing w:before="0" w:beforeAutospacing="0" w:after="0" w:afterAutospacing="0"/>
                    <w:ind w:left="0" w:right="0"/>
                    <w:rPr>
                      <w:rFonts w:hint="default"/>
                      <w:color w:val="auto"/>
                      <w:szCs w:val="21"/>
                      <w:highlight w:val="none"/>
                    </w:rPr>
                  </w:pPr>
                  <w:r>
                    <w:rPr>
                      <w:rFonts w:hint="eastAsia"/>
                      <w:color w:val="auto"/>
                      <w:szCs w:val="20"/>
                      <w:highlight w:val="none"/>
                    </w:rPr>
                    <w:t>□否</w:t>
                  </w:r>
                </w:p>
              </w:tc>
              <w:tc>
                <w:tcPr>
                  <w:tcW w:w="813" w:type="pct"/>
                  <w:vAlign w:val="center"/>
                </w:tcPr>
                <w:p>
                  <w:pPr>
                    <w:pStyle w:val="80"/>
                    <w:keepNext w:val="0"/>
                    <w:keepLines w:val="0"/>
                    <w:widowControl/>
                    <w:suppressLineNumbers w:val="0"/>
                    <w:spacing w:before="0" w:beforeAutospacing="0" w:after="0" w:afterAutospacing="0"/>
                    <w:ind w:left="0" w:right="0"/>
                    <w:rPr>
                      <w:rFonts w:hint="default"/>
                      <w:color w:val="auto"/>
                      <w:szCs w:val="21"/>
                      <w:highlight w:val="none"/>
                    </w:rPr>
                  </w:pPr>
                  <w:r>
                    <w:rPr>
                      <w:rFonts w:hint="default"/>
                      <w:color w:val="auto"/>
                      <w:szCs w:val="21"/>
                      <w:highlight w:val="none"/>
                    </w:rPr>
                    <w:sym w:font="Wingdings 2" w:char="0052"/>
                  </w:r>
                  <w:r>
                    <w:rPr>
                      <w:rFonts w:hint="default"/>
                      <w:color w:val="auto"/>
                      <w:szCs w:val="21"/>
                      <w:highlight w:val="none"/>
                    </w:rPr>
                    <w:t>企业总排口</w:t>
                  </w:r>
                </w:p>
                <w:p>
                  <w:pPr>
                    <w:pStyle w:val="80"/>
                    <w:keepNext w:val="0"/>
                    <w:keepLines w:val="0"/>
                    <w:widowControl/>
                    <w:suppressLineNumbers w:val="0"/>
                    <w:spacing w:before="0" w:beforeAutospacing="0" w:after="0" w:afterAutospacing="0"/>
                    <w:ind w:left="0" w:right="0"/>
                    <w:rPr>
                      <w:rFonts w:hint="default"/>
                      <w:color w:val="auto"/>
                      <w:szCs w:val="21"/>
                      <w:highlight w:val="none"/>
                    </w:rPr>
                  </w:pPr>
                  <w:r>
                    <w:rPr>
                      <w:rFonts w:hint="default"/>
                      <w:color w:val="auto"/>
                      <w:szCs w:val="21"/>
                      <w:highlight w:val="none"/>
                    </w:rPr>
                    <w:sym w:font="Wingdings 2" w:char="00A3"/>
                  </w:r>
                  <w:r>
                    <w:rPr>
                      <w:rFonts w:hint="default"/>
                      <w:color w:val="auto"/>
                      <w:szCs w:val="21"/>
                      <w:highlight w:val="none"/>
                    </w:rPr>
                    <w:t>雨水排放</w:t>
                  </w:r>
                </w:p>
                <w:p>
                  <w:pPr>
                    <w:pStyle w:val="80"/>
                    <w:keepNext w:val="0"/>
                    <w:keepLines w:val="0"/>
                    <w:widowControl/>
                    <w:suppressLineNumbers w:val="0"/>
                    <w:spacing w:before="0" w:beforeAutospacing="0" w:after="0" w:afterAutospacing="0"/>
                    <w:ind w:left="0" w:right="0"/>
                    <w:rPr>
                      <w:rFonts w:hint="default"/>
                      <w:color w:val="auto"/>
                      <w:szCs w:val="21"/>
                      <w:highlight w:val="none"/>
                    </w:rPr>
                  </w:pPr>
                  <w:r>
                    <w:rPr>
                      <w:rFonts w:hint="default"/>
                      <w:color w:val="auto"/>
                      <w:szCs w:val="21"/>
                      <w:highlight w:val="none"/>
                    </w:rPr>
                    <w:sym w:font="Wingdings 2" w:char="00A3"/>
                  </w:r>
                  <w:r>
                    <w:rPr>
                      <w:rFonts w:hint="default"/>
                      <w:color w:val="auto"/>
                      <w:szCs w:val="21"/>
                      <w:highlight w:val="none"/>
                    </w:rPr>
                    <w:t>清净下水排放</w:t>
                  </w:r>
                </w:p>
                <w:p>
                  <w:pPr>
                    <w:pStyle w:val="80"/>
                    <w:keepNext w:val="0"/>
                    <w:keepLines w:val="0"/>
                    <w:widowControl/>
                    <w:suppressLineNumbers w:val="0"/>
                    <w:spacing w:before="0" w:beforeAutospacing="0" w:after="0" w:afterAutospacing="0"/>
                    <w:ind w:left="0" w:right="0"/>
                    <w:rPr>
                      <w:rFonts w:hint="default"/>
                      <w:color w:val="auto"/>
                      <w:szCs w:val="21"/>
                      <w:highlight w:val="none"/>
                    </w:rPr>
                  </w:pPr>
                  <w:r>
                    <w:rPr>
                      <w:rFonts w:hint="default"/>
                      <w:color w:val="auto"/>
                      <w:szCs w:val="21"/>
                      <w:highlight w:val="none"/>
                    </w:rPr>
                    <w:sym w:font="Wingdings 2" w:char="00A3"/>
                  </w:r>
                  <w:r>
                    <w:rPr>
                      <w:rFonts w:hint="default"/>
                      <w:color w:val="auto"/>
                      <w:szCs w:val="21"/>
                      <w:highlight w:val="none"/>
                    </w:rPr>
                    <w:t>温排水排放</w:t>
                  </w:r>
                </w:p>
                <w:p>
                  <w:pPr>
                    <w:pStyle w:val="80"/>
                    <w:keepNext w:val="0"/>
                    <w:keepLines w:val="0"/>
                    <w:widowControl/>
                    <w:suppressLineNumbers w:val="0"/>
                    <w:spacing w:before="0" w:beforeAutospacing="0" w:after="0" w:afterAutospacing="0"/>
                    <w:ind w:left="0" w:right="0"/>
                    <w:rPr>
                      <w:rFonts w:hint="default"/>
                      <w:color w:val="auto"/>
                      <w:szCs w:val="21"/>
                      <w:highlight w:val="none"/>
                    </w:rPr>
                  </w:pPr>
                  <w:r>
                    <w:rPr>
                      <w:rFonts w:hint="default"/>
                      <w:color w:val="auto"/>
                      <w:szCs w:val="21"/>
                      <w:highlight w:val="none"/>
                    </w:rPr>
                    <w:sym w:font="Wingdings 2" w:char="00A3"/>
                  </w:r>
                  <w:r>
                    <w:rPr>
                      <w:rFonts w:hint="default"/>
                      <w:color w:val="auto"/>
                      <w:szCs w:val="21"/>
                      <w:highlight w:val="none"/>
                    </w:rPr>
                    <w:t>车间或车间处理设施排放口</w:t>
                  </w:r>
                </w:p>
              </w:tc>
            </w:tr>
          </w:tbl>
          <w:p>
            <w:pPr>
              <w:keepNext w:val="0"/>
              <w:keepLines w:val="0"/>
              <w:suppressLineNumbers w:val="0"/>
              <w:spacing w:before="0" w:beforeAutospacing="0" w:after="0" w:afterAutospacing="0"/>
              <w:ind w:left="0" w:right="0" w:firstLine="480"/>
              <w:rPr>
                <w:rFonts w:hint="default"/>
                <w:color w:val="auto"/>
                <w:highlight w:val="none"/>
              </w:rPr>
            </w:pPr>
            <w:r>
              <w:rPr>
                <w:rFonts w:hint="eastAsia"/>
                <w:color w:val="auto"/>
                <w:highlight w:val="none"/>
              </w:rPr>
              <w:t>3、达标情况</w:t>
            </w:r>
          </w:p>
          <w:p>
            <w:pPr>
              <w:keepNext w:val="0"/>
              <w:keepLines w:val="0"/>
              <w:suppressLineNumbers w:val="0"/>
              <w:spacing w:before="0" w:beforeAutospacing="0" w:after="0" w:afterAutospacing="0"/>
              <w:ind w:left="0" w:right="0" w:firstLine="480"/>
              <w:rPr>
                <w:rFonts w:hint="default"/>
                <w:color w:val="auto"/>
                <w:highlight w:val="none"/>
              </w:rPr>
            </w:pPr>
            <w:r>
              <w:rPr>
                <w:rFonts w:hint="eastAsia"/>
                <w:color w:val="auto"/>
                <w:highlight w:val="none"/>
              </w:rPr>
              <w:t>项目生活污水进化粪池处理，经市政管网排入</w:t>
            </w:r>
            <w:r>
              <w:rPr>
                <w:rFonts w:hint="default"/>
                <w:color w:val="auto"/>
                <w:highlight w:val="none"/>
              </w:rPr>
              <w:t>泾河新城第二污水处理厂</w:t>
            </w:r>
            <w:r>
              <w:rPr>
                <w:rFonts w:hint="eastAsia"/>
                <w:color w:val="auto"/>
                <w:highlight w:val="none"/>
              </w:rPr>
              <w:t>处理。排放浓度可满足</w:t>
            </w:r>
            <w:r>
              <w:rPr>
                <w:rFonts w:hint="default"/>
                <w:color w:val="auto"/>
                <w:highlight w:val="none"/>
              </w:rPr>
              <w:t>《污水综合排放标准》（GB8978-1996）三级标准</w:t>
            </w:r>
            <w:r>
              <w:rPr>
                <w:rFonts w:hint="eastAsia"/>
                <w:color w:val="auto"/>
                <w:highlight w:val="none"/>
              </w:rPr>
              <w:t>及</w:t>
            </w:r>
            <w:r>
              <w:rPr>
                <w:rFonts w:hint="default"/>
                <w:color w:val="auto"/>
                <w:highlight w:val="none"/>
              </w:rPr>
              <w:t>《污水排入城镇下水道水质标准》（GB/T 31962-2015）</w:t>
            </w:r>
            <w:r>
              <w:rPr>
                <w:rFonts w:hint="eastAsia"/>
                <w:color w:val="auto"/>
                <w:highlight w:val="none"/>
              </w:rPr>
              <w:t>B</w:t>
            </w:r>
            <w:r>
              <w:rPr>
                <w:rFonts w:hint="default"/>
                <w:color w:val="auto"/>
                <w:highlight w:val="none"/>
              </w:rPr>
              <w:t>级标准</w:t>
            </w:r>
            <w:r>
              <w:rPr>
                <w:rFonts w:hint="eastAsia"/>
                <w:color w:val="auto"/>
                <w:highlight w:val="none"/>
              </w:rPr>
              <w:t>要求。</w:t>
            </w:r>
          </w:p>
          <w:p>
            <w:pPr>
              <w:keepNext w:val="0"/>
              <w:keepLines w:val="0"/>
              <w:suppressLineNumbers w:val="0"/>
              <w:spacing w:before="0" w:beforeAutospacing="0" w:after="0" w:afterAutospacing="0"/>
              <w:ind w:left="0" w:right="0" w:firstLine="480"/>
              <w:rPr>
                <w:rFonts w:hint="default"/>
                <w:color w:val="auto"/>
                <w:highlight w:val="none"/>
              </w:rPr>
            </w:pPr>
            <w:r>
              <w:rPr>
                <w:rFonts w:hint="eastAsia"/>
                <w:color w:val="auto"/>
                <w:highlight w:val="none"/>
              </w:rPr>
              <w:t>4、化粪池、污水处理厂依托可行性分析</w:t>
            </w:r>
          </w:p>
          <w:p>
            <w:pPr>
              <w:keepNext w:val="0"/>
              <w:keepLines w:val="0"/>
              <w:suppressLineNumbers w:val="0"/>
              <w:spacing w:before="0" w:beforeAutospacing="0" w:after="0" w:afterAutospacing="0"/>
              <w:ind w:left="0" w:right="0" w:firstLine="480"/>
              <w:rPr>
                <w:rFonts w:hint="default"/>
                <w:color w:val="auto"/>
                <w:highlight w:val="none"/>
              </w:rPr>
            </w:pPr>
            <w:r>
              <w:rPr>
                <w:rFonts w:hint="eastAsia"/>
                <w:color w:val="auto"/>
                <w:highlight w:val="none"/>
              </w:rPr>
              <w:t>本项目</w:t>
            </w:r>
            <w:r>
              <w:rPr>
                <w:rFonts w:hint="eastAsia"/>
                <w:color w:val="auto"/>
                <w:highlight w:val="none"/>
                <w:lang w:val="en-US" w:eastAsia="zh-CN"/>
              </w:rPr>
              <w:t>利用已建成</w:t>
            </w:r>
            <w:r>
              <w:rPr>
                <w:rFonts w:hint="default"/>
                <w:color w:val="auto"/>
                <w:highlight w:val="none"/>
              </w:rPr>
              <w:t>化粪池容积为</w:t>
            </w:r>
            <w:r>
              <w:rPr>
                <w:rFonts w:hint="eastAsia"/>
                <w:color w:val="auto"/>
                <w:highlight w:val="none"/>
                <w:lang w:val="en-US" w:eastAsia="zh-CN"/>
              </w:rPr>
              <w:t>3</w:t>
            </w:r>
            <w:r>
              <w:rPr>
                <w:rFonts w:hint="eastAsia"/>
                <w:color w:val="auto"/>
                <w:highlight w:val="none"/>
              </w:rPr>
              <w:t>0</w:t>
            </w:r>
            <w:r>
              <w:rPr>
                <w:rFonts w:hint="default"/>
                <w:color w:val="auto"/>
                <w:highlight w:val="none"/>
              </w:rPr>
              <w:t>m</w:t>
            </w:r>
            <w:r>
              <w:rPr>
                <w:rFonts w:hint="default"/>
                <w:color w:val="auto"/>
                <w:highlight w:val="none"/>
                <w:vertAlign w:val="superscript"/>
              </w:rPr>
              <w:t>3</w:t>
            </w:r>
            <w:r>
              <w:rPr>
                <w:rFonts w:hint="default"/>
                <w:color w:val="auto"/>
                <w:highlight w:val="none"/>
              </w:rPr>
              <w:t>，污水产生量为</w:t>
            </w:r>
            <w:r>
              <w:rPr>
                <w:rFonts w:hint="eastAsia"/>
                <w:color w:val="auto"/>
                <w:highlight w:val="none"/>
                <w:lang w:val="en-US" w:eastAsia="zh-CN"/>
              </w:rPr>
              <w:t>1</w:t>
            </w:r>
            <w:r>
              <w:rPr>
                <w:rFonts w:hint="default"/>
                <w:color w:val="auto"/>
                <w:highlight w:val="none"/>
              </w:rPr>
              <w:t>m</w:t>
            </w:r>
            <w:r>
              <w:rPr>
                <w:rFonts w:hint="default"/>
                <w:color w:val="auto"/>
                <w:highlight w:val="none"/>
                <w:vertAlign w:val="superscript"/>
              </w:rPr>
              <w:t>3</w:t>
            </w:r>
            <w:r>
              <w:rPr>
                <w:rFonts w:hint="default"/>
                <w:color w:val="auto"/>
                <w:highlight w:val="none"/>
              </w:rPr>
              <w:t>/d，</w:t>
            </w:r>
            <w:r>
              <w:rPr>
                <w:rFonts w:hint="eastAsia"/>
                <w:color w:val="auto"/>
                <w:highlight w:val="none"/>
              </w:rPr>
              <w:t>化粪池</w:t>
            </w:r>
            <w:r>
              <w:rPr>
                <w:rFonts w:hint="eastAsia"/>
                <w:color w:val="auto"/>
                <w:highlight w:val="none"/>
                <w:lang w:val="en-US" w:eastAsia="zh-CN"/>
              </w:rPr>
              <w:t>容积</w:t>
            </w:r>
            <w:r>
              <w:rPr>
                <w:rFonts w:hint="eastAsia"/>
                <w:color w:val="auto"/>
                <w:highlight w:val="none"/>
              </w:rPr>
              <w:t>满足项目污水处理需求，且经化粪池处理后污染物排放浓度满足《污水综合排放标准》（GB</w:t>
            </w:r>
            <w:r>
              <w:rPr>
                <w:rFonts w:hint="default"/>
                <w:color w:val="auto"/>
                <w:highlight w:val="none"/>
              </w:rPr>
              <w:t xml:space="preserve"> </w:t>
            </w:r>
            <w:r>
              <w:rPr>
                <w:rFonts w:hint="eastAsia"/>
                <w:color w:val="auto"/>
                <w:highlight w:val="none"/>
              </w:rPr>
              <w:t>8978-1996）三级标准和《污水排入城镇下水道水质标准》（GB</w:t>
            </w:r>
            <w:r>
              <w:rPr>
                <w:rFonts w:hint="default"/>
                <w:color w:val="auto"/>
                <w:highlight w:val="none"/>
              </w:rPr>
              <w:t xml:space="preserve"> </w:t>
            </w:r>
            <w:r>
              <w:rPr>
                <w:rFonts w:hint="eastAsia"/>
                <w:color w:val="auto"/>
                <w:highlight w:val="none"/>
              </w:rPr>
              <w:t>31962-2015）B级标准，</w:t>
            </w:r>
            <w:r>
              <w:rPr>
                <w:rFonts w:hint="default"/>
                <w:color w:val="auto"/>
                <w:highlight w:val="none"/>
              </w:rPr>
              <w:t>因此</w:t>
            </w:r>
            <w:r>
              <w:rPr>
                <w:rFonts w:hint="eastAsia"/>
                <w:color w:val="auto"/>
                <w:highlight w:val="none"/>
              </w:rPr>
              <w:t>，</w:t>
            </w:r>
            <w:r>
              <w:rPr>
                <w:rFonts w:hint="default"/>
                <w:color w:val="auto"/>
                <w:highlight w:val="none"/>
              </w:rPr>
              <w:t>本项目污水</w:t>
            </w:r>
            <w:r>
              <w:rPr>
                <w:rFonts w:hint="eastAsia"/>
                <w:color w:val="auto"/>
                <w:highlight w:val="none"/>
                <w:lang w:val="en-US" w:eastAsia="zh-CN"/>
              </w:rPr>
              <w:t>经</w:t>
            </w:r>
            <w:r>
              <w:rPr>
                <w:rFonts w:hint="default"/>
                <w:color w:val="auto"/>
                <w:highlight w:val="none"/>
              </w:rPr>
              <w:t>化粪池</w:t>
            </w:r>
            <w:r>
              <w:rPr>
                <w:rFonts w:hint="eastAsia"/>
                <w:color w:val="auto"/>
                <w:highlight w:val="none"/>
                <w:lang w:val="en-US" w:eastAsia="zh-CN"/>
              </w:rPr>
              <w:t>处理</w:t>
            </w:r>
            <w:r>
              <w:rPr>
                <w:rFonts w:hint="default"/>
                <w:color w:val="auto"/>
                <w:highlight w:val="none"/>
              </w:rPr>
              <w:t>可行。</w:t>
            </w:r>
          </w:p>
          <w:p>
            <w:pPr>
              <w:keepNext w:val="0"/>
              <w:keepLines w:val="0"/>
              <w:suppressLineNumbers w:val="0"/>
              <w:adjustRightInd w:val="0"/>
              <w:snapToGrid w:val="0"/>
              <w:spacing w:before="0" w:beforeAutospacing="0" w:after="0" w:afterAutospacing="0"/>
              <w:ind w:left="0" w:right="0" w:firstLine="480"/>
              <w:rPr>
                <w:rFonts w:hint="default"/>
                <w:color w:val="auto"/>
                <w:highlight w:val="none"/>
              </w:rPr>
            </w:pPr>
            <w:r>
              <w:rPr>
                <w:rFonts w:hint="default"/>
                <w:color w:val="auto"/>
                <w:highlight w:val="none"/>
              </w:rPr>
              <w:t>泾河新城第二污水处理厂位于正阳大道以东，火车南站规划路以南的相交地区。服务范围具体包括：泾河以北，规划东边界以西，茶马大道以东及规划北边界以南围合的范围，现状大部分为泾河新城县永乐镇和崇文镇所在区域。总服务面积约34km</w:t>
            </w:r>
            <w:r>
              <w:rPr>
                <w:rFonts w:hint="default"/>
                <w:color w:val="auto"/>
                <w:highlight w:val="none"/>
                <w:vertAlign w:val="superscript"/>
              </w:rPr>
              <w:t>2</w:t>
            </w:r>
            <w:r>
              <w:rPr>
                <w:rFonts w:hint="default"/>
                <w:color w:val="auto"/>
                <w:highlight w:val="none"/>
              </w:rPr>
              <w:t>。污水处理厂采用</w:t>
            </w:r>
            <w:r>
              <w:rPr>
                <w:rFonts w:hint="eastAsia"/>
                <w:color w:val="auto"/>
                <w:highlight w:val="none"/>
              </w:rPr>
              <w:t>“</w:t>
            </w:r>
            <w:r>
              <w:rPr>
                <w:rFonts w:hint="default"/>
                <w:color w:val="auto"/>
                <w:highlight w:val="none"/>
              </w:rPr>
              <w:t>预处理+A</w:t>
            </w:r>
            <w:r>
              <w:rPr>
                <w:rFonts w:hint="default"/>
                <w:color w:val="auto"/>
                <w:highlight w:val="none"/>
                <w:vertAlign w:val="superscript"/>
              </w:rPr>
              <w:t>2</w:t>
            </w:r>
            <w:r>
              <w:rPr>
                <w:rFonts w:hint="default"/>
                <w:color w:val="auto"/>
                <w:highlight w:val="none"/>
              </w:rPr>
              <w:t>/O 微曝氧化沟工艺+微絮凝过滤+消毒</w:t>
            </w:r>
            <w:r>
              <w:rPr>
                <w:rFonts w:hint="eastAsia"/>
                <w:color w:val="auto"/>
                <w:highlight w:val="none"/>
              </w:rPr>
              <w:t>”</w:t>
            </w:r>
            <w:r>
              <w:rPr>
                <w:rFonts w:hint="default"/>
                <w:color w:val="auto"/>
                <w:highlight w:val="none"/>
              </w:rPr>
              <w:t>的处理工艺，经过处理的水质达到《城镇污水厂污染物排放标准》一级A标准后，尾水排入泾河。中水处理工艺采用混凝沉淀+过滤法+消毒，处理后中水达到《城市污水再生利用城市杂用水水质标准》（GB/T18920-2002）。项目设计污水处理规模为8.0×10</w:t>
            </w:r>
            <w:r>
              <w:rPr>
                <w:rFonts w:hint="default"/>
                <w:color w:val="auto"/>
                <w:highlight w:val="none"/>
                <w:vertAlign w:val="superscript"/>
              </w:rPr>
              <w:t>4</w:t>
            </w:r>
            <w:r>
              <w:rPr>
                <w:rFonts w:hint="default"/>
                <w:color w:val="auto"/>
                <w:highlight w:val="none"/>
              </w:rPr>
              <w:t>t/d，一期建设规模为处理污水4万m</w:t>
            </w:r>
            <w:r>
              <w:rPr>
                <w:rFonts w:hint="default"/>
                <w:color w:val="auto"/>
                <w:highlight w:val="none"/>
                <w:vertAlign w:val="superscript"/>
              </w:rPr>
              <w:t>3</w:t>
            </w:r>
            <w:r>
              <w:rPr>
                <w:rFonts w:hint="default"/>
                <w:color w:val="auto"/>
                <w:highlight w:val="none"/>
              </w:rPr>
              <w:t>/d，二期建设规模为处理污水4万m</w:t>
            </w:r>
            <w:r>
              <w:rPr>
                <w:rFonts w:hint="default"/>
                <w:color w:val="auto"/>
                <w:highlight w:val="none"/>
                <w:vertAlign w:val="superscript"/>
              </w:rPr>
              <w:t>3</w:t>
            </w:r>
            <w:r>
              <w:rPr>
                <w:rFonts w:hint="default"/>
                <w:color w:val="auto"/>
                <w:highlight w:val="none"/>
              </w:rPr>
              <w:t>/d。</w:t>
            </w:r>
          </w:p>
          <w:p>
            <w:pPr>
              <w:keepNext w:val="0"/>
              <w:keepLines w:val="0"/>
              <w:suppressLineNumbers w:val="0"/>
              <w:spacing w:before="0" w:beforeAutospacing="0" w:after="0" w:afterAutospacing="0"/>
              <w:ind w:left="0" w:right="0" w:firstLine="480"/>
              <w:rPr>
                <w:rFonts w:hint="default"/>
                <w:color w:val="auto"/>
                <w:highlight w:val="none"/>
              </w:rPr>
            </w:pPr>
            <w:r>
              <w:rPr>
                <w:rFonts w:hint="eastAsia"/>
                <w:color w:val="auto"/>
                <w:highlight w:val="none"/>
              </w:rPr>
              <w:t>本</w:t>
            </w:r>
            <w:r>
              <w:rPr>
                <w:rFonts w:hint="default"/>
                <w:color w:val="auto"/>
                <w:highlight w:val="none"/>
              </w:rPr>
              <w:t>项目位于泾河新城第二污水处理厂的收水范围内，目前市政污水管网已铺设到位，项目污水经化粪池处理后水质满足排放标准要求</w:t>
            </w:r>
            <w:r>
              <w:rPr>
                <w:rFonts w:hint="default"/>
                <w:color w:val="auto"/>
                <w:kern w:val="0"/>
                <w:highlight w:val="none"/>
              </w:rPr>
              <w:t>，且项目污水排放量占污水处理厂设计处理水量份额较小，废水水质简单，废水可生化降解性较好，故依托泾河新城第二污水处理厂处理可行。</w:t>
            </w:r>
          </w:p>
          <w:p>
            <w:pPr>
              <w:keepNext w:val="0"/>
              <w:keepLines w:val="0"/>
              <w:suppressLineNumbers w:val="0"/>
              <w:spacing w:before="0" w:beforeAutospacing="0" w:after="0" w:afterAutospacing="0"/>
              <w:ind w:left="0" w:right="0" w:firstLine="480"/>
              <w:rPr>
                <w:rFonts w:hint="default"/>
                <w:b/>
                <w:bCs/>
                <w:color w:val="auto"/>
                <w:highlight w:val="none"/>
              </w:rPr>
            </w:pPr>
            <w:r>
              <w:rPr>
                <w:rFonts w:hint="eastAsia"/>
                <w:color w:val="auto"/>
                <w:highlight w:val="none"/>
              </w:rPr>
              <w:t>3、废水监测计划</w:t>
            </w:r>
          </w:p>
          <w:p>
            <w:pPr>
              <w:keepNext w:val="0"/>
              <w:keepLines w:val="0"/>
              <w:suppressLineNumbers w:val="0"/>
              <w:tabs>
                <w:tab w:val="left" w:pos="-900"/>
              </w:tabs>
              <w:snapToGrid w:val="0"/>
              <w:spacing w:before="0" w:beforeAutospacing="0" w:after="0" w:afterAutospacing="0"/>
              <w:ind w:left="0" w:right="0" w:firstLine="480"/>
              <w:rPr>
                <w:rFonts w:hint="default"/>
                <w:color w:val="auto"/>
                <w:highlight w:val="none"/>
              </w:rPr>
            </w:pPr>
            <w:r>
              <w:rPr>
                <w:rFonts w:hint="eastAsia"/>
                <w:color w:val="auto"/>
                <w:highlight w:val="none"/>
              </w:rPr>
              <w:t>根据《排污许可证申请与核发技术规范 总则》（HJ942-2018）</w:t>
            </w:r>
            <w:r>
              <w:rPr>
                <w:rFonts w:hint="default"/>
                <w:color w:val="auto"/>
                <w:highlight w:val="none"/>
              </w:rPr>
              <w:t>，本项目制定了</w:t>
            </w:r>
            <w:r>
              <w:rPr>
                <w:rFonts w:hint="eastAsia"/>
                <w:color w:val="auto"/>
                <w:highlight w:val="none"/>
              </w:rPr>
              <w:t>废水</w:t>
            </w:r>
            <w:r>
              <w:rPr>
                <w:rFonts w:hint="default"/>
                <w:color w:val="auto"/>
                <w:highlight w:val="none"/>
              </w:rPr>
              <w:t>污染源与环境监测计划表，见</w:t>
            </w:r>
            <w:r>
              <w:rPr>
                <w:rFonts w:hint="eastAsia"/>
                <w:color w:val="auto"/>
                <w:highlight w:val="none"/>
              </w:rPr>
              <w:t>下表</w:t>
            </w:r>
            <w:r>
              <w:rPr>
                <w:rFonts w:hint="default"/>
                <w:color w:val="auto"/>
                <w:highlight w:val="none"/>
              </w:rPr>
              <w:t>。</w:t>
            </w:r>
          </w:p>
          <w:p>
            <w:pPr>
              <w:pStyle w:val="77"/>
              <w:keepNext w:val="0"/>
              <w:keepLines w:val="0"/>
              <w:widowControl/>
              <w:suppressLineNumbers w:val="0"/>
              <w:spacing w:before="0" w:beforeLines="0" w:beforeAutospacing="0" w:after="0" w:afterAutospacing="0" w:line="240" w:lineRule="auto"/>
              <w:ind w:left="0" w:right="0"/>
              <w:rPr>
                <w:rFonts w:hint="default" w:eastAsia="宋体"/>
                <w:b/>
                <w:bCs/>
                <w:color w:val="auto"/>
                <w:highlight w:val="none"/>
                <w:lang w:val="zh-CN"/>
              </w:rPr>
            </w:pPr>
            <w:r>
              <w:rPr>
                <w:rFonts w:hint="default" w:eastAsia="宋体"/>
                <w:b/>
                <w:bCs/>
                <w:color w:val="auto"/>
                <w:highlight w:val="none"/>
                <w:lang w:val="zh-CN"/>
              </w:rPr>
              <w:t>表</w:t>
            </w:r>
            <w:r>
              <w:rPr>
                <w:rFonts w:hint="eastAsia" w:eastAsia="宋体"/>
                <w:b/>
                <w:bCs/>
                <w:color w:val="auto"/>
                <w:highlight w:val="none"/>
              </w:rPr>
              <w:t>4-7</w:t>
            </w:r>
            <w:r>
              <w:rPr>
                <w:rFonts w:hint="default" w:eastAsia="宋体"/>
                <w:b/>
                <w:bCs/>
                <w:color w:val="auto"/>
                <w:highlight w:val="none"/>
                <w:lang w:val="zh-CN"/>
              </w:rPr>
              <w:t xml:space="preserve">  </w:t>
            </w:r>
            <w:r>
              <w:rPr>
                <w:rFonts w:hint="eastAsia" w:eastAsia="宋体"/>
                <w:b/>
                <w:bCs/>
                <w:color w:val="auto"/>
                <w:highlight w:val="none"/>
                <w:lang w:val="en-US" w:eastAsia="zh-CN"/>
              </w:rPr>
              <w:t xml:space="preserve"> </w:t>
            </w:r>
            <w:r>
              <w:rPr>
                <w:rFonts w:hint="default" w:eastAsia="宋体"/>
                <w:b/>
                <w:bCs/>
                <w:color w:val="auto"/>
                <w:highlight w:val="none"/>
                <w:lang w:val="zh-CN"/>
              </w:rPr>
              <w:t xml:space="preserve"> 本项目运营期环境监测一览表</w:t>
            </w:r>
          </w:p>
          <w:tbl>
            <w:tblPr>
              <w:tblStyle w:val="37"/>
              <w:tblW w:w="4998" w:type="pct"/>
              <w:jc w:val="center"/>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
            <w:tblGrid>
              <w:gridCol w:w="950"/>
              <w:gridCol w:w="1130"/>
              <w:gridCol w:w="1472"/>
              <w:gridCol w:w="1088"/>
              <w:gridCol w:w="3628"/>
            </w:tblGrid>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74"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类别</w:t>
                  </w:r>
                </w:p>
              </w:tc>
              <w:tc>
                <w:tcPr>
                  <w:tcW w:w="683"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监测</w:t>
                  </w:r>
                  <w:r>
                    <w:rPr>
                      <w:rFonts w:hint="eastAsia"/>
                      <w:color w:val="auto"/>
                      <w:szCs w:val="20"/>
                      <w:highlight w:val="none"/>
                    </w:rPr>
                    <w:t>点位</w:t>
                  </w:r>
                </w:p>
              </w:tc>
              <w:tc>
                <w:tcPr>
                  <w:tcW w:w="890"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监测</w:t>
                  </w:r>
                  <w:r>
                    <w:rPr>
                      <w:rFonts w:hint="eastAsia"/>
                      <w:color w:val="auto"/>
                      <w:szCs w:val="20"/>
                      <w:highlight w:val="none"/>
                    </w:rPr>
                    <w:t>因子</w:t>
                  </w:r>
                </w:p>
              </w:tc>
              <w:tc>
                <w:tcPr>
                  <w:tcW w:w="658"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监测</w:t>
                  </w:r>
                </w:p>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频率</w:t>
                  </w:r>
                </w:p>
              </w:tc>
              <w:tc>
                <w:tcPr>
                  <w:tcW w:w="2193"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控制指标</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74"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废水</w:t>
                  </w:r>
                </w:p>
              </w:tc>
              <w:tc>
                <w:tcPr>
                  <w:tcW w:w="683"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厂区总排口DW001</w:t>
                  </w:r>
                </w:p>
              </w:tc>
              <w:tc>
                <w:tcPr>
                  <w:tcW w:w="890"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COD、SS、BOD</w:t>
                  </w:r>
                  <w:r>
                    <w:rPr>
                      <w:rFonts w:hint="default"/>
                      <w:color w:val="auto"/>
                      <w:szCs w:val="20"/>
                      <w:highlight w:val="none"/>
                      <w:vertAlign w:val="subscript"/>
                    </w:rPr>
                    <w:t>5</w:t>
                  </w:r>
                  <w:r>
                    <w:rPr>
                      <w:rFonts w:hint="default"/>
                      <w:color w:val="auto"/>
                      <w:szCs w:val="20"/>
                      <w:highlight w:val="none"/>
                    </w:rPr>
                    <w:t>、NH</w:t>
                  </w:r>
                  <w:r>
                    <w:rPr>
                      <w:rFonts w:hint="default"/>
                      <w:color w:val="auto"/>
                      <w:szCs w:val="20"/>
                      <w:highlight w:val="none"/>
                      <w:vertAlign w:val="subscript"/>
                    </w:rPr>
                    <w:t>3</w:t>
                  </w:r>
                  <w:r>
                    <w:rPr>
                      <w:rFonts w:hint="default"/>
                      <w:color w:val="auto"/>
                      <w:szCs w:val="20"/>
                      <w:highlight w:val="none"/>
                    </w:rPr>
                    <w:t>-N、TN、TP</w:t>
                  </w:r>
                </w:p>
              </w:tc>
              <w:tc>
                <w:tcPr>
                  <w:tcW w:w="658"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1次/年</w:t>
                  </w:r>
                </w:p>
              </w:tc>
              <w:tc>
                <w:tcPr>
                  <w:tcW w:w="2193"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《污水综合排放标准》（GB8978-1996）三级标准</w:t>
                  </w:r>
                  <w:r>
                    <w:rPr>
                      <w:rFonts w:hint="eastAsia"/>
                      <w:color w:val="auto"/>
                      <w:szCs w:val="20"/>
                      <w:highlight w:val="none"/>
                    </w:rPr>
                    <w:t>及</w:t>
                  </w:r>
                  <w:r>
                    <w:rPr>
                      <w:rFonts w:hint="default"/>
                      <w:color w:val="auto"/>
                      <w:szCs w:val="20"/>
                      <w:highlight w:val="none"/>
                    </w:rPr>
                    <w:t>《污水排入城镇下水道水质标准》（GB/T 31962-2015）B级标准</w:t>
                  </w:r>
                </w:p>
              </w:tc>
            </w:tr>
          </w:tbl>
          <w:p>
            <w:pPr>
              <w:keepNext w:val="0"/>
              <w:keepLines w:val="0"/>
              <w:suppressLineNumbers w:val="0"/>
              <w:spacing w:before="0" w:beforeAutospacing="0" w:after="0" w:afterAutospacing="0"/>
              <w:ind w:left="0" w:right="0" w:firstLine="482"/>
              <w:rPr>
                <w:rFonts w:hint="default"/>
                <w:b/>
                <w:bCs/>
                <w:color w:val="auto"/>
                <w:highlight w:val="none"/>
              </w:rPr>
            </w:pPr>
            <w:r>
              <w:rPr>
                <w:rFonts w:hint="default"/>
                <w:b/>
                <w:bCs/>
                <w:color w:val="auto"/>
                <w:highlight w:val="none"/>
              </w:rPr>
              <w:t>三、</w:t>
            </w:r>
            <w:r>
              <w:rPr>
                <w:rFonts w:hint="eastAsia"/>
                <w:b/>
                <w:bCs/>
                <w:color w:val="auto"/>
                <w:highlight w:val="none"/>
              </w:rPr>
              <w:t>噪声</w:t>
            </w:r>
          </w:p>
          <w:p>
            <w:pPr>
              <w:keepNext w:val="0"/>
              <w:keepLines w:val="0"/>
              <w:suppressLineNumbers w:val="0"/>
              <w:spacing w:before="0" w:beforeAutospacing="0" w:after="0" w:afterAutospacing="0"/>
              <w:ind w:left="0" w:right="0" w:firstLine="480"/>
              <w:rPr>
                <w:rFonts w:hint="default"/>
                <w:color w:val="auto"/>
                <w:highlight w:val="none"/>
              </w:rPr>
            </w:pPr>
            <w:r>
              <w:rPr>
                <w:rFonts w:hint="default"/>
                <w:color w:val="auto"/>
                <w:highlight w:val="none"/>
              </w:rPr>
              <w:t>1、噪声源</w:t>
            </w:r>
            <w:r>
              <w:rPr>
                <w:rFonts w:hint="eastAsia"/>
                <w:color w:val="auto"/>
                <w:highlight w:val="none"/>
              </w:rPr>
              <w:t>及源强分析</w:t>
            </w:r>
          </w:p>
          <w:p>
            <w:pPr>
              <w:keepNext w:val="0"/>
              <w:keepLines w:val="0"/>
              <w:suppressLineNumbers w:val="0"/>
              <w:spacing w:before="0" w:beforeAutospacing="0" w:after="0" w:afterAutospacing="0"/>
              <w:ind w:left="0" w:right="0" w:firstLine="480"/>
              <w:rPr>
                <w:rFonts w:hint="default"/>
                <w:color w:val="auto"/>
                <w:highlight w:val="none"/>
              </w:rPr>
            </w:pPr>
            <w:r>
              <w:rPr>
                <w:rFonts w:hint="default"/>
                <w:color w:val="auto"/>
                <w:highlight w:val="none"/>
              </w:rPr>
              <w:t>项目噪声主要是设备运转时产生的设备噪声，主要设备为挤出机</w:t>
            </w:r>
            <w:r>
              <w:rPr>
                <w:rFonts w:hint="eastAsia"/>
                <w:color w:val="auto"/>
                <w:highlight w:val="none"/>
                <w:lang w:eastAsia="zh-CN"/>
              </w:rPr>
              <w:t>、</w:t>
            </w:r>
            <w:r>
              <w:rPr>
                <w:rFonts w:hint="eastAsia"/>
                <w:color w:val="auto"/>
                <w:highlight w:val="none"/>
              </w:rPr>
              <w:t>冷却塔</w:t>
            </w:r>
            <w:r>
              <w:rPr>
                <w:rFonts w:hint="default"/>
                <w:color w:val="auto"/>
                <w:highlight w:val="none"/>
              </w:rPr>
              <w:t>及风机等，噪声源强约7</w:t>
            </w:r>
            <w:r>
              <w:rPr>
                <w:rFonts w:hint="eastAsia"/>
                <w:color w:val="auto"/>
                <w:highlight w:val="none"/>
                <w:lang w:val="en-US" w:eastAsia="zh-CN"/>
              </w:rPr>
              <w:t>5</w:t>
            </w:r>
            <w:r>
              <w:rPr>
                <w:rFonts w:hint="default"/>
                <w:color w:val="auto"/>
                <w:highlight w:val="none"/>
              </w:rPr>
              <w:t>~</w:t>
            </w:r>
            <w:r>
              <w:rPr>
                <w:rFonts w:hint="eastAsia"/>
                <w:color w:val="auto"/>
                <w:highlight w:val="none"/>
              </w:rPr>
              <w:t>85</w:t>
            </w:r>
            <w:r>
              <w:rPr>
                <w:rFonts w:hint="default"/>
                <w:color w:val="auto"/>
                <w:highlight w:val="none"/>
              </w:rPr>
              <w:t>dB（A）</w:t>
            </w:r>
            <w:r>
              <w:rPr>
                <w:rFonts w:hint="default"/>
                <w:color w:val="auto"/>
                <w:highlight w:val="none"/>
                <w:lang w:bidi="ar"/>
              </w:rPr>
              <w:t>。</w:t>
            </w:r>
            <w:r>
              <w:rPr>
                <w:rFonts w:hint="default"/>
                <w:color w:val="auto"/>
                <w:highlight w:val="none"/>
              </w:rPr>
              <w:t>主要噪声源强</w:t>
            </w:r>
            <w:r>
              <w:rPr>
                <w:rFonts w:hint="eastAsia"/>
                <w:color w:val="auto"/>
                <w:highlight w:val="none"/>
              </w:rPr>
              <w:t>情况见</w:t>
            </w:r>
            <w:r>
              <w:rPr>
                <w:rFonts w:hint="default"/>
                <w:color w:val="auto"/>
                <w:highlight w:val="none"/>
              </w:rPr>
              <w:t>表</w:t>
            </w:r>
            <w:r>
              <w:rPr>
                <w:rFonts w:hint="eastAsia"/>
                <w:color w:val="auto"/>
                <w:highlight w:val="none"/>
              </w:rPr>
              <w:t>4</w:t>
            </w:r>
            <w:r>
              <w:rPr>
                <w:rFonts w:hint="default"/>
                <w:color w:val="auto"/>
                <w:highlight w:val="none"/>
              </w:rPr>
              <w:t>-</w:t>
            </w:r>
            <w:r>
              <w:rPr>
                <w:rFonts w:hint="eastAsia"/>
                <w:color w:val="auto"/>
                <w:highlight w:val="none"/>
              </w:rPr>
              <w:t>8</w:t>
            </w:r>
            <w:r>
              <w:rPr>
                <w:rFonts w:hint="eastAsia"/>
                <w:color w:val="auto"/>
                <w:highlight w:val="none"/>
                <w:lang w:eastAsia="zh-CN"/>
              </w:rPr>
              <w:t>、</w:t>
            </w:r>
            <w:r>
              <w:rPr>
                <w:rFonts w:hint="default"/>
                <w:color w:val="auto"/>
                <w:highlight w:val="none"/>
              </w:rPr>
              <w:t>表</w:t>
            </w:r>
            <w:r>
              <w:rPr>
                <w:rFonts w:hint="eastAsia"/>
                <w:color w:val="auto"/>
                <w:highlight w:val="none"/>
              </w:rPr>
              <w:t>4</w:t>
            </w:r>
            <w:r>
              <w:rPr>
                <w:rFonts w:hint="default"/>
                <w:color w:val="auto"/>
                <w:highlight w:val="none"/>
              </w:rPr>
              <w:t>-</w:t>
            </w:r>
            <w:r>
              <w:rPr>
                <w:rFonts w:hint="eastAsia"/>
                <w:color w:val="auto"/>
                <w:highlight w:val="none"/>
                <w:lang w:val="en-US" w:eastAsia="zh-CN"/>
              </w:rPr>
              <w:t>9</w:t>
            </w:r>
            <w:r>
              <w:rPr>
                <w:rFonts w:hint="default"/>
                <w:color w:val="auto"/>
                <w:highlight w:val="none"/>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rPr>
              <w:t>表4-</w:t>
            </w:r>
            <w:r>
              <w:rPr>
                <w:rFonts w:hint="eastAsia" w:ascii="Times New Roman" w:hAnsi="Times New Roman" w:eastAsia="宋体" w:cs="Times New Roman"/>
                <w:b/>
                <w:bCs/>
                <w:color w:val="auto"/>
                <w:sz w:val="24"/>
                <w:szCs w:val="24"/>
                <w:highlight w:val="none"/>
                <w:lang w:val="en-US" w:eastAsia="zh-CN"/>
              </w:rPr>
              <w:t xml:space="preserve">8 </w:t>
            </w:r>
            <w:r>
              <w:rPr>
                <w:rFonts w:hint="default" w:ascii="Times New Roman" w:hAnsi="Times New Roman" w:eastAsia="宋体" w:cs="Times New Roman"/>
                <w:b/>
                <w:bCs/>
                <w:color w:val="auto"/>
                <w:sz w:val="24"/>
                <w:szCs w:val="24"/>
                <w:highlight w:val="none"/>
              </w:rPr>
              <w:t xml:space="preserve"> </w:t>
            </w:r>
            <w:r>
              <w:rPr>
                <w:rFonts w:hint="eastAsia"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 xml:space="preserve"> </w:t>
            </w:r>
            <w:r>
              <w:rPr>
                <w:rFonts w:hint="eastAsia" w:ascii="Times New Roman" w:hAnsi="Times New Roman" w:eastAsia="宋体" w:cs="Times New Roman"/>
                <w:b/>
                <w:bCs/>
                <w:color w:val="auto"/>
                <w:sz w:val="24"/>
                <w:szCs w:val="24"/>
                <w:highlight w:val="none"/>
                <w:lang w:val="en-US" w:eastAsia="zh-CN"/>
              </w:rPr>
              <w:t>噪声源强调查清单（室外）</w:t>
            </w:r>
          </w:p>
          <w:tbl>
            <w:tblPr>
              <w:tblStyle w:val="3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309"/>
              <w:gridCol w:w="791"/>
              <w:gridCol w:w="1124"/>
              <w:gridCol w:w="1124"/>
              <w:gridCol w:w="938"/>
              <w:gridCol w:w="991"/>
              <w:gridCol w:w="1069"/>
              <w:gridCol w:w="92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791" w:type="pct"/>
                  <w:vMerge w:val="restart"/>
                  <w:tcBorders>
                    <w:tl2br w:val="nil"/>
                    <w:tr2bl w:val="nil"/>
                  </w:tcBorders>
                  <w:shd w:val="clear" w:color="auto" w:fill="auto"/>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声源名称</w:t>
                  </w:r>
                </w:p>
              </w:tc>
              <w:tc>
                <w:tcPr>
                  <w:tcW w:w="478" w:type="pct"/>
                  <w:vMerge w:val="restart"/>
                  <w:tcBorders>
                    <w:tl2br w:val="nil"/>
                    <w:tr2bl w:val="nil"/>
                  </w:tcBorders>
                  <w:shd w:val="clear" w:color="auto" w:fill="auto"/>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r>
                    <w:rPr>
                      <w:rFonts w:hint="default" w:ascii="Times New Roman" w:eastAsiaTheme="minorEastAsia"/>
                      <w:color w:val="auto"/>
                      <w:sz w:val="21"/>
                      <w:szCs w:val="21"/>
                      <w:highlight w:val="none"/>
                      <w:lang w:val="en-US" w:eastAsia="zh-CN"/>
                    </w:rPr>
                    <w:t>数量</w:t>
                  </w:r>
                </w:p>
              </w:tc>
              <w:tc>
                <w:tcPr>
                  <w:tcW w:w="1926" w:type="pct"/>
                  <w:gridSpan w:val="3"/>
                  <w:tcBorders>
                    <w:tl2br w:val="nil"/>
                    <w:tr2bl w:val="nil"/>
                  </w:tcBorders>
                  <w:shd w:val="clear" w:color="auto" w:fill="auto"/>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空间相对位置</w:t>
                  </w:r>
                  <w:r>
                    <w:rPr>
                      <w:rFonts w:hint="default" w:ascii="Times New Roman" w:eastAsiaTheme="minorEastAsia"/>
                      <w:color w:val="auto"/>
                      <w:sz w:val="21"/>
                      <w:szCs w:val="21"/>
                      <w:highlight w:val="none"/>
                      <w:lang w:val="en-US" w:eastAsia="zh-CN"/>
                    </w:rPr>
                    <w:t>/m</w:t>
                  </w:r>
                </w:p>
              </w:tc>
              <w:tc>
                <w:tcPr>
                  <w:tcW w:w="599" w:type="pct"/>
                  <w:tcBorders>
                    <w:tl2br w:val="nil"/>
                    <w:tr2bl w:val="nil"/>
                  </w:tcBorders>
                  <w:shd w:val="clear" w:color="auto" w:fill="auto"/>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声源源强</w:t>
                  </w:r>
                  <w:r>
                    <w:rPr>
                      <w:rFonts w:hint="default" w:ascii="Times New Roman" w:eastAsiaTheme="minorEastAsia"/>
                      <w:color w:val="auto"/>
                      <w:sz w:val="21"/>
                      <w:szCs w:val="21"/>
                      <w:highlight w:val="none"/>
                      <w:lang w:val="en-US" w:eastAsia="zh-CN"/>
                    </w:rPr>
                    <w:t>dB</w:t>
                  </w:r>
                  <w:r>
                    <w:rPr>
                      <w:rFonts w:hint="eastAsia" w:ascii="Times New Roman" w:eastAsiaTheme="minorEastAsia"/>
                      <w:color w:val="auto"/>
                      <w:sz w:val="21"/>
                      <w:szCs w:val="21"/>
                      <w:highlight w:val="none"/>
                      <w:lang w:val="en-US" w:eastAsia="zh-CN"/>
                    </w:rPr>
                    <w:t>（</w:t>
                  </w:r>
                  <w:r>
                    <w:rPr>
                      <w:rFonts w:hint="default" w:ascii="Times New Roman" w:eastAsiaTheme="minorEastAsia"/>
                      <w:color w:val="auto"/>
                      <w:sz w:val="21"/>
                      <w:szCs w:val="21"/>
                      <w:highlight w:val="none"/>
                      <w:lang w:val="en-US" w:eastAsia="zh-CN"/>
                    </w:rPr>
                    <w:t>A</w:t>
                  </w:r>
                  <w:r>
                    <w:rPr>
                      <w:rFonts w:hint="eastAsia" w:ascii="Times New Roman" w:eastAsiaTheme="minorEastAsia"/>
                      <w:color w:val="auto"/>
                      <w:sz w:val="21"/>
                      <w:szCs w:val="21"/>
                      <w:highlight w:val="none"/>
                      <w:lang w:val="en-US" w:eastAsia="zh-CN"/>
                    </w:rPr>
                    <w:t>）</w:t>
                  </w:r>
                </w:p>
              </w:tc>
              <w:tc>
                <w:tcPr>
                  <w:tcW w:w="646" w:type="pct"/>
                  <w:vMerge w:val="restart"/>
                  <w:tcBorders>
                    <w:tl2br w:val="nil"/>
                    <w:tr2bl w:val="nil"/>
                  </w:tcBorders>
                  <w:shd w:val="clear" w:color="auto" w:fill="auto"/>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声源控制措施措施</w:t>
                  </w:r>
                </w:p>
              </w:tc>
              <w:tc>
                <w:tcPr>
                  <w:tcW w:w="557" w:type="pct"/>
                  <w:vMerge w:val="restart"/>
                  <w:tcBorders>
                    <w:tl2br w:val="nil"/>
                    <w:tr2bl w:val="nil"/>
                  </w:tcBorders>
                  <w:shd w:val="clear" w:color="auto" w:fill="auto"/>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r>
                    <w:rPr>
                      <w:rFonts w:hint="default" w:ascii="Times New Roman" w:eastAsiaTheme="minorEastAsia"/>
                      <w:color w:val="auto"/>
                      <w:sz w:val="21"/>
                      <w:szCs w:val="21"/>
                      <w:highlight w:val="none"/>
                      <w:lang w:val="en-US" w:eastAsia="zh-CN"/>
                    </w:rPr>
                    <w:t>运行时段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91" w:type="pct"/>
                  <w:vMerge w:val="continue"/>
                  <w:tcBorders>
                    <w:tl2br w:val="nil"/>
                    <w:tr2bl w:val="nil"/>
                  </w:tcBorders>
                  <w:shd w:val="clear" w:color="auto" w:fill="auto"/>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p>
              </w:tc>
              <w:tc>
                <w:tcPr>
                  <w:tcW w:w="478" w:type="pct"/>
                  <w:vMerge w:val="continue"/>
                  <w:tcBorders>
                    <w:tl2br w:val="nil"/>
                    <w:tr2bl w:val="nil"/>
                  </w:tcBorders>
                  <w:shd w:val="clear" w:color="auto" w:fill="auto"/>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p>
              </w:tc>
              <w:tc>
                <w:tcPr>
                  <w:tcW w:w="679" w:type="pct"/>
                  <w:tcBorders>
                    <w:tl2br w:val="nil"/>
                    <w:tr2bl w:val="nil"/>
                  </w:tcBorders>
                  <w:shd w:val="clear" w:color="auto" w:fill="auto"/>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r>
                    <w:rPr>
                      <w:rFonts w:hint="default" w:ascii="Times New Roman" w:eastAsiaTheme="minorEastAsia"/>
                      <w:color w:val="auto"/>
                      <w:sz w:val="21"/>
                      <w:szCs w:val="21"/>
                      <w:highlight w:val="none"/>
                      <w:lang w:val="en-US" w:eastAsia="zh-CN"/>
                    </w:rPr>
                    <w:t>X</w:t>
                  </w:r>
                </w:p>
              </w:tc>
              <w:tc>
                <w:tcPr>
                  <w:tcW w:w="679" w:type="pct"/>
                  <w:tcBorders>
                    <w:tl2br w:val="nil"/>
                    <w:tr2bl w:val="nil"/>
                  </w:tcBorders>
                  <w:shd w:val="clear" w:color="auto" w:fill="auto"/>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r>
                    <w:rPr>
                      <w:rFonts w:hint="default" w:ascii="Times New Roman" w:eastAsiaTheme="minorEastAsia"/>
                      <w:color w:val="auto"/>
                      <w:sz w:val="21"/>
                      <w:szCs w:val="21"/>
                      <w:highlight w:val="none"/>
                      <w:lang w:val="en-US" w:eastAsia="zh-CN"/>
                    </w:rPr>
                    <w:t>Y</w:t>
                  </w:r>
                </w:p>
              </w:tc>
              <w:tc>
                <w:tcPr>
                  <w:tcW w:w="567" w:type="pct"/>
                  <w:tcBorders>
                    <w:tl2br w:val="nil"/>
                    <w:tr2bl w:val="nil"/>
                  </w:tcBorders>
                  <w:shd w:val="clear" w:color="auto" w:fill="auto"/>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r>
                    <w:rPr>
                      <w:rFonts w:hint="default" w:ascii="Times New Roman" w:eastAsiaTheme="minorEastAsia"/>
                      <w:color w:val="auto"/>
                      <w:sz w:val="21"/>
                      <w:szCs w:val="21"/>
                      <w:highlight w:val="none"/>
                      <w:lang w:val="en-US" w:eastAsia="zh-CN"/>
                    </w:rPr>
                    <w:t>Z</w:t>
                  </w:r>
                </w:p>
              </w:tc>
              <w:tc>
                <w:tcPr>
                  <w:tcW w:w="599" w:type="pct"/>
                  <w:tcBorders>
                    <w:tl2br w:val="nil"/>
                    <w:tr2bl w:val="nil"/>
                  </w:tcBorders>
                  <w:shd w:val="clear" w:color="auto" w:fill="auto"/>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r>
                    <w:rPr>
                      <w:rFonts w:hint="default" w:ascii="Times New Roman" w:eastAsiaTheme="minorEastAsia"/>
                      <w:color w:val="auto"/>
                      <w:sz w:val="21"/>
                      <w:szCs w:val="21"/>
                      <w:highlight w:val="none"/>
                      <w:lang w:val="en-US" w:eastAsia="zh-CN"/>
                    </w:rPr>
                    <w:t>声功率级</w:t>
                  </w:r>
                </w:p>
              </w:tc>
              <w:tc>
                <w:tcPr>
                  <w:tcW w:w="646" w:type="pct"/>
                  <w:vMerge w:val="continue"/>
                  <w:tcBorders>
                    <w:tl2br w:val="nil"/>
                    <w:tr2bl w:val="nil"/>
                  </w:tcBorders>
                  <w:shd w:val="clear" w:color="auto" w:fill="auto"/>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p>
              </w:tc>
              <w:tc>
                <w:tcPr>
                  <w:tcW w:w="557" w:type="pct"/>
                  <w:vMerge w:val="continue"/>
                  <w:tcBorders>
                    <w:tl2br w:val="nil"/>
                    <w:tr2bl w:val="nil"/>
                  </w:tcBorders>
                  <w:shd w:val="clear" w:color="auto" w:fill="auto"/>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91" w:type="pct"/>
                  <w:tcBorders>
                    <w:tl2br w:val="nil"/>
                    <w:tr2bl w:val="nil"/>
                  </w:tcBorders>
                  <w:shd w:val="clear" w:color="auto" w:fill="auto"/>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活性炭吸附装置风机</w:t>
                  </w:r>
                </w:p>
              </w:tc>
              <w:tc>
                <w:tcPr>
                  <w:tcW w:w="478" w:type="pct"/>
                  <w:tcBorders>
                    <w:tl2br w:val="nil"/>
                    <w:tr2bl w:val="nil"/>
                  </w:tcBorders>
                  <w:shd w:val="clear" w:color="auto" w:fill="auto"/>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1</w:t>
                  </w:r>
                </w:p>
              </w:tc>
              <w:tc>
                <w:tcPr>
                  <w:tcW w:w="679" w:type="pct"/>
                  <w:tcBorders>
                    <w:tl2br w:val="nil"/>
                    <w:tr2bl w:val="nil"/>
                  </w:tcBorders>
                  <w:shd w:val="clear" w:color="auto" w:fill="auto"/>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46.06</w:t>
                  </w:r>
                </w:p>
              </w:tc>
              <w:tc>
                <w:tcPr>
                  <w:tcW w:w="679" w:type="pct"/>
                  <w:tcBorders>
                    <w:tl2br w:val="nil"/>
                    <w:tr2bl w:val="nil"/>
                  </w:tcBorders>
                  <w:shd w:val="clear" w:color="auto" w:fill="auto"/>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12.73</w:t>
                  </w:r>
                </w:p>
              </w:tc>
              <w:tc>
                <w:tcPr>
                  <w:tcW w:w="567" w:type="pct"/>
                  <w:tcBorders>
                    <w:tl2br w:val="nil"/>
                    <w:tr2bl w:val="nil"/>
                  </w:tcBorders>
                  <w:shd w:val="clear" w:color="auto" w:fill="auto"/>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r>
                    <w:rPr>
                      <w:rFonts w:hint="default" w:ascii="Times New Roman" w:eastAsiaTheme="minorEastAsia"/>
                      <w:color w:val="auto"/>
                      <w:sz w:val="21"/>
                      <w:szCs w:val="21"/>
                      <w:highlight w:val="none"/>
                      <w:lang w:val="en-US" w:eastAsia="zh-CN"/>
                    </w:rPr>
                    <w:t>1</w:t>
                  </w:r>
                </w:p>
              </w:tc>
              <w:tc>
                <w:tcPr>
                  <w:tcW w:w="599" w:type="pct"/>
                  <w:tcBorders>
                    <w:tl2br w:val="nil"/>
                    <w:tr2bl w:val="nil"/>
                  </w:tcBorders>
                  <w:shd w:val="clear" w:color="auto" w:fill="auto"/>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r>
                    <w:rPr>
                      <w:rFonts w:hint="default" w:ascii="Times New Roman" w:eastAsiaTheme="minorEastAsia"/>
                      <w:color w:val="auto"/>
                      <w:sz w:val="21"/>
                      <w:szCs w:val="21"/>
                      <w:highlight w:val="none"/>
                      <w:lang w:val="en-US" w:eastAsia="zh-CN"/>
                    </w:rPr>
                    <w:t>8</w:t>
                  </w:r>
                  <w:r>
                    <w:rPr>
                      <w:rFonts w:hint="eastAsia" w:ascii="Times New Roman" w:eastAsiaTheme="minorEastAsia"/>
                      <w:color w:val="auto"/>
                      <w:sz w:val="21"/>
                      <w:szCs w:val="21"/>
                      <w:highlight w:val="none"/>
                      <w:lang w:val="en-US" w:eastAsia="zh-CN"/>
                    </w:rPr>
                    <w:t>5</w:t>
                  </w:r>
                </w:p>
              </w:tc>
              <w:tc>
                <w:tcPr>
                  <w:tcW w:w="646" w:type="pct"/>
                  <w:tcBorders>
                    <w:tl2br w:val="nil"/>
                    <w:tr2bl w:val="nil"/>
                  </w:tcBorders>
                  <w:shd w:val="clear" w:color="auto" w:fill="auto"/>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基础减振、柔性连接</w:t>
                  </w:r>
                </w:p>
              </w:tc>
              <w:tc>
                <w:tcPr>
                  <w:tcW w:w="557" w:type="pct"/>
                  <w:vMerge w:val="restart"/>
                  <w:tcBorders>
                    <w:tl2br w:val="nil"/>
                    <w:tr2bl w:val="nil"/>
                  </w:tcBorders>
                  <w:shd w:val="clear" w:color="auto" w:fill="auto"/>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连续稳定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91" w:type="pct"/>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eastAsiaTheme="minorEastAsia"/>
                      <w:color w:val="auto"/>
                      <w:sz w:val="21"/>
                      <w:szCs w:val="21"/>
                      <w:highlight w:val="none"/>
                      <w:lang w:val="en-US" w:eastAsia="zh-CN"/>
                    </w:rPr>
                  </w:pPr>
                  <w:r>
                    <w:rPr>
                      <w:rFonts w:hint="default"/>
                      <w:color w:val="auto"/>
                      <w:kern w:val="0"/>
                      <w:sz w:val="21"/>
                      <w:szCs w:val="20"/>
                      <w:highlight w:val="none"/>
                    </w:rPr>
                    <w:t>冷却</w:t>
                  </w:r>
                  <w:r>
                    <w:rPr>
                      <w:rFonts w:hint="eastAsia"/>
                      <w:color w:val="auto"/>
                      <w:kern w:val="0"/>
                      <w:sz w:val="21"/>
                      <w:szCs w:val="20"/>
                      <w:highlight w:val="none"/>
                    </w:rPr>
                    <w:t>塔</w:t>
                  </w:r>
                </w:p>
              </w:tc>
              <w:tc>
                <w:tcPr>
                  <w:tcW w:w="478" w:type="pct"/>
                  <w:tcBorders>
                    <w:tl2br w:val="nil"/>
                    <w:tr2bl w:val="nil"/>
                  </w:tcBorders>
                  <w:shd w:val="clear" w:color="auto" w:fill="auto"/>
                  <w:vAlign w:val="center"/>
                </w:tcPr>
                <w:p>
                  <w:pPr>
                    <w:pStyle w:val="48"/>
                    <w:keepNext w:val="0"/>
                    <w:keepLines w:val="0"/>
                    <w:suppressLineNumbers w:val="0"/>
                    <w:spacing w:before="0" w:beforeLines="0" w:beforeAutospacing="0" w:after="0" w:afterLines="0" w:afterAutospacing="0" w:line="240" w:lineRule="auto"/>
                    <w:ind w:left="0" w:leftChars="0" w:right="0" w:rightChars="0" w:firstLine="0" w:firstLineChars="0"/>
                    <w:rPr>
                      <w:rFonts w:hint="eastAsia" w:ascii="Times New Roman" w:eastAsiaTheme="minorEastAsia"/>
                      <w:color w:val="auto"/>
                      <w:sz w:val="21"/>
                      <w:szCs w:val="21"/>
                      <w:highlight w:val="none"/>
                      <w:lang w:val="en-US" w:eastAsia="zh-CN"/>
                    </w:rPr>
                  </w:pPr>
                  <w:r>
                    <w:rPr>
                      <w:rFonts w:hint="default" w:ascii="Times New Roman" w:eastAsiaTheme="minorEastAsia"/>
                      <w:color w:val="auto"/>
                      <w:sz w:val="21"/>
                      <w:szCs w:val="21"/>
                      <w:highlight w:val="none"/>
                      <w:lang w:val="en-US" w:eastAsia="zh-CN"/>
                    </w:rPr>
                    <w:t>1</w:t>
                  </w:r>
                </w:p>
              </w:tc>
              <w:tc>
                <w:tcPr>
                  <w:tcW w:w="679" w:type="pct"/>
                  <w:tcBorders>
                    <w:tl2br w:val="nil"/>
                    <w:tr2bl w:val="nil"/>
                  </w:tcBorders>
                  <w:shd w:val="clear" w:color="auto" w:fill="auto"/>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36.68</w:t>
                  </w:r>
                </w:p>
              </w:tc>
              <w:tc>
                <w:tcPr>
                  <w:tcW w:w="679" w:type="pct"/>
                  <w:tcBorders>
                    <w:tl2br w:val="nil"/>
                    <w:tr2bl w:val="nil"/>
                  </w:tcBorders>
                  <w:shd w:val="clear" w:color="auto" w:fill="auto"/>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11.88</w:t>
                  </w:r>
                </w:p>
              </w:tc>
              <w:tc>
                <w:tcPr>
                  <w:tcW w:w="567" w:type="pct"/>
                  <w:tcBorders>
                    <w:tl2br w:val="nil"/>
                    <w:tr2bl w:val="nil"/>
                  </w:tcBorders>
                  <w:shd w:val="clear" w:color="auto" w:fill="auto"/>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1</w:t>
                  </w:r>
                </w:p>
              </w:tc>
              <w:tc>
                <w:tcPr>
                  <w:tcW w:w="599" w:type="pct"/>
                  <w:tcBorders>
                    <w:tl2br w:val="nil"/>
                    <w:tr2bl w:val="nil"/>
                  </w:tcBorders>
                  <w:shd w:val="clear" w:color="auto" w:fill="auto"/>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80</w:t>
                  </w:r>
                </w:p>
              </w:tc>
              <w:tc>
                <w:tcPr>
                  <w:tcW w:w="646" w:type="pct"/>
                  <w:tcBorders>
                    <w:tl2br w:val="nil"/>
                    <w:tr2bl w:val="nil"/>
                  </w:tcBorders>
                  <w:shd w:val="clear" w:color="auto" w:fill="auto"/>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基础减振</w:t>
                  </w:r>
                </w:p>
              </w:tc>
              <w:tc>
                <w:tcPr>
                  <w:tcW w:w="557" w:type="pct"/>
                  <w:vMerge w:val="continue"/>
                  <w:tcBorders>
                    <w:tl2br w:val="nil"/>
                    <w:tr2bl w:val="nil"/>
                  </w:tcBorders>
                  <w:shd w:val="clear" w:color="auto" w:fill="auto"/>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00" w:type="pct"/>
                  <w:gridSpan w:val="8"/>
                  <w:tcBorders>
                    <w:tl2br w:val="nil"/>
                    <w:tr2bl w:val="nil"/>
                  </w:tcBorders>
                  <w:shd w:val="clear" w:color="auto" w:fill="auto"/>
                  <w:vAlign w:val="center"/>
                </w:tcPr>
                <w:p>
                  <w:pPr>
                    <w:pStyle w:val="48"/>
                    <w:keepNext w:val="0"/>
                    <w:keepLines w:val="0"/>
                    <w:suppressLineNumbers w:val="0"/>
                    <w:spacing w:before="0" w:beforeLines="0" w:beforeAutospacing="0" w:after="0" w:afterLines="0" w:afterAutospacing="0" w:line="240" w:lineRule="auto"/>
                    <w:ind w:left="0" w:right="0" w:firstLine="0" w:firstLineChars="0"/>
                    <w:jc w:val="left"/>
                    <w:rPr>
                      <w:rFonts w:hint="default"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注：坐标原点位于厂区西南角。</w:t>
                  </w:r>
                </w:p>
              </w:tc>
            </w:tr>
          </w:tbl>
          <w:p>
            <w:pPr>
              <w:keepNext w:val="0"/>
              <w:keepLines w:val="0"/>
              <w:suppressLineNumbers w:val="0"/>
              <w:spacing w:before="120" w:beforeLines="50" w:beforeAutospacing="0" w:after="0" w:afterAutospacing="0" w:line="240" w:lineRule="auto"/>
              <w:ind w:left="0" w:right="0"/>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表4-</w:t>
            </w:r>
            <w:r>
              <w:rPr>
                <w:rFonts w:hint="eastAsia" w:ascii="Times New Roman" w:hAnsi="Times New Roman" w:eastAsia="宋体" w:cs="Times New Roman"/>
                <w:b/>
                <w:bCs/>
                <w:color w:val="auto"/>
                <w:sz w:val="24"/>
                <w:szCs w:val="24"/>
                <w:highlight w:val="none"/>
                <w:lang w:val="en-US" w:eastAsia="zh-CN"/>
              </w:rPr>
              <w:t>9</w:t>
            </w:r>
            <w:r>
              <w:rPr>
                <w:rFonts w:hint="default" w:ascii="Times New Roman" w:hAnsi="Times New Roman" w:eastAsia="宋体" w:cs="Times New Roman"/>
                <w:b/>
                <w:bCs/>
                <w:color w:val="auto"/>
                <w:sz w:val="24"/>
                <w:szCs w:val="24"/>
                <w:highlight w:val="none"/>
              </w:rPr>
              <w:t xml:space="preserve">  </w:t>
            </w:r>
            <w:r>
              <w:rPr>
                <w:rFonts w:hint="eastAsia"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 xml:space="preserve"> </w:t>
            </w:r>
            <w:r>
              <w:rPr>
                <w:rFonts w:hint="eastAsia" w:ascii="Times New Roman" w:hAnsi="Times New Roman" w:eastAsia="宋体" w:cs="Times New Roman"/>
                <w:b/>
                <w:bCs/>
                <w:color w:val="auto"/>
                <w:sz w:val="24"/>
                <w:szCs w:val="24"/>
                <w:highlight w:val="none"/>
                <w:lang w:val="en-US" w:eastAsia="zh-CN"/>
              </w:rPr>
              <w:t>噪声源强调查清单（室内）</w:t>
            </w:r>
          </w:p>
          <w:tbl>
            <w:tblPr>
              <w:tblStyle w:val="37"/>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33"/>
              <w:gridCol w:w="1227"/>
              <w:gridCol w:w="652"/>
              <w:gridCol w:w="997"/>
              <w:gridCol w:w="979"/>
              <w:gridCol w:w="890"/>
              <w:gridCol w:w="911"/>
              <w:gridCol w:w="691"/>
              <w:gridCol w:w="602"/>
              <w:gridCol w:w="7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22" w:type="pct"/>
                  <w:vMerge w:val="restart"/>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r>
                    <w:rPr>
                      <w:rFonts w:hint="default" w:ascii="Times New Roman" w:eastAsiaTheme="minorEastAsia"/>
                      <w:color w:val="auto"/>
                      <w:sz w:val="21"/>
                      <w:szCs w:val="21"/>
                      <w:highlight w:val="none"/>
                      <w:lang w:val="en-US" w:eastAsia="zh-CN"/>
                    </w:rPr>
                    <w:t>建筑名称</w:t>
                  </w:r>
                </w:p>
              </w:tc>
              <w:tc>
                <w:tcPr>
                  <w:tcW w:w="742" w:type="pct"/>
                  <w:vMerge w:val="restart"/>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r>
                    <w:rPr>
                      <w:rFonts w:hint="default" w:ascii="Times New Roman" w:eastAsiaTheme="minorEastAsia"/>
                      <w:color w:val="auto"/>
                      <w:sz w:val="21"/>
                      <w:szCs w:val="21"/>
                      <w:highlight w:val="none"/>
                      <w:lang w:val="en-US" w:eastAsia="zh-CN"/>
                    </w:rPr>
                    <w:t>声源</w:t>
                  </w:r>
                  <w:r>
                    <w:rPr>
                      <w:rFonts w:hint="eastAsia" w:ascii="Times New Roman" w:eastAsiaTheme="minorEastAsia"/>
                      <w:color w:val="auto"/>
                      <w:sz w:val="21"/>
                      <w:szCs w:val="21"/>
                      <w:highlight w:val="none"/>
                      <w:lang w:val="en-US" w:eastAsia="zh-CN"/>
                    </w:rPr>
                    <w:t>名称</w:t>
                  </w:r>
                </w:p>
              </w:tc>
              <w:tc>
                <w:tcPr>
                  <w:tcW w:w="394" w:type="pct"/>
                  <w:vMerge w:val="restart"/>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zh-CN" w:eastAsia="zh-CN"/>
                    </w:rPr>
                  </w:pPr>
                  <w:r>
                    <w:rPr>
                      <w:rFonts w:hint="default" w:ascii="Times New Roman" w:eastAsiaTheme="minorEastAsia"/>
                      <w:color w:val="auto"/>
                      <w:sz w:val="21"/>
                      <w:szCs w:val="21"/>
                      <w:highlight w:val="none"/>
                      <w:lang w:val="zh-CN" w:eastAsia="zh-CN"/>
                    </w:rPr>
                    <w:t>数量</w:t>
                  </w:r>
                </w:p>
              </w:tc>
              <w:tc>
                <w:tcPr>
                  <w:tcW w:w="603" w:type="pct"/>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声源源强</w:t>
                  </w:r>
                  <w:r>
                    <w:rPr>
                      <w:rFonts w:hint="default" w:ascii="Times New Roman" w:eastAsiaTheme="minorEastAsia"/>
                      <w:color w:val="auto"/>
                      <w:sz w:val="21"/>
                      <w:szCs w:val="21"/>
                      <w:highlight w:val="none"/>
                      <w:lang w:val="en-US" w:eastAsia="zh-CN"/>
                    </w:rPr>
                    <w:t>dB（A）</w:t>
                  </w:r>
                </w:p>
              </w:tc>
              <w:tc>
                <w:tcPr>
                  <w:tcW w:w="592" w:type="pct"/>
                  <w:vMerge w:val="restart"/>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声源控制</w:t>
                  </w:r>
                  <w:r>
                    <w:rPr>
                      <w:rFonts w:hint="default" w:ascii="Times New Roman" w:eastAsiaTheme="minorEastAsia"/>
                      <w:color w:val="auto"/>
                      <w:sz w:val="21"/>
                      <w:szCs w:val="21"/>
                      <w:highlight w:val="none"/>
                      <w:lang w:val="en-US" w:eastAsia="zh-CN"/>
                    </w:rPr>
                    <w:t>措施</w:t>
                  </w:r>
                </w:p>
              </w:tc>
              <w:tc>
                <w:tcPr>
                  <w:tcW w:w="1507" w:type="pct"/>
                  <w:gridSpan w:val="3"/>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空间相对位置/m</w:t>
                  </w:r>
                </w:p>
              </w:tc>
              <w:tc>
                <w:tcPr>
                  <w:tcW w:w="364" w:type="pct"/>
                  <w:vMerge w:val="restart"/>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zh-CN" w:eastAsia="zh-CN"/>
                    </w:rPr>
                  </w:pPr>
                  <w:r>
                    <w:rPr>
                      <w:rFonts w:hint="default" w:ascii="Times New Roman" w:eastAsiaTheme="minorEastAsia"/>
                      <w:color w:val="auto"/>
                      <w:sz w:val="21"/>
                      <w:szCs w:val="21"/>
                      <w:highlight w:val="none"/>
                      <w:lang w:val="en-US" w:eastAsia="zh-CN"/>
                    </w:rPr>
                    <w:t>运行时</w:t>
                  </w:r>
                  <w:r>
                    <w:rPr>
                      <w:rFonts w:hint="eastAsia" w:ascii="Times New Roman" w:eastAsiaTheme="minorEastAsia"/>
                      <w:color w:val="auto"/>
                      <w:sz w:val="21"/>
                      <w:szCs w:val="21"/>
                      <w:highlight w:val="none"/>
                      <w:lang w:val="en-US" w:eastAsia="zh-CN"/>
                    </w:rPr>
                    <w:t>段</w:t>
                  </w:r>
                </w:p>
              </w:tc>
              <w:tc>
                <w:tcPr>
                  <w:tcW w:w="473" w:type="pct"/>
                  <w:vMerge w:val="restart"/>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r>
                    <w:rPr>
                      <w:rFonts w:hint="default" w:ascii="Times New Roman" w:eastAsiaTheme="minorEastAsia"/>
                      <w:color w:val="auto"/>
                      <w:sz w:val="21"/>
                      <w:szCs w:val="21"/>
                      <w:highlight w:val="none"/>
                      <w:lang w:val="zh-CN" w:eastAsia="zh-CN"/>
                    </w:rPr>
                    <w:t>建筑物插入损失/dB(A)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22" w:type="pct"/>
                  <w:vMerge w:val="continue"/>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zh-CN" w:eastAsia="zh-CN"/>
                    </w:rPr>
                  </w:pPr>
                </w:p>
              </w:tc>
              <w:tc>
                <w:tcPr>
                  <w:tcW w:w="742" w:type="pct"/>
                  <w:vMerge w:val="continue"/>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zh-CN" w:eastAsia="zh-CN"/>
                    </w:rPr>
                  </w:pPr>
                </w:p>
              </w:tc>
              <w:tc>
                <w:tcPr>
                  <w:tcW w:w="394" w:type="pct"/>
                  <w:vMerge w:val="continue"/>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zh-CN" w:eastAsia="zh-CN"/>
                    </w:rPr>
                  </w:pPr>
                </w:p>
              </w:tc>
              <w:tc>
                <w:tcPr>
                  <w:tcW w:w="603" w:type="pct"/>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声功率级</w:t>
                  </w:r>
                </w:p>
              </w:tc>
              <w:tc>
                <w:tcPr>
                  <w:tcW w:w="592" w:type="pct"/>
                  <w:vMerge w:val="continue"/>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p>
              </w:tc>
              <w:tc>
                <w:tcPr>
                  <w:tcW w:w="538" w:type="pct"/>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X</w:t>
                  </w:r>
                </w:p>
              </w:tc>
              <w:tc>
                <w:tcPr>
                  <w:tcW w:w="551" w:type="pct"/>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Y</w:t>
                  </w:r>
                </w:p>
              </w:tc>
              <w:tc>
                <w:tcPr>
                  <w:tcW w:w="418" w:type="pct"/>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Z</w:t>
                  </w:r>
                </w:p>
              </w:tc>
              <w:tc>
                <w:tcPr>
                  <w:tcW w:w="364" w:type="pct"/>
                  <w:vMerge w:val="continue"/>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p>
              </w:tc>
              <w:tc>
                <w:tcPr>
                  <w:tcW w:w="473" w:type="pct"/>
                  <w:vMerge w:val="continue"/>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22" w:type="pct"/>
                  <w:vMerge w:val="restart"/>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生产车间</w:t>
                  </w:r>
                </w:p>
              </w:tc>
              <w:tc>
                <w:tcPr>
                  <w:tcW w:w="742" w:type="pct"/>
                  <w:vMerge w:val="restart"/>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r>
                    <w:rPr>
                      <w:rFonts w:hint="default" w:ascii="Times New Roman" w:eastAsiaTheme="minorEastAsia"/>
                      <w:color w:val="auto"/>
                      <w:sz w:val="21"/>
                      <w:szCs w:val="21"/>
                      <w:highlight w:val="none"/>
                      <w:lang w:val="en-US" w:eastAsia="zh-CN"/>
                    </w:rPr>
                    <w:t>挤出机</w:t>
                  </w:r>
                </w:p>
              </w:tc>
              <w:tc>
                <w:tcPr>
                  <w:tcW w:w="394" w:type="pct"/>
                  <w:vMerge w:val="restart"/>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6</w:t>
                  </w:r>
                </w:p>
              </w:tc>
              <w:tc>
                <w:tcPr>
                  <w:tcW w:w="603" w:type="pct"/>
                  <w:vMerge w:val="restart"/>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r>
                    <w:rPr>
                      <w:rFonts w:hint="default" w:ascii="Times New Roman" w:eastAsiaTheme="minorEastAsia"/>
                      <w:color w:val="auto"/>
                      <w:sz w:val="21"/>
                      <w:szCs w:val="21"/>
                      <w:highlight w:val="none"/>
                      <w:lang w:val="en-US" w:eastAsia="zh-CN"/>
                    </w:rPr>
                    <w:t>75</w:t>
                  </w:r>
                </w:p>
              </w:tc>
              <w:tc>
                <w:tcPr>
                  <w:tcW w:w="592" w:type="pct"/>
                  <w:vMerge w:val="restart"/>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r>
                    <w:rPr>
                      <w:rFonts w:hint="default" w:ascii="Times New Roman"/>
                      <w:color w:val="auto"/>
                      <w:sz w:val="21"/>
                      <w:szCs w:val="21"/>
                      <w:highlight w:val="none"/>
                    </w:rPr>
                    <w:t>采用低噪声设备、基础减振、厂房隔声等</w:t>
                  </w:r>
                </w:p>
              </w:tc>
              <w:tc>
                <w:tcPr>
                  <w:tcW w:w="538" w:type="pct"/>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43.69,</w:t>
                  </w:r>
                </w:p>
              </w:tc>
              <w:tc>
                <w:tcPr>
                  <w:tcW w:w="551" w:type="pct"/>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38.32</w:t>
                  </w:r>
                </w:p>
              </w:tc>
              <w:tc>
                <w:tcPr>
                  <w:tcW w:w="418" w:type="pct"/>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1</w:t>
                  </w:r>
                </w:p>
              </w:tc>
              <w:tc>
                <w:tcPr>
                  <w:tcW w:w="364" w:type="pct"/>
                  <w:vMerge w:val="restart"/>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r>
                    <w:rPr>
                      <w:rFonts w:hint="default" w:ascii="Times New Roman"/>
                      <w:color w:val="auto"/>
                      <w:sz w:val="21"/>
                      <w:szCs w:val="21"/>
                      <w:highlight w:val="none"/>
                    </w:rPr>
                    <w:t>连续稳定</w:t>
                  </w:r>
                </w:p>
              </w:tc>
              <w:tc>
                <w:tcPr>
                  <w:tcW w:w="473" w:type="pct"/>
                  <w:vMerge w:val="restart"/>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22" w:type="pct"/>
                  <w:vMerge w:val="continue"/>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c>
                <w:tcPr>
                  <w:tcW w:w="742" w:type="pct"/>
                  <w:vMerge w:val="continue"/>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p>
              </w:tc>
              <w:tc>
                <w:tcPr>
                  <w:tcW w:w="394" w:type="pct"/>
                  <w:vMerge w:val="continue"/>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p>
              </w:tc>
              <w:tc>
                <w:tcPr>
                  <w:tcW w:w="603" w:type="pct"/>
                  <w:vMerge w:val="continue"/>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p>
              </w:tc>
              <w:tc>
                <w:tcPr>
                  <w:tcW w:w="592" w:type="pct"/>
                  <w:vMerge w:val="continue"/>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c>
                <w:tcPr>
                  <w:tcW w:w="538" w:type="pct"/>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44.26</w:t>
                  </w:r>
                </w:p>
              </w:tc>
              <w:tc>
                <w:tcPr>
                  <w:tcW w:w="551" w:type="pct"/>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33.78</w:t>
                  </w:r>
                </w:p>
              </w:tc>
              <w:tc>
                <w:tcPr>
                  <w:tcW w:w="418" w:type="pct"/>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1</w:t>
                  </w:r>
                </w:p>
              </w:tc>
              <w:tc>
                <w:tcPr>
                  <w:tcW w:w="364" w:type="pct"/>
                  <w:vMerge w:val="continue"/>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c>
                <w:tcPr>
                  <w:tcW w:w="473" w:type="pct"/>
                  <w:vMerge w:val="continue"/>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22" w:type="pct"/>
                  <w:vMerge w:val="continue"/>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c>
                <w:tcPr>
                  <w:tcW w:w="742" w:type="pct"/>
                  <w:vMerge w:val="continue"/>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p>
              </w:tc>
              <w:tc>
                <w:tcPr>
                  <w:tcW w:w="394" w:type="pct"/>
                  <w:vMerge w:val="continue"/>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p>
              </w:tc>
              <w:tc>
                <w:tcPr>
                  <w:tcW w:w="603" w:type="pct"/>
                  <w:vMerge w:val="continue"/>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p>
              </w:tc>
              <w:tc>
                <w:tcPr>
                  <w:tcW w:w="592" w:type="pct"/>
                  <w:vMerge w:val="continue"/>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c>
                <w:tcPr>
                  <w:tcW w:w="538" w:type="pct"/>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44.57</w:t>
                  </w:r>
                </w:p>
              </w:tc>
              <w:tc>
                <w:tcPr>
                  <w:tcW w:w="551" w:type="pct"/>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29.51</w:t>
                  </w:r>
                </w:p>
              </w:tc>
              <w:tc>
                <w:tcPr>
                  <w:tcW w:w="418" w:type="pct"/>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1</w:t>
                  </w:r>
                </w:p>
              </w:tc>
              <w:tc>
                <w:tcPr>
                  <w:tcW w:w="364" w:type="pct"/>
                  <w:vMerge w:val="continue"/>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c>
                <w:tcPr>
                  <w:tcW w:w="473" w:type="pct"/>
                  <w:vMerge w:val="continue"/>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22" w:type="pct"/>
                  <w:vMerge w:val="continue"/>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c>
                <w:tcPr>
                  <w:tcW w:w="742" w:type="pct"/>
                  <w:vMerge w:val="continue"/>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p>
              </w:tc>
              <w:tc>
                <w:tcPr>
                  <w:tcW w:w="394" w:type="pct"/>
                  <w:vMerge w:val="continue"/>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p>
              </w:tc>
              <w:tc>
                <w:tcPr>
                  <w:tcW w:w="603" w:type="pct"/>
                  <w:vMerge w:val="continue"/>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p>
              </w:tc>
              <w:tc>
                <w:tcPr>
                  <w:tcW w:w="592" w:type="pct"/>
                  <w:vMerge w:val="continue"/>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c>
                <w:tcPr>
                  <w:tcW w:w="538" w:type="pct"/>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44.88</w:t>
                  </w:r>
                </w:p>
              </w:tc>
              <w:tc>
                <w:tcPr>
                  <w:tcW w:w="551" w:type="pct"/>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25.49</w:t>
                  </w:r>
                </w:p>
              </w:tc>
              <w:tc>
                <w:tcPr>
                  <w:tcW w:w="418" w:type="pct"/>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1</w:t>
                  </w:r>
                </w:p>
              </w:tc>
              <w:tc>
                <w:tcPr>
                  <w:tcW w:w="364" w:type="pct"/>
                  <w:vMerge w:val="continue"/>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c>
                <w:tcPr>
                  <w:tcW w:w="473" w:type="pct"/>
                  <w:vMerge w:val="continue"/>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22" w:type="pct"/>
                  <w:vMerge w:val="continue"/>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c>
                <w:tcPr>
                  <w:tcW w:w="742" w:type="pct"/>
                  <w:vMerge w:val="continue"/>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p>
              </w:tc>
              <w:tc>
                <w:tcPr>
                  <w:tcW w:w="394" w:type="pct"/>
                  <w:vMerge w:val="continue"/>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p>
              </w:tc>
              <w:tc>
                <w:tcPr>
                  <w:tcW w:w="603" w:type="pct"/>
                  <w:vMerge w:val="continue"/>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p>
              </w:tc>
              <w:tc>
                <w:tcPr>
                  <w:tcW w:w="592" w:type="pct"/>
                  <w:vMerge w:val="continue"/>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c>
                <w:tcPr>
                  <w:tcW w:w="538" w:type="pct"/>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45.35</w:t>
                  </w:r>
                </w:p>
              </w:tc>
              <w:tc>
                <w:tcPr>
                  <w:tcW w:w="551" w:type="pct"/>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21.47</w:t>
                  </w:r>
                </w:p>
              </w:tc>
              <w:tc>
                <w:tcPr>
                  <w:tcW w:w="418" w:type="pct"/>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1</w:t>
                  </w:r>
                </w:p>
              </w:tc>
              <w:tc>
                <w:tcPr>
                  <w:tcW w:w="364" w:type="pct"/>
                  <w:vMerge w:val="continue"/>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c>
                <w:tcPr>
                  <w:tcW w:w="473" w:type="pct"/>
                  <w:vMerge w:val="continue"/>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22" w:type="pct"/>
                  <w:vMerge w:val="continue"/>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c>
                <w:tcPr>
                  <w:tcW w:w="742" w:type="pct"/>
                  <w:vMerge w:val="continue"/>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p>
              </w:tc>
              <w:tc>
                <w:tcPr>
                  <w:tcW w:w="394" w:type="pct"/>
                  <w:vMerge w:val="continue"/>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p>
              </w:tc>
              <w:tc>
                <w:tcPr>
                  <w:tcW w:w="603" w:type="pct"/>
                  <w:vMerge w:val="continue"/>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p>
              </w:tc>
              <w:tc>
                <w:tcPr>
                  <w:tcW w:w="592" w:type="pct"/>
                  <w:vMerge w:val="continue"/>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c>
                <w:tcPr>
                  <w:tcW w:w="538" w:type="pct"/>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45.75</w:t>
                  </w:r>
                </w:p>
              </w:tc>
              <w:tc>
                <w:tcPr>
                  <w:tcW w:w="551" w:type="pct"/>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17.85</w:t>
                  </w:r>
                </w:p>
              </w:tc>
              <w:tc>
                <w:tcPr>
                  <w:tcW w:w="418" w:type="pct"/>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1</w:t>
                  </w:r>
                </w:p>
              </w:tc>
              <w:tc>
                <w:tcPr>
                  <w:tcW w:w="364" w:type="pct"/>
                  <w:vMerge w:val="continue"/>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c>
                <w:tcPr>
                  <w:tcW w:w="473" w:type="pct"/>
                  <w:vMerge w:val="continue"/>
                  <w:tcBorders>
                    <w:tl2br w:val="nil"/>
                    <w:tr2bl w:val="nil"/>
                  </w:tcBorders>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22" w:type="pct"/>
                  <w:vMerge w:val="continue"/>
                  <w:noWrap w:val="0"/>
                  <w:vAlign w:val="top"/>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p>
              </w:tc>
              <w:tc>
                <w:tcPr>
                  <w:tcW w:w="742" w:type="pct"/>
                  <w:vMerge w:val="restart"/>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eastAsiaTheme="minorEastAsia"/>
                      <w:color w:val="auto"/>
                      <w:sz w:val="21"/>
                      <w:szCs w:val="21"/>
                      <w:highlight w:val="none"/>
                      <w:lang w:val="en-US" w:eastAsia="zh-CN"/>
                    </w:rPr>
                  </w:pPr>
                  <w:r>
                    <w:rPr>
                      <w:rFonts w:hint="eastAsia" w:eastAsiaTheme="minorEastAsia"/>
                      <w:color w:val="auto"/>
                      <w:sz w:val="21"/>
                      <w:szCs w:val="21"/>
                      <w:highlight w:val="none"/>
                      <w:lang w:val="en-US" w:eastAsia="zh-CN"/>
                    </w:rPr>
                    <w:t>切割机</w:t>
                  </w:r>
                </w:p>
              </w:tc>
              <w:tc>
                <w:tcPr>
                  <w:tcW w:w="394" w:type="pct"/>
                  <w:vMerge w:val="restart"/>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6</w:t>
                  </w:r>
                </w:p>
              </w:tc>
              <w:tc>
                <w:tcPr>
                  <w:tcW w:w="603" w:type="pct"/>
                  <w:vMerge w:val="restart"/>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80</w:t>
                  </w:r>
                </w:p>
              </w:tc>
              <w:tc>
                <w:tcPr>
                  <w:tcW w:w="592" w:type="pct"/>
                  <w:vMerge w:val="continue"/>
                  <w:noWrap w:val="0"/>
                  <w:vAlign w:val="top"/>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c>
                <w:tcPr>
                  <w:tcW w:w="538" w:type="pct"/>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57.76</w:t>
                  </w:r>
                </w:p>
              </w:tc>
              <w:tc>
                <w:tcPr>
                  <w:tcW w:w="551" w:type="pct"/>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39.97</w:t>
                  </w:r>
                </w:p>
              </w:tc>
              <w:tc>
                <w:tcPr>
                  <w:tcW w:w="418" w:type="pct"/>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1</w:t>
                  </w:r>
                </w:p>
              </w:tc>
              <w:tc>
                <w:tcPr>
                  <w:tcW w:w="364" w:type="pct"/>
                  <w:vMerge w:val="continue"/>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c>
                <w:tcPr>
                  <w:tcW w:w="473" w:type="pct"/>
                  <w:vMerge w:val="continue"/>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22" w:type="pct"/>
                  <w:vMerge w:val="continue"/>
                  <w:noWrap w:val="0"/>
                  <w:vAlign w:val="top"/>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p>
              </w:tc>
              <w:tc>
                <w:tcPr>
                  <w:tcW w:w="742" w:type="pct"/>
                  <w:vMerge w:val="continue"/>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Theme="minorEastAsia"/>
                      <w:color w:val="auto"/>
                      <w:sz w:val="21"/>
                      <w:szCs w:val="21"/>
                      <w:highlight w:val="none"/>
                      <w:lang w:val="en-US" w:eastAsia="zh-CN"/>
                    </w:rPr>
                  </w:pPr>
                </w:p>
              </w:tc>
              <w:tc>
                <w:tcPr>
                  <w:tcW w:w="394" w:type="pct"/>
                  <w:vMerge w:val="continue"/>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c>
                <w:tcPr>
                  <w:tcW w:w="603" w:type="pct"/>
                  <w:vMerge w:val="continue"/>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c>
                <w:tcPr>
                  <w:tcW w:w="592" w:type="pct"/>
                  <w:vMerge w:val="continue"/>
                  <w:noWrap w:val="0"/>
                  <w:vAlign w:val="top"/>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c>
                <w:tcPr>
                  <w:tcW w:w="538" w:type="pct"/>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58.44</w:t>
                  </w:r>
                </w:p>
              </w:tc>
              <w:tc>
                <w:tcPr>
                  <w:tcW w:w="551" w:type="pct"/>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35.32</w:t>
                  </w:r>
                </w:p>
              </w:tc>
              <w:tc>
                <w:tcPr>
                  <w:tcW w:w="418" w:type="pct"/>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1</w:t>
                  </w:r>
                </w:p>
              </w:tc>
              <w:tc>
                <w:tcPr>
                  <w:tcW w:w="364" w:type="pct"/>
                  <w:vMerge w:val="continue"/>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c>
                <w:tcPr>
                  <w:tcW w:w="473" w:type="pct"/>
                  <w:vMerge w:val="continue"/>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22" w:type="pct"/>
                  <w:vMerge w:val="continue"/>
                  <w:noWrap w:val="0"/>
                  <w:vAlign w:val="top"/>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p>
              </w:tc>
              <w:tc>
                <w:tcPr>
                  <w:tcW w:w="742" w:type="pct"/>
                  <w:vMerge w:val="continue"/>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Theme="minorEastAsia"/>
                      <w:color w:val="auto"/>
                      <w:sz w:val="21"/>
                      <w:szCs w:val="21"/>
                      <w:highlight w:val="none"/>
                      <w:lang w:val="en-US" w:eastAsia="zh-CN"/>
                    </w:rPr>
                  </w:pPr>
                </w:p>
              </w:tc>
              <w:tc>
                <w:tcPr>
                  <w:tcW w:w="394" w:type="pct"/>
                  <w:vMerge w:val="continue"/>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c>
                <w:tcPr>
                  <w:tcW w:w="603" w:type="pct"/>
                  <w:vMerge w:val="continue"/>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c>
                <w:tcPr>
                  <w:tcW w:w="592" w:type="pct"/>
                  <w:vMerge w:val="continue"/>
                  <w:noWrap w:val="0"/>
                  <w:vAlign w:val="top"/>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c>
                <w:tcPr>
                  <w:tcW w:w="538" w:type="pct"/>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58.82</w:t>
                  </w:r>
                </w:p>
              </w:tc>
              <w:tc>
                <w:tcPr>
                  <w:tcW w:w="551" w:type="pct"/>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30.67</w:t>
                  </w:r>
                </w:p>
              </w:tc>
              <w:tc>
                <w:tcPr>
                  <w:tcW w:w="418" w:type="pct"/>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1</w:t>
                  </w:r>
                </w:p>
              </w:tc>
              <w:tc>
                <w:tcPr>
                  <w:tcW w:w="364" w:type="pct"/>
                  <w:vMerge w:val="continue"/>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c>
                <w:tcPr>
                  <w:tcW w:w="473" w:type="pct"/>
                  <w:vMerge w:val="continue"/>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22" w:type="pct"/>
                  <w:vMerge w:val="continue"/>
                  <w:noWrap w:val="0"/>
                  <w:vAlign w:val="top"/>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p>
              </w:tc>
              <w:tc>
                <w:tcPr>
                  <w:tcW w:w="742" w:type="pct"/>
                  <w:vMerge w:val="continue"/>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Theme="minorEastAsia"/>
                      <w:color w:val="auto"/>
                      <w:sz w:val="21"/>
                      <w:szCs w:val="21"/>
                      <w:highlight w:val="none"/>
                      <w:lang w:val="en-US" w:eastAsia="zh-CN"/>
                    </w:rPr>
                  </w:pPr>
                </w:p>
              </w:tc>
              <w:tc>
                <w:tcPr>
                  <w:tcW w:w="394" w:type="pct"/>
                  <w:vMerge w:val="continue"/>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c>
                <w:tcPr>
                  <w:tcW w:w="603" w:type="pct"/>
                  <w:vMerge w:val="continue"/>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c>
                <w:tcPr>
                  <w:tcW w:w="592" w:type="pct"/>
                  <w:vMerge w:val="continue"/>
                  <w:noWrap w:val="0"/>
                  <w:vAlign w:val="top"/>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c>
                <w:tcPr>
                  <w:tcW w:w="538" w:type="pct"/>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59.28</w:t>
                  </w:r>
                </w:p>
              </w:tc>
              <w:tc>
                <w:tcPr>
                  <w:tcW w:w="551" w:type="pct"/>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26.56</w:t>
                  </w:r>
                </w:p>
              </w:tc>
              <w:tc>
                <w:tcPr>
                  <w:tcW w:w="418" w:type="pct"/>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1</w:t>
                  </w:r>
                </w:p>
              </w:tc>
              <w:tc>
                <w:tcPr>
                  <w:tcW w:w="364" w:type="pct"/>
                  <w:vMerge w:val="continue"/>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c>
                <w:tcPr>
                  <w:tcW w:w="473" w:type="pct"/>
                  <w:vMerge w:val="continue"/>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22" w:type="pct"/>
                  <w:vMerge w:val="continue"/>
                  <w:noWrap w:val="0"/>
                  <w:vAlign w:val="top"/>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p>
              </w:tc>
              <w:tc>
                <w:tcPr>
                  <w:tcW w:w="742" w:type="pct"/>
                  <w:vMerge w:val="continue"/>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Theme="minorEastAsia"/>
                      <w:color w:val="auto"/>
                      <w:sz w:val="21"/>
                      <w:szCs w:val="21"/>
                      <w:highlight w:val="none"/>
                      <w:lang w:val="en-US" w:eastAsia="zh-CN"/>
                    </w:rPr>
                  </w:pPr>
                </w:p>
              </w:tc>
              <w:tc>
                <w:tcPr>
                  <w:tcW w:w="394" w:type="pct"/>
                  <w:vMerge w:val="continue"/>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c>
                <w:tcPr>
                  <w:tcW w:w="603" w:type="pct"/>
                  <w:vMerge w:val="continue"/>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c>
                <w:tcPr>
                  <w:tcW w:w="592" w:type="pct"/>
                  <w:vMerge w:val="continue"/>
                  <w:noWrap w:val="0"/>
                  <w:vAlign w:val="top"/>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c>
                <w:tcPr>
                  <w:tcW w:w="538" w:type="pct"/>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59.66</w:t>
                  </w:r>
                </w:p>
              </w:tc>
              <w:tc>
                <w:tcPr>
                  <w:tcW w:w="551" w:type="pct"/>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22.22</w:t>
                  </w:r>
                </w:p>
              </w:tc>
              <w:tc>
                <w:tcPr>
                  <w:tcW w:w="418" w:type="pct"/>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1</w:t>
                  </w:r>
                </w:p>
              </w:tc>
              <w:tc>
                <w:tcPr>
                  <w:tcW w:w="364" w:type="pct"/>
                  <w:vMerge w:val="continue"/>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c>
                <w:tcPr>
                  <w:tcW w:w="473" w:type="pct"/>
                  <w:vMerge w:val="continue"/>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22" w:type="pct"/>
                  <w:vMerge w:val="continue"/>
                  <w:noWrap w:val="0"/>
                  <w:vAlign w:val="top"/>
                </w:tcPr>
                <w:p>
                  <w:pPr>
                    <w:pStyle w:val="48"/>
                    <w:keepNext w:val="0"/>
                    <w:keepLines w:val="0"/>
                    <w:suppressLineNumbers w:val="0"/>
                    <w:spacing w:before="0" w:beforeLines="0" w:beforeAutospacing="0" w:after="0" w:afterLines="0" w:afterAutospacing="0" w:line="240" w:lineRule="auto"/>
                    <w:ind w:left="0" w:right="0" w:firstLine="0" w:firstLineChars="0"/>
                    <w:rPr>
                      <w:rFonts w:hint="default" w:ascii="Times New Roman" w:eastAsiaTheme="minorEastAsia"/>
                      <w:color w:val="auto"/>
                      <w:sz w:val="21"/>
                      <w:szCs w:val="21"/>
                      <w:highlight w:val="none"/>
                      <w:lang w:val="en-US" w:eastAsia="zh-CN"/>
                    </w:rPr>
                  </w:pPr>
                </w:p>
              </w:tc>
              <w:tc>
                <w:tcPr>
                  <w:tcW w:w="742" w:type="pct"/>
                  <w:vMerge w:val="continue"/>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Theme="minorEastAsia"/>
                      <w:color w:val="auto"/>
                      <w:sz w:val="21"/>
                      <w:szCs w:val="21"/>
                      <w:highlight w:val="none"/>
                      <w:lang w:val="en-US" w:eastAsia="zh-CN"/>
                    </w:rPr>
                  </w:pPr>
                </w:p>
              </w:tc>
              <w:tc>
                <w:tcPr>
                  <w:tcW w:w="394" w:type="pct"/>
                  <w:vMerge w:val="continue"/>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c>
                <w:tcPr>
                  <w:tcW w:w="603" w:type="pct"/>
                  <w:vMerge w:val="continue"/>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c>
                <w:tcPr>
                  <w:tcW w:w="592" w:type="pct"/>
                  <w:vMerge w:val="continue"/>
                  <w:noWrap w:val="0"/>
                  <w:vAlign w:val="top"/>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c>
                <w:tcPr>
                  <w:tcW w:w="538" w:type="pct"/>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60.04</w:t>
                  </w:r>
                </w:p>
              </w:tc>
              <w:tc>
                <w:tcPr>
                  <w:tcW w:w="551" w:type="pct"/>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17.87</w:t>
                  </w:r>
                </w:p>
              </w:tc>
              <w:tc>
                <w:tcPr>
                  <w:tcW w:w="418" w:type="pct"/>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1</w:t>
                  </w:r>
                </w:p>
              </w:tc>
              <w:tc>
                <w:tcPr>
                  <w:tcW w:w="364" w:type="pct"/>
                  <w:vMerge w:val="continue"/>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c>
                <w:tcPr>
                  <w:tcW w:w="473" w:type="pct"/>
                  <w:vMerge w:val="continue"/>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rPr>
                      <w:rFonts w:hint="eastAsia" w:ascii="Times New Roman" w:eastAsiaTheme="minorEastAsia"/>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22" w:type="pct"/>
                  <w:vMerge w:val="continue"/>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jc w:val="center"/>
                    <w:rPr>
                      <w:rFonts w:hint="default" w:ascii="Times New Roman" w:eastAsiaTheme="minorEastAsia"/>
                      <w:color w:val="auto"/>
                      <w:sz w:val="21"/>
                      <w:szCs w:val="21"/>
                      <w:highlight w:val="none"/>
                      <w:lang w:val="en-US" w:eastAsia="zh-CN"/>
                    </w:rPr>
                  </w:pPr>
                </w:p>
              </w:tc>
              <w:tc>
                <w:tcPr>
                  <w:tcW w:w="742" w:type="pct"/>
                  <w:noWrap w:val="0"/>
                  <w:vAlign w:val="center"/>
                </w:tcPr>
                <w:p>
                  <w:pPr>
                    <w:pStyle w:val="80"/>
                    <w:keepNext w:val="0"/>
                    <w:keepLines w:val="0"/>
                    <w:widowControl/>
                    <w:suppressLineNumbers w:val="0"/>
                    <w:spacing w:before="0" w:beforeAutospacing="0" w:after="0" w:afterAutospacing="0"/>
                    <w:ind w:left="0" w:right="0"/>
                    <w:jc w:val="center"/>
                    <w:rPr>
                      <w:rFonts w:hint="default" w:ascii="Times New Roman" w:eastAsiaTheme="minorEastAsia"/>
                      <w:color w:val="auto"/>
                      <w:sz w:val="21"/>
                      <w:szCs w:val="21"/>
                      <w:highlight w:val="none"/>
                      <w:lang w:val="en-US" w:eastAsia="zh-CN"/>
                    </w:rPr>
                  </w:pPr>
                  <w:r>
                    <w:rPr>
                      <w:rFonts w:hint="eastAsia"/>
                      <w:color w:val="auto"/>
                      <w:szCs w:val="20"/>
                      <w:highlight w:val="none"/>
                      <w:lang w:val="en-US" w:eastAsia="zh-CN"/>
                    </w:rPr>
                    <w:t>水泵</w:t>
                  </w:r>
                </w:p>
              </w:tc>
              <w:tc>
                <w:tcPr>
                  <w:tcW w:w="394" w:type="pct"/>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jc w:val="center"/>
                    <w:rPr>
                      <w:rFonts w:hint="default"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1</w:t>
                  </w:r>
                </w:p>
              </w:tc>
              <w:tc>
                <w:tcPr>
                  <w:tcW w:w="603" w:type="pct"/>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jc w:val="center"/>
                    <w:rPr>
                      <w:rFonts w:hint="eastAsia"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85</w:t>
                  </w:r>
                </w:p>
              </w:tc>
              <w:tc>
                <w:tcPr>
                  <w:tcW w:w="592" w:type="pct"/>
                  <w:vMerge w:val="continue"/>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jc w:val="center"/>
                    <w:rPr>
                      <w:rFonts w:hint="eastAsia" w:ascii="Times New Roman" w:eastAsiaTheme="minorEastAsia"/>
                      <w:color w:val="auto"/>
                      <w:sz w:val="21"/>
                      <w:szCs w:val="21"/>
                      <w:highlight w:val="none"/>
                      <w:lang w:val="en-US" w:eastAsia="zh-CN"/>
                    </w:rPr>
                  </w:pPr>
                </w:p>
              </w:tc>
              <w:tc>
                <w:tcPr>
                  <w:tcW w:w="538" w:type="pct"/>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jc w:val="center"/>
                    <w:rPr>
                      <w:rFonts w:hint="default"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36.11</w:t>
                  </w:r>
                </w:p>
              </w:tc>
              <w:tc>
                <w:tcPr>
                  <w:tcW w:w="551" w:type="pct"/>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jc w:val="center"/>
                    <w:rPr>
                      <w:rFonts w:hint="default"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15.82</w:t>
                  </w:r>
                </w:p>
              </w:tc>
              <w:tc>
                <w:tcPr>
                  <w:tcW w:w="418" w:type="pct"/>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jc w:val="center"/>
                    <w:rPr>
                      <w:rFonts w:hint="default"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1</w:t>
                  </w:r>
                </w:p>
              </w:tc>
              <w:tc>
                <w:tcPr>
                  <w:tcW w:w="364" w:type="pct"/>
                  <w:vMerge w:val="continue"/>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jc w:val="center"/>
                    <w:rPr>
                      <w:rFonts w:hint="eastAsia" w:ascii="Times New Roman" w:eastAsiaTheme="minorEastAsia"/>
                      <w:color w:val="auto"/>
                      <w:sz w:val="21"/>
                      <w:szCs w:val="21"/>
                      <w:highlight w:val="none"/>
                      <w:lang w:val="en-US" w:eastAsia="zh-CN"/>
                    </w:rPr>
                  </w:pPr>
                </w:p>
              </w:tc>
              <w:tc>
                <w:tcPr>
                  <w:tcW w:w="473" w:type="pct"/>
                  <w:vMerge w:val="continue"/>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jc w:val="center"/>
                    <w:rPr>
                      <w:rFonts w:hint="eastAsia" w:ascii="Times New Roman" w:eastAsiaTheme="minorEastAsia"/>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00" w:type="pct"/>
                  <w:gridSpan w:val="10"/>
                  <w:noWrap w:val="0"/>
                  <w:vAlign w:val="center"/>
                </w:tcPr>
                <w:p>
                  <w:pPr>
                    <w:pStyle w:val="48"/>
                    <w:keepNext w:val="0"/>
                    <w:keepLines w:val="0"/>
                    <w:suppressLineNumbers w:val="0"/>
                    <w:spacing w:before="0" w:beforeLines="0" w:beforeAutospacing="0" w:after="0" w:afterLines="0" w:afterAutospacing="0" w:line="240" w:lineRule="auto"/>
                    <w:ind w:left="0" w:right="0" w:firstLine="0" w:firstLineChars="0"/>
                    <w:jc w:val="left"/>
                    <w:rPr>
                      <w:rFonts w:hint="eastAsia" w:ascii="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lang w:val="en-US" w:eastAsia="zh-CN"/>
                    </w:rPr>
                    <w:t>注：坐标原点位于厂区西南角。</w:t>
                  </w:r>
                </w:p>
              </w:tc>
            </w:tr>
          </w:tbl>
          <w:p>
            <w:pPr>
              <w:pStyle w:val="77"/>
              <w:keepNext w:val="0"/>
              <w:keepLines w:val="0"/>
              <w:widowControl/>
              <w:suppressLineNumbers w:val="0"/>
              <w:spacing w:before="0" w:beforeLines="0" w:beforeAutospacing="0" w:after="0" w:afterAutospacing="0" w:line="240" w:lineRule="auto"/>
              <w:ind w:left="0" w:right="0"/>
              <w:rPr>
                <w:rFonts w:hint="default" w:eastAsia="宋体"/>
                <w:b/>
                <w:bCs/>
                <w:color w:val="auto"/>
                <w:highlight w:val="none"/>
                <w:lang w:val="zh-CN"/>
              </w:rPr>
            </w:pPr>
          </w:p>
          <w:p>
            <w:pPr>
              <w:pStyle w:val="2"/>
              <w:keepNext w:val="0"/>
              <w:keepLines w:val="0"/>
              <w:suppressLineNumbers w:val="0"/>
              <w:spacing w:before="0" w:beforeAutospacing="0" w:after="0" w:afterAutospacing="0"/>
              <w:ind w:left="0" w:right="0" w:firstLine="480"/>
              <w:rPr>
                <w:rFonts w:hint="default"/>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、预测结果及达标分析</w:t>
            </w:r>
          </w:p>
          <w:p>
            <w:pPr>
              <w:keepNext w:val="0"/>
              <w:keepLines w:val="0"/>
              <w:suppressLineNumbers w:val="0"/>
              <w:tabs>
                <w:tab w:val="left" w:pos="4027"/>
              </w:tabs>
              <w:adjustRightInd w:val="0"/>
              <w:snapToGrid w:val="0"/>
              <w:spacing w:before="0" w:beforeAutospacing="0" w:after="0" w:afterAutospacing="0"/>
              <w:ind w:left="0" w:right="0" w:firstLine="480"/>
              <w:rPr>
                <w:rFonts w:hint="default"/>
                <w:color w:val="auto"/>
                <w:highlight w:val="none"/>
              </w:rPr>
            </w:pPr>
            <w:r>
              <w:rPr>
                <w:rFonts w:hint="default"/>
                <w:color w:val="auto"/>
                <w:highlight w:val="none"/>
              </w:rPr>
              <w:t>预测模式根据《环境影响评价技术导则 声环境》（HJ2.4-20</w:t>
            </w:r>
            <w:r>
              <w:rPr>
                <w:rFonts w:hint="eastAsia"/>
                <w:color w:val="auto"/>
                <w:highlight w:val="none"/>
              </w:rPr>
              <w:t>21</w:t>
            </w:r>
            <w:r>
              <w:rPr>
                <w:rFonts w:hint="default"/>
                <w:color w:val="auto"/>
                <w:highlight w:val="none"/>
              </w:rPr>
              <w:t>）选取，</w:t>
            </w:r>
            <w:r>
              <w:rPr>
                <w:rFonts w:hint="default"/>
                <w:color w:val="auto"/>
                <w:kern w:val="0"/>
                <w:szCs w:val="20"/>
                <w:highlight w:val="none"/>
                <w:lang w:val="zh-CN"/>
              </w:rPr>
              <w:t>根据项目噪声源源强、所在位置，利用噪声预测模式和方法，对厂界四周的噪声值进行预测</w:t>
            </w:r>
            <w:r>
              <w:rPr>
                <w:rFonts w:hint="eastAsia"/>
                <w:color w:val="auto"/>
                <w:kern w:val="0"/>
                <w:szCs w:val="20"/>
                <w:highlight w:val="none"/>
                <w:lang w:val="zh-CN"/>
              </w:rPr>
              <w:t>。</w:t>
            </w:r>
            <w:r>
              <w:rPr>
                <w:rFonts w:hint="default"/>
                <w:color w:val="auto"/>
                <w:kern w:val="0"/>
                <w:szCs w:val="20"/>
                <w:highlight w:val="none"/>
                <w:lang w:val="zh-CN"/>
              </w:rPr>
              <w:t>噪声影响预测结果见</w:t>
            </w:r>
            <w:r>
              <w:rPr>
                <w:rFonts w:hint="default"/>
                <w:color w:val="auto"/>
                <w:kern w:val="0"/>
                <w:szCs w:val="20"/>
                <w:highlight w:val="none"/>
              </w:rPr>
              <w:t>下</w:t>
            </w:r>
            <w:r>
              <w:rPr>
                <w:rFonts w:hint="default"/>
                <w:color w:val="auto"/>
                <w:kern w:val="0"/>
                <w:szCs w:val="20"/>
                <w:highlight w:val="none"/>
                <w:lang w:val="zh-CN"/>
              </w:rPr>
              <w:t>表</w:t>
            </w:r>
            <w:r>
              <w:rPr>
                <w:rFonts w:hint="default"/>
                <w:color w:val="auto"/>
                <w:highlight w:val="none"/>
              </w:rPr>
              <w:t>。</w:t>
            </w:r>
          </w:p>
          <w:p>
            <w:pPr>
              <w:pStyle w:val="77"/>
              <w:keepNext w:val="0"/>
              <w:keepLines w:val="0"/>
              <w:widowControl/>
              <w:suppressLineNumbers w:val="0"/>
              <w:spacing w:before="0" w:beforeLines="0" w:beforeAutospacing="0" w:after="0" w:afterAutospacing="0" w:line="240" w:lineRule="auto"/>
              <w:ind w:left="0" w:right="0"/>
              <w:rPr>
                <w:rFonts w:hint="default" w:eastAsia="宋体"/>
                <w:b/>
                <w:bCs/>
                <w:color w:val="auto"/>
                <w:highlight w:val="none"/>
              </w:rPr>
            </w:pPr>
            <w:r>
              <w:rPr>
                <w:rFonts w:hint="eastAsia" w:eastAsia="宋体"/>
                <w:b/>
                <w:bCs/>
                <w:color w:val="auto"/>
                <w:highlight w:val="none"/>
              </w:rPr>
              <w:t xml:space="preserve">表4-10  </w:t>
            </w:r>
            <w:r>
              <w:rPr>
                <w:rFonts w:hint="eastAsia" w:eastAsia="宋体"/>
                <w:b/>
                <w:bCs/>
                <w:color w:val="auto"/>
                <w:highlight w:val="none"/>
                <w:lang w:val="en-US" w:eastAsia="zh-CN"/>
              </w:rPr>
              <w:t xml:space="preserve"> </w:t>
            </w:r>
            <w:r>
              <w:rPr>
                <w:rFonts w:hint="eastAsia" w:eastAsia="宋体"/>
                <w:b/>
                <w:bCs/>
                <w:color w:val="auto"/>
                <w:highlight w:val="none"/>
              </w:rPr>
              <w:t xml:space="preserve"> 项目厂界噪声值预测列表    单位：dB(A)</w:t>
            </w:r>
          </w:p>
          <w:tbl>
            <w:tblPr>
              <w:tblStyle w:val="3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483"/>
              <w:gridCol w:w="1895"/>
              <w:gridCol w:w="1983"/>
              <w:gridCol w:w="17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vMerge w:val="restart"/>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firstLine="0" w:firstLineChars="0"/>
                    <w:contextualSpacing/>
                    <w:jc w:val="center"/>
                    <w:rPr>
                      <w:rFonts w:hint="default"/>
                      <w:bCs/>
                      <w:color w:val="auto"/>
                      <w:kern w:val="0"/>
                      <w:sz w:val="21"/>
                      <w:szCs w:val="21"/>
                      <w:highlight w:val="none"/>
                    </w:rPr>
                  </w:pPr>
                  <w:r>
                    <w:rPr>
                      <w:rFonts w:hint="default"/>
                      <w:bCs/>
                      <w:color w:val="auto"/>
                      <w:kern w:val="0"/>
                      <w:sz w:val="21"/>
                      <w:szCs w:val="21"/>
                      <w:highlight w:val="none"/>
                    </w:rPr>
                    <w:t>类别</w:t>
                  </w:r>
                </w:p>
              </w:tc>
              <w:tc>
                <w:tcPr>
                  <w:tcW w:w="2042" w:type="pct"/>
                  <w:gridSpan w:val="2"/>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firstLine="0" w:firstLineChars="0"/>
                    <w:contextualSpacing/>
                    <w:jc w:val="center"/>
                    <w:rPr>
                      <w:rFonts w:hint="default"/>
                      <w:bCs/>
                      <w:color w:val="auto"/>
                      <w:kern w:val="0"/>
                      <w:sz w:val="21"/>
                      <w:szCs w:val="21"/>
                      <w:highlight w:val="none"/>
                    </w:rPr>
                  </w:pPr>
                  <w:r>
                    <w:rPr>
                      <w:rFonts w:hint="default"/>
                      <w:bCs/>
                      <w:color w:val="auto"/>
                      <w:kern w:val="0"/>
                      <w:sz w:val="21"/>
                      <w:szCs w:val="21"/>
                      <w:highlight w:val="none"/>
                    </w:rPr>
                    <w:t>昼间</w:t>
                  </w:r>
                </w:p>
              </w:tc>
              <w:tc>
                <w:tcPr>
                  <w:tcW w:w="2227" w:type="pct"/>
                  <w:gridSpan w:val="2"/>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firstLine="0" w:firstLineChars="0"/>
                    <w:contextualSpacing/>
                    <w:jc w:val="center"/>
                    <w:rPr>
                      <w:rFonts w:hint="eastAsia" w:eastAsia="宋体"/>
                      <w:bCs/>
                      <w:color w:val="auto"/>
                      <w:kern w:val="0"/>
                      <w:sz w:val="21"/>
                      <w:szCs w:val="21"/>
                      <w:highlight w:val="none"/>
                      <w:lang w:val="en-US" w:eastAsia="zh-CN"/>
                    </w:rPr>
                  </w:pPr>
                  <w:r>
                    <w:rPr>
                      <w:rFonts w:hint="eastAsia"/>
                      <w:bCs/>
                      <w:color w:val="auto"/>
                      <w:kern w:val="0"/>
                      <w:sz w:val="21"/>
                      <w:szCs w:val="21"/>
                      <w:highlight w:val="none"/>
                      <w:lang w:val="en-US" w:eastAsia="zh-CN"/>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vMerge w:val="continue"/>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firstLine="0" w:firstLineChars="0"/>
                    <w:contextualSpacing/>
                    <w:jc w:val="center"/>
                    <w:rPr>
                      <w:rFonts w:hint="default"/>
                      <w:bCs/>
                      <w:color w:val="auto"/>
                      <w:kern w:val="0"/>
                      <w:sz w:val="21"/>
                      <w:szCs w:val="21"/>
                      <w:highlight w:val="none"/>
                    </w:rPr>
                  </w:pPr>
                </w:p>
              </w:tc>
              <w:tc>
                <w:tcPr>
                  <w:tcW w:w="896" w:type="pct"/>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firstLine="0" w:firstLineChars="0"/>
                    <w:contextualSpacing/>
                    <w:jc w:val="center"/>
                    <w:rPr>
                      <w:rFonts w:hint="default"/>
                      <w:bCs/>
                      <w:color w:val="auto"/>
                      <w:kern w:val="0"/>
                      <w:sz w:val="21"/>
                      <w:szCs w:val="21"/>
                      <w:highlight w:val="none"/>
                    </w:rPr>
                  </w:pPr>
                  <w:r>
                    <w:rPr>
                      <w:rFonts w:hint="default"/>
                      <w:bCs/>
                      <w:color w:val="auto"/>
                      <w:kern w:val="0"/>
                      <w:sz w:val="21"/>
                      <w:szCs w:val="21"/>
                      <w:highlight w:val="none"/>
                    </w:rPr>
                    <w:t>最大贡献值</w:t>
                  </w:r>
                </w:p>
              </w:tc>
              <w:tc>
                <w:tcPr>
                  <w:tcW w:w="1145" w:type="pct"/>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firstLine="0" w:firstLineChars="0"/>
                    <w:contextualSpacing/>
                    <w:jc w:val="center"/>
                    <w:rPr>
                      <w:rFonts w:hint="default"/>
                      <w:bCs/>
                      <w:color w:val="auto"/>
                      <w:kern w:val="0"/>
                      <w:sz w:val="21"/>
                      <w:szCs w:val="21"/>
                      <w:highlight w:val="none"/>
                    </w:rPr>
                  </w:pPr>
                  <w:r>
                    <w:rPr>
                      <w:rFonts w:hint="default"/>
                      <w:bCs/>
                      <w:color w:val="auto"/>
                      <w:kern w:val="0"/>
                      <w:sz w:val="21"/>
                      <w:szCs w:val="21"/>
                      <w:highlight w:val="none"/>
                    </w:rPr>
                    <w:t>最大贡献值出现位置（X,Y）m</w:t>
                  </w:r>
                </w:p>
              </w:tc>
              <w:tc>
                <w:tcPr>
                  <w:tcW w:w="1983" w:type="dxa"/>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firstLine="0" w:firstLineChars="0"/>
                    <w:contextualSpacing/>
                    <w:jc w:val="center"/>
                    <w:rPr>
                      <w:rFonts w:hint="default"/>
                      <w:bCs/>
                      <w:color w:val="auto"/>
                      <w:kern w:val="0"/>
                      <w:sz w:val="21"/>
                      <w:szCs w:val="21"/>
                      <w:highlight w:val="none"/>
                    </w:rPr>
                  </w:pPr>
                  <w:r>
                    <w:rPr>
                      <w:rFonts w:hint="default"/>
                      <w:bCs/>
                      <w:color w:val="auto"/>
                      <w:kern w:val="0"/>
                      <w:sz w:val="21"/>
                      <w:szCs w:val="21"/>
                      <w:highlight w:val="none"/>
                    </w:rPr>
                    <w:t>最大贡献值</w:t>
                  </w:r>
                </w:p>
              </w:tc>
              <w:tc>
                <w:tcPr>
                  <w:tcW w:w="1700" w:type="dxa"/>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firstLine="0" w:firstLineChars="0"/>
                    <w:contextualSpacing/>
                    <w:jc w:val="center"/>
                    <w:rPr>
                      <w:rFonts w:hint="default"/>
                      <w:bCs/>
                      <w:color w:val="auto"/>
                      <w:kern w:val="0"/>
                      <w:sz w:val="21"/>
                      <w:szCs w:val="21"/>
                      <w:highlight w:val="none"/>
                    </w:rPr>
                  </w:pPr>
                  <w:r>
                    <w:rPr>
                      <w:rFonts w:hint="default"/>
                      <w:bCs/>
                      <w:color w:val="auto"/>
                      <w:kern w:val="0"/>
                      <w:sz w:val="21"/>
                      <w:szCs w:val="21"/>
                      <w:highlight w:val="none"/>
                    </w:rPr>
                    <w:t>最大贡献值出现位置（X,Y）m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firstLine="0" w:firstLineChars="0"/>
                    <w:contextualSpacing/>
                    <w:jc w:val="center"/>
                    <w:rPr>
                      <w:rFonts w:hint="default"/>
                      <w:bCs/>
                      <w:color w:val="auto"/>
                      <w:kern w:val="0"/>
                      <w:sz w:val="21"/>
                      <w:szCs w:val="21"/>
                      <w:highlight w:val="none"/>
                    </w:rPr>
                  </w:pPr>
                  <w:r>
                    <w:rPr>
                      <w:rFonts w:hint="default"/>
                      <w:bCs/>
                      <w:color w:val="auto"/>
                      <w:kern w:val="0"/>
                      <w:sz w:val="21"/>
                      <w:szCs w:val="21"/>
                      <w:highlight w:val="none"/>
                    </w:rPr>
                    <w:t>东厂界</w:t>
                  </w:r>
                </w:p>
              </w:tc>
              <w:tc>
                <w:tcPr>
                  <w:tcW w:w="896" w:type="pct"/>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firstLine="0" w:firstLineChars="0"/>
                    <w:contextualSpacing/>
                    <w:jc w:val="center"/>
                    <w:rPr>
                      <w:rFonts w:hint="default" w:eastAsia="宋体"/>
                      <w:bCs/>
                      <w:color w:val="auto"/>
                      <w:kern w:val="0"/>
                      <w:sz w:val="21"/>
                      <w:szCs w:val="21"/>
                      <w:highlight w:val="none"/>
                      <w:lang w:val="en-US" w:eastAsia="zh-CN"/>
                    </w:rPr>
                  </w:pPr>
                  <w:r>
                    <w:rPr>
                      <w:rFonts w:hint="eastAsia"/>
                      <w:bCs/>
                      <w:color w:val="auto"/>
                      <w:kern w:val="0"/>
                      <w:sz w:val="21"/>
                      <w:szCs w:val="21"/>
                      <w:highlight w:val="none"/>
                      <w:lang w:val="en-US" w:eastAsia="zh-CN"/>
                    </w:rPr>
                    <w:t>46.8</w:t>
                  </w:r>
                </w:p>
              </w:tc>
              <w:tc>
                <w:tcPr>
                  <w:tcW w:w="1145" w:type="pct"/>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firstLine="0" w:firstLineChars="0"/>
                    <w:contextualSpacing/>
                    <w:jc w:val="center"/>
                    <w:rPr>
                      <w:rFonts w:hint="eastAsia" w:eastAsia="宋体"/>
                      <w:bCs/>
                      <w:color w:val="auto"/>
                      <w:kern w:val="0"/>
                      <w:sz w:val="21"/>
                      <w:szCs w:val="21"/>
                      <w:highlight w:val="none"/>
                      <w:lang w:eastAsia="zh-CN"/>
                    </w:rPr>
                  </w:pPr>
                  <w:r>
                    <w:rPr>
                      <w:rFonts w:hint="eastAsia"/>
                      <w:bCs/>
                      <w:color w:val="auto"/>
                      <w:kern w:val="0"/>
                      <w:sz w:val="21"/>
                      <w:szCs w:val="21"/>
                      <w:highlight w:val="none"/>
                    </w:rPr>
                    <w:t>125.08</w:t>
                  </w:r>
                  <w:r>
                    <w:rPr>
                      <w:rFonts w:hint="eastAsia"/>
                      <w:bCs/>
                      <w:color w:val="auto"/>
                      <w:kern w:val="0"/>
                      <w:sz w:val="21"/>
                      <w:szCs w:val="21"/>
                      <w:highlight w:val="none"/>
                      <w:lang w:eastAsia="zh-CN"/>
                    </w:rPr>
                    <w:t>，49.65</w:t>
                  </w:r>
                </w:p>
              </w:tc>
              <w:tc>
                <w:tcPr>
                  <w:tcW w:w="1983" w:type="dxa"/>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leftChars="0" w:right="0" w:rightChars="0" w:firstLine="0" w:firstLineChars="0"/>
                    <w:contextualSpacing/>
                    <w:jc w:val="center"/>
                    <w:rPr>
                      <w:rFonts w:hint="default"/>
                      <w:bCs/>
                      <w:color w:val="auto"/>
                      <w:kern w:val="0"/>
                      <w:sz w:val="21"/>
                      <w:szCs w:val="21"/>
                      <w:highlight w:val="none"/>
                    </w:rPr>
                  </w:pPr>
                  <w:r>
                    <w:rPr>
                      <w:rFonts w:hint="eastAsia"/>
                      <w:bCs/>
                      <w:color w:val="auto"/>
                      <w:kern w:val="0"/>
                      <w:sz w:val="21"/>
                      <w:szCs w:val="21"/>
                      <w:highlight w:val="none"/>
                      <w:lang w:val="en-US" w:eastAsia="zh-CN"/>
                    </w:rPr>
                    <w:t>46.8</w:t>
                  </w:r>
                </w:p>
              </w:tc>
              <w:tc>
                <w:tcPr>
                  <w:tcW w:w="1700" w:type="dxa"/>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leftChars="0" w:right="0" w:rightChars="0" w:firstLine="0" w:firstLineChars="0"/>
                    <w:contextualSpacing/>
                    <w:jc w:val="center"/>
                    <w:rPr>
                      <w:rFonts w:hint="default"/>
                      <w:bCs/>
                      <w:color w:val="auto"/>
                      <w:kern w:val="0"/>
                      <w:sz w:val="21"/>
                      <w:szCs w:val="21"/>
                      <w:highlight w:val="none"/>
                    </w:rPr>
                  </w:pPr>
                  <w:r>
                    <w:rPr>
                      <w:rFonts w:hint="eastAsia"/>
                      <w:bCs/>
                      <w:color w:val="auto"/>
                      <w:kern w:val="0"/>
                      <w:sz w:val="21"/>
                      <w:szCs w:val="21"/>
                      <w:highlight w:val="none"/>
                    </w:rPr>
                    <w:t>125.08</w:t>
                  </w:r>
                  <w:r>
                    <w:rPr>
                      <w:rFonts w:hint="eastAsia"/>
                      <w:bCs/>
                      <w:color w:val="auto"/>
                      <w:kern w:val="0"/>
                      <w:sz w:val="21"/>
                      <w:szCs w:val="21"/>
                      <w:highlight w:val="none"/>
                      <w:lang w:eastAsia="zh-CN"/>
                    </w:rPr>
                    <w:t>，49.65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firstLine="0" w:firstLineChars="0"/>
                    <w:contextualSpacing/>
                    <w:jc w:val="center"/>
                    <w:rPr>
                      <w:rFonts w:hint="default"/>
                      <w:bCs/>
                      <w:color w:val="auto"/>
                      <w:kern w:val="0"/>
                      <w:sz w:val="21"/>
                      <w:szCs w:val="21"/>
                      <w:highlight w:val="none"/>
                    </w:rPr>
                  </w:pPr>
                  <w:r>
                    <w:rPr>
                      <w:rFonts w:hint="default"/>
                      <w:bCs/>
                      <w:color w:val="auto"/>
                      <w:kern w:val="0"/>
                      <w:sz w:val="21"/>
                      <w:szCs w:val="21"/>
                      <w:highlight w:val="none"/>
                    </w:rPr>
                    <w:t>南厂界</w:t>
                  </w:r>
                </w:p>
              </w:tc>
              <w:tc>
                <w:tcPr>
                  <w:tcW w:w="896" w:type="pct"/>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firstLine="0" w:firstLineChars="0"/>
                    <w:contextualSpacing/>
                    <w:jc w:val="center"/>
                    <w:rPr>
                      <w:rFonts w:hint="default" w:eastAsia="宋体"/>
                      <w:bCs/>
                      <w:color w:val="auto"/>
                      <w:kern w:val="0"/>
                      <w:sz w:val="21"/>
                      <w:szCs w:val="21"/>
                      <w:highlight w:val="none"/>
                      <w:lang w:val="en-US" w:eastAsia="zh-CN"/>
                    </w:rPr>
                  </w:pPr>
                  <w:r>
                    <w:rPr>
                      <w:rFonts w:hint="eastAsia"/>
                      <w:bCs/>
                      <w:color w:val="auto"/>
                      <w:kern w:val="0"/>
                      <w:sz w:val="21"/>
                      <w:szCs w:val="21"/>
                      <w:highlight w:val="none"/>
                      <w:lang w:val="en-US" w:eastAsia="zh-CN"/>
                    </w:rPr>
                    <w:t>50.7</w:t>
                  </w:r>
                </w:p>
              </w:tc>
              <w:tc>
                <w:tcPr>
                  <w:tcW w:w="1145" w:type="pct"/>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firstLine="0" w:firstLineChars="0"/>
                    <w:contextualSpacing/>
                    <w:jc w:val="center"/>
                    <w:rPr>
                      <w:rFonts w:hint="eastAsia" w:eastAsia="宋体"/>
                      <w:bCs/>
                      <w:color w:val="auto"/>
                      <w:kern w:val="0"/>
                      <w:sz w:val="21"/>
                      <w:szCs w:val="21"/>
                      <w:highlight w:val="none"/>
                      <w:lang w:eastAsia="zh-CN"/>
                    </w:rPr>
                  </w:pPr>
                  <w:r>
                    <w:rPr>
                      <w:rFonts w:hint="eastAsia"/>
                      <w:bCs/>
                      <w:color w:val="auto"/>
                      <w:kern w:val="0"/>
                      <w:sz w:val="21"/>
                      <w:szCs w:val="21"/>
                      <w:highlight w:val="none"/>
                    </w:rPr>
                    <w:t>59.19</w:t>
                  </w:r>
                  <w:r>
                    <w:rPr>
                      <w:rFonts w:hint="eastAsia"/>
                      <w:bCs/>
                      <w:color w:val="auto"/>
                      <w:kern w:val="0"/>
                      <w:sz w:val="21"/>
                      <w:szCs w:val="21"/>
                      <w:highlight w:val="none"/>
                      <w:lang w:eastAsia="zh-CN"/>
                    </w:rPr>
                    <w:t>，-4.72</w:t>
                  </w:r>
                </w:p>
              </w:tc>
              <w:tc>
                <w:tcPr>
                  <w:tcW w:w="1983" w:type="dxa"/>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leftChars="0" w:right="0" w:rightChars="0" w:firstLine="0" w:firstLineChars="0"/>
                    <w:contextualSpacing/>
                    <w:jc w:val="center"/>
                    <w:rPr>
                      <w:rFonts w:hint="default"/>
                      <w:bCs/>
                      <w:color w:val="auto"/>
                      <w:kern w:val="0"/>
                      <w:sz w:val="21"/>
                      <w:szCs w:val="21"/>
                      <w:highlight w:val="none"/>
                    </w:rPr>
                  </w:pPr>
                  <w:r>
                    <w:rPr>
                      <w:rFonts w:hint="eastAsia"/>
                      <w:bCs/>
                      <w:color w:val="auto"/>
                      <w:kern w:val="0"/>
                      <w:sz w:val="21"/>
                      <w:szCs w:val="21"/>
                      <w:highlight w:val="none"/>
                      <w:lang w:val="en-US" w:eastAsia="zh-CN"/>
                    </w:rPr>
                    <w:t>50.7</w:t>
                  </w:r>
                </w:p>
              </w:tc>
              <w:tc>
                <w:tcPr>
                  <w:tcW w:w="1700" w:type="dxa"/>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leftChars="0" w:right="0" w:rightChars="0" w:firstLine="0" w:firstLineChars="0"/>
                    <w:contextualSpacing/>
                    <w:jc w:val="center"/>
                    <w:rPr>
                      <w:rFonts w:hint="default"/>
                      <w:bCs/>
                      <w:color w:val="auto"/>
                      <w:kern w:val="0"/>
                      <w:sz w:val="21"/>
                      <w:szCs w:val="21"/>
                      <w:highlight w:val="none"/>
                    </w:rPr>
                  </w:pPr>
                  <w:r>
                    <w:rPr>
                      <w:rFonts w:hint="eastAsia"/>
                      <w:bCs/>
                      <w:color w:val="auto"/>
                      <w:kern w:val="0"/>
                      <w:sz w:val="21"/>
                      <w:szCs w:val="21"/>
                      <w:highlight w:val="none"/>
                    </w:rPr>
                    <w:t>59.19</w:t>
                  </w:r>
                  <w:r>
                    <w:rPr>
                      <w:rFonts w:hint="eastAsia"/>
                      <w:bCs/>
                      <w:color w:val="auto"/>
                      <w:kern w:val="0"/>
                      <w:sz w:val="21"/>
                      <w:szCs w:val="21"/>
                      <w:highlight w:val="none"/>
                      <w:lang w:eastAsia="zh-CN"/>
                    </w:rPr>
                    <w:t>，-4.72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firstLine="0" w:firstLineChars="0"/>
                    <w:contextualSpacing/>
                    <w:jc w:val="center"/>
                    <w:rPr>
                      <w:rFonts w:hint="default"/>
                      <w:bCs/>
                      <w:color w:val="auto"/>
                      <w:kern w:val="0"/>
                      <w:sz w:val="21"/>
                      <w:szCs w:val="21"/>
                      <w:highlight w:val="none"/>
                    </w:rPr>
                  </w:pPr>
                  <w:r>
                    <w:rPr>
                      <w:rFonts w:hint="default"/>
                      <w:bCs/>
                      <w:color w:val="auto"/>
                      <w:kern w:val="0"/>
                      <w:sz w:val="21"/>
                      <w:szCs w:val="21"/>
                      <w:highlight w:val="none"/>
                    </w:rPr>
                    <w:t>西厂界</w:t>
                  </w:r>
                </w:p>
              </w:tc>
              <w:tc>
                <w:tcPr>
                  <w:tcW w:w="896" w:type="pct"/>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firstLine="0" w:firstLineChars="0"/>
                    <w:contextualSpacing/>
                    <w:jc w:val="center"/>
                    <w:rPr>
                      <w:rFonts w:hint="default" w:eastAsia="宋体"/>
                      <w:bCs/>
                      <w:color w:val="auto"/>
                      <w:kern w:val="0"/>
                      <w:sz w:val="21"/>
                      <w:szCs w:val="21"/>
                      <w:highlight w:val="none"/>
                      <w:lang w:val="en-US" w:eastAsia="zh-CN"/>
                    </w:rPr>
                  </w:pPr>
                  <w:r>
                    <w:rPr>
                      <w:rFonts w:hint="eastAsia"/>
                      <w:bCs/>
                      <w:color w:val="auto"/>
                      <w:kern w:val="0"/>
                      <w:sz w:val="21"/>
                      <w:szCs w:val="21"/>
                      <w:highlight w:val="none"/>
                      <w:lang w:val="en-US" w:eastAsia="zh-CN"/>
                    </w:rPr>
                    <w:t>49.2</w:t>
                  </w:r>
                </w:p>
              </w:tc>
              <w:tc>
                <w:tcPr>
                  <w:tcW w:w="1145" w:type="pct"/>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firstLine="0" w:firstLineChars="0"/>
                    <w:contextualSpacing/>
                    <w:jc w:val="center"/>
                    <w:rPr>
                      <w:rFonts w:hint="eastAsia" w:eastAsia="宋体"/>
                      <w:bCs/>
                      <w:color w:val="auto"/>
                      <w:kern w:val="0"/>
                      <w:sz w:val="21"/>
                      <w:szCs w:val="21"/>
                      <w:highlight w:val="none"/>
                      <w:lang w:eastAsia="zh-CN"/>
                    </w:rPr>
                  </w:pPr>
                  <w:r>
                    <w:rPr>
                      <w:rFonts w:hint="eastAsia"/>
                      <w:bCs/>
                      <w:color w:val="auto"/>
                      <w:kern w:val="0"/>
                      <w:sz w:val="21"/>
                      <w:szCs w:val="21"/>
                      <w:highlight w:val="none"/>
                    </w:rPr>
                    <w:t>-14.64</w:t>
                  </w:r>
                  <w:r>
                    <w:rPr>
                      <w:rFonts w:hint="eastAsia"/>
                      <w:bCs/>
                      <w:color w:val="auto"/>
                      <w:kern w:val="0"/>
                      <w:sz w:val="21"/>
                      <w:szCs w:val="21"/>
                      <w:highlight w:val="none"/>
                      <w:lang w:eastAsia="zh-CN"/>
                    </w:rPr>
                    <w:t>，33.26</w:t>
                  </w:r>
                </w:p>
              </w:tc>
              <w:tc>
                <w:tcPr>
                  <w:tcW w:w="1983" w:type="dxa"/>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leftChars="0" w:right="0" w:rightChars="0" w:firstLine="0" w:firstLineChars="0"/>
                    <w:contextualSpacing/>
                    <w:jc w:val="center"/>
                    <w:rPr>
                      <w:rFonts w:hint="default"/>
                      <w:bCs/>
                      <w:color w:val="auto"/>
                      <w:kern w:val="0"/>
                      <w:sz w:val="21"/>
                      <w:szCs w:val="21"/>
                      <w:highlight w:val="none"/>
                    </w:rPr>
                  </w:pPr>
                  <w:r>
                    <w:rPr>
                      <w:rFonts w:hint="eastAsia"/>
                      <w:bCs/>
                      <w:color w:val="auto"/>
                      <w:kern w:val="0"/>
                      <w:sz w:val="21"/>
                      <w:szCs w:val="21"/>
                      <w:highlight w:val="none"/>
                      <w:lang w:val="en-US" w:eastAsia="zh-CN"/>
                    </w:rPr>
                    <w:t>49.2</w:t>
                  </w:r>
                </w:p>
              </w:tc>
              <w:tc>
                <w:tcPr>
                  <w:tcW w:w="1700" w:type="dxa"/>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leftChars="0" w:right="0" w:rightChars="0" w:firstLine="0" w:firstLineChars="0"/>
                    <w:contextualSpacing/>
                    <w:jc w:val="center"/>
                    <w:rPr>
                      <w:rFonts w:hint="default"/>
                      <w:bCs/>
                      <w:color w:val="auto"/>
                      <w:kern w:val="0"/>
                      <w:sz w:val="21"/>
                      <w:szCs w:val="21"/>
                      <w:highlight w:val="none"/>
                    </w:rPr>
                  </w:pPr>
                  <w:r>
                    <w:rPr>
                      <w:rFonts w:hint="eastAsia"/>
                      <w:bCs/>
                      <w:color w:val="auto"/>
                      <w:kern w:val="0"/>
                      <w:sz w:val="21"/>
                      <w:szCs w:val="21"/>
                      <w:highlight w:val="none"/>
                    </w:rPr>
                    <w:t>-14.64</w:t>
                  </w:r>
                  <w:r>
                    <w:rPr>
                      <w:rFonts w:hint="eastAsia"/>
                      <w:bCs/>
                      <w:color w:val="auto"/>
                      <w:kern w:val="0"/>
                      <w:sz w:val="21"/>
                      <w:szCs w:val="21"/>
                      <w:highlight w:val="none"/>
                      <w:lang w:eastAsia="zh-CN"/>
                    </w:rPr>
                    <w:t>，33.26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firstLine="0" w:firstLineChars="0"/>
                    <w:contextualSpacing/>
                    <w:jc w:val="center"/>
                    <w:rPr>
                      <w:rFonts w:hint="default"/>
                      <w:bCs/>
                      <w:color w:val="auto"/>
                      <w:kern w:val="0"/>
                      <w:sz w:val="21"/>
                      <w:szCs w:val="21"/>
                      <w:highlight w:val="none"/>
                    </w:rPr>
                  </w:pPr>
                  <w:r>
                    <w:rPr>
                      <w:rFonts w:hint="default"/>
                      <w:bCs/>
                      <w:color w:val="auto"/>
                      <w:kern w:val="0"/>
                      <w:sz w:val="21"/>
                      <w:szCs w:val="21"/>
                      <w:highlight w:val="none"/>
                    </w:rPr>
                    <w:t>北厂界</w:t>
                  </w:r>
                </w:p>
              </w:tc>
              <w:tc>
                <w:tcPr>
                  <w:tcW w:w="896" w:type="pct"/>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firstLine="0" w:firstLineChars="0"/>
                    <w:contextualSpacing/>
                    <w:jc w:val="center"/>
                    <w:rPr>
                      <w:rFonts w:hint="default" w:eastAsia="宋体"/>
                      <w:bCs/>
                      <w:color w:val="auto"/>
                      <w:kern w:val="0"/>
                      <w:sz w:val="21"/>
                      <w:szCs w:val="21"/>
                      <w:highlight w:val="none"/>
                      <w:lang w:val="en-US" w:eastAsia="zh-CN"/>
                    </w:rPr>
                  </w:pPr>
                  <w:r>
                    <w:rPr>
                      <w:rFonts w:hint="eastAsia"/>
                      <w:bCs/>
                      <w:color w:val="auto"/>
                      <w:kern w:val="0"/>
                      <w:sz w:val="21"/>
                      <w:szCs w:val="21"/>
                      <w:highlight w:val="none"/>
                      <w:lang w:val="en-US" w:eastAsia="zh-CN"/>
                    </w:rPr>
                    <w:t>42.2</w:t>
                  </w:r>
                </w:p>
              </w:tc>
              <w:tc>
                <w:tcPr>
                  <w:tcW w:w="1145" w:type="pct"/>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firstLine="0" w:firstLineChars="0"/>
                    <w:contextualSpacing/>
                    <w:jc w:val="center"/>
                    <w:rPr>
                      <w:rFonts w:hint="eastAsia" w:eastAsia="宋体"/>
                      <w:bCs/>
                      <w:color w:val="auto"/>
                      <w:kern w:val="0"/>
                      <w:sz w:val="21"/>
                      <w:szCs w:val="21"/>
                      <w:highlight w:val="none"/>
                      <w:lang w:eastAsia="zh-CN"/>
                    </w:rPr>
                  </w:pPr>
                  <w:r>
                    <w:rPr>
                      <w:rFonts w:hint="eastAsia"/>
                      <w:bCs/>
                      <w:color w:val="auto"/>
                      <w:kern w:val="0"/>
                      <w:sz w:val="21"/>
                      <w:szCs w:val="21"/>
                      <w:highlight w:val="none"/>
                    </w:rPr>
                    <w:t>49.65</w:t>
                  </w:r>
                  <w:r>
                    <w:rPr>
                      <w:rFonts w:hint="eastAsia"/>
                      <w:bCs/>
                      <w:color w:val="auto"/>
                      <w:kern w:val="0"/>
                      <w:sz w:val="21"/>
                      <w:szCs w:val="21"/>
                      <w:highlight w:val="none"/>
                      <w:lang w:eastAsia="zh-CN"/>
                    </w:rPr>
                    <w:t>，91.69</w:t>
                  </w:r>
                </w:p>
              </w:tc>
              <w:tc>
                <w:tcPr>
                  <w:tcW w:w="1983" w:type="dxa"/>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leftChars="0" w:right="0" w:rightChars="0" w:firstLine="0" w:firstLineChars="0"/>
                    <w:contextualSpacing/>
                    <w:jc w:val="center"/>
                    <w:rPr>
                      <w:rFonts w:hint="default"/>
                      <w:bCs/>
                      <w:color w:val="auto"/>
                      <w:kern w:val="0"/>
                      <w:sz w:val="21"/>
                      <w:szCs w:val="21"/>
                      <w:highlight w:val="none"/>
                    </w:rPr>
                  </w:pPr>
                  <w:r>
                    <w:rPr>
                      <w:rFonts w:hint="eastAsia"/>
                      <w:bCs/>
                      <w:color w:val="auto"/>
                      <w:kern w:val="0"/>
                      <w:sz w:val="21"/>
                      <w:szCs w:val="21"/>
                      <w:highlight w:val="none"/>
                      <w:lang w:val="en-US" w:eastAsia="zh-CN"/>
                    </w:rPr>
                    <w:t>42.2</w:t>
                  </w:r>
                </w:p>
              </w:tc>
              <w:tc>
                <w:tcPr>
                  <w:tcW w:w="1700" w:type="dxa"/>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leftChars="0" w:right="0" w:rightChars="0" w:firstLine="0" w:firstLineChars="0"/>
                    <w:contextualSpacing/>
                    <w:jc w:val="center"/>
                    <w:rPr>
                      <w:rFonts w:hint="default"/>
                      <w:bCs/>
                      <w:color w:val="auto"/>
                      <w:kern w:val="0"/>
                      <w:sz w:val="21"/>
                      <w:szCs w:val="21"/>
                      <w:highlight w:val="none"/>
                    </w:rPr>
                  </w:pPr>
                  <w:r>
                    <w:rPr>
                      <w:rFonts w:hint="eastAsia"/>
                      <w:bCs/>
                      <w:color w:val="auto"/>
                      <w:kern w:val="0"/>
                      <w:sz w:val="21"/>
                      <w:szCs w:val="21"/>
                      <w:highlight w:val="none"/>
                    </w:rPr>
                    <w:t>49.65</w:t>
                  </w:r>
                  <w:r>
                    <w:rPr>
                      <w:rFonts w:hint="eastAsia"/>
                      <w:bCs/>
                      <w:color w:val="auto"/>
                      <w:kern w:val="0"/>
                      <w:sz w:val="21"/>
                      <w:szCs w:val="21"/>
                      <w:highlight w:val="none"/>
                      <w:lang w:eastAsia="zh-CN"/>
                    </w:rPr>
                    <w:t>，91.69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firstLine="0" w:firstLineChars="0"/>
                    <w:contextualSpacing/>
                    <w:jc w:val="center"/>
                    <w:rPr>
                      <w:rFonts w:hint="default"/>
                      <w:bCs/>
                      <w:color w:val="auto"/>
                      <w:kern w:val="0"/>
                      <w:sz w:val="21"/>
                      <w:szCs w:val="21"/>
                      <w:highlight w:val="none"/>
                    </w:rPr>
                  </w:pPr>
                  <w:r>
                    <w:rPr>
                      <w:rFonts w:hint="default"/>
                      <w:bCs/>
                      <w:color w:val="auto"/>
                      <w:kern w:val="0"/>
                      <w:sz w:val="21"/>
                      <w:szCs w:val="21"/>
                      <w:highlight w:val="none"/>
                    </w:rPr>
                    <w:t>排放标准</w:t>
                  </w:r>
                </w:p>
              </w:tc>
              <w:tc>
                <w:tcPr>
                  <w:tcW w:w="2042" w:type="pct"/>
                  <w:gridSpan w:val="2"/>
                  <w:tcBorders>
                    <w:tl2br w:val="nil"/>
                    <w:tr2bl w:val="nil"/>
                  </w:tcBorders>
                  <w:vAlign w:val="center"/>
                </w:tcPr>
                <w:p>
                  <w:pPr>
                    <w:keepNext w:val="0"/>
                    <w:keepLines w:val="0"/>
                    <w:widowControl/>
                    <w:suppressLineNumbers w:val="0"/>
                    <w:adjustRightInd w:val="0"/>
                    <w:snapToGrid w:val="0"/>
                    <w:spacing w:before="0" w:beforeAutospacing="0" w:after="0" w:afterAutospacing="0" w:line="360" w:lineRule="exact"/>
                    <w:ind w:left="0" w:right="0" w:firstLine="0" w:firstLineChars="0"/>
                    <w:jc w:val="center"/>
                    <w:textAlignment w:val="bottom"/>
                    <w:rPr>
                      <w:rFonts w:hint="default"/>
                      <w:bCs/>
                      <w:color w:val="auto"/>
                      <w:sz w:val="21"/>
                      <w:szCs w:val="21"/>
                      <w:highlight w:val="none"/>
                    </w:rPr>
                  </w:pPr>
                  <w:r>
                    <w:rPr>
                      <w:rFonts w:hint="eastAsia"/>
                      <w:bCs/>
                      <w:color w:val="auto"/>
                      <w:kern w:val="0"/>
                      <w:sz w:val="21"/>
                      <w:szCs w:val="21"/>
                      <w:highlight w:val="none"/>
                    </w:rPr>
                    <w:t>3</w:t>
                  </w:r>
                  <w:r>
                    <w:rPr>
                      <w:rFonts w:hint="default"/>
                      <w:bCs/>
                      <w:color w:val="auto"/>
                      <w:kern w:val="0"/>
                      <w:sz w:val="21"/>
                      <w:szCs w:val="21"/>
                      <w:highlight w:val="none"/>
                    </w:rPr>
                    <w:t>类：昼间：6</w:t>
                  </w:r>
                  <w:r>
                    <w:rPr>
                      <w:rFonts w:hint="eastAsia"/>
                      <w:bCs/>
                      <w:color w:val="auto"/>
                      <w:kern w:val="0"/>
                      <w:sz w:val="21"/>
                      <w:szCs w:val="21"/>
                      <w:highlight w:val="none"/>
                    </w:rPr>
                    <w:t>5</w:t>
                  </w:r>
                </w:p>
              </w:tc>
              <w:tc>
                <w:tcPr>
                  <w:tcW w:w="2227" w:type="pct"/>
                  <w:gridSpan w:val="2"/>
                  <w:tcBorders>
                    <w:tl2br w:val="nil"/>
                    <w:tr2bl w:val="nil"/>
                  </w:tcBorders>
                  <w:vAlign w:val="center"/>
                </w:tcPr>
                <w:p>
                  <w:pPr>
                    <w:keepNext w:val="0"/>
                    <w:keepLines w:val="0"/>
                    <w:widowControl/>
                    <w:suppressLineNumbers w:val="0"/>
                    <w:adjustRightInd w:val="0"/>
                    <w:snapToGrid w:val="0"/>
                    <w:spacing w:before="0" w:beforeAutospacing="0" w:after="0" w:afterAutospacing="0" w:line="360" w:lineRule="exact"/>
                    <w:ind w:left="0" w:right="0" w:firstLine="0" w:firstLineChars="0"/>
                    <w:jc w:val="center"/>
                    <w:textAlignment w:val="bottom"/>
                    <w:rPr>
                      <w:rFonts w:hint="eastAsia" w:eastAsia="宋体"/>
                      <w:bCs/>
                      <w:color w:val="auto"/>
                      <w:kern w:val="0"/>
                      <w:sz w:val="21"/>
                      <w:szCs w:val="21"/>
                      <w:highlight w:val="none"/>
                      <w:lang w:eastAsia="zh-CN"/>
                    </w:rPr>
                  </w:pPr>
                  <w:r>
                    <w:rPr>
                      <w:rFonts w:hint="eastAsia"/>
                      <w:bCs/>
                      <w:color w:val="auto"/>
                      <w:kern w:val="0"/>
                      <w:sz w:val="21"/>
                      <w:szCs w:val="21"/>
                      <w:highlight w:val="none"/>
                    </w:rPr>
                    <w:t>3</w:t>
                  </w:r>
                  <w:r>
                    <w:rPr>
                      <w:rFonts w:hint="default"/>
                      <w:bCs/>
                      <w:color w:val="auto"/>
                      <w:kern w:val="0"/>
                      <w:sz w:val="21"/>
                      <w:szCs w:val="21"/>
                      <w:highlight w:val="none"/>
                    </w:rPr>
                    <w:t>类：</w:t>
                  </w:r>
                  <w:r>
                    <w:rPr>
                      <w:rFonts w:hint="eastAsia"/>
                      <w:bCs/>
                      <w:color w:val="auto"/>
                      <w:kern w:val="0"/>
                      <w:sz w:val="21"/>
                      <w:szCs w:val="21"/>
                      <w:highlight w:val="none"/>
                      <w:lang w:val="en-US" w:eastAsia="zh-CN"/>
                    </w:rPr>
                    <w:t>夜</w:t>
                  </w:r>
                  <w:r>
                    <w:rPr>
                      <w:rFonts w:hint="default"/>
                      <w:bCs/>
                      <w:color w:val="auto"/>
                      <w:kern w:val="0"/>
                      <w:sz w:val="21"/>
                      <w:szCs w:val="21"/>
                      <w:highlight w:val="none"/>
                    </w:rPr>
                    <w:t>间：</w:t>
                  </w:r>
                  <w:r>
                    <w:rPr>
                      <w:rFonts w:hint="eastAsia"/>
                      <w:bCs/>
                      <w:color w:val="auto"/>
                      <w:kern w:val="0"/>
                      <w:sz w:val="21"/>
                      <w:szCs w:val="21"/>
                      <w:highlight w:val="none"/>
                      <w:lang w:val="en-US" w:eastAsia="zh-CN"/>
                    </w:rPr>
                    <w:t>55</w:t>
                  </w:r>
                </w:p>
              </w:tc>
            </w:tr>
          </w:tbl>
          <w:p>
            <w:pPr>
              <w:keepNext w:val="0"/>
              <w:keepLines w:val="0"/>
              <w:suppressLineNumbers w:val="0"/>
              <w:tabs>
                <w:tab w:val="left" w:pos="4099"/>
              </w:tabs>
              <w:adjustRightInd w:val="0"/>
              <w:snapToGrid w:val="0"/>
              <w:spacing w:before="0" w:beforeAutospacing="0" w:after="0" w:afterAutospacing="0"/>
              <w:ind w:left="0" w:right="0" w:firstLine="468"/>
              <w:rPr>
                <w:rFonts w:hint="default"/>
                <w:color w:val="auto"/>
                <w:spacing w:val="-3"/>
                <w:highlight w:val="none"/>
              </w:rPr>
            </w:pPr>
            <w:r>
              <w:rPr>
                <w:rFonts w:hint="default"/>
                <w:color w:val="auto"/>
                <w:spacing w:val="-3"/>
                <w:highlight w:val="none"/>
              </w:rPr>
              <w:t>由上表预测结果可知</w:t>
            </w:r>
            <w:r>
              <w:rPr>
                <w:rFonts w:hint="eastAsia"/>
                <w:color w:val="auto"/>
                <w:spacing w:val="-3"/>
                <w:highlight w:val="none"/>
              </w:rPr>
              <w:t>，</w:t>
            </w:r>
            <w:r>
              <w:rPr>
                <w:rFonts w:hint="default"/>
                <w:color w:val="auto"/>
                <w:spacing w:val="-3"/>
                <w:highlight w:val="none"/>
              </w:rPr>
              <w:t>项目运营后各厂界各噪声源叠加后的噪声最大贡献值满足《工业企业厂界</w:t>
            </w:r>
            <w:r>
              <w:rPr>
                <w:rFonts w:hint="default"/>
                <w:color w:val="auto"/>
                <w:highlight w:val="none"/>
              </w:rPr>
              <w:t>环境噪声排放</w:t>
            </w:r>
            <w:r>
              <w:rPr>
                <w:rFonts w:hint="default"/>
                <w:color w:val="auto"/>
                <w:spacing w:val="-3"/>
                <w:highlight w:val="none"/>
              </w:rPr>
              <w:t>标准》（GB12348-2008）</w:t>
            </w:r>
            <w:r>
              <w:rPr>
                <w:rFonts w:hint="eastAsia"/>
                <w:color w:val="auto"/>
                <w:spacing w:val="-3"/>
                <w:highlight w:val="none"/>
              </w:rPr>
              <w:t>3</w:t>
            </w:r>
            <w:r>
              <w:rPr>
                <w:rFonts w:hint="default"/>
                <w:color w:val="auto"/>
                <w:spacing w:val="-3"/>
                <w:highlight w:val="none"/>
              </w:rPr>
              <w:t>类标准</w:t>
            </w:r>
            <w:r>
              <w:rPr>
                <w:rFonts w:hint="eastAsia"/>
                <w:color w:val="auto"/>
                <w:spacing w:val="-3"/>
                <w:highlight w:val="none"/>
                <w:lang w:eastAsia="zh-CN"/>
              </w:rPr>
              <w:t>：</w:t>
            </w:r>
            <w:r>
              <w:rPr>
                <w:rFonts w:hint="default"/>
                <w:color w:val="auto"/>
                <w:spacing w:val="-3"/>
                <w:highlight w:val="none"/>
              </w:rPr>
              <w:t>昼间≤6</w:t>
            </w:r>
            <w:r>
              <w:rPr>
                <w:rFonts w:hint="eastAsia"/>
                <w:color w:val="auto"/>
                <w:spacing w:val="-3"/>
                <w:highlight w:val="none"/>
              </w:rPr>
              <w:t>5</w:t>
            </w:r>
            <w:r>
              <w:rPr>
                <w:rFonts w:hint="default"/>
                <w:color w:val="auto"/>
                <w:highlight w:val="none"/>
              </w:rPr>
              <w:t>dB</w:t>
            </w:r>
            <w:r>
              <w:rPr>
                <w:rFonts w:hint="eastAsia"/>
                <w:color w:val="auto"/>
                <w:highlight w:val="none"/>
              </w:rPr>
              <w:t>（A）</w:t>
            </w:r>
            <w:r>
              <w:rPr>
                <w:rFonts w:hint="eastAsia"/>
                <w:color w:val="auto"/>
                <w:highlight w:val="none"/>
                <w:lang w:eastAsia="zh-CN"/>
              </w:rPr>
              <w:t>，</w:t>
            </w:r>
            <w:r>
              <w:rPr>
                <w:rFonts w:hint="eastAsia"/>
                <w:color w:val="auto"/>
                <w:spacing w:val="-3"/>
                <w:highlight w:val="none"/>
                <w:lang w:val="en-US" w:eastAsia="zh-CN"/>
              </w:rPr>
              <w:t>夜</w:t>
            </w:r>
            <w:r>
              <w:rPr>
                <w:rFonts w:hint="default"/>
                <w:color w:val="auto"/>
                <w:spacing w:val="-3"/>
                <w:highlight w:val="none"/>
              </w:rPr>
              <w:t>间≤</w:t>
            </w:r>
            <w:r>
              <w:rPr>
                <w:rFonts w:hint="eastAsia"/>
                <w:color w:val="auto"/>
                <w:spacing w:val="-3"/>
                <w:highlight w:val="none"/>
                <w:lang w:val="en-US" w:eastAsia="zh-CN"/>
              </w:rPr>
              <w:t>5</w:t>
            </w:r>
            <w:r>
              <w:rPr>
                <w:rFonts w:hint="eastAsia"/>
                <w:color w:val="auto"/>
                <w:spacing w:val="-3"/>
                <w:highlight w:val="none"/>
              </w:rPr>
              <w:t>5</w:t>
            </w:r>
            <w:r>
              <w:rPr>
                <w:rFonts w:hint="default"/>
                <w:color w:val="auto"/>
                <w:highlight w:val="none"/>
              </w:rPr>
              <w:t>dB</w:t>
            </w:r>
            <w:r>
              <w:rPr>
                <w:rFonts w:hint="eastAsia"/>
                <w:color w:val="auto"/>
                <w:highlight w:val="none"/>
              </w:rPr>
              <w:t>（A）</w:t>
            </w:r>
            <w:r>
              <w:rPr>
                <w:rFonts w:hint="default"/>
                <w:color w:val="auto"/>
                <w:highlight w:val="none"/>
              </w:rPr>
              <w:t>，</w:t>
            </w:r>
            <w:r>
              <w:rPr>
                <w:rFonts w:hint="default"/>
                <w:color w:val="auto"/>
                <w:spacing w:val="-3"/>
                <w:highlight w:val="none"/>
              </w:rPr>
              <w:t>项目运营后对声环境质量影响较小。</w:t>
            </w:r>
          </w:p>
          <w:p>
            <w:pPr>
              <w:keepNext w:val="0"/>
              <w:keepLines w:val="0"/>
              <w:suppressLineNumbers w:val="0"/>
              <w:spacing w:before="0" w:beforeAutospacing="0" w:after="0" w:afterAutospacing="0"/>
              <w:ind w:left="0" w:right="0" w:firstLine="480"/>
              <w:rPr>
                <w:rFonts w:hint="default"/>
                <w:color w:val="auto"/>
                <w:highlight w:val="none"/>
              </w:rPr>
            </w:pPr>
            <w:r>
              <w:rPr>
                <w:rFonts w:hint="eastAsia"/>
                <w:color w:val="auto"/>
                <w:highlight w:val="none"/>
              </w:rPr>
              <w:t>4</w:t>
            </w:r>
            <w:r>
              <w:rPr>
                <w:rFonts w:hint="default"/>
                <w:color w:val="auto"/>
                <w:highlight w:val="none"/>
              </w:rPr>
              <w:t>、噪声监测</w:t>
            </w:r>
            <w:r>
              <w:rPr>
                <w:rFonts w:hint="eastAsia"/>
                <w:color w:val="auto"/>
                <w:highlight w:val="none"/>
              </w:rPr>
              <w:t>计划</w:t>
            </w:r>
          </w:p>
          <w:p>
            <w:pPr>
              <w:pStyle w:val="170"/>
              <w:keepNext w:val="0"/>
              <w:keepLines w:val="0"/>
              <w:suppressLineNumbers w:val="0"/>
              <w:spacing w:before="0" w:beforeAutospacing="0" w:after="0" w:afterAutospacing="0" w:line="360" w:lineRule="auto"/>
              <w:ind w:left="0" w:right="0"/>
              <w:rPr>
                <w:rFonts w:hint="default"/>
                <w:color w:val="auto"/>
                <w:szCs w:val="24"/>
                <w:highlight w:val="none"/>
              </w:rPr>
            </w:pPr>
            <w:r>
              <w:rPr>
                <w:rFonts w:hint="eastAsia"/>
                <w:color w:val="auto"/>
                <w:szCs w:val="24"/>
                <w:highlight w:val="none"/>
              </w:rPr>
              <w:t>根据</w:t>
            </w:r>
            <w:r>
              <w:rPr>
                <w:rFonts w:hint="eastAsia" w:hAnsi="Times New Roman" w:cs="Times New Roman"/>
                <w:color w:val="auto"/>
                <w:highlight w:val="none"/>
              </w:rPr>
              <w:t>《排污单位自行监测技术指南 橡胶和塑料制品》（HJ1207-2021）</w:t>
            </w:r>
            <w:r>
              <w:rPr>
                <w:rFonts w:hint="eastAsia"/>
                <w:color w:val="auto"/>
                <w:szCs w:val="24"/>
                <w:highlight w:val="none"/>
              </w:rPr>
              <w:t>，噪声监测计划如下。</w:t>
            </w:r>
          </w:p>
          <w:p>
            <w:pPr>
              <w:pStyle w:val="77"/>
              <w:keepNext w:val="0"/>
              <w:keepLines w:val="0"/>
              <w:widowControl/>
              <w:suppressLineNumbers w:val="0"/>
              <w:spacing w:before="0" w:beforeLines="0" w:beforeAutospacing="0" w:after="0" w:afterAutospacing="0" w:line="240" w:lineRule="auto"/>
              <w:ind w:left="0" w:right="0"/>
              <w:rPr>
                <w:rFonts w:hint="default" w:eastAsia="宋体"/>
                <w:b/>
                <w:bCs/>
                <w:color w:val="auto"/>
                <w:highlight w:val="none"/>
              </w:rPr>
            </w:pPr>
            <w:r>
              <w:rPr>
                <w:rFonts w:hint="eastAsia" w:eastAsia="宋体"/>
                <w:b/>
                <w:bCs/>
                <w:color w:val="auto"/>
                <w:highlight w:val="none"/>
              </w:rPr>
              <w:t xml:space="preserve">表4-11  </w:t>
            </w:r>
            <w:r>
              <w:rPr>
                <w:rFonts w:hint="eastAsia" w:eastAsia="宋体"/>
                <w:b/>
                <w:bCs/>
                <w:color w:val="auto"/>
                <w:highlight w:val="none"/>
                <w:lang w:val="en-US" w:eastAsia="zh-CN"/>
              </w:rPr>
              <w:t xml:space="preserve"> </w:t>
            </w:r>
            <w:r>
              <w:rPr>
                <w:rFonts w:hint="eastAsia" w:eastAsia="宋体"/>
                <w:b/>
                <w:bCs/>
                <w:color w:val="auto"/>
                <w:highlight w:val="none"/>
              </w:rPr>
              <w:t xml:space="preserve"> 项目噪声监测计划</w:t>
            </w:r>
          </w:p>
          <w:tbl>
            <w:tblPr>
              <w:tblStyle w:val="37"/>
              <w:tblW w:w="8257" w:type="dxa"/>
              <w:jc w:val="center"/>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
            <w:tblGrid>
              <w:gridCol w:w="878"/>
              <w:gridCol w:w="1040"/>
              <w:gridCol w:w="1356"/>
              <w:gridCol w:w="646"/>
              <w:gridCol w:w="1001"/>
              <w:gridCol w:w="3336"/>
            </w:tblGrid>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31"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污染源名称</w:t>
                  </w:r>
                </w:p>
              </w:tc>
              <w:tc>
                <w:tcPr>
                  <w:tcW w:w="629"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监测项目</w:t>
                  </w:r>
                </w:p>
              </w:tc>
              <w:tc>
                <w:tcPr>
                  <w:tcW w:w="821"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监测地点</w:t>
                  </w:r>
                </w:p>
              </w:tc>
              <w:tc>
                <w:tcPr>
                  <w:tcW w:w="391"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监测点数</w:t>
                  </w:r>
                </w:p>
              </w:tc>
              <w:tc>
                <w:tcPr>
                  <w:tcW w:w="606"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监测</w:t>
                  </w:r>
                </w:p>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频率</w:t>
                  </w:r>
                </w:p>
              </w:tc>
              <w:tc>
                <w:tcPr>
                  <w:tcW w:w="2019"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控制指标</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31"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厂界噪声</w:t>
                  </w:r>
                </w:p>
              </w:tc>
              <w:tc>
                <w:tcPr>
                  <w:tcW w:w="629"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Leq（A）</w:t>
                  </w:r>
                </w:p>
              </w:tc>
              <w:tc>
                <w:tcPr>
                  <w:tcW w:w="821"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厂界</w:t>
                  </w:r>
                  <w:r>
                    <w:rPr>
                      <w:rFonts w:hint="eastAsia"/>
                      <w:color w:val="auto"/>
                      <w:szCs w:val="20"/>
                      <w:highlight w:val="none"/>
                    </w:rPr>
                    <w:t>四周</w:t>
                  </w:r>
                </w:p>
              </w:tc>
              <w:tc>
                <w:tcPr>
                  <w:tcW w:w="391"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4</w:t>
                  </w:r>
                  <w:r>
                    <w:rPr>
                      <w:rFonts w:hint="default"/>
                      <w:color w:val="auto"/>
                      <w:szCs w:val="20"/>
                      <w:highlight w:val="none"/>
                    </w:rPr>
                    <w:t>个</w:t>
                  </w:r>
                </w:p>
              </w:tc>
              <w:tc>
                <w:tcPr>
                  <w:tcW w:w="606"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1次</w:t>
                  </w:r>
                  <w:r>
                    <w:rPr>
                      <w:rFonts w:hint="eastAsia"/>
                      <w:color w:val="auto"/>
                      <w:szCs w:val="20"/>
                      <w:highlight w:val="none"/>
                    </w:rPr>
                    <w:t>/</w:t>
                  </w:r>
                  <w:r>
                    <w:rPr>
                      <w:rFonts w:hint="default"/>
                      <w:color w:val="auto"/>
                      <w:szCs w:val="20"/>
                      <w:highlight w:val="none"/>
                    </w:rPr>
                    <w:t>季度</w:t>
                  </w:r>
                </w:p>
              </w:tc>
              <w:tc>
                <w:tcPr>
                  <w:tcW w:w="2019"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《工业企业厂界环境噪声排放标准》（GB12348-2008）</w:t>
                  </w:r>
                  <w:r>
                    <w:rPr>
                      <w:rFonts w:hint="eastAsia"/>
                      <w:color w:val="auto"/>
                      <w:szCs w:val="20"/>
                      <w:highlight w:val="none"/>
                    </w:rPr>
                    <w:t>3</w:t>
                  </w:r>
                  <w:r>
                    <w:rPr>
                      <w:rFonts w:hint="default"/>
                      <w:color w:val="auto"/>
                      <w:szCs w:val="20"/>
                      <w:highlight w:val="none"/>
                    </w:rPr>
                    <w:t>类标准</w:t>
                  </w:r>
                </w:p>
              </w:tc>
            </w:tr>
          </w:tbl>
          <w:p>
            <w:pPr>
              <w:keepNext w:val="0"/>
              <w:keepLines w:val="0"/>
              <w:suppressLineNumbers w:val="0"/>
              <w:spacing w:before="0" w:beforeAutospacing="0" w:after="0" w:afterAutospacing="0"/>
              <w:ind w:left="0" w:right="0" w:firstLine="482"/>
              <w:rPr>
                <w:rFonts w:hint="default"/>
                <w:b/>
                <w:bCs/>
                <w:color w:val="auto"/>
                <w:highlight w:val="none"/>
              </w:rPr>
            </w:pPr>
            <w:r>
              <w:rPr>
                <w:rFonts w:hint="default"/>
                <w:b/>
                <w:bCs/>
                <w:color w:val="auto"/>
                <w:highlight w:val="none"/>
              </w:rPr>
              <w:t>四、固体废物</w:t>
            </w:r>
          </w:p>
          <w:p>
            <w:pPr>
              <w:keepNext w:val="0"/>
              <w:keepLines w:val="0"/>
              <w:suppressLineNumbers w:val="0"/>
              <w:spacing w:before="0" w:beforeAutospacing="0" w:after="0" w:afterAutospacing="0"/>
              <w:ind w:left="0" w:right="0" w:firstLine="480"/>
              <w:rPr>
                <w:rFonts w:hint="default"/>
                <w:color w:val="auto"/>
                <w:highlight w:val="none"/>
              </w:rPr>
            </w:pPr>
            <w:r>
              <w:rPr>
                <w:rFonts w:hint="eastAsia"/>
                <w:color w:val="auto"/>
                <w:highlight w:val="none"/>
              </w:rPr>
              <w:t>该项目运营过程中产生的固体废物包括一般废物：不合格品</w:t>
            </w:r>
            <w:r>
              <w:rPr>
                <w:rFonts w:hint="eastAsia" w:ascii="宋体" w:cs="宋体"/>
                <w:color w:val="auto"/>
                <w:kern w:val="0"/>
                <w:highlight w:val="none"/>
                <w:lang w:val="en-US" w:eastAsia="zh-CN"/>
              </w:rPr>
              <w:t>及废边料、</w:t>
            </w:r>
            <w:r>
              <w:rPr>
                <w:rFonts w:hint="eastAsia"/>
                <w:color w:val="auto"/>
                <w:highlight w:val="none"/>
              </w:rPr>
              <w:t>废包装</w:t>
            </w:r>
            <w:r>
              <w:rPr>
                <w:rFonts w:hint="eastAsia" w:ascii="宋体" w:cs="宋体"/>
                <w:color w:val="auto"/>
                <w:kern w:val="0"/>
                <w:highlight w:val="none"/>
              </w:rPr>
              <w:t>及生活垃圾等；危险废物包括废机油、</w:t>
            </w:r>
            <w:r>
              <w:rPr>
                <w:rFonts w:hint="eastAsia"/>
                <w:color w:val="auto"/>
                <w:highlight w:val="none"/>
              </w:rPr>
              <w:t>废油桶、</w:t>
            </w:r>
            <w:r>
              <w:rPr>
                <w:rFonts w:hint="eastAsia" w:ascii="宋体" w:cs="宋体"/>
                <w:color w:val="auto"/>
                <w:kern w:val="0"/>
                <w:highlight w:val="none"/>
              </w:rPr>
              <w:t>含污油抹布手套、废活性炭等。</w:t>
            </w:r>
          </w:p>
          <w:p>
            <w:pPr>
              <w:keepNext w:val="0"/>
              <w:keepLines w:val="0"/>
              <w:suppressLineNumbers w:val="0"/>
              <w:spacing w:before="0" w:beforeAutospacing="0" w:after="0" w:afterAutospacing="0"/>
              <w:ind w:left="0" w:right="0" w:firstLine="480"/>
              <w:rPr>
                <w:rFonts w:hint="default" w:eastAsia="宋体"/>
                <w:color w:val="auto"/>
                <w:highlight w:val="none"/>
                <w:lang w:val="en-US" w:eastAsia="zh-CN"/>
              </w:rPr>
            </w:pPr>
            <w:r>
              <w:rPr>
                <w:rFonts w:hint="eastAsia"/>
                <w:color w:val="auto"/>
                <w:highlight w:val="none"/>
              </w:rPr>
              <w:t>（1）不合格品</w:t>
            </w:r>
            <w:r>
              <w:rPr>
                <w:rFonts w:hint="eastAsia"/>
                <w:color w:val="auto"/>
                <w:highlight w:val="none"/>
                <w:lang w:val="en-US" w:eastAsia="zh-CN"/>
              </w:rPr>
              <w:t>及废边料</w:t>
            </w:r>
          </w:p>
          <w:p>
            <w:pPr>
              <w:keepNext w:val="0"/>
              <w:keepLines w:val="0"/>
              <w:suppressLineNumbers w:val="0"/>
              <w:spacing w:before="0" w:beforeAutospacing="0" w:after="0" w:afterAutospacing="0"/>
              <w:ind w:left="0" w:right="0" w:firstLine="480"/>
              <w:rPr>
                <w:rFonts w:hint="default"/>
                <w:color w:val="auto"/>
                <w:highlight w:val="none"/>
              </w:rPr>
            </w:pPr>
            <w:r>
              <w:rPr>
                <w:rFonts w:hint="eastAsia"/>
                <w:color w:val="auto"/>
                <w:highlight w:val="none"/>
                <w:lang w:val="en-US" w:eastAsia="zh-CN"/>
              </w:rPr>
              <w:t>本</w:t>
            </w:r>
            <w:r>
              <w:rPr>
                <w:rFonts w:hint="eastAsia"/>
                <w:color w:val="auto"/>
                <w:highlight w:val="none"/>
              </w:rPr>
              <w:t>项目</w:t>
            </w:r>
            <w:r>
              <w:rPr>
                <w:rFonts w:hint="eastAsia"/>
                <w:color w:val="auto"/>
                <w:highlight w:val="none"/>
                <w:lang w:val="en-US" w:eastAsia="zh-CN"/>
              </w:rPr>
              <w:t>在生产过程中，检验工序会</w:t>
            </w:r>
            <w:r>
              <w:rPr>
                <w:rFonts w:hint="eastAsia"/>
                <w:color w:val="auto"/>
                <w:highlight w:val="none"/>
              </w:rPr>
              <w:t>产生</w:t>
            </w:r>
            <w:r>
              <w:rPr>
                <w:rFonts w:hint="eastAsia"/>
                <w:color w:val="auto"/>
                <w:highlight w:val="none"/>
                <w:lang w:val="en-US" w:eastAsia="zh-CN"/>
              </w:rPr>
              <w:t>的</w:t>
            </w:r>
            <w:r>
              <w:rPr>
                <w:rFonts w:hint="eastAsia"/>
                <w:color w:val="auto"/>
                <w:highlight w:val="none"/>
              </w:rPr>
              <w:t>不合格品、</w:t>
            </w:r>
            <w:r>
              <w:rPr>
                <w:rFonts w:hint="eastAsia"/>
                <w:color w:val="auto"/>
                <w:highlight w:val="none"/>
                <w:lang w:val="en-US" w:eastAsia="zh-CN"/>
              </w:rPr>
              <w:t>切割工序会产生</w:t>
            </w:r>
            <w:r>
              <w:rPr>
                <w:rFonts w:hint="eastAsia"/>
                <w:color w:val="auto"/>
                <w:highlight w:val="none"/>
                <w:lang w:eastAsia="zh-CN"/>
              </w:rPr>
              <w:t>废边料；</w:t>
            </w:r>
            <w:r>
              <w:rPr>
                <w:rFonts w:hint="eastAsia"/>
                <w:color w:val="auto"/>
                <w:highlight w:val="none"/>
                <w:lang w:val="en-US" w:eastAsia="zh-CN"/>
              </w:rPr>
              <w:t>其中不合格品</w:t>
            </w:r>
            <w:r>
              <w:rPr>
                <w:rFonts w:hint="eastAsia"/>
                <w:color w:val="auto"/>
                <w:highlight w:val="none"/>
              </w:rPr>
              <w:t>产生量按照</w:t>
            </w:r>
            <w:r>
              <w:rPr>
                <w:rFonts w:hint="eastAsia"/>
                <w:color w:val="auto"/>
                <w:highlight w:val="none"/>
                <w:lang w:val="en-US" w:eastAsia="zh-CN"/>
              </w:rPr>
              <w:t>产品</w:t>
            </w:r>
            <w:r>
              <w:rPr>
                <w:rFonts w:hint="eastAsia"/>
                <w:color w:val="auto"/>
                <w:highlight w:val="none"/>
              </w:rPr>
              <w:t>量</w:t>
            </w:r>
            <w:r>
              <w:rPr>
                <w:rFonts w:hint="eastAsia"/>
                <w:color w:val="auto"/>
                <w:highlight w:val="none"/>
                <w:lang w:val="en-US" w:eastAsia="zh-CN"/>
              </w:rPr>
              <w:t>的3</w:t>
            </w:r>
            <w:r>
              <w:rPr>
                <w:rFonts w:hint="eastAsia"/>
                <w:color w:val="auto"/>
                <w:highlight w:val="none"/>
              </w:rPr>
              <w:t>%计算，</w:t>
            </w:r>
            <w:r>
              <w:rPr>
                <w:rFonts w:hint="eastAsia"/>
                <w:color w:val="auto"/>
                <w:highlight w:val="none"/>
                <w:lang w:val="en-US" w:eastAsia="zh-CN"/>
              </w:rPr>
              <w:t>则</w:t>
            </w:r>
            <w:r>
              <w:rPr>
                <w:rFonts w:hint="eastAsia"/>
                <w:color w:val="auto"/>
                <w:highlight w:val="none"/>
              </w:rPr>
              <w:t>不合格品产生</w:t>
            </w:r>
            <w:r>
              <w:rPr>
                <w:rFonts w:hint="eastAsia"/>
                <w:color w:val="auto"/>
                <w:highlight w:val="none"/>
                <w:lang w:val="en-US" w:eastAsia="zh-CN"/>
              </w:rPr>
              <w:t>量</w:t>
            </w:r>
            <w:r>
              <w:rPr>
                <w:rFonts w:hint="eastAsia"/>
                <w:color w:val="auto"/>
                <w:highlight w:val="none"/>
              </w:rPr>
              <w:t>为</w:t>
            </w:r>
            <w:r>
              <w:rPr>
                <w:rFonts w:hint="eastAsia"/>
                <w:color w:val="auto"/>
                <w:highlight w:val="none"/>
                <w:lang w:val="en-US" w:eastAsia="zh-CN"/>
              </w:rPr>
              <w:t>240</w:t>
            </w:r>
            <w:r>
              <w:rPr>
                <w:rFonts w:hint="eastAsia"/>
                <w:color w:val="auto"/>
                <w:highlight w:val="none"/>
              </w:rPr>
              <w:t>t</w:t>
            </w:r>
            <w:r>
              <w:rPr>
                <w:rFonts w:hint="eastAsia"/>
                <w:color w:val="auto"/>
                <w:highlight w:val="none"/>
                <w:lang w:val="en-US" w:eastAsia="zh-CN"/>
              </w:rPr>
              <w:t>/a；少量废边料</w:t>
            </w:r>
            <w:r>
              <w:rPr>
                <w:rFonts w:hint="eastAsia"/>
                <w:color w:val="auto"/>
                <w:highlight w:val="none"/>
              </w:rPr>
              <w:t>产生量按</w:t>
            </w:r>
            <w:r>
              <w:rPr>
                <w:rFonts w:hint="eastAsia"/>
                <w:color w:val="auto"/>
                <w:highlight w:val="none"/>
                <w:lang w:val="en-US" w:eastAsia="zh-CN"/>
              </w:rPr>
              <w:t>产品</w:t>
            </w:r>
            <w:r>
              <w:rPr>
                <w:rFonts w:hint="eastAsia"/>
                <w:color w:val="auto"/>
                <w:highlight w:val="none"/>
              </w:rPr>
              <w:t>量</w:t>
            </w:r>
            <w:r>
              <w:rPr>
                <w:rFonts w:hint="eastAsia"/>
                <w:color w:val="auto"/>
                <w:highlight w:val="none"/>
                <w:lang w:val="en-US" w:eastAsia="zh-CN"/>
              </w:rPr>
              <w:t>的0.6</w:t>
            </w:r>
            <w:r>
              <w:rPr>
                <w:rFonts w:hint="eastAsia"/>
                <w:color w:val="auto"/>
                <w:highlight w:val="none"/>
              </w:rPr>
              <w:t>%计算，</w:t>
            </w:r>
            <w:r>
              <w:rPr>
                <w:rFonts w:hint="eastAsia"/>
                <w:color w:val="auto"/>
                <w:highlight w:val="none"/>
                <w:lang w:val="en-US" w:eastAsia="zh-CN"/>
              </w:rPr>
              <w:t>则废边料</w:t>
            </w:r>
            <w:r>
              <w:rPr>
                <w:rFonts w:hint="eastAsia"/>
                <w:color w:val="auto"/>
                <w:highlight w:val="none"/>
              </w:rPr>
              <w:t>产生</w:t>
            </w:r>
            <w:r>
              <w:rPr>
                <w:rFonts w:hint="eastAsia"/>
                <w:color w:val="auto"/>
                <w:highlight w:val="none"/>
                <w:lang w:val="en-US" w:eastAsia="zh-CN"/>
              </w:rPr>
              <w:t>量约</w:t>
            </w:r>
            <w:r>
              <w:rPr>
                <w:rFonts w:hint="eastAsia"/>
                <w:color w:val="auto"/>
                <w:highlight w:val="none"/>
              </w:rPr>
              <w:t>为</w:t>
            </w:r>
            <w:r>
              <w:rPr>
                <w:rFonts w:hint="eastAsia"/>
                <w:color w:val="auto"/>
                <w:highlight w:val="none"/>
                <w:lang w:val="en-US" w:eastAsia="zh-CN"/>
              </w:rPr>
              <w:t>48</w:t>
            </w:r>
            <w:r>
              <w:rPr>
                <w:rFonts w:hint="eastAsia"/>
                <w:color w:val="auto"/>
                <w:highlight w:val="none"/>
              </w:rPr>
              <w:t>t</w:t>
            </w:r>
            <w:r>
              <w:rPr>
                <w:rFonts w:hint="eastAsia"/>
                <w:color w:val="auto"/>
                <w:highlight w:val="none"/>
                <w:lang w:val="en-US" w:eastAsia="zh-CN"/>
              </w:rPr>
              <w:t>/a</w:t>
            </w:r>
            <w:r>
              <w:rPr>
                <w:rFonts w:hint="eastAsia"/>
                <w:color w:val="auto"/>
                <w:highlight w:val="none"/>
              </w:rPr>
              <w:t>。不合格品</w:t>
            </w:r>
            <w:r>
              <w:rPr>
                <w:rFonts w:hint="eastAsia"/>
                <w:color w:val="auto"/>
                <w:highlight w:val="none"/>
                <w:lang w:val="en-US" w:eastAsia="zh-CN"/>
              </w:rPr>
              <w:t>及废边料收集后统一外售综合</w:t>
            </w:r>
            <w:r>
              <w:rPr>
                <w:rFonts w:hint="eastAsia"/>
                <w:color w:val="auto"/>
                <w:highlight w:val="none"/>
              </w:rPr>
              <w:t>利用。</w:t>
            </w:r>
          </w:p>
          <w:p>
            <w:pPr>
              <w:keepNext w:val="0"/>
              <w:keepLines w:val="0"/>
              <w:suppressLineNumbers w:val="0"/>
              <w:spacing w:before="0" w:beforeAutospacing="0" w:after="0" w:afterAutospacing="0"/>
              <w:ind w:left="0" w:right="0" w:firstLine="480"/>
              <w:rPr>
                <w:rFonts w:hint="default"/>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）废包装</w:t>
            </w:r>
          </w:p>
          <w:p>
            <w:pPr>
              <w:keepNext w:val="0"/>
              <w:keepLines w:val="0"/>
              <w:suppressLineNumbers w:val="0"/>
              <w:spacing w:before="0" w:beforeAutospacing="0" w:after="0" w:afterAutospacing="0"/>
              <w:ind w:left="0" w:right="0" w:firstLine="480"/>
              <w:rPr>
                <w:rFonts w:hint="default"/>
                <w:color w:val="auto"/>
                <w:highlight w:val="none"/>
              </w:rPr>
            </w:pPr>
            <w:r>
              <w:rPr>
                <w:rFonts w:hint="eastAsia"/>
                <w:color w:val="auto"/>
                <w:highlight w:val="none"/>
              </w:rPr>
              <w:t>包装过程中会产生少量的废包装材料，产生量约为0.1</w:t>
            </w:r>
            <w:r>
              <w:rPr>
                <w:rFonts w:hint="default"/>
                <w:color w:val="auto"/>
                <w:highlight w:val="none"/>
              </w:rPr>
              <w:t>t/a</w:t>
            </w:r>
            <w:r>
              <w:rPr>
                <w:rFonts w:hint="eastAsia"/>
                <w:color w:val="auto"/>
                <w:highlight w:val="none"/>
              </w:rPr>
              <w:t>，定期</w:t>
            </w:r>
            <w:r>
              <w:rPr>
                <w:rFonts w:hint="eastAsia" w:ascii="宋体" w:cs="宋体"/>
                <w:color w:val="auto"/>
                <w:szCs w:val="21"/>
                <w:highlight w:val="none"/>
              </w:rPr>
              <w:t>外售综合利用</w:t>
            </w:r>
            <w:r>
              <w:rPr>
                <w:rFonts w:hint="eastAsia"/>
                <w:color w:val="auto"/>
                <w:highlight w:val="none"/>
              </w:rPr>
              <w:t>。</w:t>
            </w:r>
          </w:p>
          <w:p>
            <w:pPr>
              <w:keepNext w:val="0"/>
              <w:keepLines w:val="0"/>
              <w:suppressLineNumbers w:val="0"/>
              <w:spacing w:before="0" w:beforeAutospacing="0" w:after="0" w:afterAutospacing="0"/>
              <w:ind w:left="0" w:right="0" w:firstLine="480"/>
              <w:rPr>
                <w:rFonts w:hint="default"/>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）生活垃圾</w:t>
            </w:r>
          </w:p>
          <w:p>
            <w:pPr>
              <w:keepNext w:val="0"/>
              <w:keepLines w:val="0"/>
              <w:suppressLineNumbers w:val="0"/>
              <w:spacing w:before="0" w:beforeAutospacing="0" w:after="0" w:afterAutospacing="0"/>
              <w:ind w:left="0" w:right="0" w:firstLine="480"/>
              <w:rPr>
                <w:rFonts w:hint="default"/>
                <w:color w:val="auto"/>
                <w:highlight w:val="none"/>
              </w:rPr>
            </w:pPr>
            <w:r>
              <w:rPr>
                <w:rFonts w:hint="eastAsia"/>
                <w:color w:val="auto"/>
                <w:highlight w:val="none"/>
              </w:rPr>
              <w:t>本项目劳动定员</w:t>
            </w:r>
            <w:r>
              <w:rPr>
                <w:rFonts w:hint="eastAsia"/>
                <w:color w:val="auto"/>
                <w:highlight w:val="none"/>
                <w:lang w:val="en-US" w:eastAsia="zh-CN"/>
              </w:rPr>
              <w:t>15</w:t>
            </w:r>
            <w:r>
              <w:rPr>
                <w:rFonts w:hint="eastAsia"/>
                <w:color w:val="auto"/>
                <w:highlight w:val="none"/>
              </w:rPr>
              <w:t>人，生活垃圾按每人产生0.5kg/d 计，则生活垃圾产生量为</w:t>
            </w:r>
            <w:r>
              <w:rPr>
                <w:rFonts w:hint="eastAsia"/>
                <w:color w:val="auto"/>
                <w:highlight w:val="none"/>
                <w:lang w:val="en-US" w:eastAsia="zh-CN"/>
              </w:rPr>
              <w:t>2.25</w:t>
            </w:r>
            <w:r>
              <w:rPr>
                <w:rFonts w:hint="eastAsia"/>
                <w:color w:val="auto"/>
                <w:highlight w:val="none"/>
              </w:rPr>
              <w:t>t/a，厂内设固定垃圾收集箱，做到日产日清，交由环卫部门统一清运。</w:t>
            </w:r>
          </w:p>
          <w:p>
            <w:pPr>
              <w:keepNext w:val="0"/>
              <w:keepLines w:val="0"/>
              <w:suppressLineNumbers w:val="0"/>
              <w:spacing w:before="0" w:beforeAutospacing="0" w:after="0" w:afterAutospacing="0"/>
              <w:ind w:left="0" w:right="0" w:firstLine="480"/>
              <w:rPr>
                <w:rFonts w:hint="default"/>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）废机油</w:t>
            </w:r>
          </w:p>
          <w:p>
            <w:pPr>
              <w:keepNext w:val="0"/>
              <w:keepLines w:val="0"/>
              <w:suppressLineNumbers w:val="0"/>
              <w:spacing w:before="0" w:beforeAutospacing="0" w:after="0" w:afterAutospacing="0"/>
              <w:ind w:left="0" w:right="0" w:firstLine="480"/>
              <w:rPr>
                <w:rFonts w:hint="default"/>
                <w:color w:val="auto"/>
                <w:highlight w:val="none"/>
              </w:rPr>
            </w:pPr>
            <w:r>
              <w:rPr>
                <w:rFonts w:hint="eastAsia"/>
                <w:color w:val="auto"/>
                <w:highlight w:val="none"/>
              </w:rPr>
              <w:t>为了使设备处于良好运行状态，每年需对机械设备进行维护，产生废机油，每次产生废机油0.</w:t>
            </w:r>
            <w:r>
              <w:rPr>
                <w:rFonts w:hint="eastAsia"/>
                <w:color w:val="auto"/>
                <w:highlight w:val="none"/>
                <w:lang w:val="en-US" w:eastAsia="zh-CN"/>
              </w:rPr>
              <w:t>2</w:t>
            </w:r>
            <w:r>
              <w:rPr>
                <w:rFonts w:hint="eastAsia"/>
                <w:color w:val="auto"/>
                <w:highlight w:val="none"/>
              </w:rPr>
              <w:t>t，根据《国家危险废物名录》，废机油属于危险废物，废物类别为HW08废矿物油于含矿物油废物</w:t>
            </w:r>
            <w:r>
              <w:rPr>
                <w:rFonts w:hint="eastAsia"/>
                <w:color w:val="auto"/>
                <w:highlight w:val="none"/>
                <w:lang w:val="zh-CN"/>
              </w:rPr>
              <w:t>，废物代码为</w:t>
            </w:r>
            <w:r>
              <w:rPr>
                <w:rFonts w:hint="default"/>
                <w:color w:val="auto"/>
                <w:highlight w:val="none"/>
              </w:rPr>
              <w:t>900-</w:t>
            </w:r>
            <w:r>
              <w:rPr>
                <w:rFonts w:hint="eastAsia"/>
                <w:color w:val="auto"/>
                <w:highlight w:val="none"/>
              </w:rPr>
              <w:t>2</w:t>
            </w:r>
            <w:r>
              <w:rPr>
                <w:rFonts w:hint="eastAsia"/>
                <w:color w:val="auto"/>
                <w:highlight w:val="none"/>
                <w:lang w:val="en-US" w:eastAsia="zh-CN"/>
              </w:rPr>
              <w:t>17</w:t>
            </w:r>
            <w:r>
              <w:rPr>
                <w:rFonts w:hint="default"/>
                <w:color w:val="auto"/>
                <w:highlight w:val="none"/>
              </w:rPr>
              <w:t>-</w:t>
            </w:r>
            <w:r>
              <w:rPr>
                <w:rFonts w:hint="eastAsia"/>
                <w:color w:val="auto"/>
                <w:highlight w:val="none"/>
              </w:rPr>
              <w:t>08，应严格按照《危险废物贮存污染控制标准》（GB18597-2023）中有关规定进行收集、贮存、周转和管理，定期交由有处理资质的单位进行集中处置。</w:t>
            </w:r>
          </w:p>
          <w:p>
            <w:pPr>
              <w:keepNext w:val="0"/>
              <w:keepLines w:val="0"/>
              <w:suppressLineNumbers w:val="0"/>
              <w:spacing w:before="0" w:beforeAutospacing="0" w:after="0" w:afterAutospacing="0"/>
              <w:ind w:left="0" w:right="0" w:firstLine="480"/>
              <w:rPr>
                <w:rFonts w:hint="default"/>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）废油桶</w:t>
            </w:r>
          </w:p>
          <w:p>
            <w:pPr>
              <w:keepNext w:val="0"/>
              <w:keepLines w:val="0"/>
              <w:suppressLineNumbers w:val="0"/>
              <w:spacing w:before="0" w:beforeAutospacing="0" w:after="0" w:afterAutospacing="0"/>
              <w:ind w:left="0" w:right="0" w:firstLine="480"/>
              <w:rPr>
                <w:rFonts w:hint="default"/>
                <w:color w:val="auto"/>
                <w:highlight w:val="none"/>
              </w:rPr>
            </w:pPr>
            <w:r>
              <w:rPr>
                <w:rFonts w:hint="eastAsia"/>
                <w:color w:val="auto"/>
                <w:highlight w:val="none"/>
              </w:rPr>
              <w:t>本项目废油桶产生量约为</w:t>
            </w:r>
            <w:r>
              <w:rPr>
                <w:rFonts w:hint="default"/>
                <w:color w:val="auto"/>
                <w:highlight w:val="none"/>
              </w:rPr>
              <w:t>0.</w:t>
            </w:r>
            <w:r>
              <w:rPr>
                <w:rFonts w:hint="eastAsia"/>
                <w:color w:val="auto"/>
                <w:highlight w:val="none"/>
                <w:lang w:val="en-US" w:eastAsia="zh-CN"/>
              </w:rPr>
              <w:t>3</w:t>
            </w:r>
            <w:r>
              <w:rPr>
                <w:rFonts w:hint="default"/>
                <w:color w:val="auto"/>
                <w:highlight w:val="none"/>
              </w:rPr>
              <w:t>t/a，属于危险废物，</w:t>
            </w:r>
            <w:r>
              <w:rPr>
                <w:rFonts w:hint="eastAsia"/>
                <w:color w:val="auto"/>
                <w:highlight w:val="none"/>
              </w:rPr>
              <w:t>废物类别</w:t>
            </w:r>
            <w:r>
              <w:rPr>
                <w:rFonts w:hint="eastAsia"/>
                <w:color w:val="auto"/>
                <w:highlight w:val="none"/>
                <w:lang w:val="zh-CN"/>
              </w:rPr>
              <w:t>为</w:t>
            </w:r>
            <w:r>
              <w:rPr>
                <w:rFonts w:hint="eastAsia"/>
                <w:color w:val="auto"/>
                <w:highlight w:val="none"/>
              </w:rPr>
              <w:t>HW49其他废物，</w:t>
            </w:r>
            <w:r>
              <w:rPr>
                <w:rFonts w:hint="default"/>
                <w:color w:val="auto"/>
                <w:highlight w:val="none"/>
              </w:rPr>
              <w:t>废物代码为900-041-49，收集后交</w:t>
            </w:r>
            <w:r>
              <w:rPr>
                <w:rFonts w:hint="eastAsia"/>
                <w:color w:val="auto"/>
                <w:highlight w:val="none"/>
              </w:rPr>
              <w:t>有危废处理资质的单位</w:t>
            </w:r>
            <w:r>
              <w:rPr>
                <w:rFonts w:hint="default"/>
                <w:color w:val="auto"/>
                <w:highlight w:val="none"/>
              </w:rPr>
              <w:t>处置</w:t>
            </w:r>
            <w:r>
              <w:rPr>
                <w:rFonts w:hint="eastAsia"/>
                <w:color w:val="auto"/>
                <w:highlight w:val="none"/>
              </w:rPr>
              <w:t>。</w:t>
            </w:r>
          </w:p>
          <w:p>
            <w:pPr>
              <w:keepNext w:val="0"/>
              <w:keepLines w:val="0"/>
              <w:suppressLineNumbers w:val="0"/>
              <w:spacing w:before="0" w:beforeAutospacing="0" w:after="0" w:afterAutospacing="0"/>
              <w:ind w:left="0" w:right="0" w:firstLine="480"/>
              <w:rPr>
                <w:rFonts w:hint="default"/>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）含油抹布手套</w:t>
            </w:r>
          </w:p>
          <w:p>
            <w:pPr>
              <w:keepNext w:val="0"/>
              <w:keepLines w:val="0"/>
              <w:suppressLineNumbers w:val="0"/>
              <w:spacing w:before="0" w:beforeAutospacing="0" w:after="0" w:afterAutospacing="0"/>
              <w:ind w:left="0" w:right="0" w:firstLine="480"/>
              <w:rPr>
                <w:rFonts w:hint="default"/>
                <w:color w:val="auto"/>
                <w:highlight w:val="none"/>
              </w:rPr>
            </w:pPr>
            <w:r>
              <w:rPr>
                <w:rFonts w:hint="eastAsia"/>
                <w:color w:val="auto"/>
                <w:highlight w:val="none"/>
              </w:rPr>
              <w:t>运营期设备维护检修过程中会产生少量废弃含油抹布及手套，产生量约为</w:t>
            </w:r>
            <w:r>
              <w:rPr>
                <w:rFonts w:hint="default"/>
                <w:color w:val="auto"/>
                <w:highlight w:val="none"/>
              </w:rPr>
              <w:t>0.0</w:t>
            </w:r>
            <w:r>
              <w:rPr>
                <w:rFonts w:hint="eastAsia"/>
                <w:color w:val="auto"/>
                <w:highlight w:val="none"/>
              </w:rPr>
              <w:t>5</w:t>
            </w:r>
            <w:r>
              <w:rPr>
                <w:rFonts w:hint="default"/>
                <w:color w:val="auto"/>
                <w:highlight w:val="none"/>
              </w:rPr>
              <w:t>t/a，属于危险废物，</w:t>
            </w:r>
            <w:r>
              <w:rPr>
                <w:rFonts w:hint="eastAsia"/>
                <w:color w:val="auto"/>
                <w:highlight w:val="none"/>
              </w:rPr>
              <w:t>废物类别</w:t>
            </w:r>
            <w:r>
              <w:rPr>
                <w:rFonts w:hint="eastAsia"/>
                <w:color w:val="auto"/>
                <w:highlight w:val="none"/>
                <w:lang w:val="zh-CN"/>
              </w:rPr>
              <w:t>为</w:t>
            </w:r>
            <w:r>
              <w:rPr>
                <w:rFonts w:hint="eastAsia"/>
                <w:color w:val="auto"/>
                <w:highlight w:val="none"/>
              </w:rPr>
              <w:t>HW49其他废物，</w:t>
            </w:r>
            <w:r>
              <w:rPr>
                <w:rFonts w:hint="default"/>
                <w:color w:val="auto"/>
                <w:highlight w:val="none"/>
              </w:rPr>
              <w:t>废物代码为900-041-49，收集后暂存后交</w:t>
            </w:r>
            <w:r>
              <w:rPr>
                <w:rFonts w:hint="eastAsia"/>
                <w:color w:val="auto"/>
                <w:highlight w:val="none"/>
              </w:rPr>
              <w:t>有危废处理资质的单位</w:t>
            </w:r>
            <w:r>
              <w:rPr>
                <w:rFonts w:hint="default"/>
                <w:color w:val="auto"/>
                <w:highlight w:val="none"/>
              </w:rPr>
              <w:t>处置</w:t>
            </w:r>
            <w:r>
              <w:rPr>
                <w:rFonts w:hint="eastAsia"/>
                <w:color w:val="auto"/>
                <w:highlight w:val="none"/>
              </w:rPr>
              <w:t>。</w:t>
            </w:r>
          </w:p>
          <w:p>
            <w:pPr>
              <w:keepNext w:val="0"/>
              <w:keepLines w:val="0"/>
              <w:suppressLineNumbers w:val="0"/>
              <w:spacing w:before="0" w:beforeAutospacing="0" w:after="0" w:afterAutospacing="0"/>
              <w:ind w:left="0" w:right="0" w:firstLine="480"/>
              <w:rPr>
                <w:rFonts w:hint="default"/>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）废活性炭</w:t>
            </w:r>
          </w:p>
          <w:p>
            <w:pPr>
              <w:keepNext w:val="0"/>
              <w:keepLines w:val="0"/>
              <w:suppressLineNumbers w:val="0"/>
              <w:spacing w:before="0" w:beforeAutospacing="0" w:after="0" w:afterAutospacing="0"/>
              <w:ind w:left="0" w:right="0" w:firstLine="480"/>
              <w:rPr>
                <w:rFonts w:hint="default"/>
                <w:bCs/>
                <w:color w:val="auto"/>
                <w:highlight w:val="none"/>
              </w:rPr>
            </w:pPr>
            <w:r>
              <w:rPr>
                <w:rFonts w:hint="eastAsia"/>
                <w:color w:val="auto"/>
                <w:highlight w:val="none"/>
              </w:rPr>
              <w:t>本项目采用活性炭吸附装置吸附有机废气，活性炭吸附的气体量为</w:t>
            </w:r>
            <w:r>
              <w:rPr>
                <w:rFonts w:hint="eastAsia"/>
                <w:color w:val="auto"/>
                <w:highlight w:val="none"/>
                <w:lang w:val="en-US" w:eastAsia="zh-CN"/>
              </w:rPr>
              <w:t>3.876</w:t>
            </w:r>
            <w:r>
              <w:rPr>
                <w:rFonts w:hint="eastAsia"/>
                <w:color w:val="auto"/>
                <w:highlight w:val="none"/>
              </w:rPr>
              <w:t>t/a，活性炭吸附装置中的活性炭需定期更换，更换下来的废活性炭为危险废物</w:t>
            </w:r>
            <w:r>
              <w:rPr>
                <w:rFonts w:hint="default"/>
                <w:bCs/>
                <w:color w:val="auto"/>
                <w:highlight w:val="none"/>
              </w:rPr>
              <w:t>，</w:t>
            </w:r>
            <w:r>
              <w:rPr>
                <w:rFonts w:hint="eastAsia"/>
                <w:color w:val="auto"/>
                <w:highlight w:val="none"/>
              </w:rPr>
              <w:t>废物类别</w:t>
            </w:r>
            <w:r>
              <w:rPr>
                <w:rFonts w:hint="eastAsia"/>
                <w:color w:val="auto"/>
                <w:highlight w:val="none"/>
                <w:lang w:val="zh-CN"/>
              </w:rPr>
              <w:t>为</w:t>
            </w:r>
            <w:r>
              <w:rPr>
                <w:rFonts w:hint="eastAsia"/>
                <w:color w:val="auto"/>
                <w:highlight w:val="none"/>
              </w:rPr>
              <w:t>HW49其他废物，</w:t>
            </w:r>
            <w:r>
              <w:rPr>
                <w:rFonts w:hint="default"/>
                <w:color w:val="auto"/>
                <w:highlight w:val="none"/>
              </w:rPr>
              <w:t>废物代码为900-041-49</w:t>
            </w:r>
            <w:r>
              <w:rPr>
                <w:rFonts w:hint="eastAsia"/>
                <w:color w:val="auto"/>
                <w:highlight w:val="none"/>
              </w:rPr>
              <w:t>。根据《西安市生态环境局</w:t>
            </w:r>
            <w:r>
              <w:rPr>
                <w:rFonts w:hint="default"/>
                <w:color w:val="auto"/>
                <w:highlight w:val="none"/>
              </w:rPr>
              <w:t>关于加强挥发性有机物活性炭吸附处理设施运行管理工作的通知</w:t>
            </w:r>
            <w:r>
              <w:rPr>
                <w:rFonts w:hint="eastAsia"/>
                <w:color w:val="auto"/>
                <w:highlight w:val="none"/>
              </w:rPr>
              <w:t>》（市环发[2022]65号）中相关要求：本项目有机废气处理拟采用蜂窝活性炭，活性炭碘值不低于600毫克/克，填充厚度＞500mm，本项目VOCs初始浓度为</w:t>
            </w:r>
            <w:r>
              <w:rPr>
                <w:rFonts w:hint="eastAsia"/>
                <w:color w:val="auto"/>
                <w:highlight w:val="none"/>
                <w:lang w:val="en-US" w:eastAsia="zh-CN"/>
              </w:rPr>
              <w:t>78.7</w:t>
            </w:r>
            <w:r>
              <w:rPr>
                <w:rFonts w:hint="eastAsia"/>
                <w:color w:val="auto"/>
                <w:highlight w:val="none"/>
              </w:rPr>
              <w:t>mg/m</w:t>
            </w:r>
            <w:r>
              <w:rPr>
                <w:rFonts w:hint="eastAsia"/>
                <w:color w:val="auto"/>
                <w:highlight w:val="none"/>
                <w:vertAlign w:val="superscript"/>
              </w:rPr>
              <w:t>3</w:t>
            </w:r>
            <w:r>
              <w:rPr>
                <w:rFonts w:hint="eastAsia"/>
                <w:color w:val="auto"/>
                <w:highlight w:val="none"/>
              </w:rPr>
              <w:t>，小于</w:t>
            </w:r>
            <w:r>
              <w:rPr>
                <w:rFonts w:hint="eastAsia" w:ascii="Times New Roman" w:hAnsi="Times New Roman" w:eastAsia="宋体" w:cs="Times New Roman"/>
                <w:color w:val="auto"/>
                <w:sz w:val="24"/>
                <w:lang w:val="en-US" w:eastAsia="zh-CN"/>
              </w:rPr>
              <w:t>100mg/m</w:t>
            </w:r>
            <w:r>
              <w:rPr>
                <w:rFonts w:hint="eastAsia" w:ascii="Times New Roman" w:hAnsi="Times New Roman" w:eastAsia="宋体" w:cs="Times New Roman"/>
                <w:color w:val="auto"/>
                <w:sz w:val="24"/>
                <w:vertAlign w:val="superscript"/>
                <w:lang w:val="en-US" w:eastAsia="zh-CN"/>
              </w:rPr>
              <w:t>3</w:t>
            </w:r>
            <w:r>
              <w:rPr>
                <w:rFonts w:hint="eastAsia" w:ascii="Times New Roman" w:hAnsi="Times New Roman" w:eastAsia="宋体" w:cs="Times New Roman"/>
                <w:color w:val="auto"/>
                <w:sz w:val="24"/>
                <w:lang w:val="en-US" w:eastAsia="zh-CN"/>
              </w:rPr>
              <w:t>，</w:t>
            </w:r>
            <w:r>
              <w:rPr>
                <w:rFonts w:hint="eastAsia"/>
                <w:color w:val="auto"/>
                <w:highlight w:val="none"/>
              </w:rPr>
              <w:t>设计风量</w:t>
            </w:r>
            <w:r>
              <w:rPr>
                <w:rFonts w:hint="eastAsia"/>
                <w:color w:val="auto"/>
                <w:highlight w:val="none"/>
                <w:lang w:val="en-US" w:eastAsia="zh-CN"/>
              </w:rPr>
              <w:t>18</w:t>
            </w:r>
            <w:r>
              <w:rPr>
                <w:rFonts w:hint="eastAsia"/>
                <w:color w:val="auto"/>
                <w:highlight w:val="none"/>
              </w:rPr>
              <w:t>000m</w:t>
            </w:r>
            <w:r>
              <w:rPr>
                <w:rFonts w:hint="eastAsia"/>
                <w:color w:val="auto"/>
                <w:highlight w:val="none"/>
                <w:vertAlign w:val="superscript"/>
              </w:rPr>
              <w:t>3</w:t>
            </w:r>
            <w:r>
              <w:rPr>
                <w:rFonts w:hint="eastAsia"/>
                <w:color w:val="auto"/>
                <w:highlight w:val="none"/>
              </w:rPr>
              <w:t>/h，因此本次活性炭装填量</w:t>
            </w:r>
            <w:r>
              <w:rPr>
                <w:rFonts w:hint="eastAsia"/>
                <w:color w:val="auto"/>
                <w:highlight w:val="none"/>
                <w:lang w:val="en-US" w:eastAsia="zh-CN"/>
              </w:rPr>
              <w:t>不低于0.5</w:t>
            </w:r>
            <w:r>
              <w:rPr>
                <w:rFonts w:hint="eastAsia"/>
                <w:color w:val="auto"/>
                <w:highlight w:val="none"/>
              </w:rPr>
              <w:t>吨/次</w:t>
            </w:r>
            <w:r>
              <w:rPr>
                <w:rFonts w:hint="eastAsia"/>
                <w:color w:val="auto"/>
                <w:highlight w:val="none"/>
                <w:lang w:val="en-US" w:eastAsia="zh-CN"/>
              </w:rPr>
              <w:t>即可，综合</w:t>
            </w:r>
            <w:r>
              <w:rPr>
                <w:rFonts w:hint="eastAsia"/>
                <w:color w:val="auto"/>
                <w:highlight w:val="none"/>
              </w:rPr>
              <w:t>要求</w:t>
            </w:r>
            <w:r>
              <w:rPr>
                <w:rFonts w:hint="eastAsia"/>
                <w:color w:val="auto"/>
                <w:highlight w:val="none"/>
                <w:lang w:val="en-US" w:eastAsia="zh-CN"/>
              </w:rPr>
              <w:t>按照0.5</w:t>
            </w:r>
            <w:r>
              <w:rPr>
                <w:rFonts w:hint="eastAsia"/>
                <w:color w:val="auto"/>
                <w:highlight w:val="none"/>
              </w:rPr>
              <w:t>吨/次计算，</w:t>
            </w:r>
            <w:r>
              <w:rPr>
                <w:rFonts w:hint="eastAsia"/>
                <w:color w:val="auto"/>
                <w:highlight w:val="none"/>
                <w:lang w:val="en-US" w:eastAsia="zh-CN"/>
              </w:rPr>
              <w:t>每年</w:t>
            </w:r>
            <w:r>
              <w:rPr>
                <w:rFonts w:hint="eastAsia"/>
                <w:color w:val="auto"/>
                <w:highlight w:val="none"/>
              </w:rPr>
              <w:t>更换</w:t>
            </w:r>
            <w:r>
              <w:rPr>
                <w:rFonts w:hint="eastAsia"/>
                <w:color w:val="auto"/>
                <w:highlight w:val="none"/>
                <w:lang w:val="en-US" w:eastAsia="zh-CN"/>
              </w:rPr>
              <w:t>6</w:t>
            </w:r>
            <w:r>
              <w:rPr>
                <w:rFonts w:hint="eastAsia"/>
                <w:color w:val="auto"/>
                <w:highlight w:val="none"/>
              </w:rPr>
              <w:t>次，则废活性炭产生量为</w:t>
            </w:r>
            <w:r>
              <w:rPr>
                <w:rFonts w:hint="eastAsia"/>
                <w:color w:val="auto"/>
                <w:highlight w:val="none"/>
                <w:lang w:val="en-US" w:eastAsia="zh-CN"/>
              </w:rPr>
              <w:t>6.876</w:t>
            </w:r>
            <w:r>
              <w:rPr>
                <w:rFonts w:hint="eastAsia"/>
                <w:color w:val="auto"/>
                <w:highlight w:val="none"/>
              </w:rPr>
              <w:t>t/a。收集暂存</w:t>
            </w:r>
            <w:r>
              <w:rPr>
                <w:rFonts w:hint="eastAsia"/>
                <w:color w:val="auto"/>
                <w:highlight w:val="none"/>
                <w:lang w:eastAsia="zh-CN"/>
              </w:rPr>
              <w:t>危废贮存库</w:t>
            </w:r>
            <w:r>
              <w:rPr>
                <w:rFonts w:hint="eastAsia"/>
                <w:color w:val="auto"/>
                <w:highlight w:val="none"/>
              </w:rPr>
              <w:t>后</w:t>
            </w:r>
            <w:r>
              <w:rPr>
                <w:rFonts w:hint="default"/>
                <w:bCs/>
                <w:color w:val="auto"/>
                <w:highlight w:val="none"/>
              </w:rPr>
              <w:t>定期交由资质单位处置。</w:t>
            </w:r>
          </w:p>
          <w:p>
            <w:pPr>
              <w:pStyle w:val="77"/>
              <w:keepNext w:val="0"/>
              <w:keepLines w:val="0"/>
              <w:widowControl/>
              <w:suppressLineNumbers w:val="0"/>
              <w:spacing w:before="0" w:beforeLines="0" w:beforeAutospacing="0" w:after="0" w:afterAutospacing="0" w:line="240" w:lineRule="auto"/>
              <w:ind w:left="0" w:right="0"/>
              <w:rPr>
                <w:rFonts w:hint="default" w:eastAsia="宋体"/>
                <w:b/>
                <w:bCs/>
                <w:color w:val="auto"/>
                <w:highlight w:val="none"/>
              </w:rPr>
            </w:pPr>
            <w:r>
              <w:rPr>
                <w:rFonts w:hint="default" w:eastAsia="宋体"/>
                <w:b/>
                <w:bCs/>
                <w:color w:val="auto"/>
                <w:highlight w:val="none"/>
              </w:rPr>
              <w:t>表</w:t>
            </w:r>
            <w:r>
              <w:rPr>
                <w:rFonts w:hint="eastAsia" w:eastAsia="宋体"/>
                <w:b/>
                <w:bCs/>
                <w:color w:val="auto"/>
                <w:highlight w:val="none"/>
              </w:rPr>
              <w:t>4-12</w:t>
            </w:r>
            <w:r>
              <w:rPr>
                <w:rFonts w:hint="default" w:eastAsia="宋体"/>
                <w:b/>
                <w:bCs/>
                <w:color w:val="auto"/>
                <w:highlight w:val="none"/>
              </w:rPr>
              <w:t xml:space="preserve"> </w:t>
            </w:r>
            <w:r>
              <w:rPr>
                <w:rFonts w:hint="eastAsia" w:eastAsia="宋体"/>
                <w:b/>
                <w:bCs/>
                <w:color w:val="auto"/>
                <w:highlight w:val="none"/>
                <w:lang w:val="en-US" w:eastAsia="zh-CN"/>
              </w:rPr>
              <w:t xml:space="preserve">  </w:t>
            </w:r>
            <w:r>
              <w:rPr>
                <w:rFonts w:hint="default" w:eastAsia="宋体"/>
                <w:b/>
                <w:bCs/>
                <w:color w:val="auto"/>
                <w:highlight w:val="none"/>
              </w:rPr>
              <w:t xml:space="preserve"> </w:t>
            </w:r>
            <w:r>
              <w:rPr>
                <w:rFonts w:hint="eastAsia" w:eastAsia="宋体"/>
                <w:b/>
                <w:bCs/>
                <w:color w:val="auto"/>
                <w:highlight w:val="none"/>
              </w:rPr>
              <w:t>一般固废产排情况表</w:t>
            </w:r>
          </w:p>
          <w:tbl>
            <w:tblPr>
              <w:tblStyle w:val="38"/>
              <w:tblW w:w="829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339"/>
              <w:gridCol w:w="1518"/>
              <w:gridCol w:w="1143"/>
              <w:gridCol w:w="927"/>
              <w:gridCol w:w="1601"/>
              <w:gridCol w:w="101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产生环节</w:t>
                  </w:r>
                </w:p>
              </w:tc>
              <w:tc>
                <w:tcPr>
                  <w:tcW w:w="807"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名称</w:t>
                  </w:r>
                </w:p>
              </w:tc>
              <w:tc>
                <w:tcPr>
                  <w:tcW w:w="914"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属性</w:t>
                  </w:r>
                </w:p>
              </w:tc>
              <w:tc>
                <w:tcPr>
                  <w:tcW w:w="68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产生量</w:t>
                  </w:r>
                </w:p>
              </w:tc>
              <w:tc>
                <w:tcPr>
                  <w:tcW w:w="55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贮存方式</w:t>
                  </w:r>
                </w:p>
              </w:tc>
              <w:tc>
                <w:tcPr>
                  <w:tcW w:w="964"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利用处置方式和去向</w:t>
                  </w:r>
                </w:p>
              </w:tc>
              <w:tc>
                <w:tcPr>
                  <w:tcW w:w="614"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利用或处置量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1"/>
                      <w:highlight w:val="none"/>
                    </w:rPr>
                  </w:pPr>
                  <w:r>
                    <w:rPr>
                      <w:rFonts w:hint="default"/>
                      <w:color w:val="auto"/>
                      <w:szCs w:val="21"/>
                      <w:highlight w:val="none"/>
                    </w:rPr>
                    <w:t>员工生活</w:t>
                  </w:r>
                </w:p>
              </w:tc>
              <w:tc>
                <w:tcPr>
                  <w:tcW w:w="807"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1"/>
                      <w:highlight w:val="none"/>
                    </w:rPr>
                  </w:pPr>
                  <w:r>
                    <w:rPr>
                      <w:rFonts w:hint="default"/>
                      <w:color w:val="auto"/>
                      <w:szCs w:val="21"/>
                      <w:highlight w:val="none"/>
                    </w:rPr>
                    <w:t>生活垃圾</w:t>
                  </w:r>
                </w:p>
              </w:tc>
              <w:tc>
                <w:tcPr>
                  <w:tcW w:w="914"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1"/>
                      <w:highlight w:val="none"/>
                    </w:rPr>
                  </w:pPr>
                  <w:r>
                    <w:rPr>
                      <w:rFonts w:hint="default"/>
                      <w:color w:val="auto"/>
                      <w:szCs w:val="21"/>
                      <w:highlight w:val="none"/>
                    </w:rPr>
                    <w:t>生活垃圾</w:t>
                  </w:r>
                </w:p>
              </w:tc>
              <w:tc>
                <w:tcPr>
                  <w:tcW w:w="68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1"/>
                      <w:highlight w:val="none"/>
                    </w:rPr>
                  </w:pPr>
                  <w:r>
                    <w:rPr>
                      <w:rFonts w:hint="eastAsia"/>
                      <w:color w:val="auto"/>
                      <w:szCs w:val="21"/>
                      <w:highlight w:val="none"/>
                      <w:lang w:val="en-US" w:eastAsia="zh-CN"/>
                    </w:rPr>
                    <w:t>2.25</w:t>
                  </w:r>
                  <w:r>
                    <w:rPr>
                      <w:rFonts w:hint="default"/>
                      <w:color w:val="auto"/>
                      <w:szCs w:val="21"/>
                      <w:highlight w:val="none"/>
                    </w:rPr>
                    <w:t>t/a</w:t>
                  </w:r>
                </w:p>
              </w:tc>
              <w:tc>
                <w:tcPr>
                  <w:tcW w:w="55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1"/>
                      <w:highlight w:val="none"/>
                    </w:rPr>
                  </w:pPr>
                  <w:r>
                    <w:rPr>
                      <w:rFonts w:hint="default"/>
                      <w:color w:val="auto"/>
                      <w:szCs w:val="21"/>
                      <w:highlight w:val="none"/>
                    </w:rPr>
                    <w:t>垃圾桶收集</w:t>
                  </w:r>
                </w:p>
              </w:tc>
              <w:tc>
                <w:tcPr>
                  <w:tcW w:w="964"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1"/>
                      <w:highlight w:val="none"/>
                    </w:rPr>
                  </w:pPr>
                  <w:r>
                    <w:rPr>
                      <w:rFonts w:hint="default"/>
                      <w:color w:val="auto"/>
                      <w:szCs w:val="21"/>
                      <w:highlight w:val="none"/>
                    </w:rPr>
                    <w:t>环卫部门清运</w:t>
                  </w:r>
                </w:p>
              </w:tc>
              <w:tc>
                <w:tcPr>
                  <w:tcW w:w="614"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1"/>
                      <w:highlight w:val="none"/>
                    </w:rPr>
                  </w:pPr>
                  <w:r>
                    <w:rPr>
                      <w:rFonts w:hint="eastAsia"/>
                      <w:color w:val="auto"/>
                      <w:szCs w:val="21"/>
                      <w:highlight w:val="none"/>
                      <w:lang w:val="en-US" w:eastAsia="zh-CN"/>
                    </w:rPr>
                    <w:t>2.25</w:t>
                  </w:r>
                  <w:r>
                    <w:rPr>
                      <w:rFonts w:hint="default"/>
                      <w:color w:val="auto"/>
                      <w:szCs w:val="21"/>
                      <w:highlight w:val="none"/>
                    </w:rPr>
                    <w:t>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pct"/>
                  <w:vMerge w:val="restar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塑板生产</w:t>
                  </w:r>
                </w:p>
              </w:tc>
              <w:tc>
                <w:tcPr>
                  <w:tcW w:w="807"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不合格品</w:t>
                  </w:r>
                </w:p>
              </w:tc>
              <w:tc>
                <w:tcPr>
                  <w:tcW w:w="914"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default"/>
                      <w:color w:val="auto"/>
                      <w:szCs w:val="20"/>
                      <w:highlight w:val="none"/>
                    </w:rPr>
                    <w:t>一般固废</w:t>
                  </w:r>
                  <w:r>
                    <w:rPr>
                      <w:rFonts w:hint="eastAsia"/>
                      <w:color w:val="auto"/>
                      <w:szCs w:val="20"/>
                      <w:highlight w:val="none"/>
                      <w:lang w:val="en-US" w:eastAsia="zh-CN"/>
                    </w:rPr>
                    <w:t>900-003-17</w:t>
                  </w:r>
                </w:p>
              </w:tc>
              <w:tc>
                <w:tcPr>
                  <w:tcW w:w="68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lang w:val="en-US" w:eastAsia="zh-CN"/>
                    </w:rPr>
                    <w:t>240t/a</w:t>
                  </w:r>
                </w:p>
              </w:tc>
              <w:tc>
                <w:tcPr>
                  <w:tcW w:w="558" w:type="pct"/>
                  <w:vMerge w:val="restar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固废暂存间</w:t>
                  </w:r>
                </w:p>
              </w:tc>
              <w:tc>
                <w:tcPr>
                  <w:tcW w:w="964" w:type="pct"/>
                  <w:vMerge w:val="restar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ascii="宋体" w:cs="宋体"/>
                      <w:color w:val="auto"/>
                      <w:szCs w:val="21"/>
                      <w:highlight w:val="none"/>
                    </w:rPr>
                  </w:pPr>
                  <w:r>
                    <w:rPr>
                      <w:rFonts w:hint="eastAsia"/>
                      <w:color w:val="auto"/>
                      <w:szCs w:val="20"/>
                      <w:highlight w:val="none"/>
                      <w:lang w:val="en-US" w:eastAsia="zh-CN"/>
                    </w:rPr>
                    <w:t>收集统一</w:t>
                  </w:r>
                  <w:r>
                    <w:rPr>
                      <w:rFonts w:hint="eastAsia" w:ascii="宋体" w:cs="宋体"/>
                      <w:color w:val="auto"/>
                      <w:szCs w:val="21"/>
                      <w:highlight w:val="none"/>
                    </w:rPr>
                    <w:t>外售</w:t>
                  </w:r>
                </w:p>
              </w:tc>
              <w:tc>
                <w:tcPr>
                  <w:tcW w:w="614"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lang w:val="en-US" w:eastAsia="zh-CN"/>
                    </w:rPr>
                    <w:t>240t/a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color w:val="auto"/>
                      <w:szCs w:val="20"/>
                      <w:highlight w:val="none"/>
                    </w:rPr>
                  </w:pPr>
                </w:p>
              </w:tc>
              <w:tc>
                <w:tcPr>
                  <w:tcW w:w="807"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eastAsia="宋体"/>
                      <w:color w:val="auto"/>
                      <w:szCs w:val="20"/>
                      <w:highlight w:val="none"/>
                      <w:lang w:val="en-US" w:eastAsia="zh-CN"/>
                    </w:rPr>
                  </w:pPr>
                  <w:r>
                    <w:rPr>
                      <w:rFonts w:hint="eastAsia"/>
                      <w:color w:val="auto"/>
                      <w:szCs w:val="20"/>
                      <w:highlight w:val="none"/>
                      <w:lang w:val="en-US" w:eastAsia="zh-CN"/>
                    </w:rPr>
                    <w:t>废边料</w:t>
                  </w:r>
                </w:p>
              </w:tc>
              <w:tc>
                <w:tcPr>
                  <w:tcW w:w="914"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一般固废</w:t>
                  </w:r>
                  <w:r>
                    <w:rPr>
                      <w:rFonts w:hint="eastAsia"/>
                      <w:color w:val="auto"/>
                      <w:szCs w:val="20"/>
                      <w:highlight w:val="none"/>
                      <w:lang w:val="en-US" w:eastAsia="zh-CN"/>
                    </w:rPr>
                    <w:t>900-003-17</w:t>
                  </w:r>
                </w:p>
              </w:tc>
              <w:tc>
                <w:tcPr>
                  <w:tcW w:w="68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color w:val="auto"/>
                      <w:szCs w:val="20"/>
                      <w:highlight w:val="none"/>
                      <w:lang w:val="en-US" w:eastAsia="zh-CN"/>
                    </w:rPr>
                  </w:pPr>
                  <w:r>
                    <w:rPr>
                      <w:rFonts w:hint="eastAsia"/>
                      <w:color w:val="auto"/>
                      <w:szCs w:val="20"/>
                      <w:highlight w:val="none"/>
                      <w:lang w:val="en-US" w:eastAsia="zh-CN"/>
                    </w:rPr>
                    <w:t>48t/a</w:t>
                  </w:r>
                </w:p>
              </w:tc>
              <w:tc>
                <w:tcPr>
                  <w:tcW w:w="558"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964"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ascii="宋体" w:cs="宋体"/>
                      <w:color w:val="auto"/>
                      <w:szCs w:val="21"/>
                      <w:highlight w:val="none"/>
                    </w:rPr>
                  </w:pPr>
                </w:p>
              </w:tc>
              <w:tc>
                <w:tcPr>
                  <w:tcW w:w="614"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color w:val="auto"/>
                      <w:szCs w:val="20"/>
                      <w:highlight w:val="none"/>
                      <w:lang w:val="en-US" w:eastAsia="zh-CN"/>
                    </w:rPr>
                  </w:pPr>
                  <w:r>
                    <w:rPr>
                      <w:rFonts w:hint="eastAsia"/>
                      <w:color w:val="auto"/>
                      <w:szCs w:val="20"/>
                      <w:highlight w:val="none"/>
                      <w:lang w:val="en-US" w:eastAsia="zh-CN"/>
                    </w:rPr>
                    <w:t>48t/a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eastAsia"/>
                      <w:color w:val="auto"/>
                      <w:sz w:val="21"/>
                      <w:szCs w:val="21"/>
                      <w:highlight w:val="none"/>
                    </w:rPr>
                    <w:t>包装</w:t>
                  </w:r>
                </w:p>
              </w:tc>
              <w:tc>
                <w:tcPr>
                  <w:tcW w:w="807"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eastAsia"/>
                      <w:color w:val="auto"/>
                      <w:sz w:val="21"/>
                      <w:szCs w:val="21"/>
                      <w:highlight w:val="none"/>
                    </w:rPr>
                    <w:t>废包材</w:t>
                  </w:r>
                </w:p>
              </w:tc>
              <w:tc>
                <w:tcPr>
                  <w:tcW w:w="914"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一般固废</w:t>
                  </w:r>
                  <w:r>
                    <w:rPr>
                      <w:rFonts w:hint="eastAsia"/>
                      <w:color w:val="auto"/>
                      <w:szCs w:val="20"/>
                      <w:highlight w:val="none"/>
                      <w:lang w:val="en-US" w:eastAsia="zh-CN"/>
                    </w:rPr>
                    <w:t>900-003-17</w:t>
                  </w:r>
                </w:p>
              </w:tc>
              <w:tc>
                <w:tcPr>
                  <w:tcW w:w="688"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1"/>
                      <w:highlight w:val="none"/>
                    </w:rPr>
                  </w:pPr>
                  <w:r>
                    <w:rPr>
                      <w:rFonts w:hint="eastAsia"/>
                      <w:color w:val="auto"/>
                      <w:szCs w:val="21"/>
                      <w:highlight w:val="none"/>
                    </w:rPr>
                    <w:t>0.1</w:t>
                  </w:r>
                  <w:r>
                    <w:rPr>
                      <w:rFonts w:hint="default"/>
                      <w:color w:val="auto"/>
                      <w:szCs w:val="20"/>
                      <w:highlight w:val="none"/>
                    </w:rPr>
                    <w:t>t/a</w:t>
                  </w:r>
                </w:p>
              </w:tc>
              <w:tc>
                <w:tcPr>
                  <w:tcW w:w="558"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964" w:type="pct"/>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ascii="宋体" w:cs="宋体"/>
                      <w:color w:val="auto"/>
                      <w:szCs w:val="21"/>
                      <w:highlight w:val="none"/>
                    </w:rPr>
                  </w:pPr>
                </w:p>
              </w:tc>
              <w:tc>
                <w:tcPr>
                  <w:tcW w:w="614" w:type="pc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1"/>
                      <w:highlight w:val="none"/>
                    </w:rPr>
                  </w:pPr>
                  <w:r>
                    <w:rPr>
                      <w:rFonts w:hint="eastAsia"/>
                      <w:color w:val="auto"/>
                      <w:szCs w:val="21"/>
                      <w:highlight w:val="none"/>
                    </w:rPr>
                    <w:t>0.1</w:t>
                  </w:r>
                  <w:r>
                    <w:rPr>
                      <w:rFonts w:hint="default"/>
                      <w:color w:val="auto"/>
                      <w:szCs w:val="20"/>
                      <w:highlight w:val="none"/>
                    </w:rPr>
                    <w:t>t/a</w:t>
                  </w:r>
                </w:p>
              </w:tc>
            </w:tr>
          </w:tbl>
          <w:p>
            <w:pPr>
              <w:pStyle w:val="77"/>
              <w:keepNext w:val="0"/>
              <w:keepLines w:val="0"/>
              <w:widowControl/>
              <w:suppressLineNumbers w:val="0"/>
              <w:spacing w:before="120" w:beforeAutospacing="0" w:after="0" w:afterAutospacing="0" w:line="240" w:lineRule="auto"/>
              <w:ind w:left="0" w:right="0"/>
              <w:rPr>
                <w:rFonts w:hint="default" w:eastAsia="宋体"/>
                <w:b/>
                <w:bCs/>
                <w:color w:val="auto"/>
                <w:highlight w:val="none"/>
              </w:rPr>
            </w:pPr>
            <w:r>
              <w:rPr>
                <w:rFonts w:hint="default" w:eastAsia="宋体"/>
                <w:b/>
                <w:bCs/>
                <w:color w:val="auto"/>
                <w:highlight w:val="none"/>
              </w:rPr>
              <w:t>表</w:t>
            </w:r>
            <w:r>
              <w:rPr>
                <w:rFonts w:hint="eastAsia" w:eastAsia="宋体"/>
                <w:b/>
                <w:bCs/>
                <w:color w:val="auto"/>
                <w:highlight w:val="none"/>
              </w:rPr>
              <w:t>4-13</w:t>
            </w:r>
            <w:r>
              <w:rPr>
                <w:rFonts w:hint="default" w:eastAsia="宋体"/>
                <w:b/>
                <w:bCs/>
                <w:color w:val="auto"/>
                <w:highlight w:val="none"/>
              </w:rPr>
              <w:t xml:space="preserve"> </w:t>
            </w:r>
            <w:r>
              <w:rPr>
                <w:rFonts w:hint="eastAsia" w:eastAsia="宋体"/>
                <w:b/>
                <w:bCs/>
                <w:color w:val="auto"/>
                <w:highlight w:val="none"/>
                <w:lang w:val="en-US" w:eastAsia="zh-CN"/>
              </w:rPr>
              <w:t xml:space="preserve">  </w:t>
            </w:r>
            <w:r>
              <w:rPr>
                <w:rFonts w:hint="default" w:eastAsia="宋体"/>
                <w:b/>
                <w:bCs/>
                <w:color w:val="auto"/>
                <w:highlight w:val="none"/>
              </w:rPr>
              <w:t xml:space="preserve"> </w:t>
            </w:r>
            <w:r>
              <w:rPr>
                <w:rFonts w:hint="eastAsia" w:eastAsia="宋体"/>
                <w:b/>
                <w:bCs/>
                <w:color w:val="auto"/>
                <w:highlight w:val="none"/>
              </w:rPr>
              <w:t>危险废物产排情况表</w:t>
            </w:r>
          </w:p>
          <w:tbl>
            <w:tblPr>
              <w:tblStyle w:val="38"/>
              <w:tblW w:w="4992"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038"/>
              <w:gridCol w:w="1260"/>
              <w:gridCol w:w="805"/>
              <w:gridCol w:w="919"/>
              <w:gridCol w:w="1340"/>
              <w:gridCol w:w="1340"/>
              <w:gridCol w:w="8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9"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产生环节</w:t>
                  </w:r>
                </w:p>
              </w:tc>
              <w:tc>
                <w:tcPr>
                  <w:tcW w:w="628"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名称</w:t>
                  </w:r>
                </w:p>
              </w:tc>
              <w:tc>
                <w:tcPr>
                  <w:tcW w:w="762"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eastAsia"/>
                      <w:color w:val="auto"/>
                      <w:sz w:val="21"/>
                      <w:szCs w:val="21"/>
                      <w:highlight w:val="none"/>
                    </w:rPr>
                    <w:t>危废代码</w:t>
                  </w:r>
                </w:p>
              </w:tc>
              <w:tc>
                <w:tcPr>
                  <w:tcW w:w="487"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产生量t/a</w:t>
                  </w:r>
                </w:p>
              </w:tc>
              <w:tc>
                <w:tcPr>
                  <w:tcW w:w="556"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贮存方式</w:t>
                  </w:r>
                </w:p>
              </w:tc>
              <w:tc>
                <w:tcPr>
                  <w:tcW w:w="811"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危险特性</w:t>
                  </w:r>
                </w:p>
              </w:tc>
              <w:tc>
                <w:tcPr>
                  <w:tcW w:w="811"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利用处置方式和去向</w:t>
                  </w:r>
                </w:p>
              </w:tc>
              <w:tc>
                <w:tcPr>
                  <w:tcW w:w="512"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rPr>
                      <w:rFonts w:hint="default"/>
                      <w:color w:val="auto"/>
                      <w:sz w:val="21"/>
                      <w:szCs w:val="21"/>
                      <w:highlight w:val="none"/>
                    </w:rPr>
                  </w:pPr>
                  <w:r>
                    <w:rPr>
                      <w:rFonts w:hint="default"/>
                      <w:color w:val="auto"/>
                      <w:sz w:val="21"/>
                      <w:szCs w:val="21"/>
                      <w:highlight w:val="none"/>
                    </w:rPr>
                    <w:t>利用或处置量t/a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9" w:type="pct"/>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设备</w:t>
                  </w:r>
                  <w:r>
                    <w:rPr>
                      <w:rFonts w:hint="eastAsia"/>
                      <w:color w:val="auto"/>
                      <w:sz w:val="21"/>
                      <w:szCs w:val="21"/>
                      <w:highlight w:val="none"/>
                    </w:rPr>
                    <w:t>维护检修</w:t>
                  </w:r>
                </w:p>
              </w:tc>
              <w:tc>
                <w:tcPr>
                  <w:tcW w:w="628"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废</w:t>
                  </w:r>
                  <w:r>
                    <w:rPr>
                      <w:rFonts w:hint="eastAsia"/>
                      <w:color w:val="auto"/>
                      <w:sz w:val="21"/>
                      <w:szCs w:val="21"/>
                      <w:highlight w:val="none"/>
                    </w:rPr>
                    <w:t>机</w:t>
                  </w:r>
                  <w:r>
                    <w:rPr>
                      <w:rFonts w:hint="default"/>
                      <w:color w:val="auto"/>
                      <w:sz w:val="21"/>
                      <w:szCs w:val="21"/>
                      <w:highlight w:val="none"/>
                    </w:rPr>
                    <w:t>油</w:t>
                  </w:r>
                </w:p>
              </w:tc>
              <w:tc>
                <w:tcPr>
                  <w:tcW w:w="762"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HW08</w:t>
                  </w:r>
                </w:p>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900-2</w:t>
                  </w:r>
                  <w:r>
                    <w:rPr>
                      <w:rFonts w:hint="eastAsia"/>
                      <w:color w:val="auto"/>
                      <w:sz w:val="21"/>
                      <w:szCs w:val="21"/>
                      <w:highlight w:val="none"/>
                      <w:lang w:val="en-US" w:eastAsia="zh-CN"/>
                    </w:rPr>
                    <w:t>17</w:t>
                  </w:r>
                  <w:r>
                    <w:rPr>
                      <w:rFonts w:hint="default"/>
                      <w:color w:val="auto"/>
                      <w:sz w:val="21"/>
                      <w:szCs w:val="21"/>
                      <w:highlight w:val="none"/>
                    </w:rPr>
                    <w:t>-08</w:t>
                  </w:r>
                </w:p>
              </w:tc>
              <w:tc>
                <w:tcPr>
                  <w:tcW w:w="487"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auto"/>
                      <w:sz w:val="21"/>
                      <w:szCs w:val="21"/>
                      <w:highlight w:val="none"/>
                      <w:lang w:eastAsia="zh-CN"/>
                    </w:rPr>
                  </w:pPr>
                  <w:r>
                    <w:rPr>
                      <w:rFonts w:hint="eastAsia"/>
                      <w:color w:val="auto"/>
                      <w:sz w:val="21"/>
                      <w:szCs w:val="21"/>
                      <w:highlight w:val="none"/>
                    </w:rPr>
                    <w:t>0.</w:t>
                  </w:r>
                  <w:r>
                    <w:rPr>
                      <w:rFonts w:hint="eastAsia"/>
                      <w:color w:val="auto"/>
                      <w:sz w:val="21"/>
                      <w:szCs w:val="21"/>
                      <w:highlight w:val="none"/>
                      <w:lang w:val="en-US" w:eastAsia="zh-CN"/>
                    </w:rPr>
                    <w:t>2</w:t>
                  </w:r>
                </w:p>
              </w:tc>
              <w:tc>
                <w:tcPr>
                  <w:tcW w:w="556" w:type="pct"/>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auto"/>
                      <w:sz w:val="21"/>
                      <w:szCs w:val="21"/>
                      <w:highlight w:val="none"/>
                      <w:lang w:eastAsia="zh-CN"/>
                    </w:rPr>
                  </w:pPr>
                  <w:r>
                    <w:rPr>
                      <w:rFonts w:hint="eastAsia"/>
                      <w:color w:val="auto"/>
                      <w:sz w:val="21"/>
                      <w:szCs w:val="21"/>
                      <w:highlight w:val="none"/>
                      <w:lang w:eastAsia="zh-CN"/>
                    </w:rPr>
                    <w:t>危废贮存库</w:t>
                  </w:r>
                </w:p>
              </w:tc>
              <w:tc>
                <w:tcPr>
                  <w:tcW w:w="811"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T,I</w:t>
                  </w:r>
                </w:p>
              </w:tc>
              <w:tc>
                <w:tcPr>
                  <w:tcW w:w="811" w:type="pct"/>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交由</w:t>
                  </w:r>
                  <w:r>
                    <w:rPr>
                      <w:rFonts w:hint="eastAsia"/>
                      <w:color w:val="auto"/>
                      <w:sz w:val="21"/>
                      <w:szCs w:val="21"/>
                      <w:highlight w:val="none"/>
                    </w:rPr>
                    <w:t>有危废处理资质的单位</w:t>
                  </w:r>
                  <w:r>
                    <w:rPr>
                      <w:rFonts w:hint="default"/>
                      <w:color w:val="auto"/>
                      <w:sz w:val="21"/>
                      <w:szCs w:val="21"/>
                      <w:highlight w:val="none"/>
                    </w:rPr>
                    <w:t>处置</w:t>
                  </w:r>
                </w:p>
              </w:tc>
              <w:tc>
                <w:tcPr>
                  <w:tcW w:w="512"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auto"/>
                      <w:sz w:val="21"/>
                      <w:szCs w:val="21"/>
                      <w:highlight w:val="none"/>
                      <w:lang w:eastAsia="zh-CN"/>
                    </w:rPr>
                  </w:pPr>
                  <w:r>
                    <w:rPr>
                      <w:rFonts w:hint="default"/>
                      <w:color w:val="auto"/>
                      <w:sz w:val="21"/>
                      <w:szCs w:val="21"/>
                      <w:highlight w:val="none"/>
                    </w:rPr>
                    <w:t>0.</w:t>
                  </w:r>
                  <w:r>
                    <w:rPr>
                      <w:rFonts w:hint="eastAsia"/>
                      <w:color w:val="auto"/>
                      <w:sz w:val="21"/>
                      <w:szCs w:val="21"/>
                      <w:highlight w:val="none"/>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9" w:type="pct"/>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highlight w:val="none"/>
                    </w:rPr>
                  </w:pPr>
                </w:p>
              </w:tc>
              <w:tc>
                <w:tcPr>
                  <w:tcW w:w="628"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含油抹布及手套</w:t>
                  </w:r>
                </w:p>
              </w:tc>
              <w:tc>
                <w:tcPr>
                  <w:tcW w:w="762"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HW</w:t>
                  </w:r>
                  <w:r>
                    <w:rPr>
                      <w:rFonts w:hint="eastAsia"/>
                      <w:color w:val="auto"/>
                      <w:sz w:val="21"/>
                      <w:szCs w:val="21"/>
                      <w:highlight w:val="none"/>
                    </w:rPr>
                    <w:t>49</w:t>
                  </w:r>
                </w:p>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900-041-49</w:t>
                  </w:r>
                </w:p>
              </w:tc>
              <w:tc>
                <w:tcPr>
                  <w:tcW w:w="487"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0.05</w:t>
                  </w:r>
                </w:p>
              </w:tc>
              <w:tc>
                <w:tcPr>
                  <w:tcW w:w="556" w:type="pct"/>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highlight w:val="none"/>
                    </w:rPr>
                  </w:pPr>
                </w:p>
              </w:tc>
              <w:tc>
                <w:tcPr>
                  <w:tcW w:w="811"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T/In</w:t>
                  </w:r>
                </w:p>
              </w:tc>
              <w:tc>
                <w:tcPr>
                  <w:tcW w:w="811" w:type="pct"/>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highlight w:val="none"/>
                    </w:rPr>
                  </w:pPr>
                </w:p>
              </w:tc>
              <w:tc>
                <w:tcPr>
                  <w:tcW w:w="512"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9" w:type="pct"/>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highlight w:val="none"/>
                    </w:rPr>
                  </w:pPr>
                </w:p>
              </w:tc>
              <w:tc>
                <w:tcPr>
                  <w:tcW w:w="628"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eastAsia"/>
                      <w:color w:val="auto"/>
                      <w:sz w:val="21"/>
                      <w:szCs w:val="21"/>
                      <w:highlight w:val="none"/>
                    </w:rPr>
                    <w:t>废油桶</w:t>
                  </w:r>
                </w:p>
              </w:tc>
              <w:tc>
                <w:tcPr>
                  <w:tcW w:w="762"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HW</w:t>
                  </w:r>
                  <w:r>
                    <w:rPr>
                      <w:rFonts w:hint="eastAsia"/>
                      <w:color w:val="auto"/>
                      <w:sz w:val="21"/>
                      <w:szCs w:val="21"/>
                      <w:highlight w:val="none"/>
                    </w:rPr>
                    <w:t>49</w:t>
                  </w:r>
                </w:p>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900-249-08</w:t>
                  </w:r>
                </w:p>
              </w:tc>
              <w:tc>
                <w:tcPr>
                  <w:tcW w:w="487"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auto"/>
                      <w:sz w:val="21"/>
                      <w:szCs w:val="21"/>
                      <w:highlight w:val="none"/>
                      <w:lang w:eastAsia="zh-CN"/>
                    </w:rPr>
                  </w:pPr>
                  <w:r>
                    <w:rPr>
                      <w:rFonts w:hint="eastAsia"/>
                      <w:color w:val="auto"/>
                      <w:sz w:val="21"/>
                      <w:szCs w:val="21"/>
                      <w:highlight w:val="none"/>
                    </w:rPr>
                    <w:t>0.</w:t>
                  </w:r>
                  <w:r>
                    <w:rPr>
                      <w:rFonts w:hint="eastAsia"/>
                      <w:color w:val="auto"/>
                      <w:sz w:val="21"/>
                      <w:szCs w:val="21"/>
                      <w:highlight w:val="none"/>
                      <w:lang w:val="en-US" w:eastAsia="zh-CN"/>
                    </w:rPr>
                    <w:t>3</w:t>
                  </w:r>
                </w:p>
              </w:tc>
              <w:tc>
                <w:tcPr>
                  <w:tcW w:w="556" w:type="pct"/>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highlight w:val="none"/>
                    </w:rPr>
                  </w:pPr>
                </w:p>
              </w:tc>
              <w:tc>
                <w:tcPr>
                  <w:tcW w:w="811"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T,I</w:t>
                  </w:r>
                </w:p>
              </w:tc>
              <w:tc>
                <w:tcPr>
                  <w:tcW w:w="811" w:type="pct"/>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highlight w:val="none"/>
                    </w:rPr>
                  </w:pPr>
                </w:p>
              </w:tc>
              <w:tc>
                <w:tcPr>
                  <w:tcW w:w="512"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auto"/>
                      <w:sz w:val="21"/>
                      <w:szCs w:val="21"/>
                      <w:highlight w:val="none"/>
                      <w:lang w:eastAsia="zh-CN"/>
                    </w:rPr>
                  </w:pPr>
                  <w:r>
                    <w:rPr>
                      <w:rFonts w:hint="eastAsia"/>
                      <w:color w:val="auto"/>
                      <w:sz w:val="21"/>
                      <w:szCs w:val="21"/>
                      <w:highlight w:val="none"/>
                    </w:rPr>
                    <w:t>0.</w:t>
                  </w:r>
                  <w:r>
                    <w:rPr>
                      <w:rFonts w:hint="eastAsia"/>
                      <w:color w:val="auto"/>
                      <w:sz w:val="21"/>
                      <w:szCs w:val="21"/>
                      <w:highlight w:val="none"/>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9"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废气处理设施</w:t>
                  </w:r>
                </w:p>
              </w:tc>
              <w:tc>
                <w:tcPr>
                  <w:tcW w:w="628"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废活性炭</w:t>
                  </w:r>
                </w:p>
              </w:tc>
              <w:tc>
                <w:tcPr>
                  <w:tcW w:w="762"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HW</w:t>
                  </w:r>
                  <w:r>
                    <w:rPr>
                      <w:rFonts w:hint="eastAsia"/>
                      <w:color w:val="auto"/>
                      <w:sz w:val="21"/>
                      <w:szCs w:val="21"/>
                      <w:highlight w:val="none"/>
                    </w:rPr>
                    <w:t>49</w:t>
                  </w:r>
                </w:p>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900-0</w:t>
                  </w:r>
                  <w:r>
                    <w:rPr>
                      <w:rFonts w:hint="eastAsia"/>
                      <w:color w:val="auto"/>
                      <w:sz w:val="21"/>
                      <w:szCs w:val="21"/>
                      <w:highlight w:val="none"/>
                      <w:lang w:val="en-US" w:eastAsia="zh-CN"/>
                    </w:rPr>
                    <w:t>41</w:t>
                  </w:r>
                  <w:r>
                    <w:rPr>
                      <w:rFonts w:hint="default"/>
                      <w:color w:val="auto"/>
                      <w:sz w:val="21"/>
                      <w:szCs w:val="21"/>
                      <w:highlight w:val="none"/>
                    </w:rPr>
                    <w:t>-49</w:t>
                  </w:r>
                </w:p>
              </w:tc>
              <w:tc>
                <w:tcPr>
                  <w:tcW w:w="487"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6.876</w:t>
                  </w:r>
                </w:p>
              </w:tc>
              <w:tc>
                <w:tcPr>
                  <w:tcW w:w="556" w:type="pct"/>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highlight w:val="none"/>
                    </w:rPr>
                  </w:pPr>
                </w:p>
              </w:tc>
              <w:tc>
                <w:tcPr>
                  <w:tcW w:w="811"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T</w:t>
                  </w:r>
                </w:p>
              </w:tc>
              <w:tc>
                <w:tcPr>
                  <w:tcW w:w="811" w:type="pct"/>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highlight w:val="none"/>
                    </w:rPr>
                  </w:pPr>
                </w:p>
              </w:tc>
              <w:tc>
                <w:tcPr>
                  <w:tcW w:w="512"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6.876</w:t>
                  </w:r>
                </w:p>
              </w:tc>
            </w:tr>
          </w:tbl>
          <w:p>
            <w:pPr>
              <w:pStyle w:val="2"/>
              <w:keepNext w:val="0"/>
              <w:keepLines w:val="0"/>
              <w:suppressLineNumbers w:val="0"/>
              <w:spacing w:before="120" w:beforeLines="50" w:beforeAutospacing="0" w:after="0" w:afterAutospacing="0"/>
              <w:ind w:left="0" w:right="0" w:firstLine="482"/>
              <w:rPr>
                <w:rFonts w:hint="default"/>
                <w:color w:val="auto"/>
                <w:sz w:val="24"/>
                <w:szCs w:val="24"/>
                <w:highlight w:val="none"/>
              </w:rPr>
            </w:pPr>
            <w:r>
              <w:rPr>
                <w:rFonts w:hint="default"/>
                <w:b/>
                <w:bCs/>
                <w:color w:val="auto"/>
                <w:sz w:val="24"/>
                <w:szCs w:val="24"/>
                <w:highlight w:val="none"/>
              </w:rPr>
              <w:t>环境管理要求：</w:t>
            </w:r>
          </w:p>
          <w:p>
            <w:pPr>
              <w:keepNext w:val="0"/>
              <w:keepLines w:val="0"/>
              <w:widowControl/>
              <w:suppressLineNumbers w:val="0"/>
              <w:spacing w:before="0" w:beforeAutospacing="0" w:after="0" w:afterAutospacing="0"/>
              <w:ind w:left="0" w:right="0" w:firstLine="480"/>
              <w:rPr>
                <w:rFonts w:hint="default"/>
                <w:color w:val="auto"/>
                <w:highlight w:val="none"/>
              </w:rPr>
            </w:pPr>
            <w:r>
              <w:rPr>
                <w:rFonts w:hint="default"/>
                <w:color w:val="auto"/>
                <w:highlight w:val="none"/>
              </w:rPr>
              <w:t>本环评要求，应做好厂内各固废分类收集，严格按照《一般工业固体废物贮存、处置场污染控制标准》（GB18599-2020）和《危险废物贮存污染控制标准》（GB18597-20</w:t>
            </w:r>
            <w:r>
              <w:rPr>
                <w:rFonts w:hint="eastAsia"/>
                <w:color w:val="auto"/>
                <w:highlight w:val="none"/>
              </w:rPr>
              <w:t>23</w:t>
            </w:r>
            <w:r>
              <w:rPr>
                <w:rFonts w:hint="default"/>
                <w:color w:val="auto"/>
                <w:highlight w:val="none"/>
              </w:rPr>
              <w:t>）要求</w:t>
            </w:r>
            <w:r>
              <w:rPr>
                <w:rFonts w:hint="eastAsia"/>
                <w:color w:val="auto"/>
                <w:highlight w:val="none"/>
              </w:rPr>
              <w:t>设置</w:t>
            </w:r>
            <w:r>
              <w:rPr>
                <w:rFonts w:hint="default"/>
                <w:color w:val="auto"/>
                <w:highlight w:val="none"/>
              </w:rPr>
              <w:t>一般固废暂存</w:t>
            </w:r>
            <w:r>
              <w:rPr>
                <w:rFonts w:hint="eastAsia"/>
                <w:color w:val="auto"/>
                <w:highlight w:val="none"/>
                <w:lang w:val="en-US" w:eastAsia="zh-CN"/>
              </w:rPr>
              <w:t>间</w:t>
            </w:r>
            <w:r>
              <w:rPr>
                <w:rFonts w:hint="eastAsia"/>
                <w:color w:val="auto"/>
                <w:highlight w:val="none"/>
              </w:rPr>
              <w:t>和</w:t>
            </w:r>
            <w:r>
              <w:rPr>
                <w:rFonts w:hint="eastAsia"/>
                <w:color w:val="auto"/>
                <w:highlight w:val="none"/>
                <w:lang w:eastAsia="zh-CN"/>
              </w:rPr>
              <w:t>危废贮存库</w:t>
            </w:r>
            <w:r>
              <w:rPr>
                <w:rFonts w:hint="default"/>
                <w:color w:val="auto"/>
                <w:highlight w:val="none"/>
              </w:rPr>
              <w:t>；生活垃圾设置垃圾桶</w:t>
            </w:r>
            <w:r>
              <w:rPr>
                <w:rFonts w:hint="eastAsia"/>
                <w:color w:val="auto"/>
                <w:highlight w:val="none"/>
              </w:rPr>
              <w:t>。项目建成后应根据</w:t>
            </w:r>
            <w:r>
              <w:rPr>
                <w:rFonts w:hint="default" w:ascii="宋体" w:hAnsi="宋体" w:cs="宋体"/>
                <w:color w:val="auto"/>
                <w:highlight w:val="none"/>
              </w:rPr>
              <w:t>固定污染源排污许可分类管理名录和相关要求，及时办理排污许可证相关手续。</w:t>
            </w:r>
          </w:p>
          <w:p>
            <w:pPr>
              <w:keepNext w:val="0"/>
              <w:keepLines w:val="0"/>
              <w:suppressLineNumbers w:val="0"/>
              <w:spacing w:before="0" w:beforeAutospacing="0" w:after="0" w:afterAutospacing="0"/>
              <w:ind w:left="0" w:right="0" w:firstLine="480"/>
              <w:rPr>
                <w:rFonts w:hint="default"/>
                <w:color w:val="auto"/>
                <w:highlight w:val="none"/>
              </w:rPr>
            </w:pPr>
            <w:r>
              <w:rPr>
                <w:rFonts w:hint="eastAsia"/>
                <w:color w:val="auto"/>
                <w:highlight w:val="none"/>
              </w:rPr>
              <w:t>根据《</w:t>
            </w:r>
            <w:r>
              <w:rPr>
                <w:rFonts w:hint="default"/>
                <w:color w:val="auto"/>
                <w:highlight w:val="none"/>
              </w:rPr>
              <w:t>危险废物贮存设施的选址和设计原则</w:t>
            </w:r>
            <w:r>
              <w:rPr>
                <w:rFonts w:hint="eastAsia"/>
                <w:color w:val="auto"/>
                <w:highlight w:val="none"/>
              </w:rPr>
              <w:t>》，按要求在</w:t>
            </w:r>
            <w:r>
              <w:rPr>
                <w:rFonts w:hint="eastAsia"/>
                <w:color w:val="auto"/>
                <w:highlight w:val="none"/>
                <w:lang w:val="en-US" w:eastAsia="zh-CN"/>
              </w:rPr>
              <w:t>厂区西北部</w:t>
            </w:r>
            <w:r>
              <w:rPr>
                <w:rFonts w:hint="eastAsia"/>
                <w:color w:val="auto"/>
                <w:highlight w:val="none"/>
              </w:rPr>
              <w:t>设置1间</w:t>
            </w:r>
            <w:r>
              <w:rPr>
                <w:rFonts w:hint="eastAsia"/>
                <w:color w:val="auto"/>
                <w:szCs w:val="21"/>
                <w:highlight w:val="none"/>
                <w:lang w:eastAsia="zh-CN"/>
              </w:rPr>
              <w:t>危废贮存库</w:t>
            </w:r>
            <w:r>
              <w:rPr>
                <w:rFonts w:hint="eastAsia"/>
                <w:color w:val="auto"/>
                <w:szCs w:val="21"/>
                <w:highlight w:val="none"/>
              </w:rPr>
              <w:t>，面积10m</w:t>
            </w:r>
            <w:r>
              <w:rPr>
                <w:rFonts w:hint="eastAsia"/>
                <w:color w:val="auto"/>
                <w:szCs w:val="21"/>
                <w:highlight w:val="none"/>
                <w:vertAlign w:val="superscript"/>
              </w:rPr>
              <w:t>2</w:t>
            </w:r>
            <w:r>
              <w:rPr>
                <w:rFonts w:hint="eastAsia"/>
                <w:color w:val="auto"/>
                <w:highlight w:val="none"/>
              </w:rPr>
              <w:t>，</w:t>
            </w:r>
            <w:r>
              <w:rPr>
                <w:rFonts w:hint="default"/>
                <w:color w:val="auto"/>
                <w:highlight w:val="none"/>
              </w:rPr>
              <w:t>并做好防雨、防晒、防渗、防扬散和防火等措施，</w:t>
            </w:r>
            <w:r>
              <w:rPr>
                <w:rFonts w:hint="eastAsia"/>
                <w:color w:val="auto"/>
                <w:highlight w:val="none"/>
              </w:rPr>
              <w:t>危废贮存区域</w:t>
            </w:r>
            <w:r>
              <w:rPr>
                <w:rFonts w:hint="default"/>
                <w:color w:val="auto"/>
                <w:highlight w:val="none"/>
              </w:rPr>
              <w:t>为重点防渗区，防止二次污染发生，并应按以下要求对危险废物进行管理</w:t>
            </w:r>
            <w:r>
              <w:rPr>
                <w:rFonts w:hint="eastAsia"/>
                <w:color w:val="auto"/>
                <w:highlight w:val="none"/>
              </w:rPr>
              <w:t>。</w:t>
            </w:r>
          </w:p>
          <w:p>
            <w:pPr>
              <w:keepNext w:val="0"/>
              <w:keepLines w:val="0"/>
              <w:suppressLineNumbers w:val="0"/>
              <w:spacing w:before="0" w:beforeAutospacing="0" w:after="0" w:afterAutospacing="0"/>
              <w:ind w:left="0" w:right="0" w:firstLine="482"/>
              <w:rPr>
                <w:rFonts w:hint="default" w:ascii="宋体" w:hAnsi="宋体" w:cs="宋体"/>
                <w:b/>
                <w:color w:val="auto"/>
                <w:highlight w:val="none"/>
              </w:rPr>
            </w:pPr>
            <w:r>
              <w:rPr>
                <w:rFonts w:hint="eastAsia" w:ascii="宋体" w:hAnsi="宋体" w:cs="宋体"/>
                <w:b/>
                <w:color w:val="auto"/>
                <w:highlight w:val="none"/>
              </w:rPr>
              <w:t>危险废物</w:t>
            </w:r>
            <w:r>
              <w:rPr>
                <w:rFonts w:hint="eastAsia" w:ascii="宋体" w:hAnsi="宋体" w:cs="宋体"/>
                <w:b/>
                <w:color w:val="auto"/>
                <w:highlight w:val="none"/>
                <w:lang w:eastAsia="zh-CN"/>
              </w:rPr>
              <w:t>贮存库</w:t>
            </w:r>
            <w:r>
              <w:rPr>
                <w:rFonts w:hint="eastAsia" w:ascii="宋体" w:hAnsi="宋体" w:cs="宋体"/>
                <w:b/>
                <w:color w:val="auto"/>
                <w:highlight w:val="none"/>
              </w:rPr>
              <w:t>污染控制要求：</w:t>
            </w:r>
          </w:p>
          <w:p>
            <w:pPr>
              <w:keepNext w:val="0"/>
              <w:keepLines w:val="0"/>
              <w:suppressLineNumbers w:val="0"/>
              <w:spacing w:before="0" w:beforeAutospacing="0" w:after="0" w:afterAutospacing="0"/>
              <w:ind w:left="0" w:right="0" w:firstLine="480"/>
              <w:rPr>
                <w:rFonts w:hint="default"/>
                <w:color w:val="auto"/>
                <w:highlight w:val="none"/>
              </w:rPr>
            </w:pPr>
            <w:r>
              <w:rPr>
                <w:rFonts w:hint="eastAsia" w:ascii="宋体" w:hAnsi="宋体" w:cs="宋体"/>
                <w:color w:val="auto"/>
                <w:highlight w:val="none"/>
              </w:rPr>
              <w:t>①</w:t>
            </w:r>
            <w:r>
              <w:rPr>
                <w:rFonts w:hint="default"/>
                <w:color w:val="auto"/>
                <w:highlight w:val="none"/>
              </w:rPr>
              <w:t>贮存设施应采取必要的防风、防晒、防雨、防漏、防渗、防腐以及其他环境污染防治措施，不应露天堆放危险废物。</w:t>
            </w:r>
          </w:p>
          <w:p>
            <w:pPr>
              <w:keepNext w:val="0"/>
              <w:keepLines w:val="0"/>
              <w:suppressLineNumbers w:val="0"/>
              <w:spacing w:before="0" w:beforeAutospacing="0" w:after="0" w:afterAutospacing="0"/>
              <w:ind w:left="0" w:right="0" w:firstLine="480"/>
              <w:rPr>
                <w:rFonts w:hint="default"/>
                <w:color w:val="auto"/>
                <w:highlight w:val="none"/>
              </w:rPr>
            </w:pPr>
            <w:r>
              <w:rPr>
                <w:rFonts w:hint="eastAsia" w:ascii="宋体" w:hAnsi="宋体" w:cs="宋体"/>
                <w:color w:val="auto"/>
                <w:highlight w:val="none"/>
              </w:rPr>
              <w:t>②</w:t>
            </w:r>
            <w:r>
              <w:rPr>
                <w:rFonts w:hint="default"/>
                <w:color w:val="auto"/>
                <w:highlight w:val="none"/>
              </w:rPr>
              <w:t>贮存设施应设置必要的贮存分区，避免不相容的危险废物接触、混合。</w:t>
            </w:r>
          </w:p>
          <w:p>
            <w:pPr>
              <w:keepNext w:val="0"/>
              <w:keepLines w:val="0"/>
              <w:suppressLineNumbers w:val="0"/>
              <w:spacing w:before="0" w:beforeAutospacing="0" w:after="0" w:afterAutospacing="0"/>
              <w:ind w:left="0" w:right="0" w:firstLine="480"/>
              <w:rPr>
                <w:rFonts w:hint="default"/>
                <w:color w:val="auto"/>
                <w:highlight w:val="none"/>
              </w:rPr>
            </w:pPr>
            <w:r>
              <w:rPr>
                <w:rFonts w:hint="eastAsia" w:ascii="宋体" w:hAnsi="宋体" w:cs="宋体"/>
                <w:color w:val="auto"/>
                <w:highlight w:val="none"/>
              </w:rPr>
              <w:t>③</w:t>
            </w:r>
            <w:r>
              <w:rPr>
                <w:rFonts w:hint="default"/>
                <w:color w:val="auto"/>
                <w:highlight w:val="none"/>
              </w:rPr>
              <w:t>贮存设施应采用坚固的材料建造，表面无裂缝。</w:t>
            </w:r>
          </w:p>
          <w:p>
            <w:pPr>
              <w:keepNext w:val="0"/>
              <w:keepLines w:val="0"/>
              <w:suppressLineNumbers w:val="0"/>
              <w:spacing w:before="0" w:beforeAutospacing="0" w:after="0" w:afterAutospacing="0"/>
              <w:ind w:left="0" w:right="0" w:firstLine="480"/>
              <w:rPr>
                <w:rFonts w:hint="default"/>
                <w:color w:val="auto"/>
                <w:highlight w:val="none"/>
              </w:rPr>
            </w:pPr>
            <w:r>
              <w:rPr>
                <w:rFonts w:hint="eastAsia" w:ascii="宋体" w:hAnsi="宋体" w:cs="宋体"/>
                <w:color w:val="auto"/>
                <w:highlight w:val="none"/>
              </w:rPr>
              <w:t>④</w:t>
            </w:r>
            <w:r>
              <w:rPr>
                <w:rFonts w:hint="default"/>
                <w:color w:val="auto"/>
                <w:highlight w:val="none"/>
              </w:rPr>
              <w:t>贮存设施地面与裙脚应采取表面防渗措施；表面防渗材料应与所接触的物料或污染物相容，可采用抗渗混凝土、高密度</w:t>
            </w:r>
            <w:r>
              <w:rPr>
                <w:rFonts w:hint="eastAsia"/>
                <w:color w:val="auto"/>
                <w:highlight w:val="none"/>
                <w:lang w:eastAsia="zh-CN"/>
              </w:rPr>
              <w:t>高密度聚乙烯</w:t>
            </w:r>
            <w:r>
              <w:rPr>
                <w:rFonts w:hint="default"/>
                <w:color w:val="auto"/>
                <w:highlight w:val="none"/>
              </w:rPr>
              <w:t>膜、钠基膨润土防水毯或其他防渗性能等效的材料。贮存的危险废物直接接触地面的，还应进行基础防渗，防渗层为至少1m厚黏土层（渗透系数不大于10</w:t>
            </w:r>
            <w:r>
              <w:rPr>
                <w:rFonts w:hint="default"/>
                <w:color w:val="auto"/>
                <w:highlight w:val="none"/>
                <w:vertAlign w:val="superscript"/>
              </w:rPr>
              <w:t>-7</w:t>
            </w:r>
            <w:r>
              <w:rPr>
                <w:rFonts w:hint="default"/>
                <w:color w:val="auto"/>
                <w:highlight w:val="none"/>
              </w:rPr>
              <w:t>cm/s），或至少2mm厚高密度</w:t>
            </w:r>
            <w:r>
              <w:rPr>
                <w:rFonts w:hint="eastAsia"/>
                <w:color w:val="auto"/>
                <w:highlight w:val="none"/>
                <w:lang w:eastAsia="zh-CN"/>
              </w:rPr>
              <w:t>高密度聚乙烯</w:t>
            </w:r>
            <w:r>
              <w:rPr>
                <w:rFonts w:hint="default"/>
                <w:color w:val="auto"/>
                <w:highlight w:val="none"/>
              </w:rPr>
              <w:t>膜等人工防渗材料（渗透系数不大于10</w:t>
            </w:r>
            <w:r>
              <w:rPr>
                <w:rFonts w:hint="default"/>
                <w:color w:val="auto"/>
                <w:highlight w:val="none"/>
                <w:vertAlign w:val="superscript"/>
              </w:rPr>
              <w:t>-10</w:t>
            </w:r>
            <w:r>
              <w:rPr>
                <w:rFonts w:hint="default"/>
                <w:color w:val="auto"/>
                <w:highlight w:val="none"/>
              </w:rPr>
              <w:t>cm/s），或其他防渗性能等效的材料。</w:t>
            </w:r>
          </w:p>
          <w:p>
            <w:pPr>
              <w:keepNext w:val="0"/>
              <w:keepLines w:val="0"/>
              <w:suppressLineNumbers w:val="0"/>
              <w:spacing w:before="0" w:beforeAutospacing="0" w:after="0" w:afterAutospacing="0"/>
              <w:ind w:left="0" w:right="0" w:firstLine="480"/>
              <w:rPr>
                <w:rFonts w:hint="default"/>
                <w:color w:val="auto"/>
                <w:highlight w:val="none"/>
              </w:rPr>
            </w:pPr>
            <w:r>
              <w:rPr>
                <w:rFonts w:hint="eastAsia" w:ascii="宋体" w:hAnsi="宋体" w:cs="宋体"/>
                <w:color w:val="auto"/>
                <w:highlight w:val="none"/>
              </w:rPr>
              <w:t>⑤</w:t>
            </w:r>
            <w:r>
              <w:rPr>
                <w:rFonts w:hint="default"/>
                <w:color w:val="auto"/>
                <w:highlight w:val="none"/>
              </w:rPr>
              <w:t>同一贮存设施宜采用相同的防渗、防腐工艺（包括防渗、防腐结构或材料），防渗、防腐材料应覆盖所有可能与废物及其渗滤液、渗漏液等接触的构筑物表面；采用不同防渗、防腐工艺应分别建设贮存分区。</w:t>
            </w:r>
          </w:p>
          <w:p>
            <w:pPr>
              <w:keepNext w:val="0"/>
              <w:keepLines w:val="0"/>
              <w:suppressLineNumbers w:val="0"/>
              <w:spacing w:before="0" w:beforeAutospacing="0" w:after="0" w:afterAutospacing="0"/>
              <w:ind w:left="0" w:right="0" w:firstLine="480"/>
              <w:rPr>
                <w:rFonts w:hint="default"/>
                <w:color w:val="auto"/>
                <w:highlight w:val="none"/>
              </w:rPr>
            </w:pPr>
            <w:r>
              <w:rPr>
                <w:rFonts w:hint="eastAsia" w:ascii="宋体" w:hAnsi="宋体" w:cs="宋体"/>
                <w:color w:val="auto"/>
                <w:highlight w:val="none"/>
              </w:rPr>
              <w:t>⑥</w:t>
            </w:r>
            <w:r>
              <w:rPr>
                <w:rFonts w:hint="default"/>
                <w:color w:val="auto"/>
                <w:highlight w:val="none"/>
              </w:rPr>
              <w:t>贮存设施应采取技术和管理措施防止无关人员进入。</w:t>
            </w:r>
          </w:p>
          <w:p>
            <w:pPr>
              <w:keepNext w:val="0"/>
              <w:keepLines w:val="0"/>
              <w:suppressLineNumbers w:val="0"/>
              <w:spacing w:before="0" w:beforeAutospacing="0" w:after="0" w:afterAutospacing="0"/>
              <w:ind w:left="0" w:right="0" w:firstLine="480"/>
              <w:rPr>
                <w:rFonts w:hint="default" w:eastAsia="宋体"/>
                <w:b/>
                <w:bCs/>
                <w:color w:val="auto"/>
                <w:highlight w:val="none"/>
                <w:lang w:val="en-US" w:eastAsia="zh-CN"/>
              </w:rPr>
            </w:pPr>
            <w:r>
              <w:rPr>
                <w:rFonts w:hint="eastAsia"/>
                <w:b/>
                <w:bCs/>
                <w:color w:val="auto"/>
                <w:highlight w:val="none"/>
                <w:lang w:val="en-US" w:eastAsia="zh-CN"/>
              </w:rPr>
              <w:t>贮存设施标识图片如下所示：</w:t>
            </w:r>
          </w:p>
          <w:tbl>
            <w:tblPr>
              <w:tblStyle w:val="37"/>
              <w:tblW w:w="498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18"/>
              <w:gridCol w:w="40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2560"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ascii="宋体" w:hAnsi="宋体" w:eastAsia="宋体" w:cs="宋体"/>
                      <w:color w:val="auto"/>
                      <w:sz w:val="24"/>
                      <w:szCs w:val="24"/>
                    </w:rPr>
                    <w:drawing>
                      <wp:inline distT="0" distB="0" distL="114300" distR="114300">
                        <wp:extent cx="2447925" cy="1552575"/>
                        <wp:effectExtent l="0" t="0" r="9525" b="9525"/>
                        <wp:docPr id="2"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56"/>
                                <pic:cNvPicPr>
                                  <a:picLocks noChangeAspect="1"/>
                                </pic:cNvPicPr>
                              </pic:nvPicPr>
                              <pic:blipFill>
                                <a:blip r:embed="rId27"/>
                                <a:stretch>
                                  <a:fillRect/>
                                </a:stretch>
                              </pic:blipFill>
                              <pic:spPr>
                                <a:xfrm>
                                  <a:off x="0" y="0"/>
                                  <a:ext cx="2447925" cy="1552575"/>
                                </a:xfrm>
                                <a:prstGeom prst="rect">
                                  <a:avLst/>
                                </a:prstGeom>
                                <a:noFill/>
                                <a:ln w="9525">
                                  <a:noFill/>
                                </a:ln>
                              </pic:spPr>
                            </pic:pic>
                          </a:graphicData>
                        </a:graphic>
                      </wp:inline>
                    </w:drawing>
                  </w:r>
                </w:p>
              </w:tc>
              <w:tc>
                <w:tcPr>
                  <w:tcW w:w="2439"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ascii="宋体" w:hAnsi="宋体" w:eastAsia="宋体" w:cs="宋体"/>
                      <w:color w:val="auto"/>
                      <w:sz w:val="24"/>
                      <w:szCs w:val="24"/>
                    </w:rPr>
                    <w:drawing>
                      <wp:inline distT="0" distB="0" distL="114300" distR="114300">
                        <wp:extent cx="1969770" cy="1969770"/>
                        <wp:effectExtent l="0" t="0" r="11430" b="11430"/>
                        <wp:docPr id="4"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56"/>
                                <pic:cNvPicPr>
                                  <a:picLocks noChangeAspect="1"/>
                                </pic:cNvPicPr>
                              </pic:nvPicPr>
                              <pic:blipFill>
                                <a:blip r:embed="rId28"/>
                                <a:stretch>
                                  <a:fillRect/>
                                </a:stretch>
                              </pic:blipFill>
                              <pic:spPr>
                                <a:xfrm>
                                  <a:off x="0" y="0"/>
                                  <a:ext cx="1969770" cy="1969770"/>
                                </a:xfrm>
                                <a:prstGeom prst="rect">
                                  <a:avLst/>
                                </a:prstGeom>
                                <a:noFill/>
                                <a:ln w="9525">
                                  <a:noFill/>
                                </a:ln>
                              </pic:spPr>
                            </pic:pic>
                          </a:graphicData>
                        </a:graphic>
                      </wp:inline>
                    </w:drawing>
                  </w:r>
                </w:p>
              </w:tc>
            </w:tr>
          </w:tbl>
          <w:p>
            <w:pPr>
              <w:keepNext w:val="0"/>
              <w:keepLines w:val="0"/>
              <w:suppressLineNumbers w:val="0"/>
              <w:spacing w:before="0" w:beforeAutospacing="0" w:after="0" w:afterAutospacing="0"/>
              <w:ind w:left="0" w:right="0" w:firstLine="482"/>
              <w:rPr>
                <w:rFonts w:hint="default" w:ascii="宋体" w:hAnsi="宋体" w:cs="宋体"/>
                <w:b/>
                <w:color w:val="auto"/>
                <w:highlight w:val="none"/>
              </w:rPr>
            </w:pPr>
            <w:r>
              <w:rPr>
                <w:rFonts w:hint="eastAsia" w:ascii="宋体" w:hAnsi="宋体" w:cs="宋体"/>
                <w:b/>
                <w:color w:val="auto"/>
                <w:highlight w:val="none"/>
              </w:rPr>
              <w:t>贮存过程污染控制要求：</w:t>
            </w:r>
          </w:p>
          <w:p>
            <w:pPr>
              <w:keepNext w:val="0"/>
              <w:keepLines w:val="0"/>
              <w:suppressLineNumbers w:val="0"/>
              <w:spacing w:before="0" w:beforeAutospacing="0" w:after="0" w:afterAutospacing="0"/>
              <w:ind w:left="0" w:right="0" w:firstLine="480"/>
              <w:rPr>
                <w:rFonts w:hint="default" w:ascii="宋体" w:hAnsi="宋体" w:cs="宋体"/>
                <w:color w:val="auto"/>
                <w:highlight w:val="none"/>
              </w:rPr>
            </w:pPr>
            <w:r>
              <w:rPr>
                <w:rFonts w:hint="eastAsia" w:ascii="宋体" w:hAnsi="宋体" w:cs="宋体"/>
                <w:color w:val="auto"/>
                <w:highlight w:val="none"/>
              </w:rPr>
              <w:t>①废机油应装入容器内贮存；</w:t>
            </w:r>
          </w:p>
          <w:p>
            <w:pPr>
              <w:keepNext w:val="0"/>
              <w:keepLines w:val="0"/>
              <w:suppressLineNumbers w:val="0"/>
              <w:spacing w:before="0" w:beforeAutospacing="0" w:after="0" w:afterAutospacing="0"/>
              <w:ind w:left="0" w:right="0" w:firstLine="480"/>
              <w:rPr>
                <w:rFonts w:hint="default" w:ascii="宋体" w:hAnsi="宋体" w:cs="宋体"/>
                <w:color w:val="auto"/>
                <w:highlight w:val="none"/>
              </w:rPr>
            </w:pPr>
            <w:r>
              <w:rPr>
                <w:rFonts w:hint="eastAsia" w:ascii="宋体" w:hAnsi="宋体" w:cs="宋体"/>
                <w:color w:val="auto"/>
                <w:highlight w:val="none"/>
              </w:rPr>
              <w:t>②含污油抹布手套、废活性炭应装入容器或包装袋内贮存；</w:t>
            </w:r>
          </w:p>
          <w:p>
            <w:pPr>
              <w:keepNext w:val="0"/>
              <w:keepLines w:val="0"/>
              <w:suppressLineNumbers w:val="0"/>
              <w:spacing w:before="0" w:beforeAutospacing="0" w:after="0" w:afterAutospacing="0"/>
              <w:ind w:left="0" w:right="0" w:firstLine="480"/>
              <w:rPr>
                <w:rFonts w:hint="default" w:ascii="宋体" w:hAnsi="宋体" w:cs="宋体"/>
                <w:color w:val="auto"/>
                <w:highlight w:val="none"/>
              </w:rPr>
            </w:pPr>
            <w:r>
              <w:rPr>
                <w:rFonts w:hint="eastAsia" w:ascii="宋体" w:hAnsi="宋体" w:cs="宋体"/>
                <w:color w:val="auto"/>
                <w:highlight w:val="none"/>
              </w:rPr>
              <w:t>③</w:t>
            </w:r>
            <w:r>
              <w:rPr>
                <w:rFonts w:hint="default" w:ascii="宋体" w:hAnsi="宋体" w:cs="宋体"/>
                <w:color w:val="auto"/>
                <w:highlight w:val="none"/>
              </w:rPr>
              <w:t>运行期间，应按国家有关标准和规定建立危险废物管理台账并保存；</w:t>
            </w:r>
          </w:p>
          <w:p>
            <w:pPr>
              <w:keepNext w:val="0"/>
              <w:keepLines w:val="0"/>
              <w:suppressLineNumbers w:val="0"/>
              <w:spacing w:before="0" w:beforeAutospacing="0" w:after="0" w:afterAutospacing="0"/>
              <w:ind w:left="0" w:right="0" w:firstLine="480"/>
              <w:rPr>
                <w:rFonts w:hint="default" w:ascii="宋体" w:hAnsi="宋体" w:cs="宋体"/>
                <w:color w:val="auto"/>
                <w:highlight w:val="none"/>
              </w:rPr>
            </w:pPr>
            <w:r>
              <w:rPr>
                <w:rFonts w:hint="eastAsia" w:ascii="宋体" w:hAnsi="宋体" w:cs="宋体"/>
                <w:color w:val="auto"/>
                <w:highlight w:val="none"/>
              </w:rPr>
              <w:t>④</w:t>
            </w:r>
            <w:r>
              <w:rPr>
                <w:rFonts w:hint="default" w:ascii="宋体" w:hAnsi="宋体" w:cs="宋体"/>
                <w:color w:val="auto"/>
                <w:highlight w:val="none"/>
              </w:rPr>
              <w:t>建立贮存设施环境管理制度、管理人员岗位职责制度、设施运行操作制度、人员岗位培训制度等。</w:t>
            </w:r>
          </w:p>
          <w:p>
            <w:pPr>
              <w:keepNext w:val="0"/>
              <w:keepLines w:val="0"/>
              <w:suppressLineNumbers w:val="0"/>
              <w:spacing w:before="0" w:beforeAutospacing="0" w:after="0" w:afterAutospacing="0"/>
              <w:ind w:left="0" w:right="0" w:firstLine="482"/>
              <w:rPr>
                <w:rFonts w:hint="default" w:ascii="宋体" w:hAnsi="宋体" w:cs="宋体"/>
                <w:b/>
                <w:color w:val="auto"/>
                <w:highlight w:val="none"/>
              </w:rPr>
            </w:pPr>
            <w:r>
              <w:rPr>
                <w:rFonts w:hint="eastAsia" w:ascii="宋体" w:hAnsi="宋体" w:cs="宋体"/>
                <w:b/>
                <w:color w:val="auto"/>
                <w:highlight w:val="none"/>
                <w:lang w:eastAsia="zh-CN"/>
              </w:rPr>
              <w:t>贮存库</w:t>
            </w:r>
            <w:r>
              <w:rPr>
                <w:rFonts w:hint="eastAsia" w:ascii="宋体" w:hAnsi="宋体" w:cs="宋体"/>
                <w:b/>
                <w:color w:val="auto"/>
                <w:highlight w:val="none"/>
              </w:rPr>
              <w:t>环境管理要求：</w:t>
            </w:r>
          </w:p>
          <w:p>
            <w:pPr>
              <w:keepNext w:val="0"/>
              <w:keepLines w:val="0"/>
              <w:suppressLineNumbers w:val="0"/>
              <w:spacing w:before="0" w:beforeAutospacing="0" w:after="0" w:afterAutospacing="0"/>
              <w:ind w:left="0" w:right="0" w:firstLine="480"/>
              <w:rPr>
                <w:rFonts w:hint="default" w:ascii="宋体" w:hAnsi="宋体" w:cs="宋体"/>
                <w:color w:val="auto"/>
                <w:highlight w:val="none"/>
              </w:rPr>
            </w:pPr>
            <w:r>
              <w:rPr>
                <w:rFonts w:hint="eastAsia" w:ascii="宋体" w:hAnsi="宋体" w:cs="宋体"/>
                <w:color w:val="auto"/>
                <w:highlight w:val="none"/>
              </w:rPr>
              <w:t>①危险废物存入</w:t>
            </w:r>
            <w:r>
              <w:rPr>
                <w:rFonts w:hint="eastAsia" w:ascii="宋体" w:hAnsi="宋体" w:cs="宋体"/>
                <w:color w:val="auto"/>
                <w:highlight w:val="none"/>
                <w:lang w:eastAsia="zh-CN"/>
              </w:rPr>
              <w:t>贮存库</w:t>
            </w:r>
            <w:r>
              <w:rPr>
                <w:rFonts w:hint="eastAsia" w:ascii="宋体" w:hAnsi="宋体" w:cs="宋体"/>
                <w:color w:val="auto"/>
                <w:highlight w:val="none"/>
              </w:rPr>
              <w:t>前应对危险废物类别和特性与危险废物标签等危险废物识别标志的一致性进行核验，不一致的或类别、特性不明的不应存入；</w:t>
            </w:r>
          </w:p>
          <w:p>
            <w:pPr>
              <w:keepNext w:val="0"/>
              <w:keepLines w:val="0"/>
              <w:suppressLineNumbers w:val="0"/>
              <w:spacing w:before="0" w:beforeAutospacing="0" w:after="0" w:afterAutospacing="0"/>
              <w:ind w:left="0" w:right="0" w:firstLine="480"/>
              <w:rPr>
                <w:rFonts w:hint="eastAsia" w:ascii="宋体" w:hAnsi="宋体" w:cs="宋体"/>
                <w:color w:val="auto"/>
                <w:highlight w:val="none"/>
              </w:rPr>
            </w:pPr>
            <w:r>
              <w:rPr>
                <w:rFonts w:hint="eastAsia" w:ascii="宋体" w:hAnsi="宋体" w:cs="宋体"/>
                <w:color w:val="auto"/>
                <w:highlight w:val="none"/>
              </w:rPr>
              <w:t>②应定期检查危险废物的贮存状况，及时清理贮存</w:t>
            </w:r>
            <w:r>
              <w:rPr>
                <w:rFonts w:hint="eastAsia" w:ascii="宋体" w:hAnsi="宋体" w:cs="宋体"/>
                <w:color w:val="auto"/>
                <w:highlight w:val="none"/>
                <w:lang w:val="en-US" w:eastAsia="zh-CN"/>
              </w:rPr>
              <w:t>库</w:t>
            </w:r>
            <w:r>
              <w:rPr>
                <w:rFonts w:hint="eastAsia" w:ascii="宋体" w:hAnsi="宋体" w:cs="宋体"/>
                <w:color w:val="auto"/>
                <w:highlight w:val="none"/>
              </w:rPr>
              <w:t>地面，更换破损泄漏的危险废物贮存容器和包装物，保证堆存危险废物的防雨、防风、防扬尘等设施功能完好。</w:t>
            </w:r>
          </w:p>
          <w:p>
            <w:pPr>
              <w:keepNext w:val="0"/>
              <w:keepLines w:val="0"/>
              <w:suppressLineNumbers w:val="0"/>
              <w:spacing w:before="0" w:beforeAutospacing="0" w:after="0" w:afterAutospacing="0"/>
              <w:ind w:left="0" w:right="0" w:firstLine="480"/>
              <w:rPr>
                <w:rFonts w:hint="default" w:ascii="宋体" w:hAnsi="宋体" w:cs="宋体"/>
                <w:color w:val="auto"/>
                <w:highlight w:val="none"/>
              </w:rPr>
            </w:pPr>
            <w:r>
              <w:rPr>
                <w:rFonts w:hint="eastAsia" w:ascii="宋体" w:hAnsi="宋体" w:cs="宋体"/>
                <w:color w:val="auto"/>
                <w:highlight w:val="none"/>
              </w:rPr>
              <w:t>③</w:t>
            </w:r>
            <w:r>
              <w:rPr>
                <w:rFonts w:hint="eastAsia"/>
                <w:color w:val="auto"/>
                <w:highlight w:val="none"/>
                <w:lang w:eastAsia="zh-CN"/>
              </w:rPr>
              <w:t>贮存库</w:t>
            </w:r>
            <w:r>
              <w:rPr>
                <w:rFonts w:hint="default"/>
                <w:color w:val="auto"/>
                <w:highlight w:val="none"/>
              </w:rPr>
              <w:t>应及时清运贮存的危险废物，实时贮存量不应超过3吨</w:t>
            </w:r>
            <w:r>
              <w:rPr>
                <w:rFonts w:hint="eastAsia" w:ascii="宋体" w:hAnsi="宋体" w:cs="宋体"/>
                <w:color w:val="auto"/>
                <w:highlight w:val="none"/>
              </w:rPr>
              <w:t>；</w:t>
            </w:r>
          </w:p>
          <w:p>
            <w:pPr>
              <w:keepNext w:val="0"/>
              <w:keepLines w:val="0"/>
              <w:suppressLineNumbers w:val="0"/>
              <w:spacing w:before="0" w:beforeAutospacing="0" w:after="0" w:afterAutospacing="0"/>
              <w:ind w:left="0" w:right="0" w:firstLine="480"/>
              <w:rPr>
                <w:rFonts w:hint="default" w:ascii="宋体" w:hAnsi="宋体" w:cs="宋体"/>
                <w:color w:val="auto"/>
                <w:highlight w:val="none"/>
              </w:rPr>
            </w:pPr>
            <w:r>
              <w:rPr>
                <w:rFonts w:hint="eastAsia" w:ascii="宋体" w:hAnsi="宋体" w:cs="宋体"/>
                <w:color w:val="auto"/>
                <w:highlight w:val="none"/>
              </w:rPr>
              <w:t>④</w:t>
            </w:r>
            <w:r>
              <w:rPr>
                <w:rFonts w:hint="eastAsia"/>
                <w:color w:val="auto"/>
                <w:highlight w:val="none"/>
              </w:rPr>
              <w:t>危险废物产生单位在转移危险废物前，须按照国家有关规定报批危险废物转移计划；经批准后，产生单位应当向移出地环境保护行政主管部门申请领取联单。联单保存期限为五年</w:t>
            </w:r>
            <w:r>
              <w:rPr>
                <w:rFonts w:hint="eastAsia" w:ascii="宋体" w:hAnsi="宋体" w:cs="宋体"/>
                <w:color w:val="auto"/>
                <w:highlight w:val="none"/>
              </w:rPr>
              <w:t>。</w:t>
            </w:r>
          </w:p>
          <w:p>
            <w:pPr>
              <w:keepNext w:val="0"/>
              <w:keepLines w:val="0"/>
              <w:suppressLineNumbers w:val="0"/>
              <w:spacing w:before="0" w:beforeAutospacing="0" w:after="0" w:afterAutospacing="0"/>
              <w:ind w:left="0" w:right="0" w:firstLine="480"/>
              <w:rPr>
                <w:rFonts w:hint="default"/>
                <w:color w:val="auto"/>
                <w:highlight w:val="none"/>
              </w:rPr>
            </w:pPr>
            <w:r>
              <w:rPr>
                <w:rFonts w:hint="default"/>
                <w:color w:val="auto"/>
                <w:highlight w:val="none"/>
              </w:rPr>
              <w:t>以上处置措施可保证项目产生的一般固废和危险</w:t>
            </w:r>
            <w:r>
              <w:rPr>
                <w:rFonts w:hint="eastAsia"/>
                <w:color w:val="auto"/>
                <w:highlight w:val="none"/>
              </w:rPr>
              <w:t>废物</w:t>
            </w:r>
            <w:r>
              <w:rPr>
                <w:rFonts w:hint="default"/>
                <w:color w:val="auto"/>
                <w:highlight w:val="none"/>
              </w:rPr>
              <w:t>均能得到安全和妥善的处理，不会因长期堆放而对周围环境造成不利影响，固废处置措施有效可行，能够做到资源化、无害化，不对外随意排放</w:t>
            </w:r>
            <w:r>
              <w:rPr>
                <w:rFonts w:hint="eastAsia"/>
                <w:color w:val="auto"/>
                <w:highlight w:val="none"/>
              </w:rPr>
              <w:t>。</w:t>
            </w:r>
            <w:r>
              <w:rPr>
                <w:rFonts w:hint="default"/>
                <w:color w:val="auto"/>
                <w:highlight w:val="none"/>
              </w:rPr>
              <w:t>综上所述，固体废弃物均得到妥善处理，对环境产生的影响较小。</w:t>
            </w:r>
          </w:p>
          <w:p>
            <w:pPr>
              <w:keepNext w:val="0"/>
              <w:keepLines w:val="0"/>
              <w:suppressLineNumbers w:val="0"/>
              <w:spacing w:before="0" w:beforeAutospacing="0" w:after="0" w:afterAutospacing="0"/>
              <w:ind w:left="0" w:right="0" w:firstLine="482"/>
              <w:rPr>
                <w:rFonts w:hint="default"/>
                <w:b/>
                <w:bCs/>
                <w:color w:val="auto"/>
                <w:highlight w:val="none"/>
              </w:rPr>
            </w:pPr>
            <w:r>
              <w:rPr>
                <w:rFonts w:hint="default"/>
                <w:b/>
                <w:bCs/>
                <w:color w:val="auto"/>
                <w:highlight w:val="none"/>
              </w:rPr>
              <w:t>五、地下水</w:t>
            </w:r>
            <w:r>
              <w:rPr>
                <w:rFonts w:hint="eastAsia"/>
                <w:b/>
                <w:bCs/>
                <w:color w:val="auto"/>
                <w:highlight w:val="none"/>
              </w:rPr>
              <w:t>、土壤</w:t>
            </w:r>
          </w:p>
          <w:p>
            <w:pPr>
              <w:keepNext w:val="0"/>
              <w:keepLines w:val="0"/>
              <w:suppressLineNumbers w:val="0"/>
              <w:adjustRightInd w:val="0"/>
              <w:snapToGrid w:val="0"/>
              <w:spacing w:before="0" w:beforeAutospacing="0" w:after="0" w:afterAutospacing="0"/>
              <w:ind w:left="0" w:right="0" w:firstLine="480"/>
              <w:rPr>
                <w:rFonts w:hint="default"/>
                <w:color w:val="auto"/>
                <w:highlight w:val="none"/>
              </w:rPr>
            </w:pPr>
            <w:r>
              <w:rPr>
                <w:rFonts w:hint="eastAsia"/>
                <w:color w:val="auto"/>
                <w:highlight w:val="none"/>
              </w:rPr>
              <w:t>项目生产过程中产生的废机油集中收集贮存在</w:t>
            </w:r>
            <w:r>
              <w:rPr>
                <w:rFonts w:hint="eastAsia"/>
                <w:color w:val="auto"/>
                <w:highlight w:val="none"/>
                <w:lang w:eastAsia="zh-CN"/>
              </w:rPr>
              <w:t>危废贮存库</w:t>
            </w:r>
            <w:r>
              <w:rPr>
                <w:rFonts w:hint="eastAsia"/>
                <w:color w:val="auto"/>
                <w:highlight w:val="none"/>
              </w:rPr>
              <w:t>内，</w:t>
            </w:r>
            <w:r>
              <w:rPr>
                <w:rFonts w:hint="default"/>
                <w:color w:val="auto"/>
                <w:highlight w:val="none"/>
              </w:rPr>
              <w:t>若储存不当，会对地下水和土壤产生影响。</w:t>
            </w:r>
          </w:p>
          <w:p>
            <w:pPr>
              <w:keepNext w:val="0"/>
              <w:keepLines w:val="0"/>
              <w:suppressLineNumbers w:val="0"/>
              <w:spacing w:before="0" w:beforeAutospacing="0" w:after="0" w:afterAutospacing="0"/>
              <w:ind w:left="0" w:right="0" w:firstLine="480"/>
              <w:rPr>
                <w:rFonts w:hint="default"/>
                <w:color w:val="auto"/>
                <w:szCs w:val="21"/>
                <w:highlight w:val="none"/>
              </w:rPr>
            </w:pPr>
            <w:r>
              <w:rPr>
                <w:rFonts w:hint="eastAsia"/>
                <w:color w:val="auto"/>
                <w:highlight w:val="none"/>
              </w:rPr>
              <w:t>项目对地下水、土壤影响区域主要为</w:t>
            </w:r>
            <w:r>
              <w:rPr>
                <w:rFonts w:hint="eastAsia"/>
                <w:color w:val="auto"/>
                <w:highlight w:val="none"/>
                <w:lang w:eastAsia="zh-CN"/>
              </w:rPr>
              <w:t>危废贮存库</w:t>
            </w:r>
            <w:r>
              <w:rPr>
                <w:rFonts w:hint="eastAsia"/>
                <w:color w:val="auto"/>
                <w:highlight w:val="none"/>
              </w:rPr>
              <w:t>，污染途径主要为危废</w:t>
            </w:r>
            <w:r>
              <w:rPr>
                <w:rFonts w:hint="eastAsia"/>
                <w:color w:val="auto"/>
                <w:szCs w:val="21"/>
                <w:highlight w:val="none"/>
                <w:lang w:eastAsia="zh-CN"/>
              </w:rPr>
              <w:t>贮存库</w:t>
            </w:r>
            <w:r>
              <w:rPr>
                <w:rFonts w:hint="eastAsia"/>
                <w:color w:val="auto"/>
                <w:highlight w:val="none"/>
              </w:rPr>
              <w:t>地面防渗层破损，导致泄漏后未及时处理的废机油直接接触土壤、包气带，进而迁移和分解转至地下水环境，从而污染地下水、土壤环境。经现场勘查，项目购置已建成空厂房已进行了地面硬化处理，</w:t>
            </w:r>
            <w:r>
              <w:rPr>
                <w:rFonts w:hint="eastAsia"/>
                <w:color w:val="auto"/>
                <w:highlight w:val="none"/>
                <w:lang w:eastAsia="zh-CN"/>
              </w:rPr>
              <w:t>危废贮存库</w:t>
            </w:r>
            <w:r>
              <w:rPr>
                <w:rFonts w:hint="default"/>
                <w:color w:val="auto"/>
                <w:highlight w:val="none"/>
              </w:rPr>
              <w:t>严格按《危险废物贮存污染控制标准》（GB18597-20</w:t>
            </w:r>
            <w:r>
              <w:rPr>
                <w:rFonts w:hint="eastAsia"/>
                <w:color w:val="auto"/>
                <w:highlight w:val="none"/>
              </w:rPr>
              <w:t>23</w:t>
            </w:r>
            <w:r>
              <w:rPr>
                <w:rFonts w:hint="default"/>
                <w:color w:val="auto"/>
                <w:highlight w:val="none"/>
              </w:rPr>
              <w:t>）要求</w:t>
            </w:r>
            <w:r>
              <w:rPr>
                <w:rFonts w:hint="eastAsia"/>
                <w:color w:val="auto"/>
                <w:szCs w:val="21"/>
                <w:highlight w:val="none"/>
              </w:rPr>
              <w:t>建设，地面进行重点防渗措施，危废收集暂存至</w:t>
            </w:r>
            <w:r>
              <w:rPr>
                <w:rFonts w:hint="eastAsia"/>
                <w:color w:val="auto"/>
                <w:szCs w:val="21"/>
                <w:highlight w:val="none"/>
                <w:lang w:eastAsia="zh-CN"/>
              </w:rPr>
              <w:t>危废贮存库</w:t>
            </w:r>
            <w:r>
              <w:rPr>
                <w:rFonts w:hint="eastAsia"/>
                <w:color w:val="auto"/>
                <w:szCs w:val="21"/>
                <w:highlight w:val="none"/>
              </w:rPr>
              <w:t>内分类存放，设专用收集桶，并在危废暂存桶下设置托盘，较大程度减小废机油对土壤、地下水的影响。</w:t>
            </w:r>
          </w:p>
          <w:p>
            <w:pPr>
              <w:keepNext w:val="0"/>
              <w:keepLines w:val="0"/>
              <w:suppressLineNumbers w:val="0"/>
              <w:spacing w:before="0" w:beforeAutospacing="0" w:after="0" w:afterAutospacing="0"/>
              <w:ind w:left="0" w:right="0" w:firstLine="482"/>
              <w:rPr>
                <w:rFonts w:hint="default"/>
                <w:b/>
                <w:bCs/>
                <w:color w:val="auto"/>
                <w:highlight w:val="none"/>
              </w:rPr>
            </w:pPr>
            <w:r>
              <w:rPr>
                <w:rFonts w:hint="eastAsia"/>
                <w:b/>
                <w:bCs/>
                <w:color w:val="auto"/>
                <w:highlight w:val="none"/>
              </w:rPr>
              <w:t>六</w:t>
            </w:r>
            <w:r>
              <w:rPr>
                <w:rFonts w:hint="default"/>
                <w:b/>
                <w:bCs/>
                <w:color w:val="auto"/>
                <w:highlight w:val="none"/>
              </w:rPr>
              <w:t>、生态</w:t>
            </w:r>
          </w:p>
          <w:p>
            <w:pPr>
              <w:keepNext w:val="0"/>
              <w:keepLines w:val="0"/>
              <w:suppressLineNumbers w:val="0"/>
              <w:spacing w:before="0" w:beforeAutospacing="0" w:after="0" w:afterAutospacing="0"/>
              <w:ind w:left="0" w:right="0" w:firstLine="480"/>
              <w:rPr>
                <w:rFonts w:hint="default"/>
                <w:color w:val="auto"/>
                <w:highlight w:val="none"/>
              </w:rPr>
            </w:pPr>
            <w:r>
              <w:rPr>
                <w:rFonts w:hint="default"/>
                <w:color w:val="auto"/>
                <w:highlight w:val="none"/>
              </w:rPr>
              <w:t>本项目用地属于工业用地，占地范围内无生态环境保护目标，本次评价不做生态环境影响分析。</w:t>
            </w:r>
          </w:p>
          <w:p>
            <w:pPr>
              <w:keepNext w:val="0"/>
              <w:keepLines w:val="0"/>
              <w:suppressLineNumbers w:val="0"/>
              <w:spacing w:before="0" w:beforeAutospacing="0" w:after="0" w:afterAutospacing="0"/>
              <w:ind w:left="0" w:right="0" w:firstLine="482"/>
              <w:rPr>
                <w:rFonts w:hint="default"/>
                <w:b/>
                <w:bCs/>
                <w:color w:val="auto"/>
                <w:highlight w:val="none"/>
              </w:rPr>
            </w:pPr>
            <w:r>
              <w:rPr>
                <w:rFonts w:hint="eastAsia"/>
                <w:b/>
                <w:bCs/>
                <w:color w:val="auto"/>
                <w:highlight w:val="none"/>
              </w:rPr>
              <w:t>七</w:t>
            </w:r>
            <w:r>
              <w:rPr>
                <w:rFonts w:hint="default"/>
                <w:b/>
                <w:bCs/>
                <w:color w:val="auto"/>
                <w:highlight w:val="none"/>
              </w:rPr>
              <w:t>、环境风险</w:t>
            </w:r>
            <w:r>
              <w:rPr>
                <w:rFonts w:hint="eastAsia"/>
                <w:b/>
                <w:bCs/>
                <w:color w:val="auto"/>
                <w:highlight w:val="none"/>
              </w:rPr>
              <w:t>分析评价</w:t>
            </w:r>
          </w:p>
          <w:p>
            <w:pPr>
              <w:keepNext w:val="0"/>
              <w:keepLines w:val="0"/>
              <w:suppressLineNumbers w:val="0"/>
              <w:adjustRightInd w:val="0"/>
              <w:snapToGrid w:val="0"/>
              <w:spacing w:before="0" w:beforeAutospacing="0" w:after="0" w:afterAutospacing="0"/>
              <w:ind w:left="0" w:right="0" w:firstLine="480"/>
              <w:rPr>
                <w:rFonts w:hint="default"/>
                <w:bCs/>
                <w:color w:val="auto"/>
                <w:highlight w:val="none"/>
              </w:rPr>
            </w:pPr>
            <w:r>
              <w:rPr>
                <w:rFonts w:hint="default"/>
                <w:bCs/>
                <w:color w:val="auto"/>
                <w:highlight w:val="none"/>
              </w:rPr>
              <w:t>1</w:t>
            </w:r>
            <w:r>
              <w:rPr>
                <w:rFonts w:hint="eastAsia"/>
                <w:bCs/>
                <w:color w:val="auto"/>
                <w:highlight w:val="none"/>
              </w:rPr>
              <w:t>、</w:t>
            </w:r>
            <w:r>
              <w:rPr>
                <w:rFonts w:hint="default"/>
                <w:bCs/>
                <w:color w:val="auto"/>
                <w:highlight w:val="none"/>
              </w:rPr>
              <w:t>风险物质识别</w:t>
            </w:r>
          </w:p>
          <w:p>
            <w:pPr>
              <w:keepNext w:val="0"/>
              <w:keepLines w:val="0"/>
              <w:suppressLineNumbers w:val="0"/>
              <w:adjustRightInd w:val="0"/>
              <w:snapToGrid w:val="0"/>
              <w:spacing w:before="0" w:beforeAutospacing="0" w:after="0" w:afterAutospacing="0"/>
              <w:ind w:left="0" w:right="0" w:firstLine="480"/>
              <w:rPr>
                <w:rFonts w:hint="default"/>
                <w:color w:val="auto"/>
                <w:highlight w:val="none"/>
              </w:rPr>
            </w:pPr>
            <w:r>
              <w:rPr>
                <w:rFonts w:hint="default"/>
                <w:bCs/>
                <w:color w:val="auto"/>
                <w:highlight w:val="none"/>
              </w:rPr>
              <w:t>根据《建设项目环境风险评价技术导则》（HJ169-2018）附录B，对本项目使用的原辅料进行识别，属于风险物质</w:t>
            </w:r>
            <w:r>
              <w:rPr>
                <w:rFonts w:hint="eastAsia"/>
                <w:bCs/>
                <w:color w:val="auto"/>
                <w:highlight w:val="none"/>
              </w:rPr>
              <w:t>的</w:t>
            </w:r>
            <w:r>
              <w:rPr>
                <w:rFonts w:hint="eastAsia"/>
                <w:bCs/>
                <w:color w:val="auto"/>
                <w:highlight w:val="none"/>
                <w:lang w:val="en-US" w:eastAsia="zh-CN"/>
              </w:rPr>
              <w:t>有</w:t>
            </w:r>
            <w:r>
              <w:rPr>
                <w:rFonts w:hint="eastAsia"/>
                <w:bCs/>
                <w:color w:val="auto"/>
                <w:highlight w:val="none"/>
              </w:rPr>
              <w:t>机油</w:t>
            </w:r>
            <w:r>
              <w:rPr>
                <w:rFonts w:hint="default"/>
                <w:bCs/>
                <w:color w:val="auto"/>
                <w:highlight w:val="none"/>
              </w:rPr>
              <w:t>和废</w:t>
            </w:r>
            <w:r>
              <w:rPr>
                <w:rFonts w:hint="eastAsia"/>
                <w:bCs/>
                <w:color w:val="auto"/>
                <w:highlight w:val="none"/>
              </w:rPr>
              <w:t>机</w:t>
            </w:r>
            <w:r>
              <w:rPr>
                <w:rFonts w:hint="default"/>
                <w:bCs/>
                <w:color w:val="auto"/>
                <w:highlight w:val="none"/>
              </w:rPr>
              <w:t>油，存储位置分别为</w:t>
            </w:r>
            <w:r>
              <w:rPr>
                <w:rFonts w:hint="eastAsia"/>
                <w:color w:val="auto"/>
                <w:highlight w:val="none"/>
                <w:lang w:val="en-US" w:eastAsia="zh-CN"/>
              </w:rPr>
              <w:t>原料区</w:t>
            </w:r>
            <w:r>
              <w:rPr>
                <w:rFonts w:hint="default"/>
                <w:bCs/>
                <w:color w:val="auto"/>
                <w:highlight w:val="none"/>
              </w:rPr>
              <w:t>和</w:t>
            </w:r>
            <w:r>
              <w:rPr>
                <w:rFonts w:hint="eastAsia"/>
                <w:bCs/>
                <w:color w:val="auto"/>
                <w:highlight w:val="none"/>
                <w:lang w:eastAsia="zh-CN"/>
              </w:rPr>
              <w:t>危废贮存库</w:t>
            </w:r>
            <w:r>
              <w:rPr>
                <w:rFonts w:hint="default"/>
                <w:bCs/>
                <w:color w:val="auto"/>
                <w:highlight w:val="none"/>
              </w:rPr>
              <w:t>，</w:t>
            </w:r>
            <w:r>
              <w:rPr>
                <w:rFonts w:hint="eastAsia"/>
                <w:bCs/>
                <w:color w:val="auto"/>
                <w:highlight w:val="none"/>
              </w:rPr>
              <w:t>机油</w:t>
            </w:r>
            <w:r>
              <w:rPr>
                <w:rFonts w:hint="default"/>
                <w:bCs/>
                <w:color w:val="auto"/>
                <w:highlight w:val="none"/>
              </w:rPr>
              <w:t>和废</w:t>
            </w:r>
            <w:r>
              <w:rPr>
                <w:rFonts w:hint="eastAsia"/>
                <w:bCs/>
                <w:color w:val="auto"/>
                <w:highlight w:val="none"/>
              </w:rPr>
              <w:t>机</w:t>
            </w:r>
            <w:r>
              <w:rPr>
                <w:rFonts w:hint="default"/>
                <w:bCs/>
                <w:color w:val="auto"/>
                <w:highlight w:val="none"/>
              </w:rPr>
              <w:t>油临界量参考</w:t>
            </w:r>
            <w:r>
              <w:rPr>
                <w:rFonts w:hint="eastAsia"/>
                <w:bCs/>
                <w:color w:val="auto"/>
                <w:highlight w:val="none"/>
              </w:rPr>
              <w:t>附录B</w:t>
            </w:r>
            <w:r>
              <w:rPr>
                <w:rFonts w:hint="default"/>
                <w:bCs/>
                <w:color w:val="auto"/>
                <w:highlight w:val="none"/>
              </w:rPr>
              <w:t>。风险物质存在量及临界量见表</w:t>
            </w:r>
            <w:r>
              <w:rPr>
                <w:rFonts w:hint="eastAsia"/>
                <w:bCs/>
                <w:color w:val="auto"/>
                <w:highlight w:val="none"/>
              </w:rPr>
              <w:t>4-15</w:t>
            </w:r>
            <w:r>
              <w:rPr>
                <w:rFonts w:hint="default"/>
                <w:bCs/>
                <w:color w:val="auto"/>
                <w:highlight w:val="none"/>
              </w:rPr>
              <w:t>。</w:t>
            </w:r>
          </w:p>
          <w:p>
            <w:pPr>
              <w:pStyle w:val="77"/>
              <w:keepNext w:val="0"/>
              <w:keepLines w:val="0"/>
              <w:widowControl/>
              <w:suppressLineNumbers w:val="0"/>
              <w:spacing w:before="0" w:beforeLines="0" w:beforeAutospacing="0" w:after="0" w:afterAutospacing="0" w:line="240" w:lineRule="auto"/>
              <w:ind w:left="0" w:right="0"/>
              <w:rPr>
                <w:rFonts w:hint="default" w:eastAsia="宋体"/>
                <w:b/>
                <w:bCs/>
                <w:color w:val="auto"/>
                <w:highlight w:val="none"/>
              </w:rPr>
            </w:pPr>
          </w:p>
          <w:p>
            <w:pPr>
              <w:pStyle w:val="77"/>
              <w:keepNext w:val="0"/>
              <w:keepLines w:val="0"/>
              <w:widowControl/>
              <w:suppressLineNumbers w:val="0"/>
              <w:spacing w:before="0" w:beforeLines="0" w:beforeAutospacing="0" w:after="0" w:afterAutospacing="0" w:line="240" w:lineRule="auto"/>
              <w:ind w:left="0" w:right="0"/>
              <w:rPr>
                <w:rFonts w:hint="default" w:eastAsia="宋体"/>
                <w:b/>
                <w:bCs/>
                <w:color w:val="auto"/>
                <w:highlight w:val="none"/>
              </w:rPr>
            </w:pPr>
            <w:r>
              <w:rPr>
                <w:rFonts w:hint="default" w:eastAsia="宋体"/>
                <w:b/>
                <w:bCs/>
                <w:color w:val="auto"/>
                <w:highlight w:val="none"/>
              </w:rPr>
              <w:t>表</w:t>
            </w:r>
            <w:r>
              <w:rPr>
                <w:rFonts w:hint="eastAsia" w:eastAsia="宋体"/>
                <w:b/>
                <w:bCs/>
                <w:color w:val="auto"/>
                <w:highlight w:val="none"/>
              </w:rPr>
              <w:t>4-1</w:t>
            </w:r>
            <w:r>
              <w:rPr>
                <w:rFonts w:hint="eastAsia" w:eastAsia="宋体"/>
                <w:b/>
                <w:bCs/>
                <w:color w:val="auto"/>
                <w:highlight w:val="none"/>
                <w:lang w:val="en-US" w:eastAsia="zh-CN"/>
              </w:rPr>
              <w:t>4</w:t>
            </w:r>
            <w:r>
              <w:rPr>
                <w:rFonts w:hint="eastAsia" w:eastAsia="宋体"/>
                <w:b/>
                <w:bCs/>
                <w:color w:val="auto"/>
                <w:highlight w:val="none"/>
              </w:rPr>
              <w:t xml:space="preserve">  </w:t>
            </w:r>
            <w:r>
              <w:rPr>
                <w:rFonts w:hint="eastAsia" w:eastAsia="宋体"/>
                <w:b/>
                <w:bCs/>
                <w:color w:val="auto"/>
                <w:highlight w:val="none"/>
                <w:lang w:val="en-US" w:eastAsia="zh-CN"/>
              </w:rPr>
              <w:t xml:space="preserve"> </w:t>
            </w:r>
            <w:r>
              <w:rPr>
                <w:rFonts w:hint="eastAsia" w:eastAsia="宋体"/>
                <w:b/>
                <w:bCs/>
                <w:color w:val="auto"/>
                <w:highlight w:val="none"/>
              </w:rPr>
              <w:t xml:space="preserve"> </w:t>
            </w:r>
            <w:r>
              <w:rPr>
                <w:rFonts w:hint="default" w:eastAsia="宋体"/>
                <w:b/>
                <w:bCs/>
                <w:color w:val="auto"/>
                <w:highlight w:val="none"/>
              </w:rPr>
              <w:t>风险物质存在量一览表</w:t>
            </w:r>
          </w:p>
          <w:tbl>
            <w:tblPr>
              <w:tblStyle w:val="37"/>
              <w:tblW w:w="498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2008"/>
              <w:gridCol w:w="2013"/>
              <w:gridCol w:w="200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54" w:hRule="atLeast"/>
                <w:jc w:val="center"/>
              </w:trPr>
              <w:tc>
                <w:tcPr>
                  <w:tcW w:w="1341"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类别</w:t>
                  </w:r>
                </w:p>
              </w:tc>
              <w:tc>
                <w:tcPr>
                  <w:tcW w:w="1218"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最大贮存量</w:t>
                  </w:r>
                </w:p>
              </w:tc>
              <w:tc>
                <w:tcPr>
                  <w:tcW w:w="1221"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临界量</w:t>
                  </w:r>
                </w:p>
              </w:tc>
              <w:tc>
                <w:tcPr>
                  <w:tcW w:w="1218"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Q值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1"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机油</w:t>
                  </w:r>
                </w:p>
              </w:tc>
              <w:tc>
                <w:tcPr>
                  <w:tcW w:w="1218" w:type="pct"/>
                  <w:tcBorders>
                    <w:top w:val="single" w:color="000000" w:sz="4" w:space="0"/>
                  </w:tcBorders>
                  <w:vAlign w:val="center"/>
                </w:tcPr>
                <w:p>
                  <w:pPr>
                    <w:pStyle w:val="80"/>
                    <w:keepNext w:val="0"/>
                    <w:keepLines w:val="0"/>
                    <w:widowControl/>
                    <w:suppressLineNumbers w:val="0"/>
                    <w:spacing w:before="0" w:beforeAutospacing="0" w:after="0" w:afterAutospacing="0"/>
                    <w:ind w:left="0" w:right="0"/>
                    <w:rPr>
                      <w:rFonts w:hint="eastAsia" w:eastAsia="宋体"/>
                      <w:color w:val="auto"/>
                      <w:szCs w:val="20"/>
                      <w:highlight w:val="none"/>
                      <w:lang w:eastAsia="zh-CN"/>
                    </w:rPr>
                  </w:pPr>
                  <w:r>
                    <w:rPr>
                      <w:rFonts w:hint="eastAsia"/>
                      <w:color w:val="auto"/>
                      <w:szCs w:val="20"/>
                      <w:highlight w:val="none"/>
                    </w:rPr>
                    <w:t>0.</w:t>
                  </w:r>
                  <w:r>
                    <w:rPr>
                      <w:rFonts w:hint="eastAsia"/>
                      <w:color w:val="auto"/>
                      <w:szCs w:val="20"/>
                      <w:highlight w:val="none"/>
                      <w:lang w:val="en-US" w:eastAsia="zh-CN"/>
                    </w:rPr>
                    <w:t>1</w:t>
                  </w:r>
                  <w:r>
                    <w:rPr>
                      <w:rFonts w:hint="eastAsia"/>
                      <w:color w:val="auto"/>
                      <w:szCs w:val="20"/>
                      <w:highlight w:val="none"/>
                    </w:rPr>
                    <w:t>t</w:t>
                  </w:r>
                </w:p>
              </w:tc>
              <w:tc>
                <w:tcPr>
                  <w:tcW w:w="1221" w:type="pct"/>
                  <w:tcBorders>
                    <w:top w:val="single" w:color="000000" w:sz="4" w:space="0"/>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2500t</w:t>
                  </w:r>
                </w:p>
              </w:tc>
              <w:tc>
                <w:tcPr>
                  <w:tcW w:w="1218" w:type="pct"/>
                  <w:vAlign w:val="center"/>
                </w:tcPr>
                <w:p>
                  <w:pPr>
                    <w:pStyle w:val="80"/>
                    <w:keepNext w:val="0"/>
                    <w:keepLines w:val="0"/>
                    <w:widowControl/>
                    <w:suppressLineNumbers w:val="0"/>
                    <w:spacing w:before="0" w:beforeAutospacing="0" w:after="0" w:afterAutospacing="0"/>
                    <w:ind w:left="0" w:right="0"/>
                    <w:rPr>
                      <w:rFonts w:hint="eastAsia" w:eastAsia="宋体"/>
                      <w:color w:val="auto"/>
                      <w:szCs w:val="20"/>
                      <w:highlight w:val="none"/>
                      <w:lang w:eastAsia="zh-CN"/>
                    </w:rPr>
                  </w:pPr>
                  <w:r>
                    <w:rPr>
                      <w:rFonts w:hint="eastAsia"/>
                      <w:color w:val="auto"/>
                      <w:szCs w:val="20"/>
                      <w:highlight w:val="none"/>
                    </w:rPr>
                    <w:t>0.0000</w:t>
                  </w:r>
                  <w:r>
                    <w:rPr>
                      <w:rFonts w:hint="eastAsia"/>
                      <w:color w:val="auto"/>
                      <w:szCs w:val="20"/>
                      <w:highlight w:val="none"/>
                      <w:lang w:val="en-US" w:eastAsia="zh-CN"/>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1"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废机油</w:t>
                  </w:r>
                </w:p>
              </w:tc>
              <w:tc>
                <w:tcPr>
                  <w:tcW w:w="1218" w:type="pct"/>
                  <w:vAlign w:val="center"/>
                </w:tcPr>
                <w:p>
                  <w:pPr>
                    <w:pStyle w:val="80"/>
                    <w:keepNext w:val="0"/>
                    <w:keepLines w:val="0"/>
                    <w:widowControl/>
                    <w:suppressLineNumbers w:val="0"/>
                    <w:spacing w:before="0" w:beforeAutospacing="0" w:after="0" w:afterAutospacing="0"/>
                    <w:ind w:left="0" w:right="0"/>
                    <w:rPr>
                      <w:rFonts w:hint="eastAsia" w:eastAsia="宋体"/>
                      <w:color w:val="auto"/>
                      <w:szCs w:val="20"/>
                      <w:highlight w:val="none"/>
                      <w:lang w:eastAsia="zh-CN"/>
                    </w:rPr>
                  </w:pPr>
                  <w:r>
                    <w:rPr>
                      <w:rFonts w:hint="eastAsia"/>
                      <w:color w:val="auto"/>
                      <w:szCs w:val="20"/>
                      <w:highlight w:val="none"/>
                    </w:rPr>
                    <w:t>0.</w:t>
                  </w:r>
                  <w:r>
                    <w:rPr>
                      <w:rFonts w:hint="eastAsia"/>
                      <w:color w:val="auto"/>
                      <w:szCs w:val="20"/>
                      <w:highlight w:val="none"/>
                      <w:lang w:val="en-US" w:eastAsia="zh-CN"/>
                    </w:rPr>
                    <w:t>2</w:t>
                  </w:r>
                  <w:r>
                    <w:rPr>
                      <w:rFonts w:hint="eastAsia"/>
                      <w:color w:val="auto"/>
                      <w:szCs w:val="20"/>
                      <w:highlight w:val="none"/>
                    </w:rPr>
                    <w:t>t</w:t>
                  </w:r>
                </w:p>
              </w:tc>
              <w:tc>
                <w:tcPr>
                  <w:tcW w:w="1221" w:type="pc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50t</w:t>
                  </w:r>
                </w:p>
              </w:tc>
              <w:tc>
                <w:tcPr>
                  <w:tcW w:w="1218" w:type="pct"/>
                  <w:vAlign w:val="center"/>
                </w:tcPr>
                <w:p>
                  <w:pPr>
                    <w:pStyle w:val="80"/>
                    <w:keepNext w:val="0"/>
                    <w:keepLines w:val="0"/>
                    <w:widowControl/>
                    <w:suppressLineNumbers w:val="0"/>
                    <w:spacing w:before="0" w:beforeAutospacing="0" w:after="0" w:afterAutospacing="0"/>
                    <w:ind w:left="0" w:right="0"/>
                    <w:rPr>
                      <w:rFonts w:hint="eastAsia" w:eastAsia="宋体"/>
                      <w:color w:val="auto"/>
                      <w:szCs w:val="20"/>
                      <w:highlight w:val="none"/>
                      <w:lang w:eastAsia="zh-CN"/>
                    </w:rPr>
                  </w:pPr>
                  <w:r>
                    <w:rPr>
                      <w:rFonts w:hint="eastAsia"/>
                      <w:color w:val="auto"/>
                      <w:szCs w:val="20"/>
                      <w:highlight w:val="none"/>
                    </w:rPr>
                    <w:t>0.000</w:t>
                  </w:r>
                  <w:r>
                    <w:rPr>
                      <w:rFonts w:hint="eastAsia"/>
                      <w:color w:val="auto"/>
                      <w:szCs w:val="20"/>
                      <w:highlight w:val="none"/>
                      <w:lang w:val="en-US" w:eastAsia="zh-CN"/>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81" w:type="pct"/>
                  <w:gridSpan w:val="3"/>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合计</w:t>
                  </w:r>
                </w:p>
              </w:tc>
              <w:tc>
                <w:tcPr>
                  <w:tcW w:w="1218" w:type="pct"/>
                  <w:vAlign w:val="center"/>
                </w:tcPr>
                <w:p>
                  <w:pPr>
                    <w:pStyle w:val="80"/>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rPr>
                    <w:t>0.000</w:t>
                  </w:r>
                  <w:r>
                    <w:rPr>
                      <w:rFonts w:hint="eastAsia"/>
                      <w:color w:val="auto"/>
                      <w:szCs w:val="20"/>
                      <w:highlight w:val="none"/>
                      <w:lang w:val="en-US" w:eastAsia="zh-CN"/>
                    </w:rPr>
                    <w:t>44</w:t>
                  </w:r>
                </w:p>
              </w:tc>
            </w:tr>
          </w:tbl>
          <w:p>
            <w:pPr>
              <w:keepNext w:val="0"/>
              <w:keepLines w:val="0"/>
              <w:suppressLineNumbers w:val="0"/>
              <w:spacing w:before="0" w:beforeAutospacing="0" w:after="0" w:afterAutospacing="0"/>
              <w:ind w:left="0" w:right="0" w:firstLine="480"/>
              <w:rPr>
                <w:rFonts w:hint="default"/>
                <w:color w:val="auto"/>
                <w:highlight w:val="none"/>
              </w:rPr>
            </w:pPr>
            <w:r>
              <w:rPr>
                <w:rFonts w:hint="eastAsia"/>
                <w:color w:val="auto"/>
                <w:highlight w:val="none"/>
              </w:rPr>
              <w:t>2、风险源分布及可能影响途径</w:t>
            </w:r>
          </w:p>
          <w:p>
            <w:pPr>
              <w:keepNext w:val="0"/>
              <w:keepLines w:val="0"/>
              <w:suppressLineNumbers w:val="0"/>
              <w:spacing w:before="0" w:beforeAutospacing="0" w:after="0" w:afterAutospacing="0"/>
              <w:ind w:left="0" w:right="0" w:firstLine="480"/>
              <w:rPr>
                <w:rFonts w:hint="default"/>
                <w:color w:val="auto"/>
                <w:highlight w:val="none"/>
              </w:rPr>
            </w:pPr>
            <w:r>
              <w:rPr>
                <w:rFonts w:hint="eastAsia"/>
                <w:color w:val="auto"/>
                <w:highlight w:val="none"/>
              </w:rPr>
              <w:t>本项目机油主要存放于</w:t>
            </w:r>
            <w:r>
              <w:rPr>
                <w:rFonts w:hint="eastAsia"/>
                <w:color w:val="auto"/>
                <w:highlight w:val="none"/>
                <w:lang w:val="en-US" w:eastAsia="zh-CN"/>
              </w:rPr>
              <w:t>原料区</w:t>
            </w:r>
            <w:r>
              <w:rPr>
                <w:rFonts w:hint="eastAsia"/>
                <w:color w:val="auto"/>
                <w:highlight w:val="none"/>
              </w:rPr>
              <w:t>，废机油存放于</w:t>
            </w:r>
            <w:r>
              <w:rPr>
                <w:rFonts w:hint="eastAsia"/>
                <w:color w:val="auto"/>
                <w:highlight w:val="none"/>
                <w:lang w:eastAsia="zh-CN"/>
              </w:rPr>
              <w:t>危废贮存库</w:t>
            </w:r>
            <w:r>
              <w:rPr>
                <w:rFonts w:hint="eastAsia"/>
                <w:color w:val="auto"/>
                <w:highlight w:val="none"/>
              </w:rPr>
              <w:t>。可能的影响途径主要为泄漏、火灾和爆炸燃烧后产生的CO对大气环境影响，泄漏的油类物质等对周边土壤、地下水环境影响等。</w:t>
            </w:r>
          </w:p>
          <w:p>
            <w:pPr>
              <w:keepNext w:val="0"/>
              <w:keepLines w:val="0"/>
              <w:suppressLineNumbers w:val="0"/>
              <w:spacing w:before="0" w:beforeAutospacing="0" w:after="0" w:afterAutospacing="0"/>
              <w:ind w:left="0" w:right="0" w:firstLine="480"/>
              <w:rPr>
                <w:rFonts w:hint="default"/>
                <w:color w:val="auto"/>
                <w:highlight w:val="none"/>
              </w:rPr>
            </w:pPr>
            <w:r>
              <w:rPr>
                <w:rFonts w:hint="eastAsia"/>
                <w:color w:val="auto"/>
                <w:highlight w:val="none"/>
              </w:rPr>
              <w:t>3、</w:t>
            </w:r>
            <w:r>
              <w:rPr>
                <w:rFonts w:hint="default"/>
                <w:color w:val="auto"/>
                <w:highlight w:val="none"/>
              </w:rPr>
              <w:t>建议采取以下环境风险防范措施</w:t>
            </w:r>
          </w:p>
          <w:p>
            <w:pPr>
              <w:keepNext w:val="0"/>
              <w:keepLines w:val="0"/>
              <w:widowControl/>
              <w:suppressLineNumbers w:val="0"/>
              <w:spacing w:before="0" w:beforeAutospacing="0" w:after="0" w:afterAutospacing="0"/>
              <w:ind w:left="0" w:right="0" w:firstLine="480"/>
              <w:rPr>
                <w:rFonts w:hint="default"/>
                <w:color w:val="auto"/>
                <w:highlight w:val="none"/>
              </w:rPr>
            </w:pPr>
            <w:r>
              <w:rPr>
                <w:rFonts w:hint="default"/>
                <w:color w:val="auto"/>
                <w:highlight w:val="none"/>
              </w:rPr>
              <w:t>（1）定期对</w:t>
            </w:r>
            <w:r>
              <w:rPr>
                <w:rFonts w:hint="eastAsia"/>
                <w:color w:val="auto"/>
                <w:highlight w:val="none"/>
                <w:lang w:val="en-US" w:eastAsia="zh-CN"/>
              </w:rPr>
              <w:t>原料区</w:t>
            </w:r>
            <w:r>
              <w:rPr>
                <w:rFonts w:hint="eastAsia"/>
                <w:color w:val="auto"/>
                <w:highlight w:val="none"/>
              </w:rPr>
              <w:t>和</w:t>
            </w:r>
            <w:r>
              <w:rPr>
                <w:rFonts w:hint="default"/>
                <w:color w:val="auto"/>
                <w:highlight w:val="none"/>
              </w:rPr>
              <w:t>危险废物</w:t>
            </w:r>
            <w:r>
              <w:rPr>
                <w:rFonts w:hint="eastAsia"/>
                <w:color w:val="auto"/>
                <w:szCs w:val="21"/>
                <w:highlight w:val="none"/>
              </w:rPr>
              <w:t>贮存</w:t>
            </w:r>
            <w:r>
              <w:rPr>
                <w:rFonts w:hint="eastAsia"/>
                <w:color w:val="auto"/>
                <w:szCs w:val="21"/>
                <w:highlight w:val="none"/>
                <w:lang w:val="en-US" w:eastAsia="zh-CN"/>
              </w:rPr>
              <w:t>库</w:t>
            </w:r>
            <w:r>
              <w:rPr>
                <w:rFonts w:hint="default"/>
                <w:color w:val="auto"/>
                <w:highlight w:val="none"/>
              </w:rPr>
              <w:t>进行检查，减少事故隐患；</w:t>
            </w:r>
          </w:p>
          <w:p>
            <w:pPr>
              <w:keepNext w:val="0"/>
              <w:keepLines w:val="0"/>
              <w:widowControl/>
              <w:suppressLineNumbers w:val="0"/>
              <w:spacing w:before="0" w:beforeAutospacing="0" w:after="0" w:afterAutospacing="0"/>
              <w:ind w:left="0" w:right="0" w:firstLine="480"/>
              <w:rPr>
                <w:rFonts w:hint="default"/>
                <w:color w:val="auto"/>
                <w:highlight w:val="none"/>
              </w:rPr>
            </w:pPr>
            <w:r>
              <w:rPr>
                <w:rFonts w:hint="default"/>
                <w:color w:val="auto"/>
                <w:highlight w:val="none"/>
              </w:rPr>
              <w:t>（2）危险废物处理处置严格按照国家规定贮存、转移、处置；</w:t>
            </w:r>
          </w:p>
          <w:p>
            <w:pPr>
              <w:keepNext w:val="0"/>
              <w:keepLines w:val="0"/>
              <w:widowControl/>
              <w:suppressLineNumbers w:val="0"/>
              <w:spacing w:before="0" w:beforeAutospacing="0" w:after="0" w:afterAutospacing="0"/>
              <w:ind w:left="0" w:right="0" w:firstLine="480"/>
              <w:rPr>
                <w:rFonts w:hint="default"/>
                <w:color w:val="auto"/>
                <w:highlight w:val="none"/>
              </w:rPr>
            </w:pPr>
            <w:r>
              <w:rPr>
                <w:rFonts w:hint="default"/>
                <w:color w:val="auto"/>
                <w:highlight w:val="none"/>
              </w:rPr>
              <w:t>（3）加强对员工的职业素养教育，搞好岗位技术培训，强化应急救援预案的演练，增强员工的应变能力，进一步提高员工的生产意识和自我防范能力；</w:t>
            </w:r>
          </w:p>
          <w:p>
            <w:pPr>
              <w:keepNext w:val="0"/>
              <w:keepLines w:val="0"/>
              <w:widowControl/>
              <w:suppressLineNumbers w:val="0"/>
              <w:spacing w:before="0" w:beforeAutospacing="0" w:after="0" w:afterAutospacing="0"/>
              <w:ind w:left="0" w:right="0" w:firstLine="480"/>
              <w:rPr>
                <w:rFonts w:hint="default"/>
                <w:color w:val="auto"/>
                <w:highlight w:val="none"/>
              </w:rPr>
            </w:pPr>
            <w:r>
              <w:rPr>
                <w:rFonts w:hint="default"/>
                <w:color w:val="auto"/>
                <w:highlight w:val="none"/>
              </w:rPr>
              <w:t>（4）加强明火管理，严防火种进入，在醒目的位置应该</w:t>
            </w:r>
            <w:r>
              <w:rPr>
                <w:rFonts w:hint="default" w:ascii="宋体" w:hAnsi="宋体"/>
                <w:color w:val="auto"/>
                <w:highlight w:val="none"/>
              </w:rPr>
              <w:t>设置“严禁烟火、禁火区”等标</w:t>
            </w:r>
            <w:r>
              <w:rPr>
                <w:rFonts w:hint="default"/>
                <w:color w:val="auto"/>
                <w:highlight w:val="none"/>
              </w:rPr>
              <w:t>语和标牌；</w:t>
            </w:r>
          </w:p>
          <w:p>
            <w:pPr>
              <w:keepNext w:val="0"/>
              <w:keepLines w:val="0"/>
              <w:widowControl/>
              <w:suppressLineNumbers w:val="0"/>
              <w:spacing w:before="0" w:beforeAutospacing="0" w:after="0" w:afterAutospacing="0"/>
              <w:ind w:left="0" w:right="0" w:firstLine="480"/>
              <w:rPr>
                <w:rFonts w:hint="default"/>
                <w:snapToGrid w:val="0"/>
                <w:color w:val="auto"/>
                <w:kern w:val="0"/>
                <w:highlight w:val="none"/>
              </w:rPr>
            </w:pPr>
            <w:r>
              <w:rPr>
                <w:rFonts w:hint="default"/>
                <w:color w:val="auto"/>
                <w:highlight w:val="none"/>
              </w:rPr>
              <w:t>（5）</w:t>
            </w:r>
            <w:r>
              <w:rPr>
                <w:rFonts w:hint="eastAsia"/>
                <w:color w:val="auto"/>
                <w:highlight w:val="none"/>
              </w:rPr>
              <w:t>配备灭火毯、消防砂、手提式干粉灭火器、消防砂池、医用急救包等，对每个工作人员进行消防培训；</w:t>
            </w:r>
          </w:p>
          <w:p>
            <w:pPr>
              <w:keepNext w:val="0"/>
              <w:keepLines w:val="0"/>
              <w:widowControl/>
              <w:suppressLineNumbers w:val="0"/>
              <w:spacing w:before="0" w:beforeAutospacing="0" w:after="0" w:afterAutospacing="0"/>
              <w:ind w:left="0" w:right="0" w:firstLine="480"/>
              <w:rPr>
                <w:rFonts w:hint="default"/>
                <w:snapToGrid w:val="0"/>
                <w:color w:val="auto"/>
                <w:kern w:val="0"/>
                <w:highlight w:val="none"/>
              </w:rPr>
            </w:pPr>
            <w:r>
              <w:rPr>
                <w:rFonts w:hint="eastAsia"/>
                <w:snapToGrid w:val="0"/>
                <w:color w:val="auto"/>
                <w:kern w:val="0"/>
                <w:highlight w:val="none"/>
              </w:rPr>
              <w:t>（6）根据本次建设内容，编制突发环境事件应急预案。</w:t>
            </w:r>
          </w:p>
          <w:p>
            <w:pPr>
              <w:keepNext w:val="0"/>
              <w:keepLines w:val="0"/>
              <w:suppressLineNumbers w:val="0"/>
              <w:spacing w:before="0" w:beforeAutospacing="0" w:after="0" w:afterAutospacing="0"/>
              <w:ind w:left="0" w:right="0" w:firstLine="480"/>
              <w:rPr>
                <w:rFonts w:hint="default"/>
                <w:color w:val="auto"/>
                <w:highlight w:val="none"/>
              </w:rPr>
            </w:pPr>
            <w:r>
              <w:rPr>
                <w:rFonts w:hint="eastAsia"/>
                <w:color w:val="auto"/>
                <w:highlight w:val="none"/>
              </w:rPr>
              <w:t>综上所述，项目在满足环评和设计各项要求前提下，切实落实各项安全管理措施后，发生事故的可能将进一步降低，从环境风险角度考虑，本项目风险水平可以接受。</w:t>
            </w:r>
          </w:p>
        </w:tc>
      </w:tr>
    </w:tbl>
    <w:p>
      <w:pPr>
        <w:adjustRightInd w:val="0"/>
        <w:snapToGrid w:val="0"/>
        <w:ind w:firstLine="562"/>
        <w:rPr>
          <w:b/>
          <w:color w:val="auto"/>
          <w:kern w:val="0"/>
          <w:sz w:val="28"/>
          <w:szCs w:val="28"/>
          <w:highlight w:val="none"/>
        </w:rPr>
        <w:sectPr>
          <w:pgSz w:w="11907" w:h="16840"/>
          <w:pgMar w:top="1701" w:right="1531" w:bottom="2127" w:left="1531" w:header="851" w:footer="1134" w:gutter="0"/>
          <w:pgBorders>
            <w:top w:val="none" w:sz="0" w:space="0"/>
            <w:left w:val="none" w:sz="0" w:space="0"/>
            <w:bottom w:val="none" w:sz="0" w:space="0"/>
            <w:right w:val="none" w:sz="0" w:space="0"/>
          </w:pgBorders>
          <w:pgNumType w:fmt="numberInDash"/>
          <w:cols w:space="720" w:num="1"/>
          <w:docGrid w:linePitch="312" w:charSpace="0"/>
        </w:sectPr>
      </w:pPr>
    </w:p>
    <w:p>
      <w:pPr>
        <w:pStyle w:val="32"/>
        <w:ind w:firstLine="600"/>
        <w:jc w:val="center"/>
        <w:outlineLvl w:val="0"/>
        <w:rPr>
          <w:rFonts w:ascii="Times New Roman" w:hAnsi="Times New Roman" w:eastAsia="黑体"/>
          <w:snapToGrid w:val="0"/>
          <w:color w:val="auto"/>
          <w:sz w:val="30"/>
          <w:szCs w:val="30"/>
          <w:highlight w:val="none"/>
        </w:rPr>
      </w:pPr>
      <w:r>
        <w:rPr>
          <w:rFonts w:ascii="Times New Roman" w:hAnsi="Times New Roman" w:eastAsia="黑体"/>
          <w:snapToGrid w:val="0"/>
          <w:color w:val="auto"/>
          <w:sz w:val="30"/>
          <w:szCs w:val="30"/>
          <w:highlight w:val="none"/>
        </w:rPr>
        <w:t>五、</w:t>
      </w:r>
      <w:bookmarkStart w:id="6" w:name="_Hlk54167917"/>
      <w:r>
        <w:rPr>
          <w:rFonts w:ascii="Times New Roman" w:hAnsi="Times New Roman" w:eastAsia="黑体"/>
          <w:snapToGrid w:val="0"/>
          <w:color w:val="auto"/>
          <w:sz w:val="30"/>
          <w:szCs w:val="30"/>
          <w:highlight w:val="none"/>
        </w:rPr>
        <w:t>环境保护措施监督检查清单</w:t>
      </w:r>
      <w:bookmarkEnd w:id="6"/>
    </w:p>
    <w:tbl>
      <w:tblPr>
        <w:tblStyle w:val="3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1690"/>
        <w:gridCol w:w="1273"/>
        <w:gridCol w:w="1995"/>
        <w:gridCol w:w="25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77" w:type="dxa"/>
            <w:tcBorders>
              <w:tl2br w:val="single" w:color="auto" w:sz="4" w:space="0"/>
            </w:tcBorders>
            <w:vAlign w:val="center"/>
          </w:tcPr>
          <w:p>
            <w:pPr>
              <w:pStyle w:val="80"/>
              <w:keepNext w:val="0"/>
              <w:keepLines w:val="0"/>
              <w:widowControl/>
              <w:suppressLineNumbers w:val="0"/>
              <w:spacing w:before="0" w:beforeAutospacing="0" w:after="0" w:afterAutospacing="0"/>
              <w:ind w:left="0" w:right="0"/>
              <w:jc w:val="right"/>
              <w:rPr>
                <w:rFonts w:hint="default"/>
                <w:color w:val="auto"/>
                <w:szCs w:val="20"/>
                <w:highlight w:val="none"/>
              </w:rPr>
            </w:pPr>
            <w:r>
              <w:rPr>
                <w:rFonts w:hint="default"/>
                <w:color w:val="auto"/>
                <w:szCs w:val="20"/>
                <w:highlight w:val="none"/>
              </w:rPr>
              <w:t>内容</w:t>
            </w:r>
          </w:p>
          <w:p>
            <w:pPr>
              <w:pStyle w:val="80"/>
              <w:keepNext w:val="0"/>
              <w:keepLines w:val="0"/>
              <w:widowControl/>
              <w:suppressLineNumbers w:val="0"/>
              <w:spacing w:before="0" w:beforeAutospacing="0" w:after="0" w:afterAutospacing="0"/>
              <w:ind w:left="0" w:right="0"/>
              <w:jc w:val="both"/>
              <w:rPr>
                <w:rFonts w:hint="default"/>
                <w:color w:val="auto"/>
                <w:szCs w:val="20"/>
                <w:highlight w:val="none"/>
              </w:rPr>
            </w:pPr>
            <w:r>
              <w:rPr>
                <w:rFonts w:hint="default"/>
                <w:color w:val="auto"/>
                <w:szCs w:val="20"/>
                <w:highlight w:val="none"/>
              </w:rPr>
              <w:t>要素</w:t>
            </w:r>
          </w:p>
        </w:tc>
        <w:tc>
          <w:tcPr>
            <w:tcW w:w="1690" w:type="dxa"/>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排放口</w:t>
            </w:r>
            <w:r>
              <w:rPr>
                <w:rFonts w:hint="eastAsia"/>
                <w:color w:val="auto"/>
                <w:szCs w:val="20"/>
                <w:highlight w:val="none"/>
              </w:rPr>
              <w:t>（</w:t>
            </w:r>
            <w:r>
              <w:rPr>
                <w:rFonts w:hint="default"/>
                <w:color w:val="auto"/>
                <w:szCs w:val="20"/>
                <w:highlight w:val="none"/>
              </w:rPr>
              <w:t>编号、</w:t>
            </w:r>
          </w:p>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名称</w:t>
            </w:r>
            <w:r>
              <w:rPr>
                <w:rFonts w:hint="eastAsia"/>
                <w:color w:val="auto"/>
                <w:szCs w:val="20"/>
                <w:highlight w:val="none"/>
              </w:rPr>
              <w:t>）</w:t>
            </w:r>
            <w:r>
              <w:rPr>
                <w:rFonts w:hint="default"/>
                <w:color w:val="auto"/>
                <w:szCs w:val="20"/>
                <w:highlight w:val="none"/>
              </w:rPr>
              <w:t>/污染源</w:t>
            </w:r>
          </w:p>
        </w:tc>
        <w:tc>
          <w:tcPr>
            <w:tcW w:w="1273" w:type="dxa"/>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污染物项目</w:t>
            </w:r>
          </w:p>
        </w:tc>
        <w:tc>
          <w:tcPr>
            <w:tcW w:w="1995" w:type="dxa"/>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环境保护措施</w:t>
            </w:r>
          </w:p>
        </w:tc>
        <w:tc>
          <w:tcPr>
            <w:tcW w:w="2525" w:type="dxa"/>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77" w:type="dxa"/>
            <w:vMerge w:val="restar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大气环境</w:t>
            </w:r>
          </w:p>
        </w:tc>
        <w:tc>
          <w:tcPr>
            <w:tcW w:w="1690" w:type="dxa"/>
            <w:vAlign w:val="center"/>
          </w:tcPr>
          <w:p>
            <w:pPr>
              <w:pStyle w:val="80"/>
              <w:keepNext w:val="0"/>
              <w:keepLines w:val="0"/>
              <w:widowControl/>
              <w:suppressLineNumbers w:val="0"/>
              <w:spacing w:before="0" w:beforeAutospacing="0" w:after="0" w:afterAutospacing="0"/>
              <w:ind w:left="0" w:right="0"/>
              <w:rPr>
                <w:rFonts w:hint="eastAsia" w:ascii="Times New Roman" w:hAnsi="Times New Roman" w:eastAsia="宋体" w:cs="Times New Roman"/>
                <w:color w:val="auto"/>
                <w:sz w:val="21"/>
                <w:szCs w:val="20"/>
                <w:highlight w:val="none"/>
                <w:lang w:val="en-US" w:eastAsia="zh-CN" w:bidi="ar-SA"/>
              </w:rPr>
            </w:pPr>
            <w:r>
              <w:rPr>
                <w:rFonts w:hint="eastAsia"/>
                <w:color w:val="auto"/>
                <w:szCs w:val="20"/>
                <w:highlight w:val="none"/>
              </w:rPr>
              <w:t>挤出</w:t>
            </w:r>
            <w:r>
              <w:rPr>
                <w:rFonts w:hint="eastAsia"/>
                <w:color w:val="auto"/>
                <w:szCs w:val="20"/>
                <w:highlight w:val="none"/>
                <w:lang w:eastAsia="zh-CN"/>
              </w:rPr>
              <w:t>（</w:t>
            </w:r>
            <w:r>
              <w:rPr>
                <w:rFonts w:hint="eastAsia"/>
                <w:color w:val="auto"/>
                <w:szCs w:val="20"/>
                <w:highlight w:val="none"/>
                <w:lang w:val="en-US" w:eastAsia="zh-CN"/>
              </w:rPr>
              <w:t>有组织</w:t>
            </w:r>
            <w:r>
              <w:rPr>
                <w:rFonts w:hint="eastAsia"/>
                <w:color w:val="auto"/>
                <w:szCs w:val="20"/>
                <w:highlight w:val="none"/>
                <w:lang w:eastAsia="zh-CN"/>
              </w:rPr>
              <w:t>）</w:t>
            </w:r>
          </w:p>
        </w:tc>
        <w:tc>
          <w:tcPr>
            <w:tcW w:w="1273" w:type="dxa"/>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eastAsia"/>
                <w:color w:val="auto"/>
                <w:szCs w:val="20"/>
                <w:highlight w:val="none"/>
              </w:rPr>
              <w:t>非甲烷总烃</w:t>
            </w:r>
          </w:p>
        </w:tc>
        <w:tc>
          <w:tcPr>
            <w:tcW w:w="1995" w:type="dxa"/>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eastAsia"/>
                <w:color w:val="auto"/>
                <w:szCs w:val="20"/>
                <w:highlight w:val="none"/>
              </w:rPr>
              <w:t>集气罩收集+两级活性炭吸附+15m排气筒</w:t>
            </w:r>
          </w:p>
        </w:tc>
        <w:tc>
          <w:tcPr>
            <w:tcW w:w="2525" w:type="dxa"/>
            <w:vAlign w:val="center"/>
          </w:tcPr>
          <w:p>
            <w:pPr>
              <w:pStyle w:val="80"/>
              <w:keepNext w:val="0"/>
              <w:keepLines w:val="0"/>
              <w:widowControl/>
              <w:suppressLineNumbers w:val="0"/>
              <w:snapToGrid w:val="0"/>
              <w:spacing w:before="0" w:beforeAutospacing="0" w:after="0" w:afterAutospacing="0"/>
              <w:ind w:left="0" w:right="0"/>
              <w:rPr>
                <w:rFonts w:hint="default"/>
                <w:color w:val="auto"/>
                <w:szCs w:val="20"/>
                <w:highlight w:val="none"/>
              </w:rPr>
            </w:pPr>
            <w:r>
              <w:rPr>
                <w:rFonts w:hint="eastAsia"/>
                <w:color w:val="auto"/>
                <w:szCs w:val="20"/>
                <w:highlight w:val="none"/>
              </w:rPr>
              <w:t>《合成树脂工业污染物排放标准》（</w:t>
            </w:r>
            <w:r>
              <w:rPr>
                <w:rFonts w:hint="eastAsia"/>
                <w:color w:val="auto"/>
                <w:szCs w:val="20"/>
                <w:highlight w:val="none"/>
                <w:lang w:eastAsia="zh-CN"/>
              </w:rPr>
              <w:t>GB31572-2015，含2024年修改单</w:t>
            </w:r>
            <w:r>
              <w:rPr>
                <w:rFonts w:hint="eastAsia"/>
                <w:color w:val="auto"/>
                <w:szCs w:val="20"/>
                <w:highlight w:val="none"/>
              </w:rPr>
              <w:t>）表5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77" w:type="dxa"/>
            <w:vMerge w:val="continue"/>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1690" w:type="dxa"/>
            <w:vMerge w:val="restart"/>
            <w:vAlign w:val="center"/>
          </w:tcPr>
          <w:p>
            <w:pPr>
              <w:pStyle w:val="80"/>
              <w:keepNext w:val="0"/>
              <w:keepLines w:val="0"/>
              <w:widowControl/>
              <w:suppressLineNumbers w:val="0"/>
              <w:spacing w:before="0" w:beforeAutospacing="0" w:after="0" w:afterAutospacing="0"/>
              <w:ind w:left="0" w:right="0"/>
              <w:rPr>
                <w:rFonts w:hint="eastAsia" w:ascii="Times New Roman" w:hAnsi="Times New Roman" w:eastAsia="宋体" w:cs="Times New Roman"/>
                <w:color w:val="auto"/>
                <w:sz w:val="21"/>
                <w:szCs w:val="20"/>
                <w:highlight w:val="none"/>
                <w:lang w:val="en-US" w:eastAsia="zh-CN" w:bidi="ar-SA"/>
              </w:rPr>
            </w:pPr>
            <w:r>
              <w:rPr>
                <w:rFonts w:hint="eastAsia"/>
                <w:color w:val="auto"/>
                <w:szCs w:val="20"/>
                <w:highlight w:val="none"/>
              </w:rPr>
              <w:t>挤出</w:t>
            </w:r>
            <w:r>
              <w:rPr>
                <w:rFonts w:hint="eastAsia"/>
                <w:color w:val="auto"/>
                <w:szCs w:val="20"/>
                <w:highlight w:val="none"/>
                <w:lang w:eastAsia="zh-CN"/>
              </w:rPr>
              <w:t>（</w:t>
            </w:r>
            <w:r>
              <w:rPr>
                <w:rFonts w:hint="eastAsia"/>
                <w:color w:val="auto"/>
                <w:szCs w:val="20"/>
                <w:highlight w:val="none"/>
                <w:lang w:val="en-US" w:eastAsia="zh-CN"/>
              </w:rPr>
              <w:t>无组织</w:t>
            </w:r>
            <w:r>
              <w:rPr>
                <w:rFonts w:hint="eastAsia"/>
                <w:color w:val="auto"/>
                <w:szCs w:val="20"/>
                <w:highlight w:val="none"/>
                <w:lang w:eastAsia="zh-CN"/>
              </w:rPr>
              <w:t>）</w:t>
            </w:r>
          </w:p>
        </w:tc>
        <w:tc>
          <w:tcPr>
            <w:tcW w:w="1273" w:type="dxa"/>
            <w:vMerge w:val="restart"/>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eastAsia"/>
                <w:color w:val="auto"/>
                <w:szCs w:val="20"/>
                <w:highlight w:val="none"/>
              </w:rPr>
              <w:t>非甲烷总烃</w:t>
            </w:r>
          </w:p>
        </w:tc>
        <w:tc>
          <w:tcPr>
            <w:tcW w:w="1995" w:type="dxa"/>
            <w:vMerge w:val="restart"/>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eastAsia"/>
                <w:color w:val="auto"/>
                <w:szCs w:val="20"/>
                <w:highlight w:val="none"/>
              </w:rPr>
              <w:t>通风逸散</w:t>
            </w:r>
          </w:p>
        </w:tc>
        <w:tc>
          <w:tcPr>
            <w:tcW w:w="2525" w:type="dxa"/>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《合成树脂工业污染物排放标准》（</w:t>
            </w:r>
            <w:r>
              <w:rPr>
                <w:rFonts w:hint="eastAsia"/>
                <w:color w:val="auto"/>
                <w:szCs w:val="20"/>
                <w:highlight w:val="none"/>
                <w:lang w:eastAsia="zh-CN"/>
              </w:rPr>
              <w:t>GB31572-2015，含2024年修改单</w:t>
            </w:r>
            <w:r>
              <w:rPr>
                <w:rFonts w:hint="eastAsia"/>
                <w:color w:val="auto"/>
                <w:szCs w:val="20"/>
                <w:highlight w:val="none"/>
              </w:rPr>
              <w:t>）表9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77" w:type="dxa"/>
            <w:vMerge w:val="continue"/>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1690" w:type="dxa"/>
            <w:vMerge w:val="continue"/>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1273" w:type="dxa"/>
            <w:vMerge w:val="continue"/>
            <w:tcBorders>
              <w:bottom w:val="single" w:color="000000" w:sz="4" w:space="0"/>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1995" w:type="dxa"/>
            <w:vMerge w:val="continue"/>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2525" w:type="dxa"/>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《挥发性有机物无组织排放控制标准》（GB37822-2019）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77" w:type="dxa"/>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地表水环境</w:t>
            </w:r>
          </w:p>
        </w:tc>
        <w:tc>
          <w:tcPr>
            <w:tcW w:w="1690" w:type="dxa"/>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生活污水</w:t>
            </w:r>
          </w:p>
        </w:tc>
        <w:tc>
          <w:tcPr>
            <w:tcW w:w="1273" w:type="dxa"/>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COD、SS、BOD</w:t>
            </w:r>
            <w:r>
              <w:rPr>
                <w:rFonts w:hint="eastAsia"/>
                <w:color w:val="auto"/>
                <w:szCs w:val="20"/>
                <w:highlight w:val="none"/>
                <w:vertAlign w:val="subscript"/>
              </w:rPr>
              <w:t>5</w:t>
            </w:r>
            <w:r>
              <w:rPr>
                <w:rFonts w:hint="eastAsia"/>
                <w:color w:val="auto"/>
                <w:szCs w:val="20"/>
                <w:highlight w:val="none"/>
              </w:rPr>
              <w:t>、NH</w:t>
            </w:r>
            <w:r>
              <w:rPr>
                <w:rFonts w:hint="eastAsia"/>
                <w:color w:val="auto"/>
                <w:szCs w:val="20"/>
                <w:highlight w:val="none"/>
                <w:vertAlign w:val="subscript"/>
              </w:rPr>
              <w:t>3</w:t>
            </w:r>
            <w:r>
              <w:rPr>
                <w:rFonts w:hint="eastAsia"/>
                <w:color w:val="auto"/>
                <w:szCs w:val="20"/>
                <w:highlight w:val="none"/>
              </w:rPr>
              <w:t>-N、TN、TP</w:t>
            </w:r>
          </w:p>
        </w:tc>
        <w:tc>
          <w:tcPr>
            <w:tcW w:w="1995" w:type="dxa"/>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化粪池</w:t>
            </w:r>
          </w:p>
        </w:tc>
        <w:tc>
          <w:tcPr>
            <w:tcW w:w="2525" w:type="dxa"/>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《污水综合排放标准》（GB 8978-1996）表4中三级标准、《污水排入城镇下水道水质标准》（GB/T 31962-2015）中B级标准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77" w:type="dxa"/>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声环境</w:t>
            </w:r>
          </w:p>
        </w:tc>
        <w:tc>
          <w:tcPr>
            <w:tcW w:w="1690" w:type="dxa"/>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生产设备</w:t>
            </w:r>
          </w:p>
        </w:tc>
        <w:tc>
          <w:tcPr>
            <w:tcW w:w="1273" w:type="dxa"/>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等效声级L</w:t>
            </w:r>
            <w:r>
              <w:rPr>
                <w:rFonts w:hint="default"/>
                <w:color w:val="auto"/>
                <w:szCs w:val="20"/>
                <w:highlight w:val="none"/>
                <w:vertAlign w:val="subscript"/>
              </w:rPr>
              <w:t>Aeq</w:t>
            </w:r>
          </w:p>
        </w:tc>
        <w:tc>
          <w:tcPr>
            <w:tcW w:w="1995" w:type="dxa"/>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厂房隔声、基础减振、隔声屏障</w:t>
            </w:r>
          </w:p>
        </w:tc>
        <w:tc>
          <w:tcPr>
            <w:tcW w:w="2525" w:type="dxa"/>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《工业企业厂界环境噪声排放标准》（GB12348-2008）</w:t>
            </w:r>
            <w:r>
              <w:rPr>
                <w:rFonts w:hint="eastAsia"/>
                <w:color w:val="auto"/>
                <w:szCs w:val="20"/>
                <w:highlight w:val="none"/>
              </w:rPr>
              <w:t>3类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77" w:type="dxa"/>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电磁辐射</w:t>
            </w:r>
          </w:p>
        </w:tc>
        <w:tc>
          <w:tcPr>
            <w:tcW w:w="7483" w:type="dxa"/>
            <w:gridSpan w:val="4"/>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77" w:type="dxa"/>
            <w:vMerge w:val="restart"/>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固体废物</w:t>
            </w:r>
          </w:p>
        </w:tc>
        <w:tc>
          <w:tcPr>
            <w:tcW w:w="7483" w:type="dxa"/>
            <w:gridSpan w:val="4"/>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生活垃圾收集后交由环卫部门统一清运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77" w:type="dxa"/>
            <w:vMerge w:val="continue"/>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7483" w:type="dxa"/>
            <w:gridSpan w:val="4"/>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不合格品</w:t>
            </w:r>
            <w:r>
              <w:rPr>
                <w:rFonts w:hint="eastAsia"/>
                <w:color w:val="auto"/>
                <w:szCs w:val="20"/>
                <w:highlight w:val="none"/>
                <w:lang w:eastAsia="zh-CN"/>
              </w:rPr>
              <w:t>、</w:t>
            </w:r>
            <w:r>
              <w:rPr>
                <w:rFonts w:hint="eastAsia"/>
                <w:color w:val="auto"/>
                <w:szCs w:val="20"/>
                <w:highlight w:val="none"/>
                <w:lang w:val="en-US" w:eastAsia="zh-CN"/>
              </w:rPr>
              <w:t>废边料、</w:t>
            </w:r>
            <w:r>
              <w:rPr>
                <w:rFonts w:hint="eastAsia"/>
                <w:color w:val="auto"/>
                <w:szCs w:val="20"/>
                <w:highlight w:val="none"/>
              </w:rPr>
              <w:t>废包材收集后</w:t>
            </w:r>
            <w:r>
              <w:rPr>
                <w:rFonts w:hint="eastAsia"/>
                <w:color w:val="auto"/>
                <w:szCs w:val="20"/>
                <w:highlight w:val="none"/>
                <w:lang w:val="en-US" w:eastAsia="zh-CN"/>
              </w:rPr>
              <w:t>统一</w:t>
            </w:r>
            <w:r>
              <w:rPr>
                <w:rFonts w:hint="eastAsia"/>
                <w:color w:val="auto"/>
                <w:szCs w:val="20"/>
                <w:highlight w:val="none"/>
              </w:rPr>
              <w:t>外售</w:t>
            </w:r>
            <w:r>
              <w:rPr>
                <w:rFonts w:hint="eastAsia"/>
                <w:color w:val="auto"/>
                <w:szCs w:val="20"/>
                <w:highlight w:val="none"/>
                <w:lang w:val="en-US" w:eastAsia="zh-CN"/>
              </w:rPr>
              <w:t>综合利用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77" w:type="dxa"/>
            <w:vMerge w:val="continue"/>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7483" w:type="dxa"/>
            <w:gridSpan w:val="4"/>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废机油、废油桶、含油抹布手套以及废活性炭统一分类收集后暂存于</w:t>
            </w:r>
            <w:r>
              <w:rPr>
                <w:rFonts w:hint="eastAsia"/>
                <w:color w:val="auto"/>
                <w:szCs w:val="20"/>
                <w:highlight w:val="none"/>
                <w:lang w:eastAsia="zh-CN"/>
              </w:rPr>
              <w:t>危废贮存库</w:t>
            </w:r>
            <w:r>
              <w:rPr>
                <w:rFonts w:hint="eastAsia"/>
                <w:color w:val="auto"/>
                <w:szCs w:val="20"/>
                <w:highlight w:val="none"/>
              </w:rPr>
              <w:t>定期委托有资质单位处置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77" w:type="dxa"/>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土壤及地下水</w:t>
            </w:r>
          </w:p>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污染防治措施</w:t>
            </w:r>
          </w:p>
        </w:tc>
        <w:tc>
          <w:tcPr>
            <w:tcW w:w="7483" w:type="dxa"/>
            <w:gridSpan w:val="4"/>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1"/>
                <w:lang w:val="de-DE"/>
              </w:rPr>
              <w:t>危废贮存库</w:t>
            </w:r>
            <w:r>
              <w:rPr>
                <w:rFonts w:hint="default"/>
                <w:color w:val="auto"/>
                <w:szCs w:val="21"/>
              </w:rPr>
              <w:t>地面进行防渗</w:t>
            </w:r>
            <w:r>
              <w:rPr>
                <w:rFonts w:hint="eastAsia"/>
                <w:color w:val="auto"/>
                <w:szCs w:val="21"/>
                <w:lang w:val="en-US" w:eastAsia="zh-CN"/>
              </w:rPr>
              <w:t>处理</w:t>
            </w:r>
            <w:r>
              <w:rPr>
                <w:rFonts w:hint="eastAsia"/>
                <w:color w:val="auto"/>
                <w:szCs w:val="21"/>
              </w:rPr>
              <w:t>，并设置托盘</w:t>
            </w:r>
            <w:r>
              <w:rPr>
                <w:rFonts w:hint="eastAsia"/>
                <w:color w:val="auto"/>
                <w:szCs w:val="21"/>
                <w:lang w:eastAsia="zh-CN"/>
              </w:rPr>
              <w:t>、</w:t>
            </w:r>
            <w:r>
              <w:rPr>
                <w:rFonts w:hint="eastAsia"/>
                <w:color w:val="auto"/>
                <w:szCs w:val="21"/>
                <w:lang w:val="en-US" w:eastAsia="zh-CN"/>
              </w:rPr>
              <w:t>围堰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77" w:type="dxa"/>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生态保护措施</w:t>
            </w:r>
          </w:p>
        </w:tc>
        <w:tc>
          <w:tcPr>
            <w:tcW w:w="7483" w:type="dxa"/>
            <w:gridSpan w:val="4"/>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77" w:type="dxa"/>
            <w:vAlign w:val="center"/>
          </w:tcPr>
          <w:p>
            <w:pPr>
              <w:pStyle w:val="80"/>
              <w:keepNext w:val="0"/>
              <w:keepLines w:val="0"/>
              <w:widowControl/>
              <w:suppressLineNumbers w:val="0"/>
              <w:spacing w:before="0" w:beforeAutospacing="0" w:after="0" w:afterAutospacing="0"/>
              <w:ind w:left="0" w:right="0"/>
              <w:rPr>
                <w:rFonts w:hint="default"/>
                <w:color w:val="auto"/>
                <w:spacing w:val="-8"/>
                <w:szCs w:val="20"/>
                <w:highlight w:val="none"/>
              </w:rPr>
            </w:pPr>
            <w:r>
              <w:rPr>
                <w:rFonts w:hint="default"/>
                <w:color w:val="auto"/>
                <w:spacing w:val="-8"/>
                <w:szCs w:val="20"/>
                <w:highlight w:val="none"/>
              </w:rPr>
              <w:t>环境风险</w:t>
            </w:r>
          </w:p>
          <w:p>
            <w:pPr>
              <w:pStyle w:val="80"/>
              <w:keepNext w:val="0"/>
              <w:keepLines w:val="0"/>
              <w:widowControl/>
              <w:suppressLineNumbers w:val="0"/>
              <w:spacing w:before="0" w:beforeAutospacing="0" w:after="0" w:afterAutospacing="0"/>
              <w:ind w:left="0" w:right="0"/>
              <w:rPr>
                <w:rFonts w:hint="default"/>
                <w:color w:val="auto"/>
                <w:spacing w:val="-8"/>
                <w:szCs w:val="20"/>
                <w:highlight w:val="none"/>
              </w:rPr>
            </w:pPr>
            <w:r>
              <w:rPr>
                <w:rFonts w:hint="default"/>
                <w:color w:val="auto"/>
                <w:spacing w:val="-8"/>
                <w:szCs w:val="20"/>
                <w:highlight w:val="none"/>
              </w:rPr>
              <w:t>防范措施</w:t>
            </w:r>
          </w:p>
        </w:tc>
        <w:tc>
          <w:tcPr>
            <w:tcW w:w="7483" w:type="dxa"/>
            <w:gridSpan w:val="4"/>
            <w:vAlign w:val="center"/>
          </w:tcPr>
          <w:p>
            <w:pPr>
              <w:keepNext w:val="0"/>
              <w:keepLines w:val="0"/>
              <w:suppressLineNumbers w:val="0"/>
              <w:spacing w:before="0" w:beforeAutospacing="0" w:after="0" w:afterAutospacing="0"/>
              <w:ind w:left="0" w:right="0" w:firstLine="420"/>
              <w:rPr>
                <w:rFonts w:hint="default"/>
                <w:color w:val="auto"/>
                <w:sz w:val="21"/>
                <w:szCs w:val="21"/>
                <w:highlight w:val="none"/>
              </w:rPr>
            </w:pPr>
            <w:r>
              <w:rPr>
                <w:rFonts w:hint="default"/>
                <w:color w:val="auto"/>
                <w:sz w:val="21"/>
                <w:szCs w:val="21"/>
                <w:highlight w:val="none"/>
              </w:rPr>
              <w:t>①</w:t>
            </w:r>
            <w:r>
              <w:rPr>
                <w:rFonts w:hint="eastAsia"/>
                <w:color w:val="auto"/>
                <w:sz w:val="21"/>
                <w:szCs w:val="21"/>
                <w:highlight w:val="none"/>
              </w:rPr>
              <w:t>工作</w:t>
            </w:r>
            <w:r>
              <w:rPr>
                <w:rFonts w:hint="default"/>
                <w:color w:val="auto"/>
                <w:sz w:val="21"/>
                <w:szCs w:val="21"/>
                <w:highlight w:val="none"/>
              </w:rPr>
              <w:t>人员定时巡视，一旦发现泄漏情况立即启动应急报警系统。</w:t>
            </w:r>
          </w:p>
          <w:p>
            <w:pPr>
              <w:keepNext w:val="0"/>
              <w:keepLines w:val="0"/>
              <w:suppressLineNumbers w:val="0"/>
              <w:spacing w:before="0" w:beforeAutospacing="0" w:after="0" w:afterAutospacing="0"/>
              <w:ind w:left="0" w:right="0" w:firstLine="420"/>
              <w:rPr>
                <w:rFonts w:hint="default"/>
                <w:color w:val="auto"/>
                <w:sz w:val="21"/>
                <w:szCs w:val="21"/>
                <w:highlight w:val="none"/>
              </w:rPr>
            </w:pPr>
            <w:r>
              <w:rPr>
                <w:rFonts w:hint="default"/>
                <w:color w:val="auto"/>
                <w:sz w:val="21"/>
                <w:szCs w:val="21"/>
                <w:highlight w:val="none"/>
              </w:rPr>
              <w:t>②加强安全管理，制定相应的定期检查制度，定期检查装置各</w:t>
            </w:r>
            <w:r>
              <w:rPr>
                <w:rFonts w:hint="eastAsia"/>
                <w:color w:val="auto"/>
                <w:sz w:val="21"/>
                <w:szCs w:val="21"/>
                <w:highlight w:val="none"/>
              </w:rPr>
              <w:t>设备</w:t>
            </w:r>
            <w:r>
              <w:rPr>
                <w:rFonts w:hint="default"/>
                <w:color w:val="auto"/>
                <w:sz w:val="21"/>
                <w:szCs w:val="21"/>
                <w:highlight w:val="none"/>
              </w:rPr>
              <w:t>有无渗漏。</w:t>
            </w:r>
          </w:p>
          <w:p>
            <w:pPr>
              <w:keepNext w:val="0"/>
              <w:keepLines w:val="0"/>
              <w:suppressLineNumbers w:val="0"/>
              <w:spacing w:before="0" w:beforeAutospacing="0" w:after="0" w:afterAutospacing="0"/>
              <w:ind w:left="0" w:right="0" w:firstLine="420"/>
              <w:rPr>
                <w:rFonts w:hint="default"/>
                <w:color w:val="auto"/>
                <w:sz w:val="21"/>
                <w:szCs w:val="21"/>
                <w:highlight w:val="none"/>
              </w:rPr>
            </w:pPr>
            <w:r>
              <w:rPr>
                <w:rFonts w:hint="default"/>
                <w:color w:val="auto"/>
                <w:sz w:val="21"/>
                <w:szCs w:val="21"/>
                <w:highlight w:val="none"/>
              </w:rPr>
              <w:t>③建立完善的安全生产制度和安全操作规范，并做到制度上墙。</w:t>
            </w:r>
          </w:p>
          <w:p>
            <w:pPr>
              <w:keepNext w:val="0"/>
              <w:keepLines w:val="0"/>
              <w:suppressLineNumbers w:val="0"/>
              <w:spacing w:before="0" w:beforeAutospacing="0" w:after="0" w:afterAutospacing="0"/>
              <w:ind w:left="0" w:right="0" w:firstLine="420"/>
              <w:rPr>
                <w:rFonts w:hint="default"/>
                <w:color w:val="auto"/>
                <w:sz w:val="21"/>
                <w:szCs w:val="21"/>
                <w:highlight w:val="none"/>
              </w:rPr>
            </w:pPr>
            <w:r>
              <w:rPr>
                <w:rFonts w:hint="default"/>
                <w:color w:val="auto"/>
                <w:sz w:val="21"/>
                <w:szCs w:val="21"/>
                <w:highlight w:val="none"/>
              </w:rPr>
              <w:t>④</w:t>
            </w:r>
            <w:r>
              <w:rPr>
                <w:rFonts w:hint="eastAsia"/>
                <w:color w:val="auto"/>
                <w:sz w:val="21"/>
                <w:szCs w:val="21"/>
                <w:highlight w:val="none"/>
              </w:rPr>
              <w:t>生产车间及</w:t>
            </w:r>
            <w:r>
              <w:rPr>
                <w:rFonts w:hint="default"/>
                <w:color w:val="auto"/>
                <w:sz w:val="21"/>
                <w:szCs w:val="21"/>
                <w:highlight w:val="none"/>
              </w:rPr>
              <w:t>周围应设置禁止火源等标识。</w:t>
            </w:r>
          </w:p>
          <w:p>
            <w:pPr>
              <w:keepNext w:val="0"/>
              <w:keepLines w:val="0"/>
              <w:suppressLineNumbers w:val="0"/>
              <w:spacing w:before="0" w:beforeAutospacing="0" w:after="0" w:afterAutospacing="0"/>
              <w:ind w:left="0" w:right="0" w:firstLine="420"/>
              <w:rPr>
                <w:rFonts w:hint="default"/>
                <w:color w:val="auto"/>
                <w:sz w:val="21"/>
                <w:szCs w:val="21"/>
                <w:highlight w:val="none"/>
              </w:rPr>
            </w:pPr>
            <w:r>
              <w:rPr>
                <w:rFonts w:hint="default"/>
                <w:color w:val="auto"/>
                <w:sz w:val="21"/>
                <w:szCs w:val="21"/>
                <w:highlight w:val="none"/>
              </w:rPr>
              <w:t>⑤按照规定配备灭火器。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77" w:type="dxa"/>
            <w:vAlign w:val="center"/>
          </w:tcPr>
          <w:p>
            <w:pPr>
              <w:pStyle w:val="80"/>
              <w:keepNext w:val="0"/>
              <w:keepLines w:val="0"/>
              <w:widowControl/>
              <w:suppressLineNumbers w:val="0"/>
              <w:spacing w:before="0" w:beforeAutospacing="0" w:after="0" w:afterAutospacing="0"/>
              <w:ind w:left="0" w:right="0"/>
              <w:rPr>
                <w:rFonts w:hint="default"/>
                <w:color w:val="auto"/>
                <w:spacing w:val="-8"/>
                <w:szCs w:val="20"/>
                <w:highlight w:val="none"/>
              </w:rPr>
            </w:pPr>
            <w:r>
              <w:rPr>
                <w:rFonts w:hint="default"/>
                <w:color w:val="auto"/>
                <w:spacing w:val="-8"/>
                <w:szCs w:val="20"/>
                <w:highlight w:val="none"/>
              </w:rPr>
              <w:t>其他环境</w:t>
            </w:r>
          </w:p>
          <w:p>
            <w:pPr>
              <w:pStyle w:val="80"/>
              <w:keepNext w:val="0"/>
              <w:keepLines w:val="0"/>
              <w:widowControl/>
              <w:suppressLineNumbers w:val="0"/>
              <w:spacing w:before="0" w:beforeAutospacing="0" w:after="0" w:afterAutospacing="0"/>
              <w:ind w:left="0" w:right="0"/>
              <w:rPr>
                <w:rFonts w:hint="default"/>
                <w:color w:val="auto"/>
                <w:spacing w:val="-8"/>
                <w:szCs w:val="20"/>
                <w:highlight w:val="none"/>
              </w:rPr>
            </w:pPr>
            <w:r>
              <w:rPr>
                <w:rFonts w:hint="default"/>
                <w:color w:val="auto"/>
                <w:spacing w:val="-8"/>
                <w:szCs w:val="20"/>
                <w:highlight w:val="none"/>
              </w:rPr>
              <w:t>管理要求</w:t>
            </w:r>
          </w:p>
        </w:tc>
        <w:tc>
          <w:tcPr>
            <w:tcW w:w="7483" w:type="dxa"/>
            <w:gridSpan w:val="4"/>
            <w:vAlign w:val="center"/>
          </w:tcPr>
          <w:p>
            <w:pPr>
              <w:keepNext w:val="0"/>
              <w:keepLines w:val="0"/>
              <w:suppressLineNumbers w:val="0"/>
              <w:spacing w:before="0" w:beforeAutospacing="0" w:after="0" w:afterAutospacing="0"/>
              <w:ind w:left="0" w:right="0" w:firstLine="420"/>
              <w:rPr>
                <w:rFonts w:hint="default"/>
                <w:color w:val="auto"/>
                <w:sz w:val="21"/>
                <w:szCs w:val="21"/>
                <w:highlight w:val="none"/>
              </w:rPr>
            </w:pPr>
            <w:r>
              <w:rPr>
                <w:rFonts w:hint="eastAsia"/>
                <w:color w:val="auto"/>
                <w:sz w:val="21"/>
                <w:szCs w:val="21"/>
                <w:highlight w:val="none"/>
              </w:rPr>
              <w:t>1.环境管理</w:t>
            </w:r>
          </w:p>
          <w:p>
            <w:pPr>
              <w:keepNext w:val="0"/>
              <w:keepLines w:val="0"/>
              <w:suppressLineNumbers w:val="0"/>
              <w:spacing w:before="0" w:beforeAutospacing="0" w:after="0" w:afterAutospacing="0"/>
              <w:ind w:left="0" w:right="0" w:firstLine="420"/>
              <w:rPr>
                <w:rFonts w:hint="default"/>
                <w:color w:val="auto"/>
                <w:sz w:val="21"/>
                <w:szCs w:val="21"/>
                <w:highlight w:val="none"/>
              </w:rPr>
            </w:pPr>
            <w:r>
              <w:rPr>
                <w:rFonts w:hint="eastAsia"/>
                <w:color w:val="auto"/>
                <w:sz w:val="21"/>
                <w:szCs w:val="21"/>
                <w:highlight w:val="none"/>
              </w:rPr>
              <w:t>①严格执行建设项目“三同时”制度，监督项目环保“三同时”落实情况；</w:t>
            </w:r>
          </w:p>
          <w:p>
            <w:pPr>
              <w:keepNext w:val="0"/>
              <w:keepLines w:val="0"/>
              <w:suppressLineNumbers w:val="0"/>
              <w:spacing w:before="0" w:beforeAutospacing="0" w:after="0" w:afterAutospacing="0"/>
              <w:ind w:left="0" w:right="0" w:firstLine="420"/>
              <w:rPr>
                <w:rFonts w:hint="default"/>
                <w:color w:val="auto"/>
                <w:sz w:val="21"/>
                <w:szCs w:val="21"/>
                <w:highlight w:val="none"/>
              </w:rPr>
            </w:pPr>
            <w:r>
              <w:rPr>
                <w:rFonts w:hint="eastAsia"/>
                <w:color w:val="auto"/>
                <w:sz w:val="21"/>
                <w:szCs w:val="21"/>
                <w:highlight w:val="none"/>
              </w:rPr>
              <w:t>②建立环境管理制度，设置专职环保人员，负责日常环保安全，定期检查环保管理和环境监测工作。</w:t>
            </w:r>
          </w:p>
          <w:p>
            <w:pPr>
              <w:keepNext w:val="0"/>
              <w:keepLines w:val="0"/>
              <w:suppressLineNumbers w:val="0"/>
              <w:spacing w:before="0" w:beforeAutospacing="0" w:after="0" w:afterAutospacing="0"/>
              <w:ind w:left="0" w:right="0" w:firstLine="420"/>
              <w:rPr>
                <w:rFonts w:hint="default"/>
                <w:color w:val="auto"/>
                <w:sz w:val="21"/>
                <w:szCs w:val="21"/>
                <w:highlight w:val="none"/>
              </w:rPr>
            </w:pPr>
            <w:r>
              <w:rPr>
                <w:rFonts w:hint="eastAsia"/>
                <w:color w:val="auto"/>
                <w:sz w:val="21"/>
                <w:szCs w:val="21"/>
                <w:highlight w:val="none"/>
              </w:rPr>
              <w:t>③项目建成后应根据固定污染源排污许可分类管理名录和相关要求，及时办理排污许可证相关手续。</w:t>
            </w:r>
          </w:p>
          <w:p>
            <w:pPr>
              <w:keepNext w:val="0"/>
              <w:keepLines w:val="0"/>
              <w:suppressLineNumbers w:val="0"/>
              <w:spacing w:before="0" w:beforeAutospacing="0" w:after="0" w:afterAutospacing="0"/>
              <w:ind w:left="0" w:right="0" w:firstLine="420"/>
              <w:rPr>
                <w:rFonts w:hint="default"/>
                <w:color w:val="auto"/>
                <w:sz w:val="21"/>
                <w:szCs w:val="21"/>
                <w:highlight w:val="none"/>
              </w:rPr>
            </w:pPr>
            <w:r>
              <w:rPr>
                <w:rFonts w:hint="eastAsia"/>
                <w:color w:val="auto"/>
                <w:sz w:val="21"/>
                <w:szCs w:val="21"/>
                <w:highlight w:val="none"/>
              </w:rPr>
              <w:t>④严格执行国家环境保护有关政策和法规，取得环评手续后尽快完成竣工环境保护验收工作。</w:t>
            </w:r>
          </w:p>
          <w:p>
            <w:pPr>
              <w:keepNext w:val="0"/>
              <w:keepLines w:val="0"/>
              <w:suppressLineNumbers w:val="0"/>
              <w:spacing w:before="0" w:beforeAutospacing="0" w:after="0" w:afterAutospacing="0"/>
              <w:ind w:left="0" w:right="0" w:firstLine="420"/>
              <w:rPr>
                <w:rFonts w:hint="default"/>
                <w:color w:val="auto"/>
                <w:sz w:val="21"/>
                <w:szCs w:val="21"/>
                <w:highlight w:val="none"/>
              </w:rPr>
            </w:pPr>
            <w:r>
              <w:rPr>
                <w:rFonts w:hint="eastAsia"/>
                <w:color w:val="auto"/>
                <w:sz w:val="21"/>
                <w:szCs w:val="21"/>
                <w:highlight w:val="none"/>
              </w:rPr>
              <w:t>2.环保投资</w:t>
            </w:r>
          </w:p>
          <w:p>
            <w:pPr>
              <w:keepNext w:val="0"/>
              <w:keepLines w:val="0"/>
              <w:suppressLineNumbers w:val="0"/>
              <w:spacing w:before="0" w:beforeAutospacing="0" w:after="0" w:afterAutospacing="0"/>
              <w:ind w:left="0" w:right="0" w:firstLine="420"/>
              <w:rPr>
                <w:rFonts w:hint="default"/>
                <w:color w:val="auto"/>
                <w:sz w:val="21"/>
                <w:szCs w:val="21"/>
                <w:highlight w:val="none"/>
              </w:rPr>
            </w:pPr>
            <w:r>
              <w:rPr>
                <w:rFonts w:hint="default"/>
                <w:color w:val="auto"/>
                <w:sz w:val="21"/>
                <w:szCs w:val="21"/>
                <w:highlight w:val="none"/>
              </w:rPr>
              <w:t>项目总投资</w:t>
            </w:r>
            <w:r>
              <w:rPr>
                <w:rFonts w:hint="eastAsia"/>
                <w:color w:val="auto"/>
                <w:sz w:val="21"/>
                <w:szCs w:val="21"/>
                <w:highlight w:val="none"/>
                <w:lang w:eastAsia="zh-CN"/>
              </w:rPr>
              <w:t>1000万元</w:t>
            </w:r>
            <w:r>
              <w:rPr>
                <w:rFonts w:hint="default"/>
                <w:color w:val="auto"/>
                <w:sz w:val="21"/>
                <w:szCs w:val="21"/>
                <w:highlight w:val="none"/>
              </w:rPr>
              <w:t>，经初步核算，环保投资为</w:t>
            </w:r>
            <w:r>
              <w:rPr>
                <w:rFonts w:hint="eastAsia"/>
                <w:color w:val="auto"/>
                <w:sz w:val="21"/>
                <w:szCs w:val="21"/>
                <w:highlight w:val="none"/>
                <w:lang w:eastAsia="zh-CN"/>
              </w:rPr>
              <w:t>41.2</w:t>
            </w:r>
            <w:r>
              <w:rPr>
                <w:rFonts w:hint="default"/>
                <w:color w:val="auto"/>
                <w:sz w:val="21"/>
                <w:szCs w:val="21"/>
                <w:highlight w:val="none"/>
              </w:rPr>
              <w:t>万元，占总投资的</w:t>
            </w:r>
            <w:r>
              <w:rPr>
                <w:rFonts w:hint="eastAsia"/>
                <w:color w:val="auto"/>
                <w:sz w:val="21"/>
                <w:szCs w:val="21"/>
                <w:highlight w:val="none"/>
                <w:lang w:eastAsia="zh-CN"/>
              </w:rPr>
              <w:t>4.12%</w:t>
            </w:r>
            <w:r>
              <w:rPr>
                <w:rFonts w:hint="default"/>
                <w:color w:val="auto"/>
                <w:sz w:val="21"/>
                <w:szCs w:val="21"/>
                <w:highlight w:val="none"/>
              </w:rPr>
              <w:t>。</w:t>
            </w:r>
            <w:r>
              <w:rPr>
                <w:rFonts w:hint="eastAsia"/>
                <w:color w:val="auto"/>
                <w:sz w:val="21"/>
                <w:szCs w:val="21"/>
                <w:highlight w:val="none"/>
              </w:rPr>
              <w:t>环保投资一览表见下</w:t>
            </w:r>
            <w:r>
              <w:rPr>
                <w:rFonts w:hint="default"/>
                <w:color w:val="auto"/>
                <w:sz w:val="21"/>
                <w:szCs w:val="21"/>
                <w:highlight w:val="none"/>
              </w:rPr>
              <w:t>表。</w:t>
            </w:r>
          </w:p>
          <w:p>
            <w:pPr>
              <w:pStyle w:val="77"/>
              <w:keepNext w:val="0"/>
              <w:keepLines w:val="0"/>
              <w:widowControl/>
              <w:suppressLineNumbers w:val="0"/>
              <w:spacing w:before="0" w:beforeLines="0" w:beforeAutospacing="0" w:after="0" w:afterAutospacing="0" w:line="240" w:lineRule="auto"/>
              <w:ind w:left="0" w:right="0"/>
              <w:rPr>
                <w:rFonts w:hint="default" w:eastAsia="宋体"/>
                <w:b/>
                <w:bCs/>
                <w:color w:val="auto"/>
                <w:highlight w:val="none"/>
              </w:rPr>
            </w:pPr>
            <w:r>
              <w:rPr>
                <w:rFonts w:hint="eastAsia" w:eastAsia="宋体"/>
                <w:b/>
                <w:bCs/>
                <w:color w:val="auto"/>
                <w:highlight w:val="none"/>
              </w:rPr>
              <w:t>表5-1   环保投资一览表   单位：万元</w:t>
            </w:r>
          </w:p>
          <w:tbl>
            <w:tblPr>
              <w:tblStyle w:val="38"/>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516"/>
              <w:gridCol w:w="3413"/>
              <w:gridCol w:w="859"/>
              <w:gridCol w:w="6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项目</w:t>
                  </w:r>
                </w:p>
              </w:tc>
              <w:tc>
                <w:tcPr>
                  <w:tcW w:w="1516"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污染源</w:t>
                  </w:r>
                </w:p>
              </w:tc>
              <w:tc>
                <w:tcPr>
                  <w:tcW w:w="3413"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采取的环保措施</w:t>
                  </w:r>
                </w:p>
              </w:tc>
              <w:tc>
                <w:tcPr>
                  <w:tcW w:w="859"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数量</w:t>
                  </w:r>
                </w:p>
              </w:tc>
              <w:tc>
                <w:tcPr>
                  <w:tcW w:w="68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投资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dxa"/>
                  <w:vMerge w:val="restart"/>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eastAsia="宋体"/>
                      <w:color w:val="auto"/>
                      <w:szCs w:val="20"/>
                      <w:highlight w:val="none"/>
                      <w:lang w:val="en-US" w:eastAsia="zh-CN"/>
                    </w:rPr>
                  </w:pPr>
                  <w:r>
                    <w:rPr>
                      <w:rFonts w:hint="eastAsia"/>
                      <w:color w:val="auto"/>
                      <w:szCs w:val="20"/>
                      <w:highlight w:val="none"/>
                      <w:lang w:val="en-US" w:eastAsia="zh-CN"/>
                    </w:rPr>
                    <w:t>废气</w:t>
                  </w:r>
                </w:p>
              </w:tc>
              <w:tc>
                <w:tcPr>
                  <w:tcW w:w="1516" w:type="dxa"/>
                  <w:vMerge w:val="restar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rPr>
                    <w:t>挤出废气</w:t>
                  </w:r>
                </w:p>
              </w:tc>
              <w:tc>
                <w:tcPr>
                  <w:tcW w:w="3413"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集气罩</w:t>
                  </w:r>
                  <w:r>
                    <w:rPr>
                      <w:rFonts w:hint="default"/>
                      <w:color w:val="auto"/>
                      <w:szCs w:val="20"/>
                      <w:highlight w:val="none"/>
                    </w:rPr>
                    <w:t xml:space="preserve"> </w:t>
                  </w:r>
                </w:p>
              </w:tc>
              <w:tc>
                <w:tcPr>
                  <w:tcW w:w="859"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lang w:val="en-US" w:eastAsia="zh-CN"/>
                    </w:rPr>
                    <w:t>6</w:t>
                  </w:r>
                  <w:r>
                    <w:rPr>
                      <w:rFonts w:hint="eastAsia"/>
                      <w:color w:val="auto"/>
                      <w:szCs w:val="20"/>
                      <w:highlight w:val="none"/>
                    </w:rPr>
                    <w:t>套</w:t>
                  </w:r>
                </w:p>
              </w:tc>
              <w:tc>
                <w:tcPr>
                  <w:tcW w:w="68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dxa"/>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1516" w:type="dxa"/>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3413"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两级活性炭吸附装置</w:t>
                  </w:r>
                </w:p>
              </w:tc>
              <w:tc>
                <w:tcPr>
                  <w:tcW w:w="859"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1台</w:t>
                  </w:r>
                </w:p>
              </w:tc>
              <w:tc>
                <w:tcPr>
                  <w:tcW w:w="68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dxa"/>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1516" w:type="dxa"/>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3413"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15m排气筒</w:t>
                  </w:r>
                </w:p>
              </w:tc>
              <w:tc>
                <w:tcPr>
                  <w:tcW w:w="859"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1根</w:t>
                  </w:r>
                </w:p>
              </w:tc>
              <w:tc>
                <w:tcPr>
                  <w:tcW w:w="68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eastAsia="宋体"/>
                      <w:color w:val="auto"/>
                      <w:szCs w:val="20"/>
                      <w:highlight w:val="none"/>
                      <w:lang w:eastAsia="zh-CN"/>
                    </w:rPr>
                  </w:pPr>
                  <w:r>
                    <w:rPr>
                      <w:rFonts w:hint="eastAsia"/>
                      <w:color w:val="auto"/>
                      <w:szCs w:val="20"/>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废水</w:t>
                  </w:r>
                </w:p>
              </w:tc>
              <w:tc>
                <w:tcPr>
                  <w:tcW w:w="1516"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生活污水</w:t>
                  </w:r>
                </w:p>
              </w:tc>
              <w:tc>
                <w:tcPr>
                  <w:tcW w:w="3413"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lang w:val="en-US" w:eastAsia="zh-CN"/>
                    </w:rPr>
                    <w:t>依托已建成</w:t>
                  </w:r>
                  <w:r>
                    <w:rPr>
                      <w:rFonts w:hint="eastAsia"/>
                      <w:color w:val="auto"/>
                      <w:szCs w:val="20"/>
                      <w:highlight w:val="none"/>
                    </w:rPr>
                    <w:t>化粪池</w:t>
                  </w:r>
                </w:p>
              </w:tc>
              <w:tc>
                <w:tcPr>
                  <w:tcW w:w="859"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1座</w:t>
                  </w:r>
                </w:p>
              </w:tc>
              <w:tc>
                <w:tcPr>
                  <w:tcW w:w="68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eastAsia="宋体"/>
                      <w:color w:val="auto"/>
                      <w:szCs w:val="20"/>
                      <w:highlight w:val="none"/>
                      <w:lang w:eastAsia="zh-CN"/>
                    </w:rPr>
                  </w:pPr>
                  <w:r>
                    <w:rPr>
                      <w:rFonts w:hint="eastAsia"/>
                      <w:color w:val="auto"/>
                      <w:szCs w:val="20"/>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噪声</w:t>
                  </w:r>
                </w:p>
              </w:tc>
              <w:tc>
                <w:tcPr>
                  <w:tcW w:w="1516"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生产设备</w:t>
                  </w:r>
                </w:p>
              </w:tc>
              <w:tc>
                <w:tcPr>
                  <w:tcW w:w="3413"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厂房隔声、基础减振、隔声屏障</w:t>
                  </w:r>
                </w:p>
              </w:tc>
              <w:tc>
                <w:tcPr>
                  <w:tcW w:w="859"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配套</w:t>
                  </w:r>
                </w:p>
              </w:tc>
              <w:tc>
                <w:tcPr>
                  <w:tcW w:w="68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dxa"/>
                  <w:vMerge w:val="restar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固废</w:t>
                  </w:r>
                </w:p>
              </w:tc>
              <w:tc>
                <w:tcPr>
                  <w:tcW w:w="1516"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生活垃圾</w:t>
                  </w:r>
                </w:p>
              </w:tc>
              <w:tc>
                <w:tcPr>
                  <w:tcW w:w="3413"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垃圾桶</w:t>
                  </w:r>
                </w:p>
              </w:tc>
              <w:tc>
                <w:tcPr>
                  <w:tcW w:w="859"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若干</w:t>
                  </w:r>
                </w:p>
              </w:tc>
              <w:tc>
                <w:tcPr>
                  <w:tcW w:w="68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dxa"/>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1516"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一般固废</w:t>
                  </w:r>
                </w:p>
              </w:tc>
              <w:tc>
                <w:tcPr>
                  <w:tcW w:w="3413"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一般固废暂存区</w:t>
                  </w:r>
                </w:p>
              </w:tc>
              <w:tc>
                <w:tcPr>
                  <w:tcW w:w="859"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w:t>
                  </w:r>
                </w:p>
              </w:tc>
              <w:tc>
                <w:tcPr>
                  <w:tcW w:w="68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dxa"/>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1516" w:type="dxa"/>
                  <w:vMerge w:val="restar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危险废物</w:t>
                  </w:r>
                </w:p>
              </w:tc>
              <w:tc>
                <w:tcPr>
                  <w:tcW w:w="3413"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lang w:eastAsia="zh-CN"/>
                    </w:rPr>
                    <w:t>危废贮存库</w:t>
                  </w:r>
                  <w:r>
                    <w:rPr>
                      <w:rFonts w:hint="eastAsia"/>
                      <w:color w:val="auto"/>
                      <w:szCs w:val="20"/>
                      <w:highlight w:val="none"/>
                    </w:rPr>
                    <w:t>（分区防渗）</w:t>
                  </w:r>
                </w:p>
              </w:tc>
              <w:tc>
                <w:tcPr>
                  <w:tcW w:w="859"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w:t>
                  </w:r>
                </w:p>
              </w:tc>
              <w:tc>
                <w:tcPr>
                  <w:tcW w:w="682" w:type="dxa"/>
                  <w:vMerge w:val="restar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dxa"/>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1516" w:type="dxa"/>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c>
                <w:tcPr>
                  <w:tcW w:w="3413"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危废收集桶</w:t>
                  </w:r>
                </w:p>
              </w:tc>
              <w:tc>
                <w:tcPr>
                  <w:tcW w:w="859"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w:t>
                  </w:r>
                </w:p>
              </w:tc>
              <w:tc>
                <w:tcPr>
                  <w:tcW w:w="682" w:type="dxa"/>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3" w:type="dxa"/>
                  <w:gridSpan w:val="2"/>
                  <w:tcBorders>
                    <w:tl2br w:val="nil"/>
                    <w:tr2bl w:val="nil"/>
                  </w:tcBorders>
                  <w:vAlign w:val="center"/>
                </w:tcPr>
                <w:p>
                  <w:pPr>
                    <w:keepNext/>
                    <w:keepLines w:val="0"/>
                    <w:suppressLineNumbers w:val="0"/>
                    <w:overflowPunct w:val="0"/>
                    <w:spacing w:before="0" w:beforeAutospacing="0" w:after="0" w:afterAutospacing="0" w:line="240" w:lineRule="auto"/>
                    <w:ind w:left="0" w:right="0" w:firstLine="0" w:firstLineChars="0"/>
                    <w:jc w:val="center"/>
                    <w:rPr>
                      <w:rFonts w:hint="default"/>
                      <w:color w:val="auto"/>
                      <w:highlight w:val="none"/>
                    </w:rPr>
                  </w:pPr>
                  <w:r>
                    <w:rPr>
                      <w:rFonts w:hint="eastAsia"/>
                      <w:color w:val="auto"/>
                      <w:sz w:val="21"/>
                      <w:szCs w:val="21"/>
                      <w:highlight w:val="none"/>
                    </w:rPr>
                    <w:t>运行维护费用</w:t>
                  </w:r>
                </w:p>
              </w:tc>
              <w:tc>
                <w:tcPr>
                  <w:tcW w:w="3413"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w:t>
                  </w:r>
                </w:p>
              </w:tc>
              <w:tc>
                <w:tcPr>
                  <w:tcW w:w="859"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w:t>
                  </w:r>
                </w:p>
              </w:tc>
              <w:tc>
                <w:tcPr>
                  <w:tcW w:w="68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eastAsia="宋体"/>
                      <w:color w:val="auto"/>
                      <w:szCs w:val="20"/>
                      <w:highlight w:val="none"/>
                      <w:lang w:eastAsia="zh-CN"/>
                    </w:rPr>
                  </w:pPr>
                  <w:r>
                    <w:rPr>
                      <w:rFonts w:hint="eastAsia"/>
                      <w:color w:val="auto"/>
                      <w:szCs w:val="20"/>
                      <w:highlight w:val="none"/>
                      <w:lang w:val="en-US" w:eastAsia="zh-CN"/>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3" w:type="dxa"/>
                  <w:gridSpan w:val="2"/>
                  <w:tcBorders>
                    <w:tl2br w:val="nil"/>
                    <w:tr2bl w:val="nil"/>
                  </w:tcBorders>
                  <w:vAlign w:val="center"/>
                </w:tcPr>
                <w:p>
                  <w:pPr>
                    <w:keepNext/>
                    <w:keepLines w:val="0"/>
                    <w:suppressLineNumbers w:val="0"/>
                    <w:overflowPunct w:val="0"/>
                    <w:spacing w:before="0" w:beforeAutospacing="0" w:after="0" w:afterAutospacing="0" w:line="240" w:lineRule="auto"/>
                    <w:ind w:left="0" w:right="0" w:firstLine="0" w:firstLineChars="0"/>
                    <w:jc w:val="center"/>
                    <w:rPr>
                      <w:rFonts w:hint="default"/>
                      <w:color w:val="auto"/>
                      <w:highlight w:val="none"/>
                    </w:rPr>
                  </w:pPr>
                  <w:r>
                    <w:rPr>
                      <w:rFonts w:hint="eastAsia"/>
                      <w:color w:val="auto"/>
                      <w:sz w:val="21"/>
                      <w:szCs w:val="21"/>
                      <w:highlight w:val="none"/>
                    </w:rPr>
                    <w:t>环境管理与监测费用</w:t>
                  </w:r>
                </w:p>
              </w:tc>
              <w:tc>
                <w:tcPr>
                  <w:tcW w:w="3413"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w:t>
                  </w:r>
                </w:p>
              </w:tc>
              <w:tc>
                <w:tcPr>
                  <w:tcW w:w="859"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w:t>
                  </w:r>
                </w:p>
              </w:tc>
              <w:tc>
                <w:tcPr>
                  <w:tcW w:w="68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5" w:type="dxa"/>
                  <w:gridSpan w:val="4"/>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合计</w:t>
                  </w:r>
                </w:p>
              </w:tc>
              <w:tc>
                <w:tcPr>
                  <w:tcW w:w="68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lang w:val="en-US" w:eastAsia="zh-CN"/>
                    </w:rPr>
                    <w:t>41.2</w:t>
                  </w:r>
                </w:p>
              </w:tc>
            </w:tr>
          </w:tbl>
          <w:p>
            <w:pPr>
              <w:pStyle w:val="80"/>
              <w:keepNext w:val="0"/>
              <w:keepLines w:val="0"/>
              <w:widowControl/>
              <w:suppressLineNumbers w:val="0"/>
              <w:spacing w:before="0" w:beforeAutospacing="0" w:after="0" w:afterAutospacing="0"/>
              <w:ind w:left="0" w:right="0"/>
              <w:rPr>
                <w:rFonts w:hint="default"/>
                <w:color w:val="auto"/>
                <w:szCs w:val="20"/>
                <w:highlight w:val="none"/>
              </w:rPr>
            </w:pPr>
          </w:p>
          <w:p>
            <w:pPr>
              <w:pStyle w:val="80"/>
              <w:keepNext w:val="0"/>
              <w:keepLines w:val="0"/>
              <w:widowControl/>
              <w:suppressLineNumbers w:val="0"/>
              <w:spacing w:before="0" w:beforeAutospacing="0" w:after="0" w:afterAutospacing="0"/>
              <w:ind w:left="0" w:right="0"/>
              <w:rPr>
                <w:rFonts w:hint="default"/>
                <w:color w:val="auto"/>
                <w:szCs w:val="20"/>
                <w:highlight w:val="none"/>
              </w:rPr>
            </w:pPr>
          </w:p>
        </w:tc>
      </w:tr>
    </w:tbl>
    <w:p>
      <w:pPr>
        <w:pStyle w:val="32"/>
        <w:ind w:firstLine="0" w:firstLineChars="0"/>
        <w:jc w:val="center"/>
        <w:outlineLvl w:val="0"/>
        <w:rPr>
          <w:rFonts w:ascii="Times New Roman" w:hAnsi="Times New Roman" w:eastAsia="黑体"/>
          <w:snapToGrid w:val="0"/>
          <w:color w:val="auto"/>
          <w:sz w:val="30"/>
          <w:szCs w:val="30"/>
          <w:highlight w:val="none"/>
        </w:rPr>
      </w:pPr>
      <w:r>
        <w:rPr>
          <w:rFonts w:ascii="Times New Roman" w:hAnsi="Times New Roman"/>
          <w:snapToGrid w:val="0"/>
          <w:color w:val="auto"/>
          <w:highlight w:val="none"/>
        </w:rPr>
        <w:br w:type="page"/>
      </w:r>
      <w:r>
        <w:rPr>
          <w:rFonts w:ascii="Times New Roman" w:hAnsi="Times New Roman" w:eastAsia="黑体"/>
          <w:snapToGrid w:val="0"/>
          <w:color w:val="auto"/>
          <w:sz w:val="30"/>
          <w:szCs w:val="30"/>
          <w:highlight w:val="none"/>
        </w:rPr>
        <w:t>六、结论</w:t>
      </w:r>
    </w:p>
    <w:tbl>
      <w:tblPr>
        <w:tblStyle w:val="3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keepNext w:val="0"/>
              <w:keepLines w:val="0"/>
              <w:suppressLineNumbers w:val="0"/>
              <w:spacing w:before="0" w:beforeAutospacing="0" w:after="0" w:afterAutospacing="0"/>
              <w:ind w:left="0" w:right="0" w:firstLine="480"/>
              <w:rPr>
                <w:rFonts w:hint="default"/>
                <w:b/>
                <w:color w:val="auto"/>
                <w:szCs w:val="20"/>
                <w:highlight w:val="none"/>
              </w:rPr>
            </w:pPr>
            <w:r>
              <w:rPr>
                <w:rFonts w:hint="eastAsia"/>
                <w:color w:val="auto"/>
                <w:highlight w:val="none"/>
              </w:rPr>
              <w:t>从环境保护角度</w:t>
            </w:r>
            <w:r>
              <w:rPr>
                <w:rFonts w:hint="eastAsia"/>
                <w:color w:val="auto"/>
                <w:highlight w:val="none"/>
                <w:lang w:val="en-US" w:eastAsia="zh-CN"/>
              </w:rPr>
              <w:t>分析</w:t>
            </w:r>
            <w:r>
              <w:rPr>
                <w:rFonts w:hint="eastAsia"/>
                <w:color w:val="auto"/>
                <w:highlight w:val="none"/>
              </w:rPr>
              <w:t>，建设项目环境影响可接受。</w:t>
            </w:r>
          </w:p>
        </w:tc>
      </w:tr>
    </w:tbl>
    <w:p>
      <w:pPr>
        <w:ind w:firstLine="480"/>
        <w:rPr>
          <w:color w:val="auto"/>
          <w:highlight w:val="none"/>
        </w:rPr>
        <w:sectPr>
          <w:pgSz w:w="11906" w:h="16838"/>
          <w:pgMar w:top="1701" w:right="1531" w:bottom="1701" w:left="1531" w:header="851" w:footer="851" w:gutter="0"/>
          <w:pgBorders>
            <w:top w:val="none" w:sz="0" w:space="0"/>
            <w:left w:val="none" w:sz="0" w:space="0"/>
            <w:bottom w:val="none" w:sz="0" w:space="0"/>
            <w:right w:val="none" w:sz="0" w:space="0"/>
          </w:pgBorders>
          <w:pgNumType w:fmt="numberInDash"/>
          <w:cols w:space="720" w:num="1"/>
          <w:docGrid w:linePitch="312" w:charSpace="0"/>
        </w:sectPr>
      </w:pPr>
    </w:p>
    <w:p>
      <w:pPr>
        <w:pStyle w:val="32"/>
        <w:adjustRightInd w:val="0"/>
        <w:snapToGrid w:val="0"/>
        <w:spacing w:before="0" w:beforeAutospacing="0" w:after="0" w:afterAutospacing="0"/>
        <w:ind w:firstLine="560"/>
        <w:jc w:val="center"/>
        <w:rPr>
          <w:rFonts w:ascii="Times New Roman" w:hAnsi="Times New Roman" w:eastAsia="方正小标宋_GBK"/>
          <w:snapToGrid w:val="0"/>
          <w:color w:val="auto"/>
          <w:sz w:val="38"/>
          <w:szCs w:val="38"/>
          <w:highlight w:val="none"/>
        </w:rPr>
      </w:pPr>
      <w:r>
        <w:rPr>
          <w:rFonts w:ascii="Times New Roman" w:hAnsi="Times New Roman" w:eastAsia="方正小标宋_GBK"/>
          <w:snapToGrid w:val="0"/>
          <w:color w:val="auto"/>
          <w:sz w:val="28"/>
          <w:szCs w:val="28"/>
          <w:highlight w:val="none"/>
        </w:rPr>
        <w:t>建设项目污染物排放量汇总表</w:t>
      </w:r>
    </w:p>
    <w:tbl>
      <w:tblPr>
        <w:tblStyle w:val="37"/>
        <w:tblW w:w="14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688"/>
        <w:gridCol w:w="1702"/>
        <w:gridCol w:w="1276"/>
        <w:gridCol w:w="1702"/>
        <w:gridCol w:w="1560"/>
        <w:gridCol w:w="1762"/>
        <w:gridCol w:w="1641"/>
        <w:gridCol w:w="13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8" w:type="dxa"/>
            <w:tcBorders>
              <w:tl2br w:val="nil"/>
              <w:tr2bl w:val="nil"/>
            </w:tcBorders>
            <w:tcMar>
              <w:left w:w="28" w:type="dxa"/>
              <w:right w:w="28" w:type="dxa"/>
            </w:tcMar>
            <w:vAlign w:val="center"/>
            <mc:AlternateContent>
              <mc:Choice Requires="wpsCustomData">
                <wpsCustomData:diagonals>
                  <wpsCustomData:diagonal from="10000" to="30000">
                    <wpsCustomData:border w:val="single" w:color="auto" w:sz="8" w:space="0"/>
                  </wpsCustomData:diagonal>
                </wpsCustomData:diagonals>
              </mc:Choice>
            </mc:AlternateContent>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p>
          <w:p>
            <w:pPr>
              <w:pStyle w:val="80"/>
              <w:keepNext w:val="0"/>
              <w:keepLines w:val="0"/>
              <w:widowControl/>
              <w:suppressLineNumbers w:val="0"/>
              <w:snapToGrid w:val="0"/>
              <w:spacing w:before="0" w:beforeAutospacing="0" w:after="0" w:afterAutospacing="0" w:line="240" w:lineRule="auto"/>
              <w:ind w:left="0" w:right="0"/>
              <mc:AlternateContent>
                <mc:Choice Requires="wpsCustomData">
                  <wpsCustomData:diagonalParaType/>
                </mc:Choice>
              </mc:AlternateContent>
              <w:rPr>
                <w:rFonts w:hint="default"/>
                <w:snapToGrid w:val="0"/>
                <w:color w:val="auto"/>
                <w:szCs w:val="20"/>
                <w:highlight w:val="none"/>
              </w:rPr>
            </w:pPr>
            <w:r>
              <w:rPr>
                <w:rFonts w:hint="default"/>
                <w:snapToGrid w:val="0"/>
                <w:color w:val="auto"/>
                <w:szCs w:val="20"/>
                <w:highlight w:val="none"/>
              </w:rPr>
              <w:t>分类</w:t>
            </w:r>
          </w:p>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default"/>
                <w:snapToGrid w:val="0"/>
                <w:color w:val="auto"/>
                <w:szCs w:val="20"/>
                <w:highlight w:val="none"/>
              </w:rPr>
              <w:t>项目</w:t>
            </w:r>
          </w:p>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p>
        </w:tc>
        <w:tc>
          <w:tcPr>
            <w:tcW w:w="1688" w:type="dxa"/>
            <w:tcBorders>
              <w:tl2br w:val="nil"/>
              <w:tr2bl w:val="nil"/>
            </w:tcBorders>
            <w:tcMar>
              <w:left w:w="28" w:type="dxa"/>
              <w:right w:w="28" w:type="dxa"/>
            </w:tcMar>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default"/>
                <w:snapToGrid w:val="0"/>
                <w:color w:val="auto"/>
                <w:szCs w:val="20"/>
                <w:highlight w:val="none"/>
              </w:rPr>
              <w:t>污染物名称</w:t>
            </w:r>
          </w:p>
        </w:tc>
        <w:tc>
          <w:tcPr>
            <w:tcW w:w="1702" w:type="dxa"/>
            <w:tcBorders>
              <w:tl2br w:val="nil"/>
              <w:tr2bl w:val="nil"/>
            </w:tcBorders>
            <w:tcMar>
              <w:left w:w="28" w:type="dxa"/>
              <w:right w:w="28" w:type="dxa"/>
            </w:tcMar>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default"/>
                <w:snapToGrid w:val="0"/>
                <w:color w:val="auto"/>
                <w:szCs w:val="20"/>
                <w:highlight w:val="none"/>
              </w:rPr>
              <w:t>现有工程</w:t>
            </w:r>
          </w:p>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default"/>
                <w:snapToGrid w:val="0"/>
                <w:color w:val="auto"/>
                <w:szCs w:val="20"/>
                <w:highlight w:val="none"/>
              </w:rPr>
              <w:t>排放量（固体废物产生量）</w:t>
            </w:r>
            <w:r>
              <w:rPr>
                <w:rFonts w:hint="default"/>
                <w:snapToGrid w:val="0"/>
                <w:color w:val="auto"/>
                <w:szCs w:val="20"/>
                <w:highlight w:val="none"/>
              </w:rPr>
              <w:fldChar w:fldCharType="begin"/>
            </w:r>
            <w:r>
              <w:rPr>
                <w:rFonts w:hint="default"/>
                <w:snapToGrid w:val="0"/>
                <w:color w:val="auto"/>
                <w:szCs w:val="20"/>
                <w:highlight w:val="none"/>
              </w:rPr>
              <w:instrText xml:space="preserve"> = 1 \* GB3 \* MERGEFORMAT </w:instrText>
            </w:r>
            <w:r>
              <w:rPr>
                <w:rFonts w:hint="default"/>
                <w:snapToGrid w:val="0"/>
                <w:color w:val="auto"/>
                <w:szCs w:val="20"/>
                <w:highlight w:val="none"/>
              </w:rPr>
              <w:fldChar w:fldCharType="separate"/>
            </w:r>
            <w:r>
              <w:rPr>
                <w:rFonts w:hint="eastAsia" w:ascii="宋体" w:hAnsi="宋体" w:cs="宋体"/>
                <w:color w:val="auto"/>
                <w:kern w:val="2"/>
                <w:szCs w:val="20"/>
                <w:highlight w:val="none"/>
              </w:rPr>
              <w:t>①</w:t>
            </w:r>
            <w:r>
              <w:rPr>
                <w:rFonts w:hint="default"/>
                <w:snapToGrid w:val="0"/>
                <w:color w:val="auto"/>
                <w:szCs w:val="20"/>
                <w:highlight w:val="none"/>
              </w:rPr>
              <w:fldChar w:fldCharType="end"/>
            </w:r>
          </w:p>
        </w:tc>
        <w:tc>
          <w:tcPr>
            <w:tcW w:w="1276" w:type="dxa"/>
            <w:tcBorders>
              <w:tl2br w:val="nil"/>
              <w:tr2bl w:val="nil"/>
            </w:tcBorders>
            <w:tcMar>
              <w:left w:w="28" w:type="dxa"/>
              <w:right w:w="28" w:type="dxa"/>
            </w:tcMar>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default"/>
                <w:snapToGrid w:val="0"/>
                <w:color w:val="auto"/>
                <w:szCs w:val="20"/>
                <w:highlight w:val="none"/>
              </w:rPr>
              <w:t>现有工程</w:t>
            </w:r>
          </w:p>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default"/>
                <w:snapToGrid w:val="0"/>
                <w:color w:val="auto"/>
                <w:szCs w:val="20"/>
                <w:highlight w:val="none"/>
              </w:rPr>
              <w:t>许可排放量</w:t>
            </w:r>
          </w:p>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default"/>
                <w:snapToGrid w:val="0"/>
                <w:color w:val="auto"/>
                <w:szCs w:val="20"/>
                <w:highlight w:val="none"/>
              </w:rPr>
              <w:fldChar w:fldCharType="begin"/>
            </w:r>
            <w:r>
              <w:rPr>
                <w:rFonts w:hint="default"/>
                <w:snapToGrid w:val="0"/>
                <w:color w:val="auto"/>
                <w:szCs w:val="20"/>
                <w:highlight w:val="none"/>
              </w:rPr>
              <w:instrText xml:space="preserve"> = 2 \* GB3 \* MERGEFORMAT </w:instrText>
            </w:r>
            <w:r>
              <w:rPr>
                <w:rFonts w:hint="default"/>
                <w:snapToGrid w:val="0"/>
                <w:color w:val="auto"/>
                <w:szCs w:val="20"/>
                <w:highlight w:val="none"/>
              </w:rPr>
              <w:fldChar w:fldCharType="separate"/>
            </w:r>
            <w:r>
              <w:rPr>
                <w:rFonts w:hint="eastAsia" w:ascii="宋体" w:hAnsi="宋体" w:cs="宋体"/>
                <w:snapToGrid w:val="0"/>
                <w:color w:val="auto"/>
                <w:szCs w:val="20"/>
                <w:highlight w:val="none"/>
              </w:rPr>
              <w:t>②</w:t>
            </w:r>
            <w:r>
              <w:rPr>
                <w:rFonts w:hint="default"/>
                <w:snapToGrid w:val="0"/>
                <w:color w:val="auto"/>
                <w:szCs w:val="20"/>
                <w:highlight w:val="none"/>
              </w:rPr>
              <w:fldChar w:fldCharType="end"/>
            </w:r>
          </w:p>
        </w:tc>
        <w:tc>
          <w:tcPr>
            <w:tcW w:w="1702" w:type="dxa"/>
            <w:tcBorders>
              <w:tl2br w:val="nil"/>
              <w:tr2bl w:val="nil"/>
            </w:tcBorders>
            <w:tcMar>
              <w:left w:w="28" w:type="dxa"/>
              <w:right w:w="28" w:type="dxa"/>
            </w:tcMar>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default"/>
                <w:snapToGrid w:val="0"/>
                <w:color w:val="auto"/>
                <w:szCs w:val="20"/>
                <w:highlight w:val="none"/>
              </w:rPr>
              <w:t>在建工程</w:t>
            </w:r>
          </w:p>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default"/>
                <w:snapToGrid w:val="0"/>
                <w:color w:val="auto"/>
                <w:szCs w:val="20"/>
                <w:highlight w:val="none"/>
              </w:rPr>
              <w:t>排放量（固体废物产生量）</w:t>
            </w:r>
            <w:r>
              <w:rPr>
                <w:rFonts w:hint="default"/>
                <w:snapToGrid w:val="0"/>
                <w:color w:val="auto"/>
                <w:szCs w:val="20"/>
                <w:highlight w:val="none"/>
              </w:rPr>
              <w:fldChar w:fldCharType="begin"/>
            </w:r>
            <w:r>
              <w:rPr>
                <w:rFonts w:hint="default"/>
                <w:snapToGrid w:val="0"/>
                <w:color w:val="auto"/>
                <w:szCs w:val="20"/>
                <w:highlight w:val="none"/>
              </w:rPr>
              <w:instrText xml:space="preserve"> = 3 \* GB3 \* MERGEFORMAT </w:instrText>
            </w:r>
            <w:r>
              <w:rPr>
                <w:rFonts w:hint="default"/>
                <w:snapToGrid w:val="0"/>
                <w:color w:val="auto"/>
                <w:szCs w:val="20"/>
                <w:highlight w:val="none"/>
              </w:rPr>
              <w:fldChar w:fldCharType="separate"/>
            </w:r>
            <w:r>
              <w:rPr>
                <w:rFonts w:hint="eastAsia" w:ascii="宋体" w:hAnsi="宋体" w:cs="宋体"/>
                <w:color w:val="auto"/>
                <w:kern w:val="2"/>
                <w:szCs w:val="20"/>
                <w:highlight w:val="none"/>
              </w:rPr>
              <w:t>③</w:t>
            </w:r>
            <w:r>
              <w:rPr>
                <w:rFonts w:hint="default"/>
                <w:snapToGrid w:val="0"/>
                <w:color w:val="auto"/>
                <w:szCs w:val="20"/>
                <w:highlight w:val="none"/>
              </w:rPr>
              <w:fldChar w:fldCharType="end"/>
            </w:r>
          </w:p>
        </w:tc>
        <w:tc>
          <w:tcPr>
            <w:tcW w:w="1560" w:type="dxa"/>
            <w:tcBorders>
              <w:tl2br w:val="nil"/>
              <w:tr2bl w:val="nil"/>
            </w:tcBorders>
            <w:tcMar>
              <w:left w:w="28" w:type="dxa"/>
              <w:right w:w="28" w:type="dxa"/>
            </w:tcMar>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default"/>
                <w:snapToGrid w:val="0"/>
                <w:color w:val="auto"/>
                <w:szCs w:val="20"/>
                <w:highlight w:val="none"/>
              </w:rPr>
              <w:t>本项目</w:t>
            </w:r>
          </w:p>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default"/>
                <w:snapToGrid w:val="0"/>
                <w:color w:val="auto"/>
                <w:szCs w:val="20"/>
                <w:highlight w:val="none"/>
              </w:rPr>
              <w:t>排放量（固体废物产生量）</w:t>
            </w:r>
            <w:r>
              <w:rPr>
                <w:rFonts w:hint="default"/>
                <w:snapToGrid w:val="0"/>
                <w:color w:val="auto"/>
                <w:szCs w:val="20"/>
                <w:highlight w:val="none"/>
              </w:rPr>
              <w:fldChar w:fldCharType="begin"/>
            </w:r>
            <w:r>
              <w:rPr>
                <w:rFonts w:hint="default"/>
                <w:snapToGrid w:val="0"/>
                <w:color w:val="auto"/>
                <w:szCs w:val="20"/>
                <w:highlight w:val="none"/>
              </w:rPr>
              <w:instrText xml:space="preserve"> = 4 \* GB3 \* MERGEFORMAT </w:instrText>
            </w:r>
            <w:r>
              <w:rPr>
                <w:rFonts w:hint="default"/>
                <w:snapToGrid w:val="0"/>
                <w:color w:val="auto"/>
                <w:szCs w:val="20"/>
                <w:highlight w:val="none"/>
              </w:rPr>
              <w:fldChar w:fldCharType="separate"/>
            </w:r>
            <w:r>
              <w:rPr>
                <w:rFonts w:hint="eastAsia" w:ascii="宋体" w:hAnsi="宋体" w:cs="宋体"/>
                <w:color w:val="auto"/>
                <w:kern w:val="2"/>
                <w:szCs w:val="20"/>
                <w:highlight w:val="none"/>
              </w:rPr>
              <w:t>④</w:t>
            </w:r>
            <w:r>
              <w:rPr>
                <w:rFonts w:hint="default"/>
                <w:snapToGrid w:val="0"/>
                <w:color w:val="auto"/>
                <w:szCs w:val="20"/>
                <w:highlight w:val="none"/>
              </w:rPr>
              <w:fldChar w:fldCharType="end"/>
            </w:r>
          </w:p>
        </w:tc>
        <w:tc>
          <w:tcPr>
            <w:tcW w:w="1762" w:type="dxa"/>
            <w:tcBorders>
              <w:tl2br w:val="nil"/>
              <w:tr2bl w:val="nil"/>
            </w:tcBorders>
            <w:tcMar>
              <w:left w:w="28" w:type="dxa"/>
              <w:right w:w="28" w:type="dxa"/>
            </w:tcMar>
            <w:vAlign w:val="center"/>
          </w:tcPr>
          <w:p>
            <w:pPr>
              <w:pStyle w:val="80"/>
              <w:keepNext w:val="0"/>
              <w:keepLines w:val="0"/>
              <w:widowControl/>
              <w:suppressLineNumbers w:val="0"/>
              <w:spacing w:before="0" w:beforeAutospacing="0" w:after="0" w:afterAutospacing="0"/>
              <w:ind w:left="0" w:right="0"/>
              <w:rPr>
                <w:rFonts w:hint="default"/>
                <w:snapToGrid w:val="0"/>
                <w:color w:val="auto"/>
                <w:spacing w:val="-16"/>
                <w:szCs w:val="20"/>
                <w:highlight w:val="none"/>
              </w:rPr>
            </w:pPr>
            <w:r>
              <w:rPr>
                <w:rFonts w:hint="default"/>
                <w:snapToGrid w:val="0"/>
                <w:color w:val="auto"/>
                <w:spacing w:val="-16"/>
                <w:szCs w:val="20"/>
                <w:highlight w:val="none"/>
              </w:rPr>
              <w:t>以新带老削减量</w:t>
            </w:r>
          </w:p>
          <w:p>
            <w:pPr>
              <w:pStyle w:val="80"/>
              <w:keepNext w:val="0"/>
              <w:keepLines w:val="0"/>
              <w:widowControl/>
              <w:suppressLineNumbers w:val="0"/>
              <w:spacing w:before="0" w:beforeAutospacing="0" w:after="0" w:afterAutospacing="0"/>
              <w:ind w:left="0" w:right="0"/>
              <w:rPr>
                <w:rFonts w:hint="default"/>
                <w:snapToGrid w:val="0"/>
                <w:color w:val="auto"/>
                <w:spacing w:val="-16"/>
                <w:szCs w:val="20"/>
                <w:highlight w:val="none"/>
              </w:rPr>
            </w:pPr>
            <w:r>
              <w:rPr>
                <w:rFonts w:hint="default"/>
                <w:snapToGrid w:val="0"/>
                <w:color w:val="auto"/>
                <w:spacing w:val="-16"/>
                <w:szCs w:val="20"/>
                <w:highlight w:val="none"/>
              </w:rPr>
              <w:t>（新建项目不填）</w:t>
            </w:r>
            <w:r>
              <w:rPr>
                <w:rFonts w:hint="default"/>
                <w:snapToGrid w:val="0"/>
                <w:color w:val="auto"/>
                <w:spacing w:val="-16"/>
                <w:szCs w:val="20"/>
                <w:highlight w:val="none"/>
              </w:rPr>
              <w:fldChar w:fldCharType="begin"/>
            </w:r>
            <w:r>
              <w:rPr>
                <w:rFonts w:hint="default"/>
                <w:snapToGrid w:val="0"/>
                <w:color w:val="auto"/>
                <w:spacing w:val="-16"/>
                <w:szCs w:val="20"/>
                <w:highlight w:val="none"/>
              </w:rPr>
              <w:instrText xml:space="preserve"> = 5 \* GB3 \* MERGEFORMAT </w:instrText>
            </w:r>
            <w:r>
              <w:rPr>
                <w:rFonts w:hint="default"/>
                <w:snapToGrid w:val="0"/>
                <w:color w:val="auto"/>
                <w:spacing w:val="-16"/>
                <w:szCs w:val="20"/>
                <w:highlight w:val="none"/>
              </w:rPr>
              <w:fldChar w:fldCharType="separate"/>
            </w:r>
            <w:r>
              <w:rPr>
                <w:rFonts w:hint="eastAsia" w:ascii="宋体" w:hAnsi="宋体" w:cs="宋体"/>
                <w:color w:val="auto"/>
                <w:kern w:val="2"/>
                <w:szCs w:val="20"/>
                <w:highlight w:val="none"/>
              </w:rPr>
              <w:t>⑤</w:t>
            </w:r>
            <w:r>
              <w:rPr>
                <w:rFonts w:hint="default"/>
                <w:snapToGrid w:val="0"/>
                <w:color w:val="auto"/>
                <w:spacing w:val="-16"/>
                <w:szCs w:val="20"/>
                <w:highlight w:val="none"/>
              </w:rPr>
              <w:fldChar w:fldCharType="end"/>
            </w:r>
          </w:p>
        </w:tc>
        <w:tc>
          <w:tcPr>
            <w:tcW w:w="1641" w:type="dxa"/>
            <w:tcBorders>
              <w:tl2br w:val="nil"/>
              <w:tr2bl w:val="nil"/>
            </w:tcBorders>
            <w:tcMar>
              <w:left w:w="28" w:type="dxa"/>
              <w:right w:w="28" w:type="dxa"/>
            </w:tcMar>
            <w:vAlign w:val="center"/>
          </w:tcPr>
          <w:p>
            <w:pPr>
              <w:pStyle w:val="80"/>
              <w:keepNext w:val="0"/>
              <w:keepLines w:val="0"/>
              <w:widowControl/>
              <w:suppressLineNumbers w:val="0"/>
              <w:spacing w:before="0" w:beforeAutospacing="0" w:after="0" w:afterAutospacing="0"/>
              <w:ind w:left="0" w:right="0"/>
              <w:rPr>
                <w:rFonts w:hint="default"/>
                <w:snapToGrid w:val="0"/>
                <w:color w:val="auto"/>
                <w:spacing w:val="-16"/>
                <w:szCs w:val="20"/>
                <w:highlight w:val="none"/>
              </w:rPr>
            </w:pPr>
            <w:r>
              <w:rPr>
                <w:rFonts w:hint="default"/>
                <w:snapToGrid w:val="0"/>
                <w:color w:val="auto"/>
                <w:spacing w:val="-16"/>
                <w:szCs w:val="20"/>
                <w:highlight w:val="none"/>
              </w:rPr>
              <w:t>本项目建成后</w:t>
            </w:r>
          </w:p>
          <w:p>
            <w:pPr>
              <w:pStyle w:val="80"/>
              <w:keepNext w:val="0"/>
              <w:keepLines w:val="0"/>
              <w:widowControl/>
              <w:suppressLineNumbers w:val="0"/>
              <w:spacing w:before="0" w:beforeAutospacing="0" w:after="0" w:afterAutospacing="0"/>
              <w:ind w:left="0" w:right="0"/>
              <w:rPr>
                <w:rFonts w:hint="default"/>
                <w:snapToGrid w:val="0"/>
                <w:color w:val="auto"/>
                <w:spacing w:val="-16"/>
                <w:szCs w:val="20"/>
                <w:highlight w:val="none"/>
              </w:rPr>
            </w:pPr>
            <w:r>
              <w:rPr>
                <w:rFonts w:hint="default"/>
                <w:snapToGrid w:val="0"/>
                <w:color w:val="auto"/>
                <w:spacing w:val="-16"/>
                <w:szCs w:val="20"/>
                <w:highlight w:val="none"/>
              </w:rPr>
              <w:t>全厂排放量（固体废物产生量）</w:t>
            </w:r>
            <w:r>
              <w:rPr>
                <w:rFonts w:hint="default"/>
                <w:snapToGrid w:val="0"/>
                <w:color w:val="auto"/>
                <w:spacing w:val="-16"/>
                <w:szCs w:val="20"/>
                <w:highlight w:val="none"/>
              </w:rPr>
              <w:fldChar w:fldCharType="begin"/>
            </w:r>
            <w:r>
              <w:rPr>
                <w:rFonts w:hint="default"/>
                <w:snapToGrid w:val="0"/>
                <w:color w:val="auto"/>
                <w:spacing w:val="-16"/>
                <w:szCs w:val="20"/>
                <w:highlight w:val="none"/>
              </w:rPr>
              <w:instrText xml:space="preserve"> = 6 \* GB3 \* MERGEFORMAT </w:instrText>
            </w:r>
            <w:r>
              <w:rPr>
                <w:rFonts w:hint="default"/>
                <w:snapToGrid w:val="0"/>
                <w:color w:val="auto"/>
                <w:spacing w:val="-16"/>
                <w:szCs w:val="20"/>
                <w:highlight w:val="none"/>
              </w:rPr>
              <w:fldChar w:fldCharType="separate"/>
            </w:r>
            <w:r>
              <w:rPr>
                <w:rFonts w:hint="eastAsia" w:ascii="宋体" w:hAnsi="宋体" w:cs="宋体"/>
                <w:color w:val="auto"/>
                <w:kern w:val="2"/>
                <w:szCs w:val="20"/>
                <w:highlight w:val="none"/>
              </w:rPr>
              <w:t>⑥</w:t>
            </w:r>
            <w:r>
              <w:rPr>
                <w:rFonts w:hint="default"/>
                <w:snapToGrid w:val="0"/>
                <w:color w:val="auto"/>
                <w:spacing w:val="-16"/>
                <w:szCs w:val="20"/>
                <w:highlight w:val="none"/>
              </w:rPr>
              <w:fldChar w:fldCharType="end"/>
            </w:r>
          </w:p>
        </w:tc>
        <w:tc>
          <w:tcPr>
            <w:tcW w:w="1388" w:type="dxa"/>
            <w:tcBorders>
              <w:tl2br w:val="nil"/>
              <w:tr2bl w:val="nil"/>
            </w:tcBorders>
            <w:tcMar>
              <w:left w:w="28" w:type="dxa"/>
              <w:right w:w="28" w:type="dxa"/>
            </w:tcMar>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default"/>
                <w:snapToGrid w:val="0"/>
                <w:color w:val="auto"/>
                <w:szCs w:val="20"/>
                <w:highlight w:val="none"/>
              </w:rPr>
              <w:t>变化量</w:t>
            </w:r>
          </w:p>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default"/>
                <w:snapToGrid w:val="0"/>
                <w:color w:val="auto"/>
                <w:szCs w:val="20"/>
                <w:highlight w:val="none"/>
              </w:rPr>
              <w:fldChar w:fldCharType="begin"/>
            </w:r>
            <w:r>
              <w:rPr>
                <w:rFonts w:hint="default"/>
                <w:snapToGrid w:val="0"/>
                <w:color w:val="auto"/>
                <w:szCs w:val="20"/>
                <w:highlight w:val="none"/>
              </w:rPr>
              <w:instrText xml:space="preserve"> = 7 \* GB3 \* MERGEFORMAT </w:instrText>
            </w:r>
            <w:r>
              <w:rPr>
                <w:rFonts w:hint="default"/>
                <w:snapToGrid w:val="0"/>
                <w:color w:val="auto"/>
                <w:szCs w:val="20"/>
                <w:highlight w:val="none"/>
              </w:rPr>
              <w:fldChar w:fldCharType="separate"/>
            </w:r>
            <w:r>
              <w:rPr>
                <w:rFonts w:hint="eastAsia" w:ascii="宋体" w:hAnsi="宋体" w:cs="宋体"/>
                <w:color w:val="auto"/>
                <w:kern w:val="2"/>
                <w:szCs w:val="20"/>
                <w:highlight w:val="none"/>
              </w:rPr>
              <w:t>⑦</w:t>
            </w:r>
            <w:r>
              <w:rPr>
                <w:rFonts w:hint="default"/>
                <w:snapToGrid w:val="0"/>
                <w:color w:val="auto"/>
                <w:szCs w:val="20"/>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8"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default"/>
                <w:snapToGrid w:val="0"/>
                <w:color w:val="auto"/>
                <w:szCs w:val="20"/>
                <w:highlight w:val="none"/>
              </w:rPr>
              <w:t>废气</w:t>
            </w:r>
          </w:p>
        </w:tc>
        <w:tc>
          <w:tcPr>
            <w:tcW w:w="1688"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snapToGrid w:val="0"/>
                <w:color w:val="auto"/>
                <w:sz w:val="21"/>
                <w:szCs w:val="20"/>
                <w:highlight w:val="none"/>
                <w:lang w:val="en-US" w:eastAsia="zh-CN" w:bidi="ar-SA"/>
              </w:rPr>
            </w:pPr>
            <w:r>
              <w:rPr>
                <w:rFonts w:hint="eastAsia"/>
                <w:snapToGrid w:val="0"/>
                <w:color w:val="auto"/>
                <w:szCs w:val="20"/>
                <w:highlight w:val="none"/>
              </w:rPr>
              <w:t>非甲烷总烃</w:t>
            </w:r>
          </w:p>
        </w:tc>
        <w:tc>
          <w:tcPr>
            <w:tcW w:w="170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snapToGrid w:val="0"/>
                <w:color w:val="auto"/>
                <w:sz w:val="21"/>
                <w:szCs w:val="20"/>
                <w:highlight w:val="none"/>
                <w:lang w:val="en-US" w:eastAsia="zh-CN" w:bidi="ar-SA"/>
              </w:rPr>
            </w:pPr>
            <w:r>
              <w:rPr>
                <w:rFonts w:hint="eastAsia"/>
                <w:snapToGrid w:val="0"/>
                <w:color w:val="auto"/>
                <w:szCs w:val="20"/>
                <w:highlight w:val="none"/>
              </w:rPr>
              <w:t>/</w:t>
            </w:r>
          </w:p>
        </w:tc>
        <w:tc>
          <w:tcPr>
            <w:tcW w:w="1276"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snapToGrid w:val="0"/>
                <w:color w:val="auto"/>
                <w:sz w:val="21"/>
                <w:szCs w:val="20"/>
                <w:highlight w:val="none"/>
                <w:lang w:val="en-US" w:eastAsia="zh-CN" w:bidi="ar-SA"/>
              </w:rPr>
            </w:pPr>
            <w:r>
              <w:rPr>
                <w:rFonts w:hint="eastAsia"/>
                <w:snapToGrid w:val="0"/>
                <w:color w:val="auto"/>
                <w:szCs w:val="20"/>
                <w:highlight w:val="none"/>
              </w:rPr>
              <w:t>/</w:t>
            </w:r>
          </w:p>
        </w:tc>
        <w:tc>
          <w:tcPr>
            <w:tcW w:w="170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pacing w:val="-1"/>
                <w:kern w:val="2"/>
                <w:sz w:val="21"/>
                <w:szCs w:val="20"/>
                <w:highlight w:val="none"/>
                <w:lang w:val="en-US" w:eastAsia="zh-CN" w:bidi="ar-SA"/>
              </w:rPr>
            </w:pPr>
            <w:r>
              <w:rPr>
                <w:rFonts w:hint="eastAsia"/>
                <w:color w:val="auto"/>
                <w:spacing w:val="-1"/>
                <w:kern w:val="2"/>
                <w:szCs w:val="20"/>
                <w:highlight w:val="none"/>
              </w:rPr>
              <w:t>/</w:t>
            </w:r>
          </w:p>
        </w:tc>
        <w:tc>
          <w:tcPr>
            <w:tcW w:w="1560"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eastAsia"/>
                <w:color w:val="auto"/>
                <w:szCs w:val="20"/>
                <w:highlight w:val="none"/>
                <w:lang w:val="en-US" w:eastAsia="zh-CN"/>
              </w:rPr>
              <w:t>8.124</w:t>
            </w:r>
            <w:r>
              <w:rPr>
                <w:rFonts w:hint="default"/>
                <w:color w:val="auto"/>
                <w:spacing w:val="-1"/>
                <w:szCs w:val="20"/>
                <w:highlight w:val="none"/>
              </w:rPr>
              <w:t>t/a</w:t>
            </w:r>
          </w:p>
        </w:tc>
        <w:tc>
          <w:tcPr>
            <w:tcW w:w="176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bCs/>
                <w:color w:val="auto"/>
                <w:sz w:val="21"/>
                <w:szCs w:val="20"/>
                <w:highlight w:val="none"/>
                <w:lang w:val="en-US" w:eastAsia="zh-CN" w:bidi="ar-SA"/>
              </w:rPr>
            </w:pPr>
            <w:r>
              <w:rPr>
                <w:rFonts w:hint="eastAsia"/>
                <w:bCs/>
                <w:color w:val="auto"/>
                <w:szCs w:val="20"/>
                <w:highlight w:val="none"/>
              </w:rPr>
              <w:t>/</w:t>
            </w:r>
          </w:p>
        </w:tc>
        <w:tc>
          <w:tcPr>
            <w:tcW w:w="1641"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eastAsia"/>
                <w:color w:val="auto"/>
                <w:szCs w:val="20"/>
                <w:highlight w:val="none"/>
                <w:lang w:val="en-US" w:eastAsia="zh-CN"/>
              </w:rPr>
              <w:t>8.124</w:t>
            </w:r>
            <w:r>
              <w:rPr>
                <w:rFonts w:hint="default"/>
                <w:color w:val="auto"/>
                <w:spacing w:val="-1"/>
                <w:szCs w:val="20"/>
                <w:highlight w:val="none"/>
              </w:rPr>
              <w:t>t/a</w:t>
            </w:r>
          </w:p>
        </w:tc>
        <w:tc>
          <w:tcPr>
            <w:tcW w:w="1388"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eastAsia"/>
                <w:bCs/>
                <w:color w:val="auto"/>
                <w:szCs w:val="20"/>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8" w:type="dxa"/>
            <w:vMerge w:val="restar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default"/>
                <w:snapToGrid w:val="0"/>
                <w:color w:val="auto"/>
                <w:szCs w:val="20"/>
                <w:highlight w:val="none"/>
              </w:rPr>
              <w:t>废水</w:t>
            </w:r>
          </w:p>
        </w:tc>
        <w:tc>
          <w:tcPr>
            <w:tcW w:w="1688"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default"/>
                <w:color w:val="auto"/>
                <w:szCs w:val="20"/>
                <w:highlight w:val="none"/>
              </w:rPr>
              <w:t>COD</w:t>
            </w:r>
          </w:p>
        </w:tc>
        <w:tc>
          <w:tcPr>
            <w:tcW w:w="170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eastAsia"/>
                <w:snapToGrid w:val="0"/>
                <w:color w:val="auto"/>
                <w:szCs w:val="20"/>
                <w:highlight w:val="none"/>
              </w:rPr>
              <w:t>/</w:t>
            </w:r>
          </w:p>
        </w:tc>
        <w:tc>
          <w:tcPr>
            <w:tcW w:w="1276"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eastAsia"/>
                <w:snapToGrid w:val="0"/>
                <w:color w:val="auto"/>
                <w:szCs w:val="20"/>
                <w:highlight w:val="none"/>
              </w:rPr>
              <w:t>/</w:t>
            </w:r>
          </w:p>
        </w:tc>
        <w:tc>
          <w:tcPr>
            <w:tcW w:w="170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eastAsia"/>
                <w:snapToGrid w:val="0"/>
                <w:color w:val="auto"/>
                <w:szCs w:val="20"/>
                <w:highlight w:val="none"/>
              </w:rPr>
              <w:t>/</w:t>
            </w:r>
          </w:p>
        </w:tc>
        <w:tc>
          <w:tcPr>
            <w:tcW w:w="1560"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0.</w:t>
            </w:r>
            <w:r>
              <w:rPr>
                <w:rFonts w:hint="eastAsia"/>
                <w:color w:val="auto"/>
                <w:szCs w:val="20"/>
                <w:highlight w:val="none"/>
                <w:lang w:val="en-US" w:eastAsia="zh-CN"/>
              </w:rPr>
              <w:t>084</w:t>
            </w:r>
            <w:r>
              <w:rPr>
                <w:rFonts w:hint="default"/>
                <w:color w:val="auto"/>
                <w:spacing w:val="-1"/>
                <w:szCs w:val="20"/>
                <w:highlight w:val="none"/>
              </w:rPr>
              <w:t>t/a</w:t>
            </w:r>
          </w:p>
        </w:tc>
        <w:tc>
          <w:tcPr>
            <w:tcW w:w="176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eastAsia"/>
                <w:snapToGrid w:val="0"/>
                <w:color w:val="auto"/>
                <w:szCs w:val="20"/>
                <w:highlight w:val="none"/>
              </w:rPr>
              <w:t>/</w:t>
            </w:r>
          </w:p>
        </w:tc>
        <w:tc>
          <w:tcPr>
            <w:tcW w:w="1641"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0.</w:t>
            </w:r>
            <w:r>
              <w:rPr>
                <w:rFonts w:hint="eastAsia"/>
                <w:color w:val="auto"/>
                <w:szCs w:val="20"/>
                <w:highlight w:val="none"/>
                <w:lang w:val="en-US" w:eastAsia="zh-CN"/>
              </w:rPr>
              <w:t>084</w:t>
            </w:r>
            <w:r>
              <w:rPr>
                <w:rFonts w:hint="default"/>
                <w:color w:val="auto"/>
                <w:spacing w:val="-1"/>
                <w:szCs w:val="20"/>
                <w:highlight w:val="none"/>
              </w:rPr>
              <w:t>t/a</w:t>
            </w:r>
          </w:p>
        </w:tc>
        <w:tc>
          <w:tcPr>
            <w:tcW w:w="1388"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snapToGrid w:val="0"/>
                <w:color w:val="auto"/>
                <w:szCs w:val="20"/>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8" w:type="dxa"/>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p>
        </w:tc>
        <w:tc>
          <w:tcPr>
            <w:tcW w:w="1688"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default"/>
                <w:color w:val="auto"/>
                <w:szCs w:val="20"/>
                <w:highlight w:val="none"/>
              </w:rPr>
              <w:t>BOD</w:t>
            </w:r>
            <w:r>
              <w:rPr>
                <w:rFonts w:hint="default"/>
                <w:color w:val="auto"/>
                <w:szCs w:val="20"/>
                <w:highlight w:val="none"/>
                <w:vertAlign w:val="subscript"/>
              </w:rPr>
              <w:t>5</w:t>
            </w:r>
          </w:p>
        </w:tc>
        <w:tc>
          <w:tcPr>
            <w:tcW w:w="170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eastAsia"/>
                <w:snapToGrid w:val="0"/>
                <w:color w:val="auto"/>
                <w:szCs w:val="20"/>
                <w:highlight w:val="none"/>
              </w:rPr>
              <w:t>/</w:t>
            </w:r>
          </w:p>
        </w:tc>
        <w:tc>
          <w:tcPr>
            <w:tcW w:w="1276"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eastAsia"/>
                <w:snapToGrid w:val="0"/>
                <w:color w:val="auto"/>
                <w:szCs w:val="20"/>
                <w:highlight w:val="none"/>
              </w:rPr>
              <w:t>/</w:t>
            </w:r>
          </w:p>
        </w:tc>
        <w:tc>
          <w:tcPr>
            <w:tcW w:w="170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eastAsia"/>
                <w:snapToGrid w:val="0"/>
                <w:color w:val="auto"/>
                <w:szCs w:val="20"/>
                <w:highlight w:val="none"/>
              </w:rPr>
              <w:t>/</w:t>
            </w:r>
          </w:p>
        </w:tc>
        <w:tc>
          <w:tcPr>
            <w:tcW w:w="1560"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0.</w:t>
            </w:r>
            <w:r>
              <w:rPr>
                <w:rFonts w:hint="eastAsia"/>
                <w:color w:val="auto"/>
                <w:szCs w:val="20"/>
                <w:highlight w:val="none"/>
                <w:lang w:val="en-US" w:eastAsia="zh-CN"/>
              </w:rPr>
              <w:t>053</w:t>
            </w:r>
            <w:r>
              <w:rPr>
                <w:rFonts w:hint="default"/>
                <w:color w:val="auto"/>
                <w:spacing w:val="-1"/>
                <w:szCs w:val="20"/>
                <w:highlight w:val="none"/>
              </w:rPr>
              <w:t>t/a</w:t>
            </w:r>
          </w:p>
        </w:tc>
        <w:tc>
          <w:tcPr>
            <w:tcW w:w="176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eastAsia"/>
                <w:snapToGrid w:val="0"/>
                <w:color w:val="auto"/>
                <w:szCs w:val="20"/>
                <w:highlight w:val="none"/>
              </w:rPr>
              <w:t>/</w:t>
            </w:r>
          </w:p>
        </w:tc>
        <w:tc>
          <w:tcPr>
            <w:tcW w:w="1641"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0.</w:t>
            </w:r>
            <w:r>
              <w:rPr>
                <w:rFonts w:hint="eastAsia"/>
                <w:color w:val="auto"/>
                <w:szCs w:val="20"/>
                <w:highlight w:val="none"/>
                <w:lang w:val="en-US" w:eastAsia="zh-CN"/>
              </w:rPr>
              <w:t>053</w:t>
            </w:r>
            <w:r>
              <w:rPr>
                <w:rFonts w:hint="default"/>
                <w:color w:val="auto"/>
                <w:spacing w:val="-1"/>
                <w:szCs w:val="20"/>
                <w:highlight w:val="none"/>
              </w:rPr>
              <w:t>t/a</w:t>
            </w:r>
          </w:p>
        </w:tc>
        <w:tc>
          <w:tcPr>
            <w:tcW w:w="1388"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snapToGrid w:val="0"/>
                <w:color w:val="auto"/>
                <w:szCs w:val="20"/>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8" w:type="dxa"/>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p>
        </w:tc>
        <w:tc>
          <w:tcPr>
            <w:tcW w:w="1688"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default"/>
                <w:color w:val="auto"/>
                <w:szCs w:val="20"/>
                <w:highlight w:val="none"/>
              </w:rPr>
              <w:t>SS</w:t>
            </w:r>
          </w:p>
        </w:tc>
        <w:tc>
          <w:tcPr>
            <w:tcW w:w="170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eastAsia"/>
                <w:snapToGrid w:val="0"/>
                <w:color w:val="auto"/>
                <w:szCs w:val="20"/>
                <w:highlight w:val="none"/>
              </w:rPr>
              <w:t>/</w:t>
            </w:r>
          </w:p>
        </w:tc>
        <w:tc>
          <w:tcPr>
            <w:tcW w:w="1276"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eastAsia"/>
                <w:snapToGrid w:val="0"/>
                <w:color w:val="auto"/>
                <w:szCs w:val="20"/>
                <w:highlight w:val="none"/>
              </w:rPr>
              <w:t>/</w:t>
            </w:r>
          </w:p>
        </w:tc>
        <w:tc>
          <w:tcPr>
            <w:tcW w:w="170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eastAsia"/>
                <w:snapToGrid w:val="0"/>
                <w:color w:val="auto"/>
                <w:szCs w:val="20"/>
                <w:highlight w:val="none"/>
              </w:rPr>
              <w:t>/</w:t>
            </w:r>
          </w:p>
        </w:tc>
        <w:tc>
          <w:tcPr>
            <w:tcW w:w="1560"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0.</w:t>
            </w:r>
            <w:r>
              <w:rPr>
                <w:rFonts w:hint="eastAsia"/>
                <w:color w:val="auto"/>
                <w:szCs w:val="20"/>
                <w:highlight w:val="none"/>
                <w:lang w:val="en-US" w:eastAsia="zh-CN"/>
              </w:rPr>
              <w:t>081</w:t>
            </w:r>
            <w:r>
              <w:rPr>
                <w:rFonts w:hint="default"/>
                <w:color w:val="auto"/>
                <w:spacing w:val="-1"/>
                <w:szCs w:val="20"/>
                <w:highlight w:val="none"/>
              </w:rPr>
              <w:t>t/a</w:t>
            </w:r>
          </w:p>
        </w:tc>
        <w:tc>
          <w:tcPr>
            <w:tcW w:w="176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eastAsia"/>
                <w:snapToGrid w:val="0"/>
                <w:color w:val="auto"/>
                <w:szCs w:val="20"/>
                <w:highlight w:val="none"/>
              </w:rPr>
              <w:t>/</w:t>
            </w:r>
          </w:p>
        </w:tc>
        <w:tc>
          <w:tcPr>
            <w:tcW w:w="1641"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0.</w:t>
            </w:r>
            <w:r>
              <w:rPr>
                <w:rFonts w:hint="eastAsia"/>
                <w:color w:val="auto"/>
                <w:szCs w:val="20"/>
                <w:highlight w:val="none"/>
                <w:lang w:val="en-US" w:eastAsia="zh-CN"/>
              </w:rPr>
              <w:t>081</w:t>
            </w:r>
            <w:r>
              <w:rPr>
                <w:rFonts w:hint="default"/>
                <w:color w:val="auto"/>
                <w:spacing w:val="-1"/>
                <w:szCs w:val="20"/>
                <w:highlight w:val="none"/>
              </w:rPr>
              <w:t>t/a</w:t>
            </w:r>
          </w:p>
        </w:tc>
        <w:tc>
          <w:tcPr>
            <w:tcW w:w="1388"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snapToGrid w:val="0"/>
                <w:color w:val="auto"/>
                <w:szCs w:val="20"/>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8" w:type="dxa"/>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p>
        </w:tc>
        <w:tc>
          <w:tcPr>
            <w:tcW w:w="1688"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default"/>
                <w:color w:val="auto"/>
                <w:szCs w:val="20"/>
                <w:highlight w:val="none"/>
              </w:rPr>
              <w:t>NH</w:t>
            </w:r>
            <w:r>
              <w:rPr>
                <w:rFonts w:hint="default"/>
                <w:color w:val="auto"/>
                <w:szCs w:val="20"/>
                <w:highlight w:val="none"/>
                <w:vertAlign w:val="subscript"/>
              </w:rPr>
              <w:t>3</w:t>
            </w:r>
            <w:r>
              <w:rPr>
                <w:rFonts w:hint="default"/>
                <w:color w:val="auto"/>
                <w:szCs w:val="20"/>
                <w:highlight w:val="none"/>
              </w:rPr>
              <w:t>-N</w:t>
            </w:r>
          </w:p>
        </w:tc>
        <w:tc>
          <w:tcPr>
            <w:tcW w:w="170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eastAsia"/>
                <w:snapToGrid w:val="0"/>
                <w:color w:val="auto"/>
                <w:szCs w:val="20"/>
                <w:highlight w:val="none"/>
              </w:rPr>
              <w:t>/</w:t>
            </w:r>
          </w:p>
        </w:tc>
        <w:tc>
          <w:tcPr>
            <w:tcW w:w="1276"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eastAsia"/>
                <w:snapToGrid w:val="0"/>
                <w:color w:val="auto"/>
                <w:szCs w:val="20"/>
                <w:highlight w:val="none"/>
              </w:rPr>
              <w:t>/</w:t>
            </w:r>
          </w:p>
        </w:tc>
        <w:tc>
          <w:tcPr>
            <w:tcW w:w="170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eastAsia"/>
                <w:snapToGrid w:val="0"/>
                <w:color w:val="auto"/>
                <w:szCs w:val="20"/>
                <w:highlight w:val="none"/>
              </w:rPr>
              <w:t>/</w:t>
            </w:r>
          </w:p>
        </w:tc>
        <w:tc>
          <w:tcPr>
            <w:tcW w:w="1560"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0.0</w:t>
            </w:r>
            <w:r>
              <w:rPr>
                <w:rFonts w:hint="eastAsia"/>
                <w:color w:val="auto"/>
                <w:szCs w:val="20"/>
                <w:highlight w:val="none"/>
                <w:lang w:val="en-US" w:eastAsia="zh-CN"/>
              </w:rPr>
              <w:t>11</w:t>
            </w:r>
            <w:r>
              <w:rPr>
                <w:rFonts w:hint="default"/>
                <w:color w:val="auto"/>
                <w:spacing w:val="-1"/>
                <w:szCs w:val="20"/>
                <w:highlight w:val="none"/>
              </w:rPr>
              <w:t>t/a</w:t>
            </w:r>
          </w:p>
        </w:tc>
        <w:tc>
          <w:tcPr>
            <w:tcW w:w="176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eastAsia"/>
                <w:snapToGrid w:val="0"/>
                <w:color w:val="auto"/>
                <w:szCs w:val="20"/>
                <w:highlight w:val="none"/>
              </w:rPr>
              <w:t>/</w:t>
            </w:r>
          </w:p>
        </w:tc>
        <w:tc>
          <w:tcPr>
            <w:tcW w:w="1641"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0.0</w:t>
            </w:r>
            <w:r>
              <w:rPr>
                <w:rFonts w:hint="eastAsia"/>
                <w:color w:val="auto"/>
                <w:szCs w:val="20"/>
                <w:highlight w:val="none"/>
                <w:lang w:val="en-US" w:eastAsia="zh-CN"/>
              </w:rPr>
              <w:t>11</w:t>
            </w:r>
            <w:r>
              <w:rPr>
                <w:rFonts w:hint="default"/>
                <w:color w:val="auto"/>
                <w:spacing w:val="-1"/>
                <w:szCs w:val="20"/>
                <w:highlight w:val="none"/>
              </w:rPr>
              <w:t>t/a</w:t>
            </w:r>
          </w:p>
        </w:tc>
        <w:tc>
          <w:tcPr>
            <w:tcW w:w="1388"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snapToGrid w:val="0"/>
                <w:color w:val="auto"/>
                <w:szCs w:val="20"/>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8" w:type="dxa"/>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p>
        </w:tc>
        <w:tc>
          <w:tcPr>
            <w:tcW w:w="1688"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TN</w:t>
            </w:r>
          </w:p>
        </w:tc>
        <w:tc>
          <w:tcPr>
            <w:tcW w:w="170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eastAsia"/>
                <w:snapToGrid w:val="0"/>
                <w:color w:val="auto"/>
                <w:szCs w:val="20"/>
                <w:highlight w:val="none"/>
              </w:rPr>
              <w:t>/</w:t>
            </w:r>
          </w:p>
        </w:tc>
        <w:tc>
          <w:tcPr>
            <w:tcW w:w="1276"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eastAsia"/>
                <w:snapToGrid w:val="0"/>
                <w:color w:val="auto"/>
                <w:szCs w:val="20"/>
                <w:highlight w:val="none"/>
              </w:rPr>
              <w:t>/</w:t>
            </w:r>
          </w:p>
        </w:tc>
        <w:tc>
          <w:tcPr>
            <w:tcW w:w="170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eastAsia"/>
                <w:snapToGrid w:val="0"/>
                <w:color w:val="auto"/>
                <w:szCs w:val="20"/>
                <w:highlight w:val="none"/>
              </w:rPr>
              <w:t>/</w:t>
            </w:r>
          </w:p>
        </w:tc>
        <w:tc>
          <w:tcPr>
            <w:tcW w:w="1560"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pacing w:val="-1"/>
                <w:szCs w:val="20"/>
                <w:highlight w:val="none"/>
              </w:rPr>
              <w:t>0.0</w:t>
            </w:r>
            <w:r>
              <w:rPr>
                <w:rFonts w:hint="eastAsia"/>
                <w:color w:val="auto"/>
                <w:spacing w:val="-1"/>
                <w:szCs w:val="20"/>
                <w:highlight w:val="none"/>
                <w:lang w:val="en-US" w:eastAsia="zh-CN"/>
              </w:rPr>
              <w:t>15</w:t>
            </w:r>
            <w:r>
              <w:rPr>
                <w:rFonts w:hint="default"/>
                <w:color w:val="auto"/>
                <w:spacing w:val="-1"/>
                <w:szCs w:val="20"/>
                <w:highlight w:val="none"/>
              </w:rPr>
              <w:t>t/a</w:t>
            </w:r>
          </w:p>
        </w:tc>
        <w:tc>
          <w:tcPr>
            <w:tcW w:w="176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eastAsia"/>
                <w:snapToGrid w:val="0"/>
                <w:color w:val="auto"/>
                <w:szCs w:val="20"/>
                <w:highlight w:val="none"/>
              </w:rPr>
              <w:t>/</w:t>
            </w:r>
          </w:p>
        </w:tc>
        <w:tc>
          <w:tcPr>
            <w:tcW w:w="1641"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pacing w:val="-1"/>
                <w:szCs w:val="20"/>
                <w:highlight w:val="none"/>
              </w:rPr>
              <w:t>0.0</w:t>
            </w:r>
            <w:r>
              <w:rPr>
                <w:rFonts w:hint="eastAsia"/>
                <w:color w:val="auto"/>
                <w:spacing w:val="-1"/>
                <w:szCs w:val="20"/>
                <w:highlight w:val="none"/>
                <w:lang w:val="en-US" w:eastAsia="zh-CN"/>
              </w:rPr>
              <w:t>15</w:t>
            </w:r>
            <w:r>
              <w:rPr>
                <w:rFonts w:hint="default"/>
                <w:color w:val="auto"/>
                <w:spacing w:val="-1"/>
                <w:szCs w:val="20"/>
                <w:highlight w:val="none"/>
              </w:rPr>
              <w:t>t/a</w:t>
            </w:r>
          </w:p>
        </w:tc>
        <w:tc>
          <w:tcPr>
            <w:tcW w:w="1388"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snapToGrid w:val="0"/>
                <w:color w:val="auto"/>
                <w:szCs w:val="20"/>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8" w:type="dxa"/>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p>
        </w:tc>
        <w:tc>
          <w:tcPr>
            <w:tcW w:w="1688"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TP</w:t>
            </w:r>
          </w:p>
        </w:tc>
        <w:tc>
          <w:tcPr>
            <w:tcW w:w="170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eastAsia"/>
                <w:snapToGrid w:val="0"/>
                <w:color w:val="auto"/>
                <w:szCs w:val="20"/>
                <w:highlight w:val="none"/>
              </w:rPr>
              <w:t>/</w:t>
            </w:r>
          </w:p>
        </w:tc>
        <w:tc>
          <w:tcPr>
            <w:tcW w:w="1276"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eastAsia"/>
                <w:snapToGrid w:val="0"/>
                <w:color w:val="auto"/>
                <w:szCs w:val="20"/>
                <w:highlight w:val="none"/>
              </w:rPr>
              <w:t>/</w:t>
            </w:r>
          </w:p>
        </w:tc>
        <w:tc>
          <w:tcPr>
            <w:tcW w:w="170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eastAsia"/>
                <w:snapToGrid w:val="0"/>
                <w:color w:val="auto"/>
                <w:szCs w:val="20"/>
                <w:highlight w:val="none"/>
              </w:rPr>
              <w:t>/</w:t>
            </w:r>
          </w:p>
        </w:tc>
        <w:tc>
          <w:tcPr>
            <w:tcW w:w="1560"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pacing w:val="-1"/>
                <w:szCs w:val="20"/>
                <w:highlight w:val="none"/>
              </w:rPr>
              <w:t>0.00</w:t>
            </w:r>
            <w:r>
              <w:rPr>
                <w:rFonts w:hint="eastAsia"/>
                <w:color w:val="auto"/>
                <w:spacing w:val="-1"/>
                <w:szCs w:val="20"/>
                <w:highlight w:val="none"/>
                <w:lang w:val="en-US" w:eastAsia="zh-CN"/>
              </w:rPr>
              <w:t>15</w:t>
            </w:r>
            <w:r>
              <w:rPr>
                <w:rFonts w:hint="default"/>
                <w:color w:val="auto"/>
                <w:spacing w:val="-1"/>
                <w:szCs w:val="20"/>
                <w:highlight w:val="none"/>
              </w:rPr>
              <w:t>t/a</w:t>
            </w:r>
          </w:p>
        </w:tc>
        <w:tc>
          <w:tcPr>
            <w:tcW w:w="176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eastAsia"/>
                <w:snapToGrid w:val="0"/>
                <w:color w:val="auto"/>
                <w:szCs w:val="20"/>
                <w:highlight w:val="none"/>
              </w:rPr>
              <w:t>/</w:t>
            </w:r>
          </w:p>
        </w:tc>
        <w:tc>
          <w:tcPr>
            <w:tcW w:w="1641"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pacing w:val="-1"/>
                <w:szCs w:val="20"/>
                <w:highlight w:val="none"/>
              </w:rPr>
              <w:t>0.00</w:t>
            </w:r>
            <w:r>
              <w:rPr>
                <w:rFonts w:hint="eastAsia"/>
                <w:color w:val="auto"/>
                <w:spacing w:val="-1"/>
                <w:szCs w:val="20"/>
                <w:highlight w:val="none"/>
                <w:lang w:val="en-US" w:eastAsia="zh-CN"/>
              </w:rPr>
              <w:t>15</w:t>
            </w:r>
            <w:r>
              <w:rPr>
                <w:rFonts w:hint="default"/>
                <w:color w:val="auto"/>
                <w:spacing w:val="-1"/>
                <w:szCs w:val="20"/>
                <w:highlight w:val="none"/>
              </w:rPr>
              <w:t>t/a</w:t>
            </w:r>
          </w:p>
        </w:tc>
        <w:tc>
          <w:tcPr>
            <w:tcW w:w="1388"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snapToGrid w:val="0"/>
                <w:color w:val="auto"/>
                <w:szCs w:val="20"/>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8" w:type="dxa"/>
            <w:vMerge w:val="restar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default"/>
                <w:snapToGrid w:val="0"/>
                <w:color w:val="auto"/>
                <w:szCs w:val="20"/>
                <w:highlight w:val="none"/>
              </w:rPr>
              <w:t>一般</w:t>
            </w:r>
            <w:r>
              <w:rPr>
                <w:rFonts w:hint="eastAsia"/>
                <w:snapToGrid w:val="0"/>
                <w:color w:val="auto"/>
                <w:szCs w:val="20"/>
                <w:highlight w:val="none"/>
              </w:rPr>
              <w:t>工业</w:t>
            </w:r>
            <w:r>
              <w:rPr>
                <w:rFonts w:hint="default"/>
                <w:snapToGrid w:val="0"/>
                <w:color w:val="auto"/>
                <w:szCs w:val="20"/>
                <w:highlight w:val="none"/>
              </w:rPr>
              <w:t>固体废物</w:t>
            </w:r>
          </w:p>
        </w:tc>
        <w:tc>
          <w:tcPr>
            <w:tcW w:w="1688"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生活垃圾</w:t>
            </w:r>
          </w:p>
        </w:tc>
        <w:tc>
          <w:tcPr>
            <w:tcW w:w="170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eastAsia"/>
                <w:snapToGrid w:val="0"/>
                <w:color w:val="auto"/>
                <w:szCs w:val="20"/>
                <w:highlight w:val="none"/>
              </w:rPr>
              <w:t>/</w:t>
            </w:r>
          </w:p>
        </w:tc>
        <w:tc>
          <w:tcPr>
            <w:tcW w:w="1276"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eastAsia"/>
                <w:snapToGrid w:val="0"/>
                <w:color w:val="auto"/>
                <w:szCs w:val="20"/>
                <w:highlight w:val="none"/>
              </w:rPr>
              <w:t>/</w:t>
            </w:r>
          </w:p>
        </w:tc>
        <w:tc>
          <w:tcPr>
            <w:tcW w:w="170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eastAsia"/>
                <w:snapToGrid w:val="0"/>
                <w:color w:val="auto"/>
                <w:szCs w:val="20"/>
                <w:highlight w:val="none"/>
              </w:rPr>
              <w:t>/</w:t>
            </w:r>
          </w:p>
        </w:tc>
        <w:tc>
          <w:tcPr>
            <w:tcW w:w="1560"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bCs/>
                <w:color w:val="auto"/>
                <w:szCs w:val="20"/>
                <w:highlight w:val="none"/>
              </w:rPr>
            </w:pPr>
            <w:r>
              <w:rPr>
                <w:rFonts w:hint="eastAsia"/>
                <w:color w:val="auto"/>
                <w:szCs w:val="20"/>
                <w:highlight w:val="none"/>
                <w:lang w:val="en-US" w:eastAsia="zh-CN"/>
              </w:rPr>
              <w:t>2.2</w:t>
            </w:r>
            <w:r>
              <w:rPr>
                <w:rFonts w:hint="eastAsia"/>
                <w:color w:val="auto"/>
                <w:szCs w:val="20"/>
                <w:highlight w:val="none"/>
              </w:rPr>
              <w:t>5</w:t>
            </w:r>
            <w:r>
              <w:rPr>
                <w:rFonts w:hint="default"/>
                <w:color w:val="auto"/>
                <w:spacing w:val="-1"/>
                <w:szCs w:val="20"/>
                <w:highlight w:val="none"/>
              </w:rPr>
              <w:t>t/a</w:t>
            </w:r>
          </w:p>
        </w:tc>
        <w:tc>
          <w:tcPr>
            <w:tcW w:w="176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eastAsia"/>
                <w:snapToGrid w:val="0"/>
                <w:color w:val="auto"/>
                <w:szCs w:val="20"/>
                <w:highlight w:val="none"/>
              </w:rPr>
              <w:t>/</w:t>
            </w:r>
          </w:p>
        </w:tc>
        <w:tc>
          <w:tcPr>
            <w:tcW w:w="1641"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bCs/>
                <w:color w:val="auto"/>
                <w:szCs w:val="20"/>
                <w:highlight w:val="none"/>
              </w:rPr>
            </w:pPr>
            <w:r>
              <w:rPr>
                <w:rFonts w:hint="eastAsia"/>
                <w:color w:val="auto"/>
                <w:szCs w:val="20"/>
                <w:highlight w:val="none"/>
                <w:lang w:val="en-US" w:eastAsia="zh-CN"/>
              </w:rPr>
              <w:t>2.2</w:t>
            </w:r>
            <w:r>
              <w:rPr>
                <w:rFonts w:hint="eastAsia"/>
                <w:color w:val="auto"/>
                <w:szCs w:val="20"/>
                <w:highlight w:val="none"/>
              </w:rPr>
              <w:t>5</w:t>
            </w:r>
            <w:r>
              <w:rPr>
                <w:rFonts w:hint="default"/>
                <w:color w:val="auto"/>
                <w:spacing w:val="-1"/>
                <w:szCs w:val="20"/>
                <w:highlight w:val="none"/>
              </w:rPr>
              <w:t>t/a</w:t>
            </w:r>
          </w:p>
        </w:tc>
        <w:tc>
          <w:tcPr>
            <w:tcW w:w="1388"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bCs/>
                <w:color w:val="auto"/>
                <w:szCs w:val="20"/>
                <w:highlight w:val="none"/>
              </w:rPr>
            </w:pPr>
            <w:r>
              <w:rPr>
                <w:rFonts w:hint="eastAsia"/>
                <w:snapToGrid w:val="0"/>
                <w:color w:val="auto"/>
                <w:szCs w:val="20"/>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8" w:type="dxa"/>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p>
        </w:tc>
        <w:tc>
          <w:tcPr>
            <w:tcW w:w="1688"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lang w:val="en-US" w:eastAsia="zh-CN"/>
              </w:rPr>
              <w:t>不合格品</w:t>
            </w:r>
          </w:p>
        </w:tc>
        <w:tc>
          <w:tcPr>
            <w:tcW w:w="170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ascii="Times New Roman" w:hAnsi="Times New Roman" w:eastAsia="宋体" w:cs="Times New Roman"/>
                <w:snapToGrid w:val="0"/>
                <w:color w:val="auto"/>
                <w:sz w:val="21"/>
                <w:szCs w:val="20"/>
                <w:highlight w:val="none"/>
                <w:lang w:val="en-US" w:eastAsia="zh-CN" w:bidi="ar-SA"/>
              </w:rPr>
            </w:pPr>
            <w:r>
              <w:rPr>
                <w:rFonts w:hint="eastAsia"/>
                <w:snapToGrid w:val="0"/>
                <w:color w:val="auto"/>
                <w:szCs w:val="20"/>
                <w:highlight w:val="none"/>
              </w:rPr>
              <w:t>/</w:t>
            </w:r>
          </w:p>
        </w:tc>
        <w:tc>
          <w:tcPr>
            <w:tcW w:w="1276"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ascii="Times New Roman" w:hAnsi="Times New Roman" w:eastAsia="宋体" w:cs="Times New Roman"/>
                <w:snapToGrid w:val="0"/>
                <w:color w:val="auto"/>
                <w:sz w:val="21"/>
                <w:szCs w:val="20"/>
                <w:highlight w:val="none"/>
                <w:lang w:val="en-US" w:eastAsia="zh-CN" w:bidi="ar-SA"/>
              </w:rPr>
            </w:pPr>
            <w:r>
              <w:rPr>
                <w:rFonts w:hint="eastAsia"/>
                <w:snapToGrid w:val="0"/>
                <w:color w:val="auto"/>
                <w:szCs w:val="20"/>
                <w:highlight w:val="none"/>
              </w:rPr>
              <w:t>/</w:t>
            </w:r>
          </w:p>
        </w:tc>
        <w:tc>
          <w:tcPr>
            <w:tcW w:w="170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ascii="Times New Roman" w:hAnsi="Times New Roman" w:eastAsia="宋体" w:cs="Times New Roman"/>
                <w:snapToGrid w:val="0"/>
                <w:color w:val="auto"/>
                <w:sz w:val="21"/>
                <w:szCs w:val="20"/>
                <w:highlight w:val="none"/>
                <w:lang w:val="en-US" w:eastAsia="zh-CN" w:bidi="ar-SA"/>
              </w:rPr>
            </w:pPr>
            <w:r>
              <w:rPr>
                <w:rFonts w:hint="eastAsia"/>
                <w:snapToGrid w:val="0"/>
                <w:color w:val="auto"/>
                <w:szCs w:val="20"/>
                <w:highlight w:val="none"/>
              </w:rPr>
              <w:t>/</w:t>
            </w:r>
          </w:p>
        </w:tc>
        <w:tc>
          <w:tcPr>
            <w:tcW w:w="1560"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ascii="Times New Roman" w:hAnsi="Times New Roman" w:eastAsia="宋体" w:cs="Times New Roman"/>
                <w:bCs/>
                <w:color w:val="auto"/>
                <w:sz w:val="21"/>
                <w:szCs w:val="20"/>
                <w:highlight w:val="none"/>
                <w:lang w:val="en-US" w:eastAsia="zh-CN" w:bidi="ar-SA"/>
              </w:rPr>
            </w:pPr>
            <w:r>
              <w:rPr>
                <w:rFonts w:hint="eastAsia"/>
                <w:color w:val="auto"/>
                <w:szCs w:val="20"/>
                <w:highlight w:val="none"/>
                <w:lang w:val="en-US" w:eastAsia="zh-CN"/>
              </w:rPr>
              <w:t>240t/a</w:t>
            </w:r>
          </w:p>
        </w:tc>
        <w:tc>
          <w:tcPr>
            <w:tcW w:w="176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ascii="Times New Roman" w:hAnsi="Times New Roman" w:eastAsia="宋体" w:cs="Times New Roman"/>
                <w:snapToGrid w:val="0"/>
                <w:color w:val="auto"/>
                <w:sz w:val="21"/>
                <w:szCs w:val="20"/>
                <w:highlight w:val="none"/>
                <w:lang w:val="en-US" w:eastAsia="zh-CN" w:bidi="ar-SA"/>
              </w:rPr>
            </w:pPr>
            <w:r>
              <w:rPr>
                <w:rFonts w:hint="eastAsia"/>
                <w:snapToGrid w:val="0"/>
                <w:color w:val="auto"/>
                <w:szCs w:val="20"/>
                <w:highlight w:val="none"/>
              </w:rPr>
              <w:t>/</w:t>
            </w:r>
          </w:p>
        </w:tc>
        <w:tc>
          <w:tcPr>
            <w:tcW w:w="1641"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ascii="Times New Roman" w:hAnsi="Times New Roman" w:eastAsia="宋体" w:cs="Times New Roman"/>
                <w:bCs/>
                <w:color w:val="auto"/>
                <w:sz w:val="21"/>
                <w:szCs w:val="20"/>
                <w:highlight w:val="none"/>
                <w:lang w:val="en-US" w:eastAsia="zh-CN" w:bidi="ar-SA"/>
              </w:rPr>
            </w:pPr>
            <w:r>
              <w:rPr>
                <w:rFonts w:hint="eastAsia"/>
                <w:color w:val="auto"/>
                <w:szCs w:val="20"/>
                <w:highlight w:val="none"/>
                <w:lang w:val="en-US" w:eastAsia="zh-CN"/>
              </w:rPr>
              <w:t>240t/a</w:t>
            </w:r>
          </w:p>
        </w:tc>
        <w:tc>
          <w:tcPr>
            <w:tcW w:w="1388"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ascii="Times New Roman" w:hAnsi="Times New Roman" w:eastAsia="宋体" w:cs="Times New Roman"/>
                <w:bCs/>
                <w:color w:val="auto"/>
                <w:sz w:val="21"/>
                <w:szCs w:val="20"/>
                <w:highlight w:val="none"/>
                <w:lang w:val="en-US" w:eastAsia="zh-CN" w:bidi="ar-SA"/>
              </w:rPr>
            </w:pPr>
            <w:r>
              <w:rPr>
                <w:rFonts w:hint="eastAsia"/>
                <w:snapToGrid w:val="0"/>
                <w:color w:val="auto"/>
                <w:szCs w:val="20"/>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8" w:type="dxa"/>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p>
        </w:tc>
        <w:tc>
          <w:tcPr>
            <w:tcW w:w="1688"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ascii="Times New Roman" w:hAnsi="Times New Roman" w:eastAsia="宋体" w:cs="Times New Roman"/>
                <w:color w:val="auto"/>
                <w:sz w:val="21"/>
                <w:szCs w:val="20"/>
                <w:highlight w:val="none"/>
                <w:lang w:val="en-US" w:eastAsia="zh-CN" w:bidi="ar-SA"/>
              </w:rPr>
            </w:pPr>
            <w:r>
              <w:rPr>
                <w:rFonts w:hint="eastAsia"/>
                <w:color w:val="auto"/>
                <w:szCs w:val="20"/>
                <w:highlight w:val="none"/>
                <w:lang w:val="en-US" w:eastAsia="zh-CN"/>
              </w:rPr>
              <w:t>废边料</w:t>
            </w:r>
          </w:p>
        </w:tc>
        <w:tc>
          <w:tcPr>
            <w:tcW w:w="170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ascii="Times New Roman" w:hAnsi="Times New Roman" w:eastAsia="宋体" w:cs="Times New Roman"/>
                <w:snapToGrid w:val="0"/>
                <w:color w:val="auto"/>
                <w:sz w:val="21"/>
                <w:szCs w:val="20"/>
                <w:highlight w:val="none"/>
                <w:lang w:val="en-US" w:eastAsia="zh-CN" w:bidi="ar-SA"/>
              </w:rPr>
            </w:pPr>
            <w:r>
              <w:rPr>
                <w:rFonts w:hint="eastAsia"/>
                <w:snapToGrid w:val="0"/>
                <w:color w:val="auto"/>
                <w:szCs w:val="20"/>
                <w:highlight w:val="none"/>
              </w:rPr>
              <w:t>/</w:t>
            </w:r>
          </w:p>
        </w:tc>
        <w:tc>
          <w:tcPr>
            <w:tcW w:w="1276"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ascii="Times New Roman" w:hAnsi="Times New Roman" w:eastAsia="宋体" w:cs="Times New Roman"/>
                <w:snapToGrid w:val="0"/>
                <w:color w:val="auto"/>
                <w:sz w:val="21"/>
                <w:szCs w:val="20"/>
                <w:highlight w:val="none"/>
                <w:lang w:val="en-US" w:eastAsia="zh-CN" w:bidi="ar-SA"/>
              </w:rPr>
            </w:pPr>
            <w:r>
              <w:rPr>
                <w:rFonts w:hint="eastAsia"/>
                <w:snapToGrid w:val="0"/>
                <w:color w:val="auto"/>
                <w:szCs w:val="20"/>
                <w:highlight w:val="none"/>
              </w:rPr>
              <w:t>/</w:t>
            </w:r>
          </w:p>
        </w:tc>
        <w:tc>
          <w:tcPr>
            <w:tcW w:w="170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ascii="Times New Roman" w:hAnsi="Times New Roman" w:eastAsia="宋体" w:cs="Times New Roman"/>
                <w:snapToGrid w:val="0"/>
                <w:color w:val="auto"/>
                <w:sz w:val="21"/>
                <w:szCs w:val="20"/>
                <w:highlight w:val="none"/>
                <w:lang w:val="en-US" w:eastAsia="zh-CN" w:bidi="ar-SA"/>
              </w:rPr>
            </w:pPr>
            <w:r>
              <w:rPr>
                <w:rFonts w:hint="eastAsia"/>
                <w:snapToGrid w:val="0"/>
                <w:color w:val="auto"/>
                <w:szCs w:val="20"/>
                <w:highlight w:val="none"/>
              </w:rPr>
              <w:t>/</w:t>
            </w:r>
          </w:p>
        </w:tc>
        <w:tc>
          <w:tcPr>
            <w:tcW w:w="1560"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ascii="Times New Roman" w:hAnsi="Times New Roman" w:eastAsia="宋体" w:cs="Times New Roman"/>
                <w:bCs/>
                <w:color w:val="auto"/>
                <w:sz w:val="21"/>
                <w:szCs w:val="20"/>
                <w:highlight w:val="none"/>
                <w:lang w:val="en-US" w:eastAsia="zh-CN" w:bidi="ar-SA"/>
              </w:rPr>
            </w:pPr>
            <w:r>
              <w:rPr>
                <w:rFonts w:hint="eastAsia"/>
                <w:color w:val="auto"/>
                <w:szCs w:val="20"/>
                <w:highlight w:val="none"/>
                <w:lang w:val="en-US" w:eastAsia="zh-CN"/>
              </w:rPr>
              <w:t>48t/a</w:t>
            </w:r>
          </w:p>
        </w:tc>
        <w:tc>
          <w:tcPr>
            <w:tcW w:w="176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ascii="Times New Roman" w:hAnsi="Times New Roman" w:eastAsia="宋体" w:cs="Times New Roman"/>
                <w:snapToGrid w:val="0"/>
                <w:color w:val="auto"/>
                <w:sz w:val="21"/>
                <w:szCs w:val="20"/>
                <w:highlight w:val="none"/>
                <w:lang w:val="en-US" w:eastAsia="zh-CN" w:bidi="ar-SA"/>
              </w:rPr>
            </w:pPr>
            <w:r>
              <w:rPr>
                <w:rFonts w:hint="eastAsia"/>
                <w:snapToGrid w:val="0"/>
                <w:color w:val="auto"/>
                <w:szCs w:val="20"/>
                <w:highlight w:val="none"/>
              </w:rPr>
              <w:t>/</w:t>
            </w:r>
          </w:p>
        </w:tc>
        <w:tc>
          <w:tcPr>
            <w:tcW w:w="1641"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ascii="Times New Roman" w:hAnsi="Times New Roman" w:eastAsia="宋体" w:cs="Times New Roman"/>
                <w:bCs/>
                <w:color w:val="auto"/>
                <w:sz w:val="21"/>
                <w:szCs w:val="20"/>
                <w:highlight w:val="none"/>
                <w:lang w:val="en-US" w:eastAsia="zh-CN" w:bidi="ar-SA"/>
              </w:rPr>
            </w:pPr>
            <w:r>
              <w:rPr>
                <w:rFonts w:hint="eastAsia"/>
                <w:color w:val="auto"/>
                <w:szCs w:val="20"/>
                <w:highlight w:val="none"/>
                <w:lang w:val="en-US" w:eastAsia="zh-CN"/>
              </w:rPr>
              <w:t>48t/a</w:t>
            </w:r>
          </w:p>
        </w:tc>
        <w:tc>
          <w:tcPr>
            <w:tcW w:w="1388"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ascii="Times New Roman" w:hAnsi="Times New Roman" w:eastAsia="宋体" w:cs="Times New Roman"/>
                <w:bCs/>
                <w:color w:val="auto"/>
                <w:sz w:val="21"/>
                <w:szCs w:val="20"/>
                <w:highlight w:val="none"/>
                <w:lang w:val="en-US" w:eastAsia="zh-CN" w:bidi="ar-SA"/>
              </w:rPr>
            </w:pPr>
            <w:r>
              <w:rPr>
                <w:rFonts w:hint="eastAsia"/>
                <w:snapToGrid w:val="0"/>
                <w:color w:val="auto"/>
                <w:szCs w:val="20"/>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8" w:type="dxa"/>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p>
        </w:tc>
        <w:tc>
          <w:tcPr>
            <w:tcW w:w="1688"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废包材</w:t>
            </w:r>
          </w:p>
        </w:tc>
        <w:tc>
          <w:tcPr>
            <w:tcW w:w="170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default"/>
                <w:snapToGrid w:val="0"/>
                <w:color w:val="auto"/>
                <w:szCs w:val="20"/>
                <w:highlight w:val="none"/>
              </w:rPr>
              <w:t>/</w:t>
            </w:r>
          </w:p>
        </w:tc>
        <w:tc>
          <w:tcPr>
            <w:tcW w:w="1276"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default"/>
                <w:snapToGrid w:val="0"/>
                <w:color w:val="auto"/>
                <w:szCs w:val="20"/>
                <w:highlight w:val="none"/>
              </w:rPr>
              <w:t>/</w:t>
            </w:r>
          </w:p>
        </w:tc>
        <w:tc>
          <w:tcPr>
            <w:tcW w:w="170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eastAsia"/>
                <w:color w:val="auto"/>
                <w:spacing w:val="-1"/>
                <w:kern w:val="2"/>
                <w:szCs w:val="20"/>
                <w:highlight w:val="none"/>
              </w:rPr>
              <w:t>/</w:t>
            </w:r>
          </w:p>
        </w:tc>
        <w:tc>
          <w:tcPr>
            <w:tcW w:w="1560"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bCs/>
                <w:color w:val="auto"/>
                <w:szCs w:val="20"/>
                <w:highlight w:val="none"/>
              </w:rPr>
              <w:t>0.1</w:t>
            </w:r>
            <w:r>
              <w:rPr>
                <w:rFonts w:hint="default"/>
                <w:color w:val="auto"/>
                <w:spacing w:val="-1"/>
                <w:szCs w:val="20"/>
                <w:highlight w:val="none"/>
              </w:rPr>
              <w:t>t/a</w:t>
            </w:r>
          </w:p>
        </w:tc>
        <w:tc>
          <w:tcPr>
            <w:tcW w:w="176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eastAsia"/>
                <w:bCs/>
                <w:color w:val="auto"/>
                <w:szCs w:val="20"/>
                <w:highlight w:val="none"/>
              </w:rPr>
              <w:t>/</w:t>
            </w:r>
          </w:p>
        </w:tc>
        <w:tc>
          <w:tcPr>
            <w:tcW w:w="1641"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bCs/>
                <w:color w:val="auto"/>
                <w:szCs w:val="20"/>
                <w:highlight w:val="none"/>
              </w:rPr>
              <w:t>0.1</w:t>
            </w:r>
            <w:r>
              <w:rPr>
                <w:rFonts w:hint="default"/>
                <w:color w:val="auto"/>
                <w:spacing w:val="-1"/>
                <w:szCs w:val="20"/>
                <w:highlight w:val="none"/>
              </w:rPr>
              <w:t>t/a</w:t>
            </w:r>
          </w:p>
        </w:tc>
        <w:tc>
          <w:tcPr>
            <w:tcW w:w="1388"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eastAsia"/>
                <w:bCs/>
                <w:color w:val="auto"/>
                <w:szCs w:val="20"/>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8" w:type="dxa"/>
            <w:vMerge w:val="restart"/>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eastAsia"/>
                <w:snapToGrid w:val="0"/>
                <w:color w:val="auto"/>
                <w:szCs w:val="20"/>
                <w:highlight w:val="none"/>
              </w:rPr>
              <w:t>危险废物</w:t>
            </w:r>
          </w:p>
        </w:tc>
        <w:tc>
          <w:tcPr>
            <w:tcW w:w="1688"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废机油</w:t>
            </w:r>
          </w:p>
        </w:tc>
        <w:tc>
          <w:tcPr>
            <w:tcW w:w="170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default"/>
                <w:snapToGrid w:val="0"/>
                <w:color w:val="auto"/>
                <w:szCs w:val="20"/>
                <w:highlight w:val="none"/>
              </w:rPr>
              <w:t>/</w:t>
            </w:r>
          </w:p>
        </w:tc>
        <w:tc>
          <w:tcPr>
            <w:tcW w:w="1276"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default"/>
                <w:snapToGrid w:val="0"/>
                <w:color w:val="auto"/>
                <w:szCs w:val="20"/>
                <w:highlight w:val="none"/>
              </w:rPr>
              <w:t>/</w:t>
            </w:r>
          </w:p>
        </w:tc>
        <w:tc>
          <w:tcPr>
            <w:tcW w:w="170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pacing w:val="-1"/>
                <w:kern w:val="2"/>
                <w:szCs w:val="20"/>
                <w:highlight w:val="none"/>
              </w:rPr>
            </w:pPr>
            <w:r>
              <w:rPr>
                <w:rFonts w:hint="eastAsia"/>
                <w:color w:val="auto"/>
                <w:spacing w:val="-1"/>
                <w:kern w:val="2"/>
                <w:szCs w:val="20"/>
                <w:highlight w:val="none"/>
              </w:rPr>
              <w:t>/</w:t>
            </w:r>
          </w:p>
        </w:tc>
        <w:tc>
          <w:tcPr>
            <w:tcW w:w="1560"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bCs/>
                <w:color w:val="auto"/>
                <w:szCs w:val="20"/>
                <w:highlight w:val="none"/>
              </w:rPr>
            </w:pPr>
            <w:r>
              <w:rPr>
                <w:rFonts w:hint="eastAsia"/>
                <w:bCs/>
                <w:color w:val="auto"/>
                <w:szCs w:val="20"/>
                <w:highlight w:val="none"/>
              </w:rPr>
              <w:t>0.</w:t>
            </w:r>
            <w:r>
              <w:rPr>
                <w:rFonts w:hint="eastAsia"/>
                <w:bCs/>
                <w:color w:val="auto"/>
                <w:szCs w:val="20"/>
                <w:highlight w:val="none"/>
                <w:lang w:val="en-US" w:eastAsia="zh-CN"/>
              </w:rPr>
              <w:t>2</w:t>
            </w:r>
            <w:r>
              <w:rPr>
                <w:rFonts w:hint="default"/>
                <w:color w:val="auto"/>
                <w:spacing w:val="-1"/>
                <w:szCs w:val="20"/>
                <w:highlight w:val="none"/>
              </w:rPr>
              <w:t>t/a</w:t>
            </w:r>
          </w:p>
        </w:tc>
        <w:tc>
          <w:tcPr>
            <w:tcW w:w="176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pacing w:val="-1"/>
                <w:szCs w:val="20"/>
                <w:highlight w:val="none"/>
              </w:rPr>
            </w:pPr>
            <w:r>
              <w:rPr>
                <w:rFonts w:hint="eastAsia"/>
                <w:snapToGrid w:val="0"/>
                <w:color w:val="auto"/>
                <w:szCs w:val="20"/>
                <w:highlight w:val="none"/>
              </w:rPr>
              <w:t>/</w:t>
            </w:r>
          </w:p>
        </w:tc>
        <w:tc>
          <w:tcPr>
            <w:tcW w:w="1641"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bCs/>
                <w:color w:val="auto"/>
                <w:szCs w:val="20"/>
                <w:highlight w:val="none"/>
              </w:rPr>
            </w:pPr>
            <w:r>
              <w:rPr>
                <w:rFonts w:hint="eastAsia"/>
                <w:bCs/>
                <w:color w:val="auto"/>
                <w:szCs w:val="20"/>
                <w:highlight w:val="none"/>
              </w:rPr>
              <w:t>0.</w:t>
            </w:r>
            <w:r>
              <w:rPr>
                <w:rFonts w:hint="eastAsia"/>
                <w:bCs/>
                <w:color w:val="auto"/>
                <w:szCs w:val="20"/>
                <w:highlight w:val="none"/>
                <w:lang w:val="en-US" w:eastAsia="zh-CN"/>
              </w:rPr>
              <w:t>2</w:t>
            </w:r>
            <w:r>
              <w:rPr>
                <w:rFonts w:hint="default"/>
                <w:color w:val="auto"/>
                <w:spacing w:val="-1"/>
                <w:szCs w:val="20"/>
                <w:highlight w:val="none"/>
              </w:rPr>
              <w:t>t/a</w:t>
            </w:r>
          </w:p>
        </w:tc>
        <w:tc>
          <w:tcPr>
            <w:tcW w:w="1388"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bCs/>
                <w:color w:val="auto"/>
                <w:szCs w:val="20"/>
                <w:highlight w:val="none"/>
              </w:rPr>
            </w:pPr>
            <w:r>
              <w:rPr>
                <w:rFonts w:hint="eastAsia"/>
                <w:snapToGrid w:val="0"/>
                <w:color w:val="auto"/>
                <w:szCs w:val="20"/>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8" w:type="dxa"/>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p>
        </w:tc>
        <w:tc>
          <w:tcPr>
            <w:tcW w:w="1688"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zCs w:val="20"/>
                <w:highlight w:val="none"/>
              </w:rPr>
            </w:pPr>
            <w:r>
              <w:rPr>
                <w:rFonts w:hint="eastAsia"/>
                <w:color w:val="auto"/>
                <w:szCs w:val="21"/>
                <w:highlight w:val="none"/>
              </w:rPr>
              <w:t>废油桶</w:t>
            </w:r>
          </w:p>
        </w:tc>
        <w:tc>
          <w:tcPr>
            <w:tcW w:w="170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default"/>
                <w:snapToGrid w:val="0"/>
                <w:color w:val="auto"/>
                <w:szCs w:val="20"/>
                <w:highlight w:val="none"/>
              </w:rPr>
              <w:t>/</w:t>
            </w:r>
          </w:p>
        </w:tc>
        <w:tc>
          <w:tcPr>
            <w:tcW w:w="1276"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r>
              <w:rPr>
                <w:rFonts w:hint="default"/>
                <w:snapToGrid w:val="0"/>
                <w:color w:val="auto"/>
                <w:szCs w:val="20"/>
                <w:highlight w:val="none"/>
              </w:rPr>
              <w:t>/</w:t>
            </w:r>
          </w:p>
        </w:tc>
        <w:tc>
          <w:tcPr>
            <w:tcW w:w="170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color w:val="auto"/>
                <w:spacing w:val="-1"/>
                <w:kern w:val="2"/>
                <w:szCs w:val="20"/>
                <w:highlight w:val="none"/>
              </w:rPr>
            </w:pPr>
            <w:r>
              <w:rPr>
                <w:rFonts w:hint="eastAsia"/>
                <w:color w:val="auto"/>
                <w:spacing w:val="-1"/>
                <w:kern w:val="2"/>
                <w:szCs w:val="20"/>
                <w:highlight w:val="none"/>
              </w:rPr>
              <w:t>/</w:t>
            </w:r>
          </w:p>
        </w:tc>
        <w:tc>
          <w:tcPr>
            <w:tcW w:w="1560"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bCs/>
                <w:color w:val="auto"/>
                <w:szCs w:val="20"/>
                <w:highlight w:val="none"/>
              </w:rPr>
            </w:pPr>
            <w:r>
              <w:rPr>
                <w:rFonts w:hint="eastAsia"/>
                <w:bCs/>
                <w:color w:val="auto"/>
                <w:szCs w:val="20"/>
                <w:highlight w:val="none"/>
              </w:rPr>
              <w:t>0.</w:t>
            </w:r>
            <w:r>
              <w:rPr>
                <w:rFonts w:hint="eastAsia"/>
                <w:bCs/>
                <w:color w:val="auto"/>
                <w:szCs w:val="20"/>
                <w:highlight w:val="none"/>
                <w:lang w:val="en-US" w:eastAsia="zh-CN"/>
              </w:rPr>
              <w:t>3</w:t>
            </w:r>
            <w:r>
              <w:rPr>
                <w:rFonts w:hint="default"/>
                <w:color w:val="auto"/>
                <w:spacing w:val="-1"/>
                <w:szCs w:val="20"/>
                <w:highlight w:val="none"/>
              </w:rPr>
              <w:t>t/a</w:t>
            </w:r>
          </w:p>
        </w:tc>
        <w:tc>
          <w:tcPr>
            <w:tcW w:w="176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bCs/>
                <w:color w:val="auto"/>
                <w:szCs w:val="20"/>
                <w:highlight w:val="none"/>
              </w:rPr>
            </w:pPr>
            <w:r>
              <w:rPr>
                <w:rFonts w:hint="eastAsia"/>
                <w:bCs/>
                <w:color w:val="auto"/>
                <w:szCs w:val="20"/>
                <w:highlight w:val="none"/>
              </w:rPr>
              <w:t>/</w:t>
            </w:r>
          </w:p>
        </w:tc>
        <w:tc>
          <w:tcPr>
            <w:tcW w:w="1641"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bCs/>
                <w:color w:val="auto"/>
                <w:szCs w:val="20"/>
                <w:highlight w:val="none"/>
              </w:rPr>
            </w:pPr>
            <w:r>
              <w:rPr>
                <w:rFonts w:hint="eastAsia"/>
                <w:bCs/>
                <w:color w:val="auto"/>
                <w:szCs w:val="20"/>
                <w:highlight w:val="none"/>
              </w:rPr>
              <w:t>0.</w:t>
            </w:r>
            <w:r>
              <w:rPr>
                <w:rFonts w:hint="eastAsia"/>
                <w:bCs/>
                <w:color w:val="auto"/>
                <w:szCs w:val="20"/>
                <w:highlight w:val="none"/>
                <w:lang w:val="en-US" w:eastAsia="zh-CN"/>
              </w:rPr>
              <w:t>3</w:t>
            </w:r>
            <w:r>
              <w:rPr>
                <w:rFonts w:hint="default"/>
                <w:color w:val="auto"/>
                <w:spacing w:val="-1"/>
                <w:szCs w:val="20"/>
                <w:highlight w:val="none"/>
              </w:rPr>
              <w:t>t/a</w:t>
            </w:r>
          </w:p>
        </w:tc>
        <w:tc>
          <w:tcPr>
            <w:tcW w:w="1388"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bCs/>
                <w:color w:val="auto"/>
                <w:szCs w:val="20"/>
                <w:highlight w:val="none"/>
              </w:rPr>
            </w:pPr>
            <w:r>
              <w:rPr>
                <w:rFonts w:hint="eastAsia"/>
                <w:bCs/>
                <w:color w:val="auto"/>
                <w:szCs w:val="20"/>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8" w:type="dxa"/>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p>
        </w:tc>
        <w:tc>
          <w:tcPr>
            <w:tcW w:w="1688"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0"/>
                <w:highlight w:val="none"/>
                <w:lang w:val="en-US" w:eastAsia="zh-CN" w:bidi="ar-SA"/>
              </w:rPr>
            </w:pPr>
            <w:r>
              <w:rPr>
                <w:rFonts w:hint="default"/>
                <w:color w:val="auto"/>
                <w:szCs w:val="21"/>
                <w:highlight w:val="none"/>
              </w:rPr>
              <w:t>含油抹布及手套</w:t>
            </w:r>
          </w:p>
        </w:tc>
        <w:tc>
          <w:tcPr>
            <w:tcW w:w="170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snapToGrid w:val="0"/>
                <w:color w:val="auto"/>
                <w:sz w:val="21"/>
                <w:szCs w:val="20"/>
                <w:highlight w:val="none"/>
                <w:lang w:val="en-US" w:eastAsia="zh-CN" w:bidi="ar-SA"/>
              </w:rPr>
            </w:pPr>
            <w:r>
              <w:rPr>
                <w:rFonts w:hint="eastAsia"/>
                <w:snapToGrid w:val="0"/>
                <w:color w:val="auto"/>
                <w:szCs w:val="20"/>
                <w:highlight w:val="none"/>
              </w:rPr>
              <w:t>/</w:t>
            </w:r>
          </w:p>
        </w:tc>
        <w:tc>
          <w:tcPr>
            <w:tcW w:w="1276"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snapToGrid w:val="0"/>
                <w:color w:val="auto"/>
                <w:sz w:val="21"/>
                <w:szCs w:val="20"/>
                <w:highlight w:val="none"/>
                <w:lang w:val="en-US" w:eastAsia="zh-CN" w:bidi="ar-SA"/>
              </w:rPr>
            </w:pPr>
            <w:r>
              <w:rPr>
                <w:rFonts w:hint="eastAsia"/>
                <w:snapToGrid w:val="0"/>
                <w:color w:val="auto"/>
                <w:szCs w:val="20"/>
                <w:highlight w:val="none"/>
              </w:rPr>
              <w:t>/</w:t>
            </w:r>
          </w:p>
        </w:tc>
        <w:tc>
          <w:tcPr>
            <w:tcW w:w="170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pacing w:val="-1"/>
                <w:kern w:val="2"/>
                <w:sz w:val="21"/>
                <w:szCs w:val="20"/>
                <w:highlight w:val="none"/>
                <w:lang w:val="en-US" w:eastAsia="zh-CN" w:bidi="ar-SA"/>
              </w:rPr>
            </w:pPr>
            <w:r>
              <w:rPr>
                <w:rFonts w:hint="eastAsia"/>
                <w:color w:val="auto"/>
                <w:spacing w:val="-1"/>
                <w:kern w:val="2"/>
                <w:szCs w:val="20"/>
                <w:highlight w:val="none"/>
              </w:rPr>
              <w:t>/</w:t>
            </w:r>
          </w:p>
        </w:tc>
        <w:tc>
          <w:tcPr>
            <w:tcW w:w="1560"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bCs/>
                <w:color w:val="auto"/>
                <w:sz w:val="21"/>
                <w:szCs w:val="20"/>
                <w:highlight w:val="none"/>
                <w:lang w:val="en-US" w:eastAsia="zh-CN" w:bidi="ar-SA"/>
              </w:rPr>
            </w:pPr>
            <w:r>
              <w:rPr>
                <w:rFonts w:hint="eastAsia"/>
                <w:bCs/>
                <w:color w:val="auto"/>
                <w:szCs w:val="20"/>
                <w:highlight w:val="none"/>
              </w:rPr>
              <w:t>0.05</w:t>
            </w:r>
            <w:r>
              <w:rPr>
                <w:rFonts w:hint="default"/>
                <w:color w:val="auto"/>
                <w:spacing w:val="-1"/>
                <w:szCs w:val="20"/>
                <w:highlight w:val="none"/>
              </w:rPr>
              <w:t>t/a</w:t>
            </w:r>
          </w:p>
        </w:tc>
        <w:tc>
          <w:tcPr>
            <w:tcW w:w="176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bCs/>
                <w:color w:val="auto"/>
                <w:sz w:val="21"/>
                <w:szCs w:val="20"/>
                <w:highlight w:val="none"/>
                <w:lang w:val="en-US" w:eastAsia="zh-CN" w:bidi="ar-SA"/>
              </w:rPr>
            </w:pPr>
            <w:r>
              <w:rPr>
                <w:rFonts w:hint="eastAsia"/>
                <w:bCs/>
                <w:color w:val="auto"/>
                <w:szCs w:val="20"/>
                <w:highlight w:val="none"/>
              </w:rPr>
              <w:t>/</w:t>
            </w:r>
          </w:p>
        </w:tc>
        <w:tc>
          <w:tcPr>
            <w:tcW w:w="1641"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bCs/>
                <w:color w:val="auto"/>
                <w:sz w:val="21"/>
                <w:szCs w:val="20"/>
                <w:highlight w:val="none"/>
                <w:lang w:val="en-US" w:eastAsia="zh-CN" w:bidi="ar-SA"/>
              </w:rPr>
            </w:pPr>
            <w:r>
              <w:rPr>
                <w:rFonts w:hint="eastAsia"/>
                <w:bCs/>
                <w:color w:val="auto"/>
                <w:szCs w:val="20"/>
                <w:highlight w:val="none"/>
              </w:rPr>
              <w:t>0.05</w:t>
            </w:r>
            <w:r>
              <w:rPr>
                <w:rFonts w:hint="default"/>
                <w:color w:val="auto"/>
                <w:spacing w:val="-1"/>
                <w:szCs w:val="20"/>
                <w:highlight w:val="none"/>
              </w:rPr>
              <w:t>t/a</w:t>
            </w:r>
          </w:p>
        </w:tc>
        <w:tc>
          <w:tcPr>
            <w:tcW w:w="1388"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bCs/>
                <w:color w:val="auto"/>
                <w:sz w:val="21"/>
                <w:szCs w:val="20"/>
                <w:highlight w:val="none"/>
                <w:lang w:val="en-US" w:eastAsia="zh-CN" w:bidi="ar-SA"/>
              </w:rPr>
            </w:pPr>
            <w:r>
              <w:rPr>
                <w:rFonts w:hint="eastAsia"/>
                <w:bCs/>
                <w:color w:val="auto"/>
                <w:szCs w:val="20"/>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8" w:type="dxa"/>
            <w:vMerge w:val="continue"/>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snapToGrid w:val="0"/>
                <w:color w:val="auto"/>
                <w:szCs w:val="20"/>
                <w:highlight w:val="none"/>
              </w:rPr>
            </w:pPr>
          </w:p>
        </w:tc>
        <w:tc>
          <w:tcPr>
            <w:tcW w:w="1688"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ascii="Times New Roman" w:hAnsi="Times New Roman" w:eastAsia="宋体" w:cs="Times New Roman"/>
                <w:color w:val="auto"/>
                <w:sz w:val="21"/>
                <w:szCs w:val="20"/>
                <w:highlight w:val="none"/>
                <w:lang w:val="en-US" w:eastAsia="zh-CN" w:bidi="ar-SA"/>
              </w:rPr>
            </w:pPr>
            <w:r>
              <w:rPr>
                <w:rFonts w:hint="default"/>
                <w:color w:val="auto"/>
                <w:szCs w:val="20"/>
                <w:highlight w:val="none"/>
              </w:rPr>
              <w:t>废活性炭</w:t>
            </w:r>
          </w:p>
        </w:tc>
        <w:tc>
          <w:tcPr>
            <w:tcW w:w="170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snapToGrid w:val="0"/>
                <w:color w:val="auto"/>
                <w:sz w:val="21"/>
                <w:szCs w:val="20"/>
                <w:highlight w:val="none"/>
                <w:lang w:val="en-US" w:eastAsia="zh-CN" w:bidi="ar-SA"/>
              </w:rPr>
            </w:pPr>
            <w:r>
              <w:rPr>
                <w:rFonts w:hint="eastAsia"/>
                <w:snapToGrid w:val="0"/>
                <w:color w:val="auto"/>
                <w:szCs w:val="20"/>
                <w:highlight w:val="none"/>
              </w:rPr>
              <w:t>/</w:t>
            </w:r>
          </w:p>
        </w:tc>
        <w:tc>
          <w:tcPr>
            <w:tcW w:w="1276"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default" w:ascii="Times New Roman" w:hAnsi="Times New Roman" w:eastAsia="宋体" w:cs="Times New Roman"/>
                <w:snapToGrid w:val="0"/>
                <w:color w:val="auto"/>
                <w:sz w:val="21"/>
                <w:szCs w:val="20"/>
                <w:highlight w:val="none"/>
                <w:lang w:val="en-US" w:eastAsia="zh-CN" w:bidi="ar-SA"/>
              </w:rPr>
            </w:pPr>
            <w:r>
              <w:rPr>
                <w:rFonts w:hint="eastAsia"/>
                <w:snapToGrid w:val="0"/>
                <w:color w:val="auto"/>
                <w:szCs w:val="20"/>
                <w:highlight w:val="none"/>
              </w:rPr>
              <w:t>/</w:t>
            </w:r>
          </w:p>
        </w:tc>
        <w:tc>
          <w:tcPr>
            <w:tcW w:w="170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ascii="Times New Roman" w:hAnsi="Times New Roman" w:eastAsia="宋体" w:cs="Times New Roman"/>
                <w:snapToGrid w:val="0"/>
                <w:color w:val="auto"/>
                <w:sz w:val="21"/>
                <w:szCs w:val="20"/>
                <w:highlight w:val="none"/>
                <w:lang w:val="en-US" w:eastAsia="zh-CN" w:bidi="ar-SA"/>
              </w:rPr>
            </w:pPr>
            <w:r>
              <w:rPr>
                <w:rFonts w:hint="eastAsia"/>
                <w:snapToGrid w:val="0"/>
                <w:color w:val="auto"/>
                <w:szCs w:val="20"/>
                <w:highlight w:val="none"/>
              </w:rPr>
              <w:t>/</w:t>
            </w:r>
          </w:p>
        </w:tc>
        <w:tc>
          <w:tcPr>
            <w:tcW w:w="1560"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ascii="Times New Roman" w:hAnsi="Times New Roman" w:eastAsia="宋体" w:cs="Times New Roman"/>
                <w:bCs/>
                <w:color w:val="auto"/>
                <w:sz w:val="21"/>
                <w:szCs w:val="20"/>
                <w:highlight w:val="none"/>
                <w:lang w:val="en-US" w:eastAsia="zh-CN" w:bidi="ar-SA"/>
              </w:rPr>
            </w:pPr>
            <w:r>
              <w:rPr>
                <w:rFonts w:hint="eastAsia"/>
                <w:bCs/>
                <w:color w:val="auto"/>
                <w:szCs w:val="20"/>
                <w:highlight w:val="none"/>
                <w:lang w:val="en-US" w:eastAsia="zh-CN"/>
              </w:rPr>
              <w:t>6.876</w:t>
            </w:r>
            <w:r>
              <w:rPr>
                <w:rFonts w:hint="default"/>
                <w:color w:val="auto"/>
                <w:spacing w:val="-1"/>
                <w:szCs w:val="20"/>
                <w:highlight w:val="none"/>
              </w:rPr>
              <w:t>t/a</w:t>
            </w:r>
          </w:p>
        </w:tc>
        <w:tc>
          <w:tcPr>
            <w:tcW w:w="1762"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ascii="Times New Roman" w:hAnsi="Times New Roman" w:eastAsia="宋体" w:cs="Times New Roman"/>
                <w:bCs/>
                <w:color w:val="auto"/>
                <w:sz w:val="21"/>
                <w:szCs w:val="20"/>
                <w:highlight w:val="none"/>
                <w:lang w:val="en-US" w:eastAsia="zh-CN" w:bidi="ar-SA"/>
              </w:rPr>
            </w:pPr>
            <w:r>
              <w:rPr>
                <w:rFonts w:hint="eastAsia"/>
                <w:bCs/>
                <w:color w:val="auto"/>
                <w:szCs w:val="20"/>
                <w:highlight w:val="none"/>
              </w:rPr>
              <w:t>/</w:t>
            </w:r>
          </w:p>
        </w:tc>
        <w:tc>
          <w:tcPr>
            <w:tcW w:w="1641"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ascii="Times New Roman" w:hAnsi="Times New Roman" w:eastAsia="宋体" w:cs="Times New Roman"/>
                <w:bCs/>
                <w:color w:val="auto"/>
                <w:sz w:val="21"/>
                <w:szCs w:val="20"/>
                <w:highlight w:val="none"/>
                <w:lang w:val="en-US" w:eastAsia="zh-CN" w:bidi="ar-SA"/>
              </w:rPr>
            </w:pPr>
            <w:r>
              <w:rPr>
                <w:rFonts w:hint="eastAsia"/>
                <w:bCs/>
                <w:color w:val="auto"/>
                <w:szCs w:val="20"/>
                <w:highlight w:val="none"/>
                <w:lang w:val="en-US" w:eastAsia="zh-CN"/>
              </w:rPr>
              <w:t>6.876</w:t>
            </w:r>
            <w:r>
              <w:rPr>
                <w:rFonts w:hint="default"/>
                <w:color w:val="auto"/>
                <w:spacing w:val="-1"/>
                <w:szCs w:val="20"/>
                <w:highlight w:val="none"/>
              </w:rPr>
              <w:t>t/a</w:t>
            </w:r>
          </w:p>
        </w:tc>
        <w:tc>
          <w:tcPr>
            <w:tcW w:w="1388" w:type="dxa"/>
            <w:tcBorders>
              <w:tl2br w:val="nil"/>
              <w:tr2bl w:val="nil"/>
            </w:tcBorders>
            <w:vAlign w:val="center"/>
          </w:tcPr>
          <w:p>
            <w:pPr>
              <w:pStyle w:val="80"/>
              <w:keepNext w:val="0"/>
              <w:keepLines w:val="0"/>
              <w:widowControl/>
              <w:suppressLineNumbers w:val="0"/>
              <w:spacing w:before="0" w:beforeAutospacing="0" w:after="0" w:afterAutospacing="0"/>
              <w:ind w:left="0" w:right="0"/>
              <w:rPr>
                <w:rFonts w:hint="eastAsia" w:ascii="Times New Roman" w:hAnsi="Times New Roman" w:eastAsia="宋体" w:cs="Times New Roman"/>
                <w:bCs/>
                <w:color w:val="auto"/>
                <w:sz w:val="21"/>
                <w:szCs w:val="20"/>
                <w:highlight w:val="none"/>
                <w:lang w:val="en-US" w:eastAsia="zh-CN" w:bidi="ar-SA"/>
              </w:rPr>
            </w:pPr>
            <w:r>
              <w:rPr>
                <w:rFonts w:hint="eastAsia"/>
                <w:bCs/>
                <w:color w:val="auto"/>
                <w:szCs w:val="20"/>
                <w:highlight w:val="none"/>
              </w:rPr>
              <w:t>/</w:t>
            </w:r>
          </w:p>
        </w:tc>
      </w:tr>
    </w:tbl>
    <w:p>
      <w:pPr>
        <w:pStyle w:val="48"/>
        <w:spacing w:before="192" w:beforeLines="80" w:after="24"/>
        <w:ind w:firstLine="480"/>
        <w:jc w:val="left"/>
        <w:rPr>
          <w:rFonts w:ascii="Times New Roman"/>
          <w:snapToGrid w:val="0"/>
          <w:color w:val="auto"/>
          <w:spacing w:val="-6"/>
          <w:kern w:val="21"/>
          <w:szCs w:val="21"/>
          <w:highlight w:val="none"/>
        </w:rPr>
      </w:pPr>
      <w:r>
        <w:rPr>
          <w:rFonts w:ascii="Times New Roman"/>
          <w:snapToGrid w:val="0"/>
          <w:color w:val="auto"/>
          <w:kern w:val="21"/>
          <w:szCs w:val="21"/>
          <w:highlight w:val="none"/>
        </w:rPr>
        <w:t>注：</w:t>
      </w:r>
      <w:r>
        <w:rPr>
          <w:rFonts w:ascii="Times New Roman"/>
          <w:snapToGrid w:val="0"/>
          <w:color w:val="auto"/>
          <w:spacing w:val="-16"/>
          <w:kern w:val="21"/>
          <w:szCs w:val="21"/>
          <w:highlight w:val="none"/>
        </w:rPr>
        <w:fldChar w:fldCharType="begin"/>
      </w:r>
      <w:r>
        <w:rPr>
          <w:rFonts w:ascii="Times New Roman"/>
          <w:snapToGrid w:val="0"/>
          <w:color w:val="auto"/>
          <w:spacing w:val="-16"/>
          <w:kern w:val="21"/>
          <w:szCs w:val="21"/>
          <w:highlight w:val="none"/>
        </w:rPr>
        <w:instrText xml:space="preserve"> = 6 \* GB3 \* MERGEFORMAT </w:instrText>
      </w:r>
      <w:r>
        <w:rPr>
          <w:rFonts w:ascii="Times New Roman"/>
          <w:snapToGrid w:val="0"/>
          <w:color w:val="auto"/>
          <w:spacing w:val="-16"/>
          <w:kern w:val="21"/>
          <w:szCs w:val="21"/>
          <w:highlight w:val="none"/>
        </w:rPr>
        <w:fldChar w:fldCharType="separate"/>
      </w:r>
      <w:r>
        <w:rPr>
          <w:rFonts w:ascii="Times New Roman"/>
          <w:color w:val="auto"/>
          <w:szCs w:val="21"/>
          <w:highlight w:val="none"/>
        </w:rPr>
        <w:t>⑥</w:t>
      </w:r>
      <w:r>
        <w:rPr>
          <w:rFonts w:ascii="Times New Roman"/>
          <w:snapToGrid w:val="0"/>
          <w:color w:val="auto"/>
          <w:spacing w:val="-16"/>
          <w:kern w:val="21"/>
          <w:szCs w:val="21"/>
          <w:highlight w:val="none"/>
        </w:rPr>
        <w:fldChar w:fldCharType="end"/>
      </w:r>
      <w:r>
        <w:rPr>
          <w:rFonts w:ascii="Times New Roman"/>
          <w:snapToGrid w:val="0"/>
          <w:color w:val="auto"/>
          <w:spacing w:val="-16"/>
          <w:kern w:val="21"/>
          <w:szCs w:val="21"/>
          <w:highlight w:val="none"/>
        </w:rPr>
        <w:t>=</w:t>
      </w:r>
      <w:r>
        <w:rPr>
          <w:rFonts w:ascii="Times New Roman"/>
          <w:snapToGrid w:val="0"/>
          <w:color w:val="auto"/>
          <w:spacing w:val="-6"/>
          <w:kern w:val="21"/>
          <w:szCs w:val="21"/>
          <w:highlight w:val="none"/>
        </w:rPr>
        <w:fldChar w:fldCharType="begin"/>
      </w:r>
      <w:r>
        <w:rPr>
          <w:rFonts w:ascii="Times New Roman"/>
          <w:snapToGrid w:val="0"/>
          <w:color w:val="auto"/>
          <w:spacing w:val="-6"/>
          <w:kern w:val="21"/>
          <w:szCs w:val="21"/>
          <w:highlight w:val="none"/>
        </w:rPr>
        <w:instrText xml:space="preserve"> = 1 \* GB3 \* MERGEFORMAT </w:instrText>
      </w:r>
      <w:r>
        <w:rPr>
          <w:rFonts w:ascii="Times New Roman"/>
          <w:snapToGrid w:val="0"/>
          <w:color w:val="auto"/>
          <w:spacing w:val="-6"/>
          <w:kern w:val="21"/>
          <w:szCs w:val="21"/>
          <w:highlight w:val="none"/>
        </w:rPr>
        <w:fldChar w:fldCharType="separate"/>
      </w:r>
      <w:r>
        <w:rPr>
          <w:rFonts w:ascii="Times New Roman"/>
          <w:color w:val="auto"/>
          <w:szCs w:val="21"/>
          <w:highlight w:val="none"/>
        </w:rPr>
        <w:t>①</w:t>
      </w:r>
      <w:r>
        <w:rPr>
          <w:rFonts w:ascii="Times New Roman"/>
          <w:snapToGrid w:val="0"/>
          <w:color w:val="auto"/>
          <w:spacing w:val="-6"/>
          <w:kern w:val="21"/>
          <w:szCs w:val="21"/>
          <w:highlight w:val="none"/>
        </w:rPr>
        <w:fldChar w:fldCharType="end"/>
      </w:r>
      <w:r>
        <w:rPr>
          <w:rFonts w:ascii="Times New Roman"/>
          <w:snapToGrid w:val="0"/>
          <w:color w:val="auto"/>
          <w:spacing w:val="-6"/>
          <w:kern w:val="21"/>
          <w:szCs w:val="21"/>
          <w:highlight w:val="none"/>
        </w:rPr>
        <w:t>+</w:t>
      </w:r>
      <w:r>
        <w:rPr>
          <w:rFonts w:ascii="Times New Roman"/>
          <w:snapToGrid w:val="0"/>
          <w:color w:val="auto"/>
          <w:spacing w:val="-6"/>
          <w:kern w:val="21"/>
          <w:szCs w:val="21"/>
          <w:highlight w:val="none"/>
        </w:rPr>
        <w:fldChar w:fldCharType="begin"/>
      </w:r>
      <w:r>
        <w:rPr>
          <w:rFonts w:ascii="Times New Roman"/>
          <w:snapToGrid w:val="0"/>
          <w:color w:val="auto"/>
          <w:spacing w:val="-6"/>
          <w:kern w:val="21"/>
          <w:szCs w:val="21"/>
          <w:highlight w:val="none"/>
        </w:rPr>
        <w:instrText xml:space="preserve"> = 3 \* GB3 \* MERGEFORMAT </w:instrText>
      </w:r>
      <w:r>
        <w:rPr>
          <w:rFonts w:ascii="Times New Roman"/>
          <w:snapToGrid w:val="0"/>
          <w:color w:val="auto"/>
          <w:spacing w:val="-6"/>
          <w:kern w:val="21"/>
          <w:szCs w:val="21"/>
          <w:highlight w:val="none"/>
        </w:rPr>
        <w:fldChar w:fldCharType="separate"/>
      </w:r>
      <w:r>
        <w:rPr>
          <w:rFonts w:ascii="Times New Roman"/>
          <w:color w:val="auto"/>
          <w:szCs w:val="21"/>
          <w:highlight w:val="none"/>
        </w:rPr>
        <w:t>③</w:t>
      </w:r>
      <w:r>
        <w:rPr>
          <w:rFonts w:ascii="Times New Roman"/>
          <w:snapToGrid w:val="0"/>
          <w:color w:val="auto"/>
          <w:spacing w:val="-6"/>
          <w:kern w:val="21"/>
          <w:szCs w:val="21"/>
          <w:highlight w:val="none"/>
        </w:rPr>
        <w:fldChar w:fldCharType="end"/>
      </w:r>
      <w:r>
        <w:rPr>
          <w:rFonts w:ascii="Times New Roman"/>
          <w:snapToGrid w:val="0"/>
          <w:color w:val="auto"/>
          <w:spacing w:val="-6"/>
          <w:kern w:val="21"/>
          <w:szCs w:val="21"/>
          <w:highlight w:val="none"/>
        </w:rPr>
        <w:t>+</w:t>
      </w:r>
      <w:r>
        <w:rPr>
          <w:rFonts w:ascii="Times New Roman"/>
          <w:snapToGrid w:val="0"/>
          <w:color w:val="auto"/>
          <w:spacing w:val="-6"/>
          <w:kern w:val="21"/>
          <w:szCs w:val="21"/>
          <w:highlight w:val="none"/>
        </w:rPr>
        <w:fldChar w:fldCharType="begin"/>
      </w:r>
      <w:r>
        <w:rPr>
          <w:rFonts w:ascii="Times New Roman"/>
          <w:snapToGrid w:val="0"/>
          <w:color w:val="auto"/>
          <w:spacing w:val="-6"/>
          <w:kern w:val="21"/>
          <w:szCs w:val="21"/>
          <w:highlight w:val="none"/>
        </w:rPr>
        <w:instrText xml:space="preserve"> = 4 \* GB3 \* MERGEFORMAT </w:instrText>
      </w:r>
      <w:r>
        <w:rPr>
          <w:rFonts w:ascii="Times New Roman"/>
          <w:snapToGrid w:val="0"/>
          <w:color w:val="auto"/>
          <w:spacing w:val="-6"/>
          <w:kern w:val="21"/>
          <w:szCs w:val="21"/>
          <w:highlight w:val="none"/>
        </w:rPr>
        <w:fldChar w:fldCharType="separate"/>
      </w:r>
      <w:r>
        <w:rPr>
          <w:rFonts w:ascii="Times New Roman"/>
          <w:color w:val="auto"/>
          <w:szCs w:val="21"/>
          <w:highlight w:val="none"/>
        </w:rPr>
        <w:t>④</w:t>
      </w:r>
      <w:r>
        <w:rPr>
          <w:rFonts w:ascii="Times New Roman"/>
          <w:snapToGrid w:val="0"/>
          <w:color w:val="auto"/>
          <w:spacing w:val="-6"/>
          <w:kern w:val="21"/>
          <w:szCs w:val="21"/>
          <w:highlight w:val="none"/>
        </w:rPr>
        <w:fldChar w:fldCharType="end"/>
      </w:r>
      <w:r>
        <w:rPr>
          <w:rFonts w:ascii="Times New Roman"/>
          <w:snapToGrid w:val="0"/>
          <w:color w:val="auto"/>
          <w:spacing w:val="-6"/>
          <w:kern w:val="21"/>
          <w:szCs w:val="21"/>
          <w:highlight w:val="none"/>
        </w:rPr>
        <w:t>-</w:t>
      </w:r>
      <w:r>
        <w:rPr>
          <w:rFonts w:ascii="Times New Roman"/>
          <w:snapToGrid w:val="0"/>
          <w:color w:val="auto"/>
          <w:spacing w:val="-16"/>
          <w:kern w:val="21"/>
          <w:szCs w:val="21"/>
          <w:highlight w:val="none"/>
        </w:rPr>
        <w:fldChar w:fldCharType="begin"/>
      </w:r>
      <w:r>
        <w:rPr>
          <w:rFonts w:ascii="Times New Roman"/>
          <w:snapToGrid w:val="0"/>
          <w:color w:val="auto"/>
          <w:spacing w:val="-16"/>
          <w:kern w:val="21"/>
          <w:szCs w:val="21"/>
          <w:highlight w:val="none"/>
        </w:rPr>
        <w:instrText xml:space="preserve"> = 5 \* GB3 \* MERGEFORMAT </w:instrText>
      </w:r>
      <w:r>
        <w:rPr>
          <w:rFonts w:ascii="Times New Roman"/>
          <w:snapToGrid w:val="0"/>
          <w:color w:val="auto"/>
          <w:spacing w:val="-16"/>
          <w:kern w:val="21"/>
          <w:szCs w:val="21"/>
          <w:highlight w:val="none"/>
        </w:rPr>
        <w:fldChar w:fldCharType="separate"/>
      </w:r>
      <w:r>
        <w:rPr>
          <w:rFonts w:ascii="Times New Roman"/>
          <w:color w:val="auto"/>
          <w:szCs w:val="21"/>
          <w:highlight w:val="none"/>
        </w:rPr>
        <w:t>⑤</w:t>
      </w:r>
      <w:r>
        <w:rPr>
          <w:rFonts w:ascii="Times New Roman"/>
          <w:snapToGrid w:val="0"/>
          <w:color w:val="auto"/>
          <w:spacing w:val="-16"/>
          <w:kern w:val="21"/>
          <w:szCs w:val="21"/>
          <w:highlight w:val="none"/>
        </w:rPr>
        <w:fldChar w:fldCharType="end"/>
      </w:r>
      <w:r>
        <w:rPr>
          <w:rFonts w:ascii="Times New Roman"/>
          <w:snapToGrid w:val="0"/>
          <w:color w:val="auto"/>
          <w:spacing w:val="-16"/>
          <w:kern w:val="21"/>
          <w:szCs w:val="21"/>
          <w:highlight w:val="none"/>
        </w:rPr>
        <w:t>；</w:t>
      </w:r>
      <w:r>
        <w:rPr>
          <w:rFonts w:ascii="Times New Roman"/>
          <w:snapToGrid w:val="0"/>
          <w:color w:val="auto"/>
          <w:spacing w:val="-6"/>
          <w:kern w:val="21"/>
          <w:szCs w:val="21"/>
          <w:highlight w:val="none"/>
        </w:rPr>
        <w:fldChar w:fldCharType="begin"/>
      </w:r>
      <w:r>
        <w:rPr>
          <w:rFonts w:ascii="Times New Roman"/>
          <w:snapToGrid w:val="0"/>
          <w:color w:val="auto"/>
          <w:spacing w:val="-6"/>
          <w:kern w:val="21"/>
          <w:szCs w:val="21"/>
          <w:highlight w:val="none"/>
        </w:rPr>
        <w:instrText xml:space="preserve"> = 7 \* GB3 \* MERGEFORMAT </w:instrText>
      </w:r>
      <w:r>
        <w:rPr>
          <w:rFonts w:ascii="Times New Roman"/>
          <w:snapToGrid w:val="0"/>
          <w:color w:val="auto"/>
          <w:spacing w:val="-6"/>
          <w:kern w:val="21"/>
          <w:szCs w:val="21"/>
          <w:highlight w:val="none"/>
        </w:rPr>
        <w:fldChar w:fldCharType="separate"/>
      </w:r>
      <w:r>
        <w:rPr>
          <w:rFonts w:ascii="Times New Roman"/>
          <w:color w:val="auto"/>
          <w:szCs w:val="21"/>
          <w:highlight w:val="none"/>
        </w:rPr>
        <w:t>⑦</w:t>
      </w:r>
      <w:r>
        <w:rPr>
          <w:rFonts w:ascii="Times New Roman"/>
          <w:snapToGrid w:val="0"/>
          <w:color w:val="auto"/>
          <w:spacing w:val="-6"/>
          <w:kern w:val="21"/>
          <w:szCs w:val="21"/>
          <w:highlight w:val="none"/>
        </w:rPr>
        <w:fldChar w:fldCharType="end"/>
      </w:r>
      <w:r>
        <w:rPr>
          <w:rFonts w:ascii="Times New Roman"/>
          <w:snapToGrid w:val="0"/>
          <w:color w:val="auto"/>
          <w:spacing w:val="-6"/>
          <w:kern w:val="21"/>
          <w:szCs w:val="21"/>
          <w:highlight w:val="none"/>
        </w:rPr>
        <w:t>=</w:t>
      </w:r>
      <w:r>
        <w:rPr>
          <w:rFonts w:ascii="Times New Roman"/>
          <w:snapToGrid w:val="0"/>
          <w:color w:val="auto"/>
          <w:spacing w:val="-16"/>
          <w:kern w:val="21"/>
          <w:szCs w:val="21"/>
          <w:highlight w:val="none"/>
        </w:rPr>
        <w:fldChar w:fldCharType="begin"/>
      </w:r>
      <w:r>
        <w:rPr>
          <w:rFonts w:ascii="Times New Roman"/>
          <w:snapToGrid w:val="0"/>
          <w:color w:val="auto"/>
          <w:spacing w:val="-16"/>
          <w:kern w:val="21"/>
          <w:szCs w:val="21"/>
          <w:highlight w:val="none"/>
        </w:rPr>
        <w:instrText xml:space="preserve"> = 6 \* GB3 \* MERGEFORMAT </w:instrText>
      </w:r>
      <w:r>
        <w:rPr>
          <w:rFonts w:ascii="Times New Roman"/>
          <w:snapToGrid w:val="0"/>
          <w:color w:val="auto"/>
          <w:spacing w:val="-16"/>
          <w:kern w:val="21"/>
          <w:szCs w:val="21"/>
          <w:highlight w:val="none"/>
        </w:rPr>
        <w:fldChar w:fldCharType="separate"/>
      </w:r>
      <w:r>
        <w:rPr>
          <w:rFonts w:ascii="Times New Roman"/>
          <w:color w:val="auto"/>
          <w:szCs w:val="21"/>
          <w:highlight w:val="none"/>
        </w:rPr>
        <w:t>⑥</w:t>
      </w:r>
      <w:r>
        <w:rPr>
          <w:rFonts w:ascii="Times New Roman"/>
          <w:snapToGrid w:val="0"/>
          <w:color w:val="auto"/>
          <w:spacing w:val="-16"/>
          <w:kern w:val="21"/>
          <w:szCs w:val="21"/>
          <w:highlight w:val="none"/>
        </w:rPr>
        <w:fldChar w:fldCharType="end"/>
      </w:r>
      <w:r>
        <w:rPr>
          <w:rFonts w:ascii="Times New Roman"/>
          <w:snapToGrid w:val="0"/>
          <w:color w:val="auto"/>
          <w:spacing w:val="-16"/>
          <w:kern w:val="21"/>
          <w:szCs w:val="21"/>
          <w:highlight w:val="none"/>
        </w:rPr>
        <w:t>-</w:t>
      </w:r>
      <w:r>
        <w:rPr>
          <w:rFonts w:ascii="Times New Roman"/>
          <w:snapToGrid w:val="0"/>
          <w:color w:val="auto"/>
          <w:spacing w:val="-6"/>
          <w:kern w:val="21"/>
          <w:szCs w:val="21"/>
          <w:highlight w:val="none"/>
        </w:rPr>
        <w:fldChar w:fldCharType="begin"/>
      </w:r>
      <w:r>
        <w:rPr>
          <w:rFonts w:ascii="Times New Roman"/>
          <w:snapToGrid w:val="0"/>
          <w:color w:val="auto"/>
          <w:spacing w:val="-6"/>
          <w:kern w:val="21"/>
          <w:szCs w:val="21"/>
          <w:highlight w:val="none"/>
        </w:rPr>
        <w:instrText xml:space="preserve"> = 1 \* GB3 \* MERGEFORMAT </w:instrText>
      </w:r>
      <w:r>
        <w:rPr>
          <w:rFonts w:ascii="Times New Roman"/>
          <w:snapToGrid w:val="0"/>
          <w:color w:val="auto"/>
          <w:spacing w:val="-6"/>
          <w:kern w:val="21"/>
          <w:szCs w:val="21"/>
          <w:highlight w:val="none"/>
        </w:rPr>
        <w:fldChar w:fldCharType="separate"/>
      </w:r>
      <w:r>
        <w:rPr>
          <w:rFonts w:ascii="Times New Roman"/>
          <w:color w:val="auto"/>
          <w:szCs w:val="21"/>
          <w:highlight w:val="none"/>
        </w:rPr>
        <w:t>①</w:t>
      </w:r>
      <w:r>
        <w:rPr>
          <w:rFonts w:ascii="Times New Roman"/>
          <w:snapToGrid w:val="0"/>
          <w:color w:val="auto"/>
          <w:spacing w:val="-6"/>
          <w:kern w:val="21"/>
          <w:szCs w:val="21"/>
          <w:highlight w:val="none"/>
        </w:rPr>
        <w:fldChar w:fldCharType="end"/>
      </w:r>
      <w:r>
        <w:rPr>
          <w:rFonts w:hint="eastAsia" w:ascii="Times New Roman"/>
          <w:snapToGrid w:val="0"/>
          <w:color w:val="auto"/>
          <w:spacing w:val="-6"/>
          <w:kern w:val="21"/>
          <w:szCs w:val="21"/>
          <w:highlight w:val="none"/>
        </w:rPr>
        <w:t xml:space="preserve">  单位：</w:t>
      </w:r>
      <w:r>
        <w:rPr>
          <w:rFonts w:ascii="Times New Roman"/>
          <w:color w:val="auto"/>
          <w:spacing w:val="-1"/>
          <w:kern w:val="2"/>
          <w:szCs w:val="21"/>
          <w:highlight w:val="none"/>
        </w:rPr>
        <w:t>t/a</w:t>
      </w:r>
    </w:p>
    <w:sectPr>
      <w:headerReference r:id="rId12" w:type="default"/>
      <w:footerReference r:id="rId13" w:type="default"/>
      <w:pgSz w:w="16838" w:h="11906" w:orient="landscape"/>
      <w:pgMar w:top="850" w:right="1701" w:bottom="992" w:left="1701" w:header="680" w:footer="680" w:gutter="0"/>
      <w:pgBorders>
        <w:top w:val="none" w:sz="0" w:space="0"/>
        <w:left w:val="none" w:sz="0" w:space="0"/>
        <w:bottom w:val="none" w:sz="0" w:space="0"/>
        <w:right w:val="none" w:sz="0" w:space="0"/>
      </w:pgBorders>
      <w:pgNumType w:fmt="numberInDash"/>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TimesNewRoman">
    <w:altName w:val="MS Gothic"/>
    <w:panose1 w:val="00000000000000000000"/>
    <w:charset w:val="80"/>
    <w:family w:val="auto"/>
    <w:pitch w:val="default"/>
    <w:sig w:usb0="00000000" w:usb1="00000000" w:usb2="00000010" w:usb3="00000000" w:csb0="0002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ind w:firstLine="360"/>
      <w:rPr>
        <w:rStyle w:val="42"/>
      </w:rPr>
    </w:pPr>
    <w:r>
      <w:fldChar w:fldCharType="begin"/>
    </w:r>
    <w:r>
      <w:rPr>
        <w:rStyle w:val="42"/>
      </w:rPr>
      <w:instrText xml:space="preserve">PAGE  </w:instrText>
    </w:r>
    <w:r>
      <w:fldChar w:fldCharType="end"/>
    </w:r>
  </w:p>
  <w:p>
    <w:pPr>
      <w:pStyle w:val="2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ind w:firstLine="360"/>
                          </w:pPr>
                          <w:r>
                            <w:fldChar w:fldCharType="begin"/>
                          </w:r>
                          <w:r>
                            <w:instrText xml:space="preserve"> PAGE  \* MERGEFORMAT </w:instrText>
                          </w:r>
                          <w:r>
                            <w:fldChar w:fldCharType="separate"/>
                          </w:r>
                          <w:r>
                            <w:t>- 23 -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0"/>
                      <w:ind w:firstLine="360"/>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ind w:firstLine="360"/>
                          </w:pPr>
                          <w:r>
                            <w:fldChar w:fldCharType="begin"/>
                          </w:r>
                          <w:r>
                            <w:instrText xml:space="preserve"> PAGE  \* MERGEFORMAT </w:instrText>
                          </w:r>
                          <w:r>
                            <w:fldChar w:fldCharType="separate"/>
                          </w:r>
                          <w:r>
                            <w:t>- 57 -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20"/>
                      <w:ind w:firstLine="360"/>
                    </w:pPr>
                    <w:r>
                      <w:fldChar w:fldCharType="begin"/>
                    </w:r>
                    <w:r>
                      <w:instrText xml:space="preserve"> PAGE  \* MERGEFORMAT </w:instrText>
                    </w:r>
                    <w:r>
                      <w:fldChar w:fldCharType="separate"/>
                    </w:r>
                    <w:r>
                      <w:t>- 57 -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B855F"/>
    <w:multiLevelType w:val="singleLevel"/>
    <w:tmpl w:val="B9FB855F"/>
    <w:lvl w:ilvl="0" w:tentative="0">
      <w:start w:val="1"/>
      <w:numFmt w:val="bullet"/>
      <w:pStyle w:val="15"/>
      <w:lvlText w:val=""/>
      <w:lvlJc w:val="left"/>
      <w:pPr>
        <w:tabs>
          <w:tab w:val="left" w:pos="2040"/>
        </w:tabs>
        <w:ind w:left="2040" w:hanging="360"/>
      </w:pPr>
      <w:rPr>
        <w:rFonts w:hint="default" w:ascii="Wingdings" w:hAnsi="Wingdings"/>
      </w:rPr>
    </w:lvl>
  </w:abstractNum>
  <w:abstractNum w:abstractNumId="1">
    <w:nsid w:val="E00C50B7"/>
    <w:multiLevelType w:val="singleLevel"/>
    <w:tmpl w:val="E00C50B7"/>
    <w:lvl w:ilvl="0" w:tentative="0">
      <w:start w:val="2"/>
      <w:numFmt w:val="decimal"/>
      <w:suff w:val="nothing"/>
      <w:lvlText w:val="%1、"/>
      <w:lvlJc w:val="left"/>
    </w:lvl>
  </w:abstractNum>
  <w:abstractNum w:abstractNumId="2">
    <w:nsid w:val="E42463A6"/>
    <w:multiLevelType w:val="singleLevel"/>
    <w:tmpl w:val="E42463A6"/>
    <w:lvl w:ilvl="0" w:tentative="0">
      <w:start w:val="1"/>
      <w:numFmt w:val="decimal"/>
      <w:suff w:val="nothing"/>
      <w:lvlText w:val="%1、"/>
      <w:lvlJc w:val="left"/>
    </w:lvl>
  </w:abstractNum>
  <w:abstractNum w:abstractNumId="3">
    <w:nsid w:val="6D335B2B"/>
    <w:multiLevelType w:val="singleLevel"/>
    <w:tmpl w:val="6D335B2B"/>
    <w:lvl w:ilvl="0" w:tentative="0">
      <w:start w:val="53"/>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mOWNmYWE2NTVjZTNjZTUyNGM4NWFjMzQ5NTgzOGMifQ=="/>
    <w:docVar w:name="KSO_WPS_MARK_KEY" w:val="55983cd7-e81b-43ac-9cb3-836f7f9a6763"/>
  </w:docVars>
  <w:rsids>
    <w:rsidRoot w:val="00172A27"/>
    <w:rsid w:val="000060B3"/>
    <w:rsid w:val="00007A5C"/>
    <w:rsid w:val="000107C6"/>
    <w:rsid w:val="00031B56"/>
    <w:rsid w:val="00036DAA"/>
    <w:rsid w:val="0003758E"/>
    <w:rsid w:val="0004023C"/>
    <w:rsid w:val="00041967"/>
    <w:rsid w:val="0004364B"/>
    <w:rsid w:val="00044FB8"/>
    <w:rsid w:val="00047B7A"/>
    <w:rsid w:val="00051EDF"/>
    <w:rsid w:val="00052FB9"/>
    <w:rsid w:val="000564B6"/>
    <w:rsid w:val="00061B1F"/>
    <w:rsid w:val="000720BA"/>
    <w:rsid w:val="000733C4"/>
    <w:rsid w:val="00074783"/>
    <w:rsid w:val="00074DB8"/>
    <w:rsid w:val="0007593D"/>
    <w:rsid w:val="00077C28"/>
    <w:rsid w:val="0008070B"/>
    <w:rsid w:val="000810AC"/>
    <w:rsid w:val="00081A02"/>
    <w:rsid w:val="00082231"/>
    <w:rsid w:val="00083E05"/>
    <w:rsid w:val="000904DB"/>
    <w:rsid w:val="00090516"/>
    <w:rsid w:val="000911BB"/>
    <w:rsid w:val="0009229F"/>
    <w:rsid w:val="00092D38"/>
    <w:rsid w:val="0009377B"/>
    <w:rsid w:val="00095D70"/>
    <w:rsid w:val="000A0426"/>
    <w:rsid w:val="000A1A65"/>
    <w:rsid w:val="000A208B"/>
    <w:rsid w:val="000A20C9"/>
    <w:rsid w:val="000A34F2"/>
    <w:rsid w:val="000A4DA5"/>
    <w:rsid w:val="000B058F"/>
    <w:rsid w:val="000B1ACB"/>
    <w:rsid w:val="000B23FE"/>
    <w:rsid w:val="000B3870"/>
    <w:rsid w:val="000B40B2"/>
    <w:rsid w:val="000B4467"/>
    <w:rsid w:val="000B4DB9"/>
    <w:rsid w:val="000B5565"/>
    <w:rsid w:val="000B64F5"/>
    <w:rsid w:val="000B7241"/>
    <w:rsid w:val="000C09AC"/>
    <w:rsid w:val="000C767F"/>
    <w:rsid w:val="000D3B45"/>
    <w:rsid w:val="000D4BD2"/>
    <w:rsid w:val="000D5A44"/>
    <w:rsid w:val="000E3ED2"/>
    <w:rsid w:val="000E3F73"/>
    <w:rsid w:val="000E4837"/>
    <w:rsid w:val="000F5494"/>
    <w:rsid w:val="00100F0D"/>
    <w:rsid w:val="001021EC"/>
    <w:rsid w:val="00103876"/>
    <w:rsid w:val="00103B74"/>
    <w:rsid w:val="00104014"/>
    <w:rsid w:val="001057DB"/>
    <w:rsid w:val="0011099F"/>
    <w:rsid w:val="00113822"/>
    <w:rsid w:val="001141C2"/>
    <w:rsid w:val="00117453"/>
    <w:rsid w:val="00124ABF"/>
    <w:rsid w:val="001267B4"/>
    <w:rsid w:val="00131209"/>
    <w:rsid w:val="00131BEC"/>
    <w:rsid w:val="00131F42"/>
    <w:rsid w:val="001357F1"/>
    <w:rsid w:val="00137716"/>
    <w:rsid w:val="00140FA8"/>
    <w:rsid w:val="00142FEB"/>
    <w:rsid w:val="00143A2D"/>
    <w:rsid w:val="00145A41"/>
    <w:rsid w:val="00150E39"/>
    <w:rsid w:val="00151675"/>
    <w:rsid w:val="0015314B"/>
    <w:rsid w:val="001542EE"/>
    <w:rsid w:val="00157435"/>
    <w:rsid w:val="0016452F"/>
    <w:rsid w:val="00172A27"/>
    <w:rsid w:val="0017504D"/>
    <w:rsid w:val="0017671A"/>
    <w:rsid w:val="00177422"/>
    <w:rsid w:val="001802D7"/>
    <w:rsid w:val="001819B0"/>
    <w:rsid w:val="00184590"/>
    <w:rsid w:val="001863FF"/>
    <w:rsid w:val="001870D1"/>
    <w:rsid w:val="0018781E"/>
    <w:rsid w:val="0019020A"/>
    <w:rsid w:val="00190846"/>
    <w:rsid w:val="00191B0B"/>
    <w:rsid w:val="0019262D"/>
    <w:rsid w:val="001A1577"/>
    <w:rsid w:val="001A1B35"/>
    <w:rsid w:val="001A48A2"/>
    <w:rsid w:val="001A4C7C"/>
    <w:rsid w:val="001A5EE4"/>
    <w:rsid w:val="001A6F61"/>
    <w:rsid w:val="001B3539"/>
    <w:rsid w:val="001B589B"/>
    <w:rsid w:val="001B72B8"/>
    <w:rsid w:val="001B77D6"/>
    <w:rsid w:val="001C5BA5"/>
    <w:rsid w:val="001C69A2"/>
    <w:rsid w:val="001C69B3"/>
    <w:rsid w:val="001D0881"/>
    <w:rsid w:val="001D4297"/>
    <w:rsid w:val="001D4A3B"/>
    <w:rsid w:val="001D5595"/>
    <w:rsid w:val="001D7874"/>
    <w:rsid w:val="001D7DDA"/>
    <w:rsid w:val="001D7F22"/>
    <w:rsid w:val="001E0320"/>
    <w:rsid w:val="001E0837"/>
    <w:rsid w:val="001F0F17"/>
    <w:rsid w:val="001F3347"/>
    <w:rsid w:val="001F69E4"/>
    <w:rsid w:val="00202216"/>
    <w:rsid w:val="00204177"/>
    <w:rsid w:val="0020439F"/>
    <w:rsid w:val="002125B4"/>
    <w:rsid w:val="002151DD"/>
    <w:rsid w:val="002155B8"/>
    <w:rsid w:val="002159B4"/>
    <w:rsid w:val="002172DA"/>
    <w:rsid w:val="002217BD"/>
    <w:rsid w:val="002222BE"/>
    <w:rsid w:val="00223F34"/>
    <w:rsid w:val="00224839"/>
    <w:rsid w:val="002249B2"/>
    <w:rsid w:val="00226574"/>
    <w:rsid w:val="00226ABF"/>
    <w:rsid w:val="002278EC"/>
    <w:rsid w:val="002321A3"/>
    <w:rsid w:val="0023280E"/>
    <w:rsid w:val="002377D1"/>
    <w:rsid w:val="00240063"/>
    <w:rsid w:val="00244917"/>
    <w:rsid w:val="002449F2"/>
    <w:rsid w:val="0024510B"/>
    <w:rsid w:val="00246CD1"/>
    <w:rsid w:val="002506BC"/>
    <w:rsid w:val="00250CD1"/>
    <w:rsid w:val="00254345"/>
    <w:rsid w:val="002602C6"/>
    <w:rsid w:val="0026316B"/>
    <w:rsid w:val="00264557"/>
    <w:rsid w:val="00265915"/>
    <w:rsid w:val="00265998"/>
    <w:rsid w:val="00273253"/>
    <w:rsid w:val="00274B80"/>
    <w:rsid w:val="002805AB"/>
    <w:rsid w:val="002812E3"/>
    <w:rsid w:val="002819F8"/>
    <w:rsid w:val="00284204"/>
    <w:rsid w:val="002845A2"/>
    <w:rsid w:val="002853FB"/>
    <w:rsid w:val="00285B4A"/>
    <w:rsid w:val="00291773"/>
    <w:rsid w:val="00292BAB"/>
    <w:rsid w:val="0029478F"/>
    <w:rsid w:val="002A168C"/>
    <w:rsid w:val="002A2FBF"/>
    <w:rsid w:val="002A3DC7"/>
    <w:rsid w:val="002B0711"/>
    <w:rsid w:val="002B0BDA"/>
    <w:rsid w:val="002B49E2"/>
    <w:rsid w:val="002B7B00"/>
    <w:rsid w:val="002B7C44"/>
    <w:rsid w:val="002C2B17"/>
    <w:rsid w:val="002C2F3E"/>
    <w:rsid w:val="002C303B"/>
    <w:rsid w:val="002C43AC"/>
    <w:rsid w:val="002D231F"/>
    <w:rsid w:val="002D3DD0"/>
    <w:rsid w:val="002E1029"/>
    <w:rsid w:val="002E1F3A"/>
    <w:rsid w:val="002E298A"/>
    <w:rsid w:val="002F1D00"/>
    <w:rsid w:val="002F4E8F"/>
    <w:rsid w:val="00301978"/>
    <w:rsid w:val="0030332C"/>
    <w:rsid w:val="00303BB6"/>
    <w:rsid w:val="003051C2"/>
    <w:rsid w:val="00310572"/>
    <w:rsid w:val="00312296"/>
    <w:rsid w:val="00314F0E"/>
    <w:rsid w:val="00315C74"/>
    <w:rsid w:val="00316350"/>
    <w:rsid w:val="003169FF"/>
    <w:rsid w:val="00316B72"/>
    <w:rsid w:val="00316F5E"/>
    <w:rsid w:val="003205A3"/>
    <w:rsid w:val="00321D8E"/>
    <w:rsid w:val="003233F8"/>
    <w:rsid w:val="00325928"/>
    <w:rsid w:val="00330D0E"/>
    <w:rsid w:val="00332863"/>
    <w:rsid w:val="00333178"/>
    <w:rsid w:val="00333972"/>
    <w:rsid w:val="00334182"/>
    <w:rsid w:val="003357D8"/>
    <w:rsid w:val="0033684D"/>
    <w:rsid w:val="00337B42"/>
    <w:rsid w:val="0034077B"/>
    <w:rsid w:val="00341B42"/>
    <w:rsid w:val="00342061"/>
    <w:rsid w:val="00342064"/>
    <w:rsid w:val="00342F61"/>
    <w:rsid w:val="0034348F"/>
    <w:rsid w:val="00343599"/>
    <w:rsid w:val="0034422C"/>
    <w:rsid w:val="00345477"/>
    <w:rsid w:val="003456E2"/>
    <w:rsid w:val="00345C2B"/>
    <w:rsid w:val="003465B8"/>
    <w:rsid w:val="0035424B"/>
    <w:rsid w:val="00356653"/>
    <w:rsid w:val="0035743F"/>
    <w:rsid w:val="00357BE2"/>
    <w:rsid w:val="0036170C"/>
    <w:rsid w:val="00361B09"/>
    <w:rsid w:val="00364F8D"/>
    <w:rsid w:val="00366E0F"/>
    <w:rsid w:val="00367612"/>
    <w:rsid w:val="0037417A"/>
    <w:rsid w:val="00377A1C"/>
    <w:rsid w:val="00381170"/>
    <w:rsid w:val="00381A72"/>
    <w:rsid w:val="00382991"/>
    <w:rsid w:val="0038331E"/>
    <w:rsid w:val="003839A4"/>
    <w:rsid w:val="00384676"/>
    <w:rsid w:val="00390691"/>
    <w:rsid w:val="00390857"/>
    <w:rsid w:val="00393C13"/>
    <w:rsid w:val="003A25F7"/>
    <w:rsid w:val="003A2CF5"/>
    <w:rsid w:val="003A4BF3"/>
    <w:rsid w:val="003A6049"/>
    <w:rsid w:val="003A7BF4"/>
    <w:rsid w:val="003B420D"/>
    <w:rsid w:val="003B6638"/>
    <w:rsid w:val="003C6C16"/>
    <w:rsid w:val="003C7BE8"/>
    <w:rsid w:val="003D1C78"/>
    <w:rsid w:val="003D794D"/>
    <w:rsid w:val="003E2C44"/>
    <w:rsid w:val="003E3058"/>
    <w:rsid w:val="003E6576"/>
    <w:rsid w:val="003E76A9"/>
    <w:rsid w:val="003F0809"/>
    <w:rsid w:val="003F20B8"/>
    <w:rsid w:val="003F45F3"/>
    <w:rsid w:val="003F6555"/>
    <w:rsid w:val="003F6A8C"/>
    <w:rsid w:val="003F755C"/>
    <w:rsid w:val="00400D2F"/>
    <w:rsid w:val="00402E82"/>
    <w:rsid w:val="00406F01"/>
    <w:rsid w:val="0041184B"/>
    <w:rsid w:val="00411EC0"/>
    <w:rsid w:val="004153E4"/>
    <w:rsid w:val="00415823"/>
    <w:rsid w:val="00415F78"/>
    <w:rsid w:val="00416D50"/>
    <w:rsid w:val="00416FD5"/>
    <w:rsid w:val="00417772"/>
    <w:rsid w:val="00420E6A"/>
    <w:rsid w:val="0042247C"/>
    <w:rsid w:val="00423540"/>
    <w:rsid w:val="00423A3D"/>
    <w:rsid w:val="004253FC"/>
    <w:rsid w:val="00425A9E"/>
    <w:rsid w:val="00426D6B"/>
    <w:rsid w:val="0043095B"/>
    <w:rsid w:val="00431E6B"/>
    <w:rsid w:val="00431E6C"/>
    <w:rsid w:val="00433CE7"/>
    <w:rsid w:val="004360EB"/>
    <w:rsid w:val="00436891"/>
    <w:rsid w:val="00440A49"/>
    <w:rsid w:val="00442829"/>
    <w:rsid w:val="00444653"/>
    <w:rsid w:val="00445857"/>
    <w:rsid w:val="00446436"/>
    <w:rsid w:val="00450D55"/>
    <w:rsid w:val="00452738"/>
    <w:rsid w:val="004543C0"/>
    <w:rsid w:val="00456091"/>
    <w:rsid w:val="0045675F"/>
    <w:rsid w:val="00456D71"/>
    <w:rsid w:val="004619FB"/>
    <w:rsid w:val="004661E7"/>
    <w:rsid w:val="00466321"/>
    <w:rsid w:val="004669BA"/>
    <w:rsid w:val="00472377"/>
    <w:rsid w:val="00475E9F"/>
    <w:rsid w:val="00483950"/>
    <w:rsid w:val="00483D88"/>
    <w:rsid w:val="00483E62"/>
    <w:rsid w:val="00484106"/>
    <w:rsid w:val="0048428E"/>
    <w:rsid w:val="00484B9B"/>
    <w:rsid w:val="004855F6"/>
    <w:rsid w:val="0048661E"/>
    <w:rsid w:val="00487580"/>
    <w:rsid w:val="0049319E"/>
    <w:rsid w:val="00493A63"/>
    <w:rsid w:val="00494670"/>
    <w:rsid w:val="0049507A"/>
    <w:rsid w:val="004A3823"/>
    <w:rsid w:val="004A3EFF"/>
    <w:rsid w:val="004A5B14"/>
    <w:rsid w:val="004B244A"/>
    <w:rsid w:val="004B27DF"/>
    <w:rsid w:val="004B2B21"/>
    <w:rsid w:val="004C0321"/>
    <w:rsid w:val="004C22EF"/>
    <w:rsid w:val="004C49F2"/>
    <w:rsid w:val="004C4E34"/>
    <w:rsid w:val="004C575B"/>
    <w:rsid w:val="004C582E"/>
    <w:rsid w:val="004D307A"/>
    <w:rsid w:val="004D4846"/>
    <w:rsid w:val="004D59D8"/>
    <w:rsid w:val="004D6238"/>
    <w:rsid w:val="004E33B3"/>
    <w:rsid w:val="004E3B3A"/>
    <w:rsid w:val="004E546A"/>
    <w:rsid w:val="004E6946"/>
    <w:rsid w:val="004F1AD8"/>
    <w:rsid w:val="004F2796"/>
    <w:rsid w:val="004F53D5"/>
    <w:rsid w:val="004F59EF"/>
    <w:rsid w:val="004F67B6"/>
    <w:rsid w:val="005039CB"/>
    <w:rsid w:val="0050558F"/>
    <w:rsid w:val="00506286"/>
    <w:rsid w:val="0050732C"/>
    <w:rsid w:val="0050734B"/>
    <w:rsid w:val="00510813"/>
    <w:rsid w:val="00511990"/>
    <w:rsid w:val="00511DE0"/>
    <w:rsid w:val="0051213A"/>
    <w:rsid w:val="00514870"/>
    <w:rsid w:val="00514B9B"/>
    <w:rsid w:val="0051775E"/>
    <w:rsid w:val="00517F02"/>
    <w:rsid w:val="00524303"/>
    <w:rsid w:val="005258A2"/>
    <w:rsid w:val="00527758"/>
    <w:rsid w:val="00527E55"/>
    <w:rsid w:val="005317E5"/>
    <w:rsid w:val="00537FF6"/>
    <w:rsid w:val="005401AE"/>
    <w:rsid w:val="00542CBE"/>
    <w:rsid w:val="00542E07"/>
    <w:rsid w:val="005437E4"/>
    <w:rsid w:val="00545424"/>
    <w:rsid w:val="00545987"/>
    <w:rsid w:val="00550C05"/>
    <w:rsid w:val="00553864"/>
    <w:rsid w:val="00554A7B"/>
    <w:rsid w:val="0055572C"/>
    <w:rsid w:val="0056106A"/>
    <w:rsid w:val="0056286A"/>
    <w:rsid w:val="005636AF"/>
    <w:rsid w:val="0056513C"/>
    <w:rsid w:val="00565775"/>
    <w:rsid w:val="005720AE"/>
    <w:rsid w:val="00572151"/>
    <w:rsid w:val="00574D7C"/>
    <w:rsid w:val="0058313B"/>
    <w:rsid w:val="0058372E"/>
    <w:rsid w:val="00585A0B"/>
    <w:rsid w:val="005862C7"/>
    <w:rsid w:val="005923ED"/>
    <w:rsid w:val="0059286F"/>
    <w:rsid w:val="00594D77"/>
    <w:rsid w:val="00595282"/>
    <w:rsid w:val="00595DFA"/>
    <w:rsid w:val="005969E4"/>
    <w:rsid w:val="005A06B7"/>
    <w:rsid w:val="005A1759"/>
    <w:rsid w:val="005A1D3B"/>
    <w:rsid w:val="005A2392"/>
    <w:rsid w:val="005A5CE2"/>
    <w:rsid w:val="005A68A7"/>
    <w:rsid w:val="005B05A0"/>
    <w:rsid w:val="005C0CFA"/>
    <w:rsid w:val="005C1BBC"/>
    <w:rsid w:val="005C708D"/>
    <w:rsid w:val="005D36AB"/>
    <w:rsid w:val="005D502C"/>
    <w:rsid w:val="005D777E"/>
    <w:rsid w:val="005D7FAE"/>
    <w:rsid w:val="005E2034"/>
    <w:rsid w:val="005E2D1B"/>
    <w:rsid w:val="005E6F9E"/>
    <w:rsid w:val="005F3BAC"/>
    <w:rsid w:val="005F523F"/>
    <w:rsid w:val="00605755"/>
    <w:rsid w:val="00610B6E"/>
    <w:rsid w:val="00612099"/>
    <w:rsid w:val="006138B8"/>
    <w:rsid w:val="00617CC3"/>
    <w:rsid w:val="00623D14"/>
    <w:rsid w:val="006245F9"/>
    <w:rsid w:val="00627DA0"/>
    <w:rsid w:val="00630AE7"/>
    <w:rsid w:val="00630E46"/>
    <w:rsid w:val="00631C11"/>
    <w:rsid w:val="00631C16"/>
    <w:rsid w:val="00635EED"/>
    <w:rsid w:val="006368BA"/>
    <w:rsid w:val="00636DE0"/>
    <w:rsid w:val="006377A6"/>
    <w:rsid w:val="00637A3D"/>
    <w:rsid w:val="00640AD6"/>
    <w:rsid w:val="006411EF"/>
    <w:rsid w:val="006416FE"/>
    <w:rsid w:val="00642E91"/>
    <w:rsid w:val="00643BE3"/>
    <w:rsid w:val="00653950"/>
    <w:rsid w:val="006579F3"/>
    <w:rsid w:val="006647EB"/>
    <w:rsid w:val="006664B6"/>
    <w:rsid w:val="0066711A"/>
    <w:rsid w:val="0067030C"/>
    <w:rsid w:val="00671084"/>
    <w:rsid w:val="00671CC0"/>
    <w:rsid w:val="00672630"/>
    <w:rsid w:val="00673926"/>
    <w:rsid w:val="006748B8"/>
    <w:rsid w:val="00674B4E"/>
    <w:rsid w:val="00677329"/>
    <w:rsid w:val="006775C3"/>
    <w:rsid w:val="00680DB9"/>
    <w:rsid w:val="00682964"/>
    <w:rsid w:val="00687522"/>
    <w:rsid w:val="0069290A"/>
    <w:rsid w:val="0069351B"/>
    <w:rsid w:val="0069474F"/>
    <w:rsid w:val="0069775A"/>
    <w:rsid w:val="00697813"/>
    <w:rsid w:val="00697A93"/>
    <w:rsid w:val="006A2852"/>
    <w:rsid w:val="006A3EE8"/>
    <w:rsid w:val="006A72BF"/>
    <w:rsid w:val="006B03F2"/>
    <w:rsid w:val="006B204B"/>
    <w:rsid w:val="006B2E17"/>
    <w:rsid w:val="006B37DC"/>
    <w:rsid w:val="006B4F68"/>
    <w:rsid w:val="006B64A3"/>
    <w:rsid w:val="006C0592"/>
    <w:rsid w:val="006C272E"/>
    <w:rsid w:val="006C4008"/>
    <w:rsid w:val="006C4F60"/>
    <w:rsid w:val="006C5479"/>
    <w:rsid w:val="006D13B5"/>
    <w:rsid w:val="006D1697"/>
    <w:rsid w:val="006D401D"/>
    <w:rsid w:val="006D5C4C"/>
    <w:rsid w:val="006D6F3B"/>
    <w:rsid w:val="006D725D"/>
    <w:rsid w:val="006D74DC"/>
    <w:rsid w:val="006E0246"/>
    <w:rsid w:val="006E12FF"/>
    <w:rsid w:val="006E160B"/>
    <w:rsid w:val="006E607E"/>
    <w:rsid w:val="006E6810"/>
    <w:rsid w:val="006E6E31"/>
    <w:rsid w:val="006F3651"/>
    <w:rsid w:val="00702819"/>
    <w:rsid w:val="00702C32"/>
    <w:rsid w:val="00705A0B"/>
    <w:rsid w:val="00706C5D"/>
    <w:rsid w:val="00714055"/>
    <w:rsid w:val="007157C5"/>
    <w:rsid w:val="00723344"/>
    <w:rsid w:val="00730A0C"/>
    <w:rsid w:val="00732922"/>
    <w:rsid w:val="00735CAC"/>
    <w:rsid w:val="007405E4"/>
    <w:rsid w:val="00740C18"/>
    <w:rsid w:val="007504B1"/>
    <w:rsid w:val="0075162E"/>
    <w:rsid w:val="00754034"/>
    <w:rsid w:val="00755478"/>
    <w:rsid w:val="00756556"/>
    <w:rsid w:val="00760309"/>
    <w:rsid w:val="00760E6F"/>
    <w:rsid w:val="007618C4"/>
    <w:rsid w:val="0076626F"/>
    <w:rsid w:val="00767980"/>
    <w:rsid w:val="007708D1"/>
    <w:rsid w:val="00770A8A"/>
    <w:rsid w:val="00770B19"/>
    <w:rsid w:val="00771578"/>
    <w:rsid w:val="0077434A"/>
    <w:rsid w:val="0077463F"/>
    <w:rsid w:val="007836EA"/>
    <w:rsid w:val="00784CDA"/>
    <w:rsid w:val="007906C4"/>
    <w:rsid w:val="007940EA"/>
    <w:rsid w:val="00794D1C"/>
    <w:rsid w:val="007967E8"/>
    <w:rsid w:val="007A0757"/>
    <w:rsid w:val="007A09FE"/>
    <w:rsid w:val="007A2170"/>
    <w:rsid w:val="007A22BF"/>
    <w:rsid w:val="007A3323"/>
    <w:rsid w:val="007A5920"/>
    <w:rsid w:val="007A62AE"/>
    <w:rsid w:val="007A68B6"/>
    <w:rsid w:val="007B3E36"/>
    <w:rsid w:val="007B72B8"/>
    <w:rsid w:val="007B786F"/>
    <w:rsid w:val="007B78AC"/>
    <w:rsid w:val="007B7A58"/>
    <w:rsid w:val="007C21B5"/>
    <w:rsid w:val="007C6A90"/>
    <w:rsid w:val="007D703B"/>
    <w:rsid w:val="007D76BB"/>
    <w:rsid w:val="007E02D3"/>
    <w:rsid w:val="007E4BD2"/>
    <w:rsid w:val="007E7812"/>
    <w:rsid w:val="007F06BE"/>
    <w:rsid w:val="007F0BD8"/>
    <w:rsid w:val="007F25C8"/>
    <w:rsid w:val="007F5120"/>
    <w:rsid w:val="007F5701"/>
    <w:rsid w:val="007F7570"/>
    <w:rsid w:val="00801393"/>
    <w:rsid w:val="00802F88"/>
    <w:rsid w:val="0080364D"/>
    <w:rsid w:val="00804BB2"/>
    <w:rsid w:val="00806337"/>
    <w:rsid w:val="008069CD"/>
    <w:rsid w:val="00807B00"/>
    <w:rsid w:val="0081293E"/>
    <w:rsid w:val="00813E3F"/>
    <w:rsid w:val="00813F0A"/>
    <w:rsid w:val="0081489E"/>
    <w:rsid w:val="00815126"/>
    <w:rsid w:val="00815465"/>
    <w:rsid w:val="00817E9A"/>
    <w:rsid w:val="00820D4A"/>
    <w:rsid w:val="00824A5C"/>
    <w:rsid w:val="00826BC4"/>
    <w:rsid w:val="008306BD"/>
    <w:rsid w:val="00831298"/>
    <w:rsid w:val="00831A80"/>
    <w:rsid w:val="00831E48"/>
    <w:rsid w:val="00831FCF"/>
    <w:rsid w:val="00833743"/>
    <w:rsid w:val="008340A4"/>
    <w:rsid w:val="00836C5C"/>
    <w:rsid w:val="00840C69"/>
    <w:rsid w:val="00841F90"/>
    <w:rsid w:val="00842503"/>
    <w:rsid w:val="00846033"/>
    <w:rsid w:val="00851E46"/>
    <w:rsid w:val="00853678"/>
    <w:rsid w:val="00856D1F"/>
    <w:rsid w:val="00857295"/>
    <w:rsid w:val="0087135F"/>
    <w:rsid w:val="00872D94"/>
    <w:rsid w:val="008743E6"/>
    <w:rsid w:val="008777E1"/>
    <w:rsid w:val="00880364"/>
    <w:rsid w:val="008803CE"/>
    <w:rsid w:val="008817E5"/>
    <w:rsid w:val="0088440C"/>
    <w:rsid w:val="00885D1D"/>
    <w:rsid w:val="00890D97"/>
    <w:rsid w:val="00891592"/>
    <w:rsid w:val="0089180B"/>
    <w:rsid w:val="00891E9E"/>
    <w:rsid w:val="00893B91"/>
    <w:rsid w:val="00893E14"/>
    <w:rsid w:val="00894461"/>
    <w:rsid w:val="00894E20"/>
    <w:rsid w:val="0089679A"/>
    <w:rsid w:val="00897176"/>
    <w:rsid w:val="008A2F68"/>
    <w:rsid w:val="008A3511"/>
    <w:rsid w:val="008A697D"/>
    <w:rsid w:val="008B1FE5"/>
    <w:rsid w:val="008B3247"/>
    <w:rsid w:val="008B4A2C"/>
    <w:rsid w:val="008B4FA6"/>
    <w:rsid w:val="008B5282"/>
    <w:rsid w:val="008B58CB"/>
    <w:rsid w:val="008B73C2"/>
    <w:rsid w:val="008B7C17"/>
    <w:rsid w:val="008C12D5"/>
    <w:rsid w:val="008C2B78"/>
    <w:rsid w:val="008C2D01"/>
    <w:rsid w:val="008C40E6"/>
    <w:rsid w:val="008C5AE3"/>
    <w:rsid w:val="008C5EAE"/>
    <w:rsid w:val="008D0109"/>
    <w:rsid w:val="008D0F7A"/>
    <w:rsid w:val="008D3E42"/>
    <w:rsid w:val="008D68E4"/>
    <w:rsid w:val="008E0506"/>
    <w:rsid w:val="008E0CFF"/>
    <w:rsid w:val="008E4EE9"/>
    <w:rsid w:val="008E5D6B"/>
    <w:rsid w:val="008E76F0"/>
    <w:rsid w:val="008F15FE"/>
    <w:rsid w:val="008F2D29"/>
    <w:rsid w:val="008F5187"/>
    <w:rsid w:val="008F5596"/>
    <w:rsid w:val="008F60D8"/>
    <w:rsid w:val="008F6693"/>
    <w:rsid w:val="008F7050"/>
    <w:rsid w:val="00902727"/>
    <w:rsid w:val="0090312B"/>
    <w:rsid w:val="00903224"/>
    <w:rsid w:val="00904BAA"/>
    <w:rsid w:val="0091015A"/>
    <w:rsid w:val="0091128B"/>
    <w:rsid w:val="00912922"/>
    <w:rsid w:val="00912CFF"/>
    <w:rsid w:val="009130D2"/>
    <w:rsid w:val="00916523"/>
    <w:rsid w:val="0091736D"/>
    <w:rsid w:val="00917923"/>
    <w:rsid w:val="009205FC"/>
    <w:rsid w:val="00921721"/>
    <w:rsid w:val="00921AB3"/>
    <w:rsid w:val="0093037A"/>
    <w:rsid w:val="0094154D"/>
    <w:rsid w:val="00942FEF"/>
    <w:rsid w:val="009510D0"/>
    <w:rsid w:val="0095155F"/>
    <w:rsid w:val="00951764"/>
    <w:rsid w:val="00953FDB"/>
    <w:rsid w:val="00954429"/>
    <w:rsid w:val="00955355"/>
    <w:rsid w:val="0095588A"/>
    <w:rsid w:val="009563CE"/>
    <w:rsid w:val="00961F72"/>
    <w:rsid w:val="009627ED"/>
    <w:rsid w:val="00966610"/>
    <w:rsid w:val="0097307E"/>
    <w:rsid w:val="00973680"/>
    <w:rsid w:val="00975D8C"/>
    <w:rsid w:val="00976328"/>
    <w:rsid w:val="0097680D"/>
    <w:rsid w:val="00976A00"/>
    <w:rsid w:val="00980462"/>
    <w:rsid w:val="00982438"/>
    <w:rsid w:val="0098404C"/>
    <w:rsid w:val="00985283"/>
    <w:rsid w:val="00986CE8"/>
    <w:rsid w:val="00994B9F"/>
    <w:rsid w:val="0099573E"/>
    <w:rsid w:val="00995992"/>
    <w:rsid w:val="00995A9D"/>
    <w:rsid w:val="00995E9E"/>
    <w:rsid w:val="00997325"/>
    <w:rsid w:val="009A03E5"/>
    <w:rsid w:val="009A0F3B"/>
    <w:rsid w:val="009A1BB4"/>
    <w:rsid w:val="009A2628"/>
    <w:rsid w:val="009A3200"/>
    <w:rsid w:val="009A53E5"/>
    <w:rsid w:val="009A6B66"/>
    <w:rsid w:val="009B0897"/>
    <w:rsid w:val="009B2886"/>
    <w:rsid w:val="009B521A"/>
    <w:rsid w:val="009B58AE"/>
    <w:rsid w:val="009B5C43"/>
    <w:rsid w:val="009B711E"/>
    <w:rsid w:val="009B7BD9"/>
    <w:rsid w:val="009C73F8"/>
    <w:rsid w:val="009C7DB8"/>
    <w:rsid w:val="009C7DD5"/>
    <w:rsid w:val="009D2872"/>
    <w:rsid w:val="009D33FF"/>
    <w:rsid w:val="009D4361"/>
    <w:rsid w:val="009D5486"/>
    <w:rsid w:val="009E227D"/>
    <w:rsid w:val="009E5019"/>
    <w:rsid w:val="009E52E8"/>
    <w:rsid w:val="009F5B35"/>
    <w:rsid w:val="009F7197"/>
    <w:rsid w:val="009F7911"/>
    <w:rsid w:val="00A01510"/>
    <w:rsid w:val="00A027DB"/>
    <w:rsid w:val="00A033C8"/>
    <w:rsid w:val="00A04F1B"/>
    <w:rsid w:val="00A0501B"/>
    <w:rsid w:val="00A1162F"/>
    <w:rsid w:val="00A12824"/>
    <w:rsid w:val="00A1325F"/>
    <w:rsid w:val="00A13454"/>
    <w:rsid w:val="00A14947"/>
    <w:rsid w:val="00A15E68"/>
    <w:rsid w:val="00A2683F"/>
    <w:rsid w:val="00A30B97"/>
    <w:rsid w:val="00A32A83"/>
    <w:rsid w:val="00A368DB"/>
    <w:rsid w:val="00A37641"/>
    <w:rsid w:val="00A423AA"/>
    <w:rsid w:val="00A44D3F"/>
    <w:rsid w:val="00A47163"/>
    <w:rsid w:val="00A53EC6"/>
    <w:rsid w:val="00A540E9"/>
    <w:rsid w:val="00A55C0F"/>
    <w:rsid w:val="00A5774F"/>
    <w:rsid w:val="00A7573B"/>
    <w:rsid w:val="00A7719B"/>
    <w:rsid w:val="00A825FF"/>
    <w:rsid w:val="00A82C79"/>
    <w:rsid w:val="00A83380"/>
    <w:rsid w:val="00A846DE"/>
    <w:rsid w:val="00A84E11"/>
    <w:rsid w:val="00A861FA"/>
    <w:rsid w:val="00A8713F"/>
    <w:rsid w:val="00A902D6"/>
    <w:rsid w:val="00A90BA1"/>
    <w:rsid w:val="00A97A97"/>
    <w:rsid w:val="00A97A9A"/>
    <w:rsid w:val="00AA0671"/>
    <w:rsid w:val="00AA2531"/>
    <w:rsid w:val="00AB1E09"/>
    <w:rsid w:val="00AB5330"/>
    <w:rsid w:val="00AB5DE4"/>
    <w:rsid w:val="00AB6BD9"/>
    <w:rsid w:val="00AB6C02"/>
    <w:rsid w:val="00AB7747"/>
    <w:rsid w:val="00AC14CE"/>
    <w:rsid w:val="00AC257A"/>
    <w:rsid w:val="00AC2A56"/>
    <w:rsid w:val="00AC306E"/>
    <w:rsid w:val="00AC5AB5"/>
    <w:rsid w:val="00AC5E07"/>
    <w:rsid w:val="00AD055E"/>
    <w:rsid w:val="00AD1E24"/>
    <w:rsid w:val="00AD39D4"/>
    <w:rsid w:val="00AD47A7"/>
    <w:rsid w:val="00AD4B3E"/>
    <w:rsid w:val="00AE3D8B"/>
    <w:rsid w:val="00AF09D9"/>
    <w:rsid w:val="00AF0CBF"/>
    <w:rsid w:val="00AF13ED"/>
    <w:rsid w:val="00AF17D3"/>
    <w:rsid w:val="00AF257F"/>
    <w:rsid w:val="00AF33CF"/>
    <w:rsid w:val="00AF4D50"/>
    <w:rsid w:val="00AF5D8F"/>
    <w:rsid w:val="00AF6179"/>
    <w:rsid w:val="00B02D77"/>
    <w:rsid w:val="00B03250"/>
    <w:rsid w:val="00B0512B"/>
    <w:rsid w:val="00B07439"/>
    <w:rsid w:val="00B1295A"/>
    <w:rsid w:val="00B13C4E"/>
    <w:rsid w:val="00B20847"/>
    <w:rsid w:val="00B20A45"/>
    <w:rsid w:val="00B20CE1"/>
    <w:rsid w:val="00B2156A"/>
    <w:rsid w:val="00B219D5"/>
    <w:rsid w:val="00B21A46"/>
    <w:rsid w:val="00B22C5C"/>
    <w:rsid w:val="00B24F30"/>
    <w:rsid w:val="00B31ABF"/>
    <w:rsid w:val="00B33540"/>
    <w:rsid w:val="00B33BE3"/>
    <w:rsid w:val="00B33C66"/>
    <w:rsid w:val="00B37C8B"/>
    <w:rsid w:val="00B414C1"/>
    <w:rsid w:val="00B41761"/>
    <w:rsid w:val="00B424EB"/>
    <w:rsid w:val="00B53B5D"/>
    <w:rsid w:val="00B5509B"/>
    <w:rsid w:val="00B56ED6"/>
    <w:rsid w:val="00B6055E"/>
    <w:rsid w:val="00B6317D"/>
    <w:rsid w:val="00B70110"/>
    <w:rsid w:val="00B71A83"/>
    <w:rsid w:val="00B734A6"/>
    <w:rsid w:val="00B75167"/>
    <w:rsid w:val="00B7723F"/>
    <w:rsid w:val="00B80534"/>
    <w:rsid w:val="00B81261"/>
    <w:rsid w:val="00B830DF"/>
    <w:rsid w:val="00B8433C"/>
    <w:rsid w:val="00B870B9"/>
    <w:rsid w:val="00B87491"/>
    <w:rsid w:val="00B904BC"/>
    <w:rsid w:val="00B927AF"/>
    <w:rsid w:val="00B96671"/>
    <w:rsid w:val="00B96F0C"/>
    <w:rsid w:val="00BA14BA"/>
    <w:rsid w:val="00BA29E9"/>
    <w:rsid w:val="00BA2B1F"/>
    <w:rsid w:val="00BA5640"/>
    <w:rsid w:val="00BA7142"/>
    <w:rsid w:val="00BB237C"/>
    <w:rsid w:val="00BB41A3"/>
    <w:rsid w:val="00BB5505"/>
    <w:rsid w:val="00BC0680"/>
    <w:rsid w:val="00BC08F0"/>
    <w:rsid w:val="00BC32DC"/>
    <w:rsid w:val="00BC35B6"/>
    <w:rsid w:val="00BC5BE6"/>
    <w:rsid w:val="00BD1406"/>
    <w:rsid w:val="00BD1B51"/>
    <w:rsid w:val="00BD3FE6"/>
    <w:rsid w:val="00BD4349"/>
    <w:rsid w:val="00BD4596"/>
    <w:rsid w:val="00BE1405"/>
    <w:rsid w:val="00BE160F"/>
    <w:rsid w:val="00BE312D"/>
    <w:rsid w:val="00BE5E18"/>
    <w:rsid w:val="00BF0046"/>
    <w:rsid w:val="00BF1C20"/>
    <w:rsid w:val="00BF3D53"/>
    <w:rsid w:val="00BF3E15"/>
    <w:rsid w:val="00BF3E9D"/>
    <w:rsid w:val="00BF3FFF"/>
    <w:rsid w:val="00BF4991"/>
    <w:rsid w:val="00BF57ED"/>
    <w:rsid w:val="00C01385"/>
    <w:rsid w:val="00C0297D"/>
    <w:rsid w:val="00C05514"/>
    <w:rsid w:val="00C10578"/>
    <w:rsid w:val="00C1072D"/>
    <w:rsid w:val="00C135BC"/>
    <w:rsid w:val="00C13A02"/>
    <w:rsid w:val="00C1542F"/>
    <w:rsid w:val="00C15C95"/>
    <w:rsid w:val="00C221D3"/>
    <w:rsid w:val="00C248E4"/>
    <w:rsid w:val="00C24DC9"/>
    <w:rsid w:val="00C2596A"/>
    <w:rsid w:val="00C26C7B"/>
    <w:rsid w:val="00C27537"/>
    <w:rsid w:val="00C328FE"/>
    <w:rsid w:val="00C33507"/>
    <w:rsid w:val="00C37F3C"/>
    <w:rsid w:val="00C40998"/>
    <w:rsid w:val="00C427AD"/>
    <w:rsid w:val="00C4409D"/>
    <w:rsid w:val="00C44E72"/>
    <w:rsid w:val="00C45A06"/>
    <w:rsid w:val="00C474C6"/>
    <w:rsid w:val="00C47914"/>
    <w:rsid w:val="00C47E5B"/>
    <w:rsid w:val="00C50B68"/>
    <w:rsid w:val="00C522F5"/>
    <w:rsid w:val="00C528D4"/>
    <w:rsid w:val="00C562B8"/>
    <w:rsid w:val="00C565C0"/>
    <w:rsid w:val="00C61E4B"/>
    <w:rsid w:val="00C621A8"/>
    <w:rsid w:val="00C62F77"/>
    <w:rsid w:val="00C64BFF"/>
    <w:rsid w:val="00C657C3"/>
    <w:rsid w:val="00C704E9"/>
    <w:rsid w:val="00C71554"/>
    <w:rsid w:val="00C71C60"/>
    <w:rsid w:val="00C71D11"/>
    <w:rsid w:val="00C74BB9"/>
    <w:rsid w:val="00C763C9"/>
    <w:rsid w:val="00C80057"/>
    <w:rsid w:val="00C82232"/>
    <w:rsid w:val="00C82913"/>
    <w:rsid w:val="00C87122"/>
    <w:rsid w:val="00C929C4"/>
    <w:rsid w:val="00C92A5C"/>
    <w:rsid w:val="00C92AF1"/>
    <w:rsid w:val="00C946C4"/>
    <w:rsid w:val="00C972B1"/>
    <w:rsid w:val="00CA2205"/>
    <w:rsid w:val="00CA2CCE"/>
    <w:rsid w:val="00CA379E"/>
    <w:rsid w:val="00CA43FD"/>
    <w:rsid w:val="00CA59A4"/>
    <w:rsid w:val="00CA5A9E"/>
    <w:rsid w:val="00CA6479"/>
    <w:rsid w:val="00CA7EF8"/>
    <w:rsid w:val="00CB0655"/>
    <w:rsid w:val="00CB5A10"/>
    <w:rsid w:val="00CB6F81"/>
    <w:rsid w:val="00CB7594"/>
    <w:rsid w:val="00CB77BE"/>
    <w:rsid w:val="00CC085B"/>
    <w:rsid w:val="00CC2805"/>
    <w:rsid w:val="00CC35DB"/>
    <w:rsid w:val="00CC3AE9"/>
    <w:rsid w:val="00CC489B"/>
    <w:rsid w:val="00CC4DBD"/>
    <w:rsid w:val="00CC5A2F"/>
    <w:rsid w:val="00CC7ECA"/>
    <w:rsid w:val="00CD1672"/>
    <w:rsid w:val="00CD2BCD"/>
    <w:rsid w:val="00CD3536"/>
    <w:rsid w:val="00CD3A4C"/>
    <w:rsid w:val="00CE10E9"/>
    <w:rsid w:val="00CE2910"/>
    <w:rsid w:val="00CE3A8F"/>
    <w:rsid w:val="00CE46AF"/>
    <w:rsid w:val="00CE5393"/>
    <w:rsid w:val="00CE56E7"/>
    <w:rsid w:val="00CF36BE"/>
    <w:rsid w:val="00CF4C55"/>
    <w:rsid w:val="00CF6000"/>
    <w:rsid w:val="00D003F3"/>
    <w:rsid w:val="00D0364F"/>
    <w:rsid w:val="00D0633A"/>
    <w:rsid w:val="00D06834"/>
    <w:rsid w:val="00D12C8C"/>
    <w:rsid w:val="00D226D7"/>
    <w:rsid w:val="00D308ED"/>
    <w:rsid w:val="00D33042"/>
    <w:rsid w:val="00D36D86"/>
    <w:rsid w:val="00D40D28"/>
    <w:rsid w:val="00D40FB9"/>
    <w:rsid w:val="00D428AA"/>
    <w:rsid w:val="00D470B0"/>
    <w:rsid w:val="00D50A34"/>
    <w:rsid w:val="00D53EFA"/>
    <w:rsid w:val="00D54084"/>
    <w:rsid w:val="00D560B6"/>
    <w:rsid w:val="00D62771"/>
    <w:rsid w:val="00D65039"/>
    <w:rsid w:val="00D70E25"/>
    <w:rsid w:val="00D7105B"/>
    <w:rsid w:val="00D734D6"/>
    <w:rsid w:val="00D73CF1"/>
    <w:rsid w:val="00D742E6"/>
    <w:rsid w:val="00D74471"/>
    <w:rsid w:val="00D75B74"/>
    <w:rsid w:val="00D77B61"/>
    <w:rsid w:val="00D81BEA"/>
    <w:rsid w:val="00D81F10"/>
    <w:rsid w:val="00D94A7C"/>
    <w:rsid w:val="00D95237"/>
    <w:rsid w:val="00D95896"/>
    <w:rsid w:val="00D979D5"/>
    <w:rsid w:val="00DA0EC9"/>
    <w:rsid w:val="00DA376D"/>
    <w:rsid w:val="00DA62DC"/>
    <w:rsid w:val="00DB0B89"/>
    <w:rsid w:val="00DB2983"/>
    <w:rsid w:val="00DB588E"/>
    <w:rsid w:val="00DC03D9"/>
    <w:rsid w:val="00DC1257"/>
    <w:rsid w:val="00DC2B3E"/>
    <w:rsid w:val="00DC395F"/>
    <w:rsid w:val="00DC3DC0"/>
    <w:rsid w:val="00DC410D"/>
    <w:rsid w:val="00DC41D3"/>
    <w:rsid w:val="00DC5B2B"/>
    <w:rsid w:val="00DC5BA4"/>
    <w:rsid w:val="00DC6517"/>
    <w:rsid w:val="00DD059A"/>
    <w:rsid w:val="00DD1984"/>
    <w:rsid w:val="00DD2DAB"/>
    <w:rsid w:val="00DD318D"/>
    <w:rsid w:val="00DD3ADC"/>
    <w:rsid w:val="00DE3A18"/>
    <w:rsid w:val="00DF2310"/>
    <w:rsid w:val="00DF2E12"/>
    <w:rsid w:val="00DF3F03"/>
    <w:rsid w:val="00DF4DED"/>
    <w:rsid w:val="00DF514A"/>
    <w:rsid w:val="00DF61CD"/>
    <w:rsid w:val="00DF6690"/>
    <w:rsid w:val="00DF6804"/>
    <w:rsid w:val="00E00E39"/>
    <w:rsid w:val="00E01558"/>
    <w:rsid w:val="00E0358D"/>
    <w:rsid w:val="00E04323"/>
    <w:rsid w:val="00E05300"/>
    <w:rsid w:val="00E070A2"/>
    <w:rsid w:val="00E10BAF"/>
    <w:rsid w:val="00E15333"/>
    <w:rsid w:val="00E16C13"/>
    <w:rsid w:val="00E1727F"/>
    <w:rsid w:val="00E172BA"/>
    <w:rsid w:val="00E1757D"/>
    <w:rsid w:val="00E2656A"/>
    <w:rsid w:val="00E301B6"/>
    <w:rsid w:val="00E3239D"/>
    <w:rsid w:val="00E32968"/>
    <w:rsid w:val="00E33AE3"/>
    <w:rsid w:val="00E36B5C"/>
    <w:rsid w:val="00E412D0"/>
    <w:rsid w:val="00E4333B"/>
    <w:rsid w:val="00E47CDC"/>
    <w:rsid w:val="00E50712"/>
    <w:rsid w:val="00E510B5"/>
    <w:rsid w:val="00E51D79"/>
    <w:rsid w:val="00E51F3A"/>
    <w:rsid w:val="00E53D91"/>
    <w:rsid w:val="00E56322"/>
    <w:rsid w:val="00E60072"/>
    <w:rsid w:val="00E60982"/>
    <w:rsid w:val="00E60E68"/>
    <w:rsid w:val="00E624D9"/>
    <w:rsid w:val="00E62C62"/>
    <w:rsid w:val="00E654C1"/>
    <w:rsid w:val="00E65D97"/>
    <w:rsid w:val="00E70757"/>
    <w:rsid w:val="00E72A5A"/>
    <w:rsid w:val="00E73354"/>
    <w:rsid w:val="00E73D95"/>
    <w:rsid w:val="00E75277"/>
    <w:rsid w:val="00E753CF"/>
    <w:rsid w:val="00E7559F"/>
    <w:rsid w:val="00E75D32"/>
    <w:rsid w:val="00E7686B"/>
    <w:rsid w:val="00E80370"/>
    <w:rsid w:val="00E82534"/>
    <w:rsid w:val="00E8562A"/>
    <w:rsid w:val="00E85D2B"/>
    <w:rsid w:val="00E8675C"/>
    <w:rsid w:val="00E87582"/>
    <w:rsid w:val="00E905CA"/>
    <w:rsid w:val="00E9242D"/>
    <w:rsid w:val="00E95DB5"/>
    <w:rsid w:val="00E97D31"/>
    <w:rsid w:val="00EA0F92"/>
    <w:rsid w:val="00EA1A59"/>
    <w:rsid w:val="00EA5578"/>
    <w:rsid w:val="00EB24A7"/>
    <w:rsid w:val="00EB4697"/>
    <w:rsid w:val="00EB4D0A"/>
    <w:rsid w:val="00EB5255"/>
    <w:rsid w:val="00EB5C47"/>
    <w:rsid w:val="00EC048B"/>
    <w:rsid w:val="00EC2348"/>
    <w:rsid w:val="00EC2B71"/>
    <w:rsid w:val="00EC3685"/>
    <w:rsid w:val="00EC45C4"/>
    <w:rsid w:val="00EC4E80"/>
    <w:rsid w:val="00EC63EE"/>
    <w:rsid w:val="00EC7B8A"/>
    <w:rsid w:val="00ED0639"/>
    <w:rsid w:val="00ED1E2A"/>
    <w:rsid w:val="00ED3B0C"/>
    <w:rsid w:val="00ED5804"/>
    <w:rsid w:val="00ED615F"/>
    <w:rsid w:val="00EE0C2F"/>
    <w:rsid w:val="00EE18DA"/>
    <w:rsid w:val="00EE33E2"/>
    <w:rsid w:val="00EE3EE9"/>
    <w:rsid w:val="00EE4808"/>
    <w:rsid w:val="00EF0291"/>
    <w:rsid w:val="00EF2014"/>
    <w:rsid w:val="00EF23FF"/>
    <w:rsid w:val="00EF4755"/>
    <w:rsid w:val="00EF7135"/>
    <w:rsid w:val="00EF7C8A"/>
    <w:rsid w:val="00F027DB"/>
    <w:rsid w:val="00F03CF7"/>
    <w:rsid w:val="00F03D8E"/>
    <w:rsid w:val="00F05244"/>
    <w:rsid w:val="00F06820"/>
    <w:rsid w:val="00F0755A"/>
    <w:rsid w:val="00F10A2F"/>
    <w:rsid w:val="00F11CEE"/>
    <w:rsid w:val="00F14A7A"/>
    <w:rsid w:val="00F15DAF"/>
    <w:rsid w:val="00F170CB"/>
    <w:rsid w:val="00F179E3"/>
    <w:rsid w:val="00F22985"/>
    <w:rsid w:val="00F23F7A"/>
    <w:rsid w:val="00F27BEF"/>
    <w:rsid w:val="00F31970"/>
    <w:rsid w:val="00F32F38"/>
    <w:rsid w:val="00F3383E"/>
    <w:rsid w:val="00F36391"/>
    <w:rsid w:val="00F41D48"/>
    <w:rsid w:val="00F44375"/>
    <w:rsid w:val="00F465A7"/>
    <w:rsid w:val="00F47F87"/>
    <w:rsid w:val="00F50835"/>
    <w:rsid w:val="00F50B7C"/>
    <w:rsid w:val="00F51039"/>
    <w:rsid w:val="00F51488"/>
    <w:rsid w:val="00F52B1F"/>
    <w:rsid w:val="00F53430"/>
    <w:rsid w:val="00F550E6"/>
    <w:rsid w:val="00F623AF"/>
    <w:rsid w:val="00F65F14"/>
    <w:rsid w:val="00F66325"/>
    <w:rsid w:val="00F6701A"/>
    <w:rsid w:val="00F73A71"/>
    <w:rsid w:val="00F74345"/>
    <w:rsid w:val="00F80A0A"/>
    <w:rsid w:val="00F81622"/>
    <w:rsid w:val="00F81B3C"/>
    <w:rsid w:val="00F82B19"/>
    <w:rsid w:val="00F84819"/>
    <w:rsid w:val="00F9212D"/>
    <w:rsid w:val="00F93447"/>
    <w:rsid w:val="00F965DA"/>
    <w:rsid w:val="00FA019E"/>
    <w:rsid w:val="00FA406A"/>
    <w:rsid w:val="00FB08CD"/>
    <w:rsid w:val="00FB30AC"/>
    <w:rsid w:val="00FB503A"/>
    <w:rsid w:val="00FB516C"/>
    <w:rsid w:val="00FC1C1B"/>
    <w:rsid w:val="00FC29BA"/>
    <w:rsid w:val="00FC37C4"/>
    <w:rsid w:val="00FC4610"/>
    <w:rsid w:val="00FC572B"/>
    <w:rsid w:val="00FD0236"/>
    <w:rsid w:val="00FD0969"/>
    <w:rsid w:val="00FD18F4"/>
    <w:rsid w:val="00FD3B3C"/>
    <w:rsid w:val="00FD4524"/>
    <w:rsid w:val="00FD4DDF"/>
    <w:rsid w:val="00FD5433"/>
    <w:rsid w:val="00FD54DB"/>
    <w:rsid w:val="00FD619F"/>
    <w:rsid w:val="00FE1CE6"/>
    <w:rsid w:val="00FE2102"/>
    <w:rsid w:val="00FE7E2E"/>
    <w:rsid w:val="00FE7F27"/>
    <w:rsid w:val="00FF1F5C"/>
    <w:rsid w:val="00FF60AD"/>
    <w:rsid w:val="01064C9A"/>
    <w:rsid w:val="010777F1"/>
    <w:rsid w:val="010F7FF3"/>
    <w:rsid w:val="012810B4"/>
    <w:rsid w:val="01290F7E"/>
    <w:rsid w:val="012A4E2C"/>
    <w:rsid w:val="013412AD"/>
    <w:rsid w:val="013451E4"/>
    <w:rsid w:val="01366C30"/>
    <w:rsid w:val="01454397"/>
    <w:rsid w:val="01522C80"/>
    <w:rsid w:val="015D1E09"/>
    <w:rsid w:val="015F60C1"/>
    <w:rsid w:val="01633E9B"/>
    <w:rsid w:val="016445A2"/>
    <w:rsid w:val="016C2D4F"/>
    <w:rsid w:val="01703B2F"/>
    <w:rsid w:val="017716F4"/>
    <w:rsid w:val="01830099"/>
    <w:rsid w:val="0187402D"/>
    <w:rsid w:val="0187491C"/>
    <w:rsid w:val="01956027"/>
    <w:rsid w:val="019D47B9"/>
    <w:rsid w:val="01A324E9"/>
    <w:rsid w:val="01AD5E84"/>
    <w:rsid w:val="01C0753F"/>
    <w:rsid w:val="01C73C8F"/>
    <w:rsid w:val="01CE029A"/>
    <w:rsid w:val="01D53E5B"/>
    <w:rsid w:val="01D55E67"/>
    <w:rsid w:val="01E37BCD"/>
    <w:rsid w:val="01EA636A"/>
    <w:rsid w:val="01F36FCC"/>
    <w:rsid w:val="01FE0682"/>
    <w:rsid w:val="01FF0067"/>
    <w:rsid w:val="02054F52"/>
    <w:rsid w:val="02072A78"/>
    <w:rsid w:val="020C4532"/>
    <w:rsid w:val="020F552E"/>
    <w:rsid w:val="0210580B"/>
    <w:rsid w:val="02117849"/>
    <w:rsid w:val="02223D56"/>
    <w:rsid w:val="022C0515"/>
    <w:rsid w:val="02421D02"/>
    <w:rsid w:val="024535A0"/>
    <w:rsid w:val="024737BC"/>
    <w:rsid w:val="024A4563"/>
    <w:rsid w:val="0253148B"/>
    <w:rsid w:val="02554599"/>
    <w:rsid w:val="02555ED9"/>
    <w:rsid w:val="02557C87"/>
    <w:rsid w:val="02587777"/>
    <w:rsid w:val="025F0FC8"/>
    <w:rsid w:val="0263100D"/>
    <w:rsid w:val="02697903"/>
    <w:rsid w:val="026F5C8D"/>
    <w:rsid w:val="0282048D"/>
    <w:rsid w:val="02A76D3E"/>
    <w:rsid w:val="02AB1E4F"/>
    <w:rsid w:val="02AD2F02"/>
    <w:rsid w:val="02AE7BE0"/>
    <w:rsid w:val="02B20C36"/>
    <w:rsid w:val="02B21EB8"/>
    <w:rsid w:val="02B96468"/>
    <w:rsid w:val="02C31095"/>
    <w:rsid w:val="02C848FD"/>
    <w:rsid w:val="02DB6ED7"/>
    <w:rsid w:val="02E96621"/>
    <w:rsid w:val="02F96569"/>
    <w:rsid w:val="03004097"/>
    <w:rsid w:val="03065425"/>
    <w:rsid w:val="03070B9E"/>
    <w:rsid w:val="03092820"/>
    <w:rsid w:val="032014FE"/>
    <w:rsid w:val="032118A0"/>
    <w:rsid w:val="03237D85"/>
    <w:rsid w:val="03247659"/>
    <w:rsid w:val="032643DA"/>
    <w:rsid w:val="032D650E"/>
    <w:rsid w:val="03315841"/>
    <w:rsid w:val="034C1D5D"/>
    <w:rsid w:val="034F0AEC"/>
    <w:rsid w:val="035241C7"/>
    <w:rsid w:val="03595555"/>
    <w:rsid w:val="035A75BB"/>
    <w:rsid w:val="035C5045"/>
    <w:rsid w:val="035F251C"/>
    <w:rsid w:val="0365214C"/>
    <w:rsid w:val="03664F47"/>
    <w:rsid w:val="03675434"/>
    <w:rsid w:val="036914A1"/>
    <w:rsid w:val="036B5288"/>
    <w:rsid w:val="037203C5"/>
    <w:rsid w:val="0374413D"/>
    <w:rsid w:val="03764359"/>
    <w:rsid w:val="03766107"/>
    <w:rsid w:val="03791F51"/>
    <w:rsid w:val="037B0210"/>
    <w:rsid w:val="037E4FBC"/>
    <w:rsid w:val="038F4AD6"/>
    <w:rsid w:val="039C7A79"/>
    <w:rsid w:val="03A12AFF"/>
    <w:rsid w:val="03A67D02"/>
    <w:rsid w:val="03B31109"/>
    <w:rsid w:val="03B5196C"/>
    <w:rsid w:val="03C055D4"/>
    <w:rsid w:val="03C559D6"/>
    <w:rsid w:val="03CB179A"/>
    <w:rsid w:val="03CC64F1"/>
    <w:rsid w:val="03D51CDC"/>
    <w:rsid w:val="03E5503B"/>
    <w:rsid w:val="03EA7B21"/>
    <w:rsid w:val="03F4527E"/>
    <w:rsid w:val="03FD1EDA"/>
    <w:rsid w:val="03FF434E"/>
    <w:rsid w:val="040E3DF0"/>
    <w:rsid w:val="04102B53"/>
    <w:rsid w:val="04117BDE"/>
    <w:rsid w:val="042009ED"/>
    <w:rsid w:val="04246B21"/>
    <w:rsid w:val="0428457E"/>
    <w:rsid w:val="042E253E"/>
    <w:rsid w:val="042F03F4"/>
    <w:rsid w:val="04306B42"/>
    <w:rsid w:val="043079EB"/>
    <w:rsid w:val="043A35D9"/>
    <w:rsid w:val="043D4E77"/>
    <w:rsid w:val="0459174F"/>
    <w:rsid w:val="046B16EC"/>
    <w:rsid w:val="046E58E9"/>
    <w:rsid w:val="0489584B"/>
    <w:rsid w:val="048B5BE2"/>
    <w:rsid w:val="048E56D2"/>
    <w:rsid w:val="04926F71"/>
    <w:rsid w:val="0494596F"/>
    <w:rsid w:val="0498399E"/>
    <w:rsid w:val="04AF2196"/>
    <w:rsid w:val="04B62533"/>
    <w:rsid w:val="04BC3FEE"/>
    <w:rsid w:val="04C17856"/>
    <w:rsid w:val="04C2712A"/>
    <w:rsid w:val="04C904B8"/>
    <w:rsid w:val="04D56900"/>
    <w:rsid w:val="04D806FC"/>
    <w:rsid w:val="04D96D31"/>
    <w:rsid w:val="04DD3F64"/>
    <w:rsid w:val="04F33787"/>
    <w:rsid w:val="04F512AE"/>
    <w:rsid w:val="050C1FA3"/>
    <w:rsid w:val="05107934"/>
    <w:rsid w:val="05120775"/>
    <w:rsid w:val="051A6F66"/>
    <w:rsid w:val="052E174F"/>
    <w:rsid w:val="053130B5"/>
    <w:rsid w:val="05353DA0"/>
    <w:rsid w:val="05392211"/>
    <w:rsid w:val="05500BDA"/>
    <w:rsid w:val="055661F0"/>
    <w:rsid w:val="0557339A"/>
    <w:rsid w:val="055F5E14"/>
    <w:rsid w:val="056A3A4A"/>
    <w:rsid w:val="056C5FA6"/>
    <w:rsid w:val="057E12A3"/>
    <w:rsid w:val="058663AA"/>
    <w:rsid w:val="058D7738"/>
    <w:rsid w:val="05923262"/>
    <w:rsid w:val="05A006CA"/>
    <w:rsid w:val="05A200D6"/>
    <w:rsid w:val="05A30D0A"/>
    <w:rsid w:val="05A33817"/>
    <w:rsid w:val="05AB7BBE"/>
    <w:rsid w:val="05B51FA0"/>
    <w:rsid w:val="05C812BC"/>
    <w:rsid w:val="05ED40B6"/>
    <w:rsid w:val="05F23A3F"/>
    <w:rsid w:val="05F83EAE"/>
    <w:rsid w:val="05FB6170"/>
    <w:rsid w:val="05FD666C"/>
    <w:rsid w:val="060519C4"/>
    <w:rsid w:val="0616597F"/>
    <w:rsid w:val="06182789"/>
    <w:rsid w:val="061B4D44"/>
    <w:rsid w:val="06234965"/>
    <w:rsid w:val="06253E14"/>
    <w:rsid w:val="06361B7E"/>
    <w:rsid w:val="063E7D85"/>
    <w:rsid w:val="06412D79"/>
    <w:rsid w:val="064A73D7"/>
    <w:rsid w:val="064E6EC7"/>
    <w:rsid w:val="06525D40"/>
    <w:rsid w:val="065344DE"/>
    <w:rsid w:val="065A3ABE"/>
    <w:rsid w:val="066252E1"/>
    <w:rsid w:val="06677F89"/>
    <w:rsid w:val="066A7A79"/>
    <w:rsid w:val="066C02CF"/>
    <w:rsid w:val="06744454"/>
    <w:rsid w:val="067A43BB"/>
    <w:rsid w:val="06982838"/>
    <w:rsid w:val="069B5E85"/>
    <w:rsid w:val="06A02D9C"/>
    <w:rsid w:val="06A05249"/>
    <w:rsid w:val="06A66D03"/>
    <w:rsid w:val="06C07624"/>
    <w:rsid w:val="06D348A0"/>
    <w:rsid w:val="06EC048E"/>
    <w:rsid w:val="06FA2BAB"/>
    <w:rsid w:val="06FA47FD"/>
    <w:rsid w:val="07000B0E"/>
    <w:rsid w:val="07047ECE"/>
    <w:rsid w:val="070A49F1"/>
    <w:rsid w:val="07155C37"/>
    <w:rsid w:val="071E100A"/>
    <w:rsid w:val="072440CC"/>
    <w:rsid w:val="07287718"/>
    <w:rsid w:val="07293586"/>
    <w:rsid w:val="07295285"/>
    <w:rsid w:val="0737795B"/>
    <w:rsid w:val="07385B74"/>
    <w:rsid w:val="073870AD"/>
    <w:rsid w:val="073A689E"/>
    <w:rsid w:val="074107DA"/>
    <w:rsid w:val="07462294"/>
    <w:rsid w:val="07524795"/>
    <w:rsid w:val="07590275"/>
    <w:rsid w:val="075B790A"/>
    <w:rsid w:val="07636392"/>
    <w:rsid w:val="0764573B"/>
    <w:rsid w:val="076F17EB"/>
    <w:rsid w:val="07702E6D"/>
    <w:rsid w:val="07724E37"/>
    <w:rsid w:val="07770C56"/>
    <w:rsid w:val="07794418"/>
    <w:rsid w:val="077961C6"/>
    <w:rsid w:val="078132CC"/>
    <w:rsid w:val="07901DBD"/>
    <w:rsid w:val="079F27F2"/>
    <w:rsid w:val="07A776D1"/>
    <w:rsid w:val="07A974CA"/>
    <w:rsid w:val="07AA2246"/>
    <w:rsid w:val="07AA2823"/>
    <w:rsid w:val="07B74F40"/>
    <w:rsid w:val="07B92A66"/>
    <w:rsid w:val="07BF2A98"/>
    <w:rsid w:val="07C1191B"/>
    <w:rsid w:val="07C30DC0"/>
    <w:rsid w:val="07C30F86"/>
    <w:rsid w:val="07C83611"/>
    <w:rsid w:val="07CC279A"/>
    <w:rsid w:val="07D57174"/>
    <w:rsid w:val="07D704B9"/>
    <w:rsid w:val="07D94EB6"/>
    <w:rsid w:val="07F4584C"/>
    <w:rsid w:val="080B2B96"/>
    <w:rsid w:val="0822060B"/>
    <w:rsid w:val="08297BEC"/>
    <w:rsid w:val="082D0D5E"/>
    <w:rsid w:val="082E5202"/>
    <w:rsid w:val="08316AA1"/>
    <w:rsid w:val="08341BB4"/>
    <w:rsid w:val="083E4D1A"/>
    <w:rsid w:val="08497781"/>
    <w:rsid w:val="084F5179"/>
    <w:rsid w:val="08566507"/>
    <w:rsid w:val="085C032F"/>
    <w:rsid w:val="085F360E"/>
    <w:rsid w:val="086C1887"/>
    <w:rsid w:val="087A0447"/>
    <w:rsid w:val="08850B9A"/>
    <w:rsid w:val="0891753F"/>
    <w:rsid w:val="089722CD"/>
    <w:rsid w:val="08AA0601"/>
    <w:rsid w:val="08C416C3"/>
    <w:rsid w:val="08C571E9"/>
    <w:rsid w:val="08C74B52"/>
    <w:rsid w:val="08CB69A2"/>
    <w:rsid w:val="08CC4A1B"/>
    <w:rsid w:val="08CE42EF"/>
    <w:rsid w:val="08E01E3A"/>
    <w:rsid w:val="08EB30F3"/>
    <w:rsid w:val="08EE6740"/>
    <w:rsid w:val="08F71A98"/>
    <w:rsid w:val="08FA3336"/>
    <w:rsid w:val="08FF26FB"/>
    <w:rsid w:val="090037D5"/>
    <w:rsid w:val="092217DD"/>
    <w:rsid w:val="09271825"/>
    <w:rsid w:val="09271C52"/>
    <w:rsid w:val="092D54BA"/>
    <w:rsid w:val="09300B06"/>
    <w:rsid w:val="093A7294"/>
    <w:rsid w:val="093C394F"/>
    <w:rsid w:val="09496D37"/>
    <w:rsid w:val="09502F56"/>
    <w:rsid w:val="09565F9E"/>
    <w:rsid w:val="09570789"/>
    <w:rsid w:val="09652EA6"/>
    <w:rsid w:val="096E64FB"/>
    <w:rsid w:val="09706383"/>
    <w:rsid w:val="098409F5"/>
    <w:rsid w:val="098470A4"/>
    <w:rsid w:val="09896468"/>
    <w:rsid w:val="09992B4F"/>
    <w:rsid w:val="09A03EDE"/>
    <w:rsid w:val="09AB5C79"/>
    <w:rsid w:val="09CB082F"/>
    <w:rsid w:val="09D26061"/>
    <w:rsid w:val="09D417D0"/>
    <w:rsid w:val="09D45935"/>
    <w:rsid w:val="09E2712B"/>
    <w:rsid w:val="09E54A69"/>
    <w:rsid w:val="09F61C94"/>
    <w:rsid w:val="09F63AFE"/>
    <w:rsid w:val="0A026946"/>
    <w:rsid w:val="0A061A81"/>
    <w:rsid w:val="0A0E5697"/>
    <w:rsid w:val="0A14705C"/>
    <w:rsid w:val="0A1A7B5B"/>
    <w:rsid w:val="0A1B5312"/>
    <w:rsid w:val="0A206DCD"/>
    <w:rsid w:val="0A263993"/>
    <w:rsid w:val="0A2D3AC2"/>
    <w:rsid w:val="0A37356A"/>
    <w:rsid w:val="0A3F3DFC"/>
    <w:rsid w:val="0A3F59AB"/>
    <w:rsid w:val="0A570314"/>
    <w:rsid w:val="0A610FFF"/>
    <w:rsid w:val="0A63147A"/>
    <w:rsid w:val="0A723AEC"/>
    <w:rsid w:val="0A7321DD"/>
    <w:rsid w:val="0A764C3F"/>
    <w:rsid w:val="0A79028B"/>
    <w:rsid w:val="0A7F5208"/>
    <w:rsid w:val="0A8A2498"/>
    <w:rsid w:val="0A8D3D36"/>
    <w:rsid w:val="0AA755DF"/>
    <w:rsid w:val="0AAA2944"/>
    <w:rsid w:val="0AAF7196"/>
    <w:rsid w:val="0AB877A7"/>
    <w:rsid w:val="0AC97035"/>
    <w:rsid w:val="0ACB4F8A"/>
    <w:rsid w:val="0ACF0E24"/>
    <w:rsid w:val="0AD15C1B"/>
    <w:rsid w:val="0AD57BB7"/>
    <w:rsid w:val="0AEE05EF"/>
    <w:rsid w:val="0AEE33EA"/>
    <w:rsid w:val="0AF7043B"/>
    <w:rsid w:val="0B060595"/>
    <w:rsid w:val="0B114967"/>
    <w:rsid w:val="0B120D44"/>
    <w:rsid w:val="0B16021F"/>
    <w:rsid w:val="0B2333B0"/>
    <w:rsid w:val="0B27202A"/>
    <w:rsid w:val="0B3348DE"/>
    <w:rsid w:val="0B375B07"/>
    <w:rsid w:val="0B454CF7"/>
    <w:rsid w:val="0B53768A"/>
    <w:rsid w:val="0B646E03"/>
    <w:rsid w:val="0B663311"/>
    <w:rsid w:val="0B670A20"/>
    <w:rsid w:val="0B732F2C"/>
    <w:rsid w:val="0B7C2DAB"/>
    <w:rsid w:val="0B8A0833"/>
    <w:rsid w:val="0B8B2541"/>
    <w:rsid w:val="0B8B296C"/>
    <w:rsid w:val="0B8E300A"/>
    <w:rsid w:val="0B973362"/>
    <w:rsid w:val="0B9C68AE"/>
    <w:rsid w:val="0BA96AD9"/>
    <w:rsid w:val="0BB84DE3"/>
    <w:rsid w:val="0BBE064B"/>
    <w:rsid w:val="0BCC3C8F"/>
    <w:rsid w:val="0BCF7337"/>
    <w:rsid w:val="0BD27BF6"/>
    <w:rsid w:val="0BE5207C"/>
    <w:rsid w:val="0BEB51B8"/>
    <w:rsid w:val="0C08767E"/>
    <w:rsid w:val="0C216E2C"/>
    <w:rsid w:val="0C230DF6"/>
    <w:rsid w:val="0C2F32F7"/>
    <w:rsid w:val="0C3703FE"/>
    <w:rsid w:val="0C3B3C7D"/>
    <w:rsid w:val="0C3E353A"/>
    <w:rsid w:val="0C405504"/>
    <w:rsid w:val="0C4473C4"/>
    <w:rsid w:val="0C4548C9"/>
    <w:rsid w:val="0C5D60B6"/>
    <w:rsid w:val="0C621770"/>
    <w:rsid w:val="0C756C7F"/>
    <w:rsid w:val="0C7A4DA5"/>
    <w:rsid w:val="0C8C699B"/>
    <w:rsid w:val="0C9203C9"/>
    <w:rsid w:val="0C93150A"/>
    <w:rsid w:val="0C9C205B"/>
    <w:rsid w:val="0C9C430B"/>
    <w:rsid w:val="0CA57FBA"/>
    <w:rsid w:val="0CA93714"/>
    <w:rsid w:val="0CAB2EAE"/>
    <w:rsid w:val="0CAF268A"/>
    <w:rsid w:val="0CB71320"/>
    <w:rsid w:val="0CBE467B"/>
    <w:rsid w:val="0CC96268"/>
    <w:rsid w:val="0CCE1629"/>
    <w:rsid w:val="0CCE323E"/>
    <w:rsid w:val="0CD520F0"/>
    <w:rsid w:val="0CE265BB"/>
    <w:rsid w:val="0CE42333"/>
    <w:rsid w:val="0CE94A93"/>
    <w:rsid w:val="0CF87B8D"/>
    <w:rsid w:val="0D0A54F4"/>
    <w:rsid w:val="0D162709"/>
    <w:rsid w:val="0D194A15"/>
    <w:rsid w:val="0D3356D6"/>
    <w:rsid w:val="0D3C1993"/>
    <w:rsid w:val="0D49488C"/>
    <w:rsid w:val="0D5A25F6"/>
    <w:rsid w:val="0D621C7D"/>
    <w:rsid w:val="0D6D6BDD"/>
    <w:rsid w:val="0D6E7E4F"/>
    <w:rsid w:val="0D7C6A10"/>
    <w:rsid w:val="0D7E09C5"/>
    <w:rsid w:val="0D804A68"/>
    <w:rsid w:val="0D8B0A01"/>
    <w:rsid w:val="0D8C6527"/>
    <w:rsid w:val="0D8D1E39"/>
    <w:rsid w:val="0D9C49BC"/>
    <w:rsid w:val="0DAE2941"/>
    <w:rsid w:val="0DB37F58"/>
    <w:rsid w:val="0DBA0703"/>
    <w:rsid w:val="0DBD5655"/>
    <w:rsid w:val="0DBF68FD"/>
    <w:rsid w:val="0DC5584F"/>
    <w:rsid w:val="0DD3176D"/>
    <w:rsid w:val="0DE40111"/>
    <w:rsid w:val="0DE75F7B"/>
    <w:rsid w:val="0E0E0F2B"/>
    <w:rsid w:val="0E172295"/>
    <w:rsid w:val="0E2A021A"/>
    <w:rsid w:val="0E3B2427"/>
    <w:rsid w:val="0E4A08BC"/>
    <w:rsid w:val="0E4C6A04"/>
    <w:rsid w:val="0E5139F9"/>
    <w:rsid w:val="0E536B37"/>
    <w:rsid w:val="0E5B175E"/>
    <w:rsid w:val="0E5F19AB"/>
    <w:rsid w:val="0E651252"/>
    <w:rsid w:val="0E67321C"/>
    <w:rsid w:val="0E71037E"/>
    <w:rsid w:val="0E71409B"/>
    <w:rsid w:val="0E73034D"/>
    <w:rsid w:val="0E795C93"/>
    <w:rsid w:val="0E833DCE"/>
    <w:rsid w:val="0E864072"/>
    <w:rsid w:val="0E8C16D1"/>
    <w:rsid w:val="0E912047"/>
    <w:rsid w:val="0E947D89"/>
    <w:rsid w:val="0E9B2EC6"/>
    <w:rsid w:val="0EA1103E"/>
    <w:rsid w:val="0EA224A6"/>
    <w:rsid w:val="0EA52ECE"/>
    <w:rsid w:val="0EAF4BC3"/>
    <w:rsid w:val="0EB1714F"/>
    <w:rsid w:val="0EC0292C"/>
    <w:rsid w:val="0ECB44D2"/>
    <w:rsid w:val="0EE019BE"/>
    <w:rsid w:val="0EE550F1"/>
    <w:rsid w:val="0EEE56EB"/>
    <w:rsid w:val="0EF44384"/>
    <w:rsid w:val="0EF83E74"/>
    <w:rsid w:val="0EFF6F09"/>
    <w:rsid w:val="0F090407"/>
    <w:rsid w:val="0F0C791F"/>
    <w:rsid w:val="0F1223E7"/>
    <w:rsid w:val="0F13775A"/>
    <w:rsid w:val="0F1E7653"/>
    <w:rsid w:val="0F2824A4"/>
    <w:rsid w:val="0F296723"/>
    <w:rsid w:val="0F4135F2"/>
    <w:rsid w:val="0F477F06"/>
    <w:rsid w:val="0F4D58B9"/>
    <w:rsid w:val="0F5616AC"/>
    <w:rsid w:val="0F5C08A7"/>
    <w:rsid w:val="0F5C0B02"/>
    <w:rsid w:val="0F5F45FE"/>
    <w:rsid w:val="0F631567"/>
    <w:rsid w:val="0F6A2898"/>
    <w:rsid w:val="0F7200CA"/>
    <w:rsid w:val="0F76763C"/>
    <w:rsid w:val="0F8120BC"/>
    <w:rsid w:val="0F8E2A2A"/>
    <w:rsid w:val="0F931ED3"/>
    <w:rsid w:val="0F9A112B"/>
    <w:rsid w:val="0F9D37B7"/>
    <w:rsid w:val="0F9F2542"/>
    <w:rsid w:val="0FA3200C"/>
    <w:rsid w:val="0FC06548"/>
    <w:rsid w:val="0FC14BAE"/>
    <w:rsid w:val="0FC95811"/>
    <w:rsid w:val="0FCB72B1"/>
    <w:rsid w:val="0FD63DA8"/>
    <w:rsid w:val="0FD74C28"/>
    <w:rsid w:val="0FD91EF8"/>
    <w:rsid w:val="0FE73EE9"/>
    <w:rsid w:val="0FEA6D87"/>
    <w:rsid w:val="0FEE34C9"/>
    <w:rsid w:val="0FF360CA"/>
    <w:rsid w:val="100831EE"/>
    <w:rsid w:val="100D394F"/>
    <w:rsid w:val="100F5919"/>
    <w:rsid w:val="10142F30"/>
    <w:rsid w:val="1014446E"/>
    <w:rsid w:val="1021564D"/>
    <w:rsid w:val="10261806"/>
    <w:rsid w:val="102F0276"/>
    <w:rsid w:val="10327C31"/>
    <w:rsid w:val="10374E70"/>
    <w:rsid w:val="103F3D25"/>
    <w:rsid w:val="104430E9"/>
    <w:rsid w:val="10453744"/>
    <w:rsid w:val="104E44B7"/>
    <w:rsid w:val="1053332C"/>
    <w:rsid w:val="10645539"/>
    <w:rsid w:val="106928EC"/>
    <w:rsid w:val="106A30B7"/>
    <w:rsid w:val="106D2F64"/>
    <w:rsid w:val="106E0D31"/>
    <w:rsid w:val="10737815"/>
    <w:rsid w:val="10797237"/>
    <w:rsid w:val="107A7658"/>
    <w:rsid w:val="107D3D12"/>
    <w:rsid w:val="107E65FB"/>
    <w:rsid w:val="107F5B03"/>
    <w:rsid w:val="10810023"/>
    <w:rsid w:val="10831E63"/>
    <w:rsid w:val="108D09A9"/>
    <w:rsid w:val="10993435"/>
    <w:rsid w:val="109B53FF"/>
    <w:rsid w:val="10A10B97"/>
    <w:rsid w:val="10A2678D"/>
    <w:rsid w:val="10B63710"/>
    <w:rsid w:val="10BB784F"/>
    <w:rsid w:val="10C76EC7"/>
    <w:rsid w:val="10C95EE8"/>
    <w:rsid w:val="10E04EBA"/>
    <w:rsid w:val="10E32902"/>
    <w:rsid w:val="10E5667A"/>
    <w:rsid w:val="10F10820"/>
    <w:rsid w:val="10F22B45"/>
    <w:rsid w:val="10F6532E"/>
    <w:rsid w:val="10F96767"/>
    <w:rsid w:val="11072A94"/>
    <w:rsid w:val="110C3C07"/>
    <w:rsid w:val="11143E46"/>
    <w:rsid w:val="1115086B"/>
    <w:rsid w:val="111C14EB"/>
    <w:rsid w:val="111C2F7A"/>
    <w:rsid w:val="11207C78"/>
    <w:rsid w:val="11252483"/>
    <w:rsid w:val="11290C5D"/>
    <w:rsid w:val="112A6783"/>
    <w:rsid w:val="112D7B6C"/>
    <w:rsid w:val="11325E07"/>
    <w:rsid w:val="11333889"/>
    <w:rsid w:val="11347A55"/>
    <w:rsid w:val="11361EB3"/>
    <w:rsid w:val="11366678"/>
    <w:rsid w:val="113849FC"/>
    <w:rsid w:val="11553800"/>
    <w:rsid w:val="1159649A"/>
    <w:rsid w:val="11605F50"/>
    <w:rsid w:val="11665CA1"/>
    <w:rsid w:val="11701866"/>
    <w:rsid w:val="11785740"/>
    <w:rsid w:val="11817522"/>
    <w:rsid w:val="118539B9"/>
    <w:rsid w:val="118934A9"/>
    <w:rsid w:val="119157E6"/>
    <w:rsid w:val="1198193E"/>
    <w:rsid w:val="119C56A0"/>
    <w:rsid w:val="11A4040E"/>
    <w:rsid w:val="11B12A00"/>
    <w:rsid w:val="11B20C52"/>
    <w:rsid w:val="11B51CFE"/>
    <w:rsid w:val="11B5429E"/>
    <w:rsid w:val="11B60016"/>
    <w:rsid w:val="11B81FE1"/>
    <w:rsid w:val="11BC78C1"/>
    <w:rsid w:val="11C66B8F"/>
    <w:rsid w:val="11C91AF8"/>
    <w:rsid w:val="11CB3AC2"/>
    <w:rsid w:val="11CB60D9"/>
    <w:rsid w:val="11CE325D"/>
    <w:rsid w:val="11F6676A"/>
    <w:rsid w:val="11FA7F03"/>
    <w:rsid w:val="11FD5C45"/>
    <w:rsid w:val="11FD72A0"/>
    <w:rsid w:val="11FE2AA3"/>
    <w:rsid w:val="11FE3E97"/>
    <w:rsid w:val="12015736"/>
    <w:rsid w:val="120E39AF"/>
    <w:rsid w:val="121216F1"/>
    <w:rsid w:val="12175BD4"/>
    <w:rsid w:val="121E62E8"/>
    <w:rsid w:val="12296A3A"/>
    <w:rsid w:val="12305BF2"/>
    <w:rsid w:val="123B1B2C"/>
    <w:rsid w:val="123E24E6"/>
    <w:rsid w:val="124129C1"/>
    <w:rsid w:val="12440C2E"/>
    <w:rsid w:val="124473D0"/>
    <w:rsid w:val="12454F0D"/>
    <w:rsid w:val="12492C39"/>
    <w:rsid w:val="124F3776"/>
    <w:rsid w:val="124F46F3"/>
    <w:rsid w:val="125C0F27"/>
    <w:rsid w:val="125C6662"/>
    <w:rsid w:val="126D4B79"/>
    <w:rsid w:val="12706417"/>
    <w:rsid w:val="127E50EC"/>
    <w:rsid w:val="12850115"/>
    <w:rsid w:val="128819B3"/>
    <w:rsid w:val="128B3251"/>
    <w:rsid w:val="129269BE"/>
    <w:rsid w:val="1296159A"/>
    <w:rsid w:val="12972B11"/>
    <w:rsid w:val="129806EC"/>
    <w:rsid w:val="1299771C"/>
    <w:rsid w:val="129E4D32"/>
    <w:rsid w:val="12A32349"/>
    <w:rsid w:val="12A827B0"/>
    <w:rsid w:val="12AF1E77"/>
    <w:rsid w:val="12B40EDE"/>
    <w:rsid w:val="12B652F8"/>
    <w:rsid w:val="12C240A9"/>
    <w:rsid w:val="12C30C3D"/>
    <w:rsid w:val="12C66037"/>
    <w:rsid w:val="12D3401A"/>
    <w:rsid w:val="12E110C3"/>
    <w:rsid w:val="12E13F41"/>
    <w:rsid w:val="12E656F8"/>
    <w:rsid w:val="12E8175E"/>
    <w:rsid w:val="12F26E2C"/>
    <w:rsid w:val="12F701C4"/>
    <w:rsid w:val="12FB3F33"/>
    <w:rsid w:val="1300779B"/>
    <w:rsid w:val="13051E01"/>
    <w:rsid w:val="13060562"/>
    <w:rsid w:val="130A4F99"/>
    <w:rsid w:val="1310775E"/>
    <w:rsid w:val="131C5060"/>
    <w:rsid w:val="132C0590"/>
    <w:rsid w:val="133236CD"/>
    <w:rsid w:val="13337B71"/>
    <w:rsid w:val="133833D9"/>
    <w:rsid w:val="1338673E"/>
    <w:rsid w:val="134520F4"/>
    <w:rsid w:val="13461D2D"/>
    <w:rsid w:val="134A4EBA"/>
    <w:rsid w:val="134B1FE3"/>
    <w:rsid w:val="13533D6F"/>
    <w:rsid w:val="135845E7"/>
    <w:rsid w:val="136361FD"/>
    <w:rsid w:val="13705AE8"/>
    <w:rsid w:val="13737F6D"/>
    <w:rsid w:val="137C3C47"/>
    <w:rsid w:val="137F5E2D"/>
    <w:rsid w:val="138E3B26"/>
    <w:rsid w:val="13951726"/>
    <w:rsid w:val="1395604C"/>
    <w:rsid w:val="139B74C4"/>
    <w:rsid w:val="139F52BA"/>
    <w:rsid w:val="139F663B"/>
    <w:rsid w:val="13A740BB"/>
    <w:rsid w:val="13A9310B"/>
    <w:rsid w:val="13AE369B"/>
    <w:rsid w:val="13AE5449"/>
    <w:rsid w:val="13BB36C2"/>
    <w:rsid w:val="13BB4E14"/>
    <w:rsid w:val="13BD743A"/>
    <w:rsid w:val="13CC1D73"/>
    <w:rsid w:val="13D50C28"/>
    <w:rsid w:val="13E640E2"/>
    <w:rsid w:val="13EB2378"/>
    <w:rsid w:val="13EE2743"/>
    <w:rsid w:val="13F6026F"/>
    <w:rsid w:val="13FC7118"/>
    <w:rsid w:val="1404150D"/>
    <w:rsid w:val="140E5EE8"/>
    <w:rsid w:val="140F4F78"/>
    <w:rsid w:val="14101C60"/>
    <w:rsid w:val="141C6857"/>
    <w:rsid w:val="141D158B"/>
    <w:rsid w:val="141E2A32"/>
    <w:rsid w:val="141E501C"/>
    <w:rsid w:val="14241829"/>
    <w:rsid w:val="14264FE0"/>
    <w:rsid w:val="142E7C0F"/>
    <w:rsid w:val="14396509"/>
    <w:rsid w:val="14412D3B"/>
    <w:rsid w:val="14465682"/>
    <w:rsid w:val="144722DB"/>
    <w:rsid w:val="14496F20"/>
    <w:rsid w:val="14570FAA"/>
    <w:rsid w:val="14620AC3"/>
    <w:rsid w:val="146975C2"/>
    <w:rsid w:val="146E4BD8"/>
    <w:rsid w:val="14733E83"/>
    <w:rsid w:val="14860174"/>
    <w:rsid w:val="14904B4F"/>
    <w:rsid w:val="14972381"/>
    <w:rsid w:val="149A59CD"/>
    <w:rsid w:val="14A31207"/>
    <w:rsid w:val="14A643D6"/>
    <w:rsid w:val="14AA20B4"/>
    <w:rsid w:val="14CF5677"/>
    <w:rsid w:val="14D021CE"/>
    <w:rsid w:val="14D24E86"/>
    <w:rsid w:val="14DD2C3C"/>
    <w:rsid w:val="14E05AD6"/>
    <w:rsid w:val="14F23531"/>
    <w:rsid w:val="14F2540C"/>
    <w:rsid w:val="151874F8"/>
    <w:rsid w:val="151C63E2"/>
    <w:rsid w:val="154020D1"/>
    <w:rsid w:val="15411B05"/>
    <w:rsid w:val="154B4272"/>
    <w:rsid w:val="1552369D"/>
    <w:rsid w:val="155344FA"/>
    <w:rsid w:val="156C03FA"/>
    <w:rsid w:val="157442E2"/>
    <w:rsid w:val="15763B03"/>
    <w:rsid w:val="157B75F3"/>
    <w:rsid w:val="15815567"/>
    <w:rsid w:val="158A77F0"/>
    <w:rsid w:val="158F12AA"/>
    <w:rsid w:val="15910B7E"/>
    <w:rsid w:val="15966195"/>
    <w:rsid w:val="15B13627"/>
    <w:rsid w:val="15B36D47"/>
    <w:rsid w:val="15B852F7"/>
    <w:rsid w:val="15BF56EC"/>
    <w:rsid w:val="15CC7E09"/>
    <w:rsid w:val="15D13671"/>
    <w:rsid w:val="15D20C62"/>
    <w:rsid w:val="15D46D50"/>
    <w:rsid w:val="15D849FF"/>
    <w:rsid w:val="15DB629E"/>
    <w:rsid w:val="15DB6832"/>
    <w:rsid w:val="15F85BC9"/>
    <w:rsid w:val="15FA6724"/>
    <w:rsid w:val="16057143"/>
    <w:rsid w:val="16087E1D"/>
    <w:rsid w:val="160A26DF"/>
    <w:rsid w:val="161C2B3E"/>
    <w:rsid w:val="162340FE"/>
    <w:rsid w:val="162E461F"/>
    <w:rsid w:val="16307D16"/>
    <w:rsid w:val="16321169"/>
    <w:rsid w:val="16375ECF"/>
    <w:rsid w:val="163A2FC4"/>
    <w:rsid w:val="163D2AB4"/>
    <w:rsid w:val="16421E79"/>
    <w:rsid w:val="16461969"/>
    <w:rsid w:val="164A7406"/>
    <w:rsid w:val="165322D8"/>
    <w:rsid w:val="16565924"/>
    <w:rsid w:val="1666025D"/>
    <w:rsid w:val="166A350D"/>
    <w:rsid w:val="16703FA4"/>
    <w:rsid w:val="1674297A"/>
    <w:rsid w:val="167A28F8"/>
    <w:rsid w:val="168C1346"/>
    <w:rsid w:val="168C1406"/>
    <w:rsid w:val="168D57EA"/>
    <w:rsid w:val="16922E00"/>
    <w:rsid w:val="169D3553"/>
    <w:rsid w:val="16A42B33"/>
    <w:rsid w:val="16AE750E"/>
    <w:rsid w:val="16AF0B11"/>
    <w:rsid w:val="16BE2F2D"/>
    <w:rsid w:val="16CC51F8"/>
    <w:rsid w:val="16D15681"/>
    <w:rsid w:val="16D50A79"/>
    <w:rsid w:val="16E318AE"/>
    <w:rsid w:val="16F13FCB"/>
    <w:rsid w:val="16F77107"/>
    <w:rsid w:val="16F969DB"/>
    <w:rsid w:val="16FD4C60"/>
    <w:rsid w:val="1706734A"/>
    <w:rsid w:val="171430F7"/>
    <w:rsid w:val="171B1048"/>
    <w:rsid w:val="171C5366"/>
    <w:rsid w:val="17253C74"/>
    <w:rsid w:val="1726179A"/>
    <w:rsid w:val="172D48D7"/>
    <w:rsid w:val="172D68A1"/>
    <w:rsid w:val="173A7518"/>
    <w:rsid w:val="17577BA6"/>
    <w:rsid w:val="176302F9"/>
    <w:rsid w:val="176819BD"/>
    <w:rsid w:val="17683B61"/>
    <w:rsid w:val="17701D14"/>
    <w:rsid w:val="17727FCB"/>
    <w:rsid w:val="17735226"/>
    <w:rsid w:val="1778268F"/>
    <w:rsid w:val="177B5642"/>
    <w:rsid w:val="17884203"/>
    <w:rsid w:val="17965A28"/>
    <w:rsid w:val="17A049AC"/>
    <w:rsid w:val="17AB21C3"/>
    <w:rsid w:val="17AB593A"/>
    <w:rsid w:val="17B44CBA"/>
    <w:rsid w:val="17BB18DD"/>
    <w:rsid w:val="17BF5E77"/>
    <w:rsid w:val="17C23271"/>
    <w:rsid w:val="17C4348D"/>
    <w:rsid w:val="17CC78C9"/>
    <w:rsid w:val="17CF61F3"/>
    <w:rsid w:val="17D52E9E"/>
    <w:rsid w:val="17E12CFD"/>
    <w:rsid w:val="17EC02EE"/>
    <w:rsid w:val="17EC4792"/>
    <w:rsid w:val="17F11DA8"/>
    <w:rsid w:val="17F378CF"/>
    <w:rsid w:val="18155A97"/>
    <w:rsid w:val="18245CDA"/>
    <w:rsid w:val="18322780"/>
    <w:rsid w:val="18354C7F"/>
    <w:rsid w:val="1853749C"/>
    <w:rsid w:val="185A5BA0"/>
    <w:rsid w:val="186631FE"/>
    <w:rsid w:val="186A6D5D"/>
    <w:rsid w:val="18707171"/>
    <w:rsid w:val="18711CE6"/>
    <w:rsid w:val="187F5606"/>
    <w:rsid w:val="18803FAF"/>
    <w:rsid w:val="18894B81"/>
    <w:rsid w:val="188E2BFB"/>
    <w:rsid w:val="189F624C"/>
    <w:rsid w:val="18A4506D"/>
    <w:rsid w:val="18A60DE5"/>
    <w:rsid w:val="18B3705E"/>
    <w:rsid w:val="18B56F15"/>
    <w:rsid w:val="18CB4E3B"/>
    <w:rsid w:val="18CE5C46"/>
    <w:rsid w:val="18D63B74"/>
    <w:rsid w:val="18DF42F7"/>
    <w:rsid w:val="18E611E1"/>
    <w:rsid w:val="18E67433"/>
    <w:rsid w:val="190653E0"/>
    <w:rsid w:val="190D676E"/>
    <w:rsid w:val="190E0FE9"/>
    <w:rsid w:val="19145D4E"/>
    <w:rsid w:val="191C4C03"/>
    <w:rsid w:val="19267132"/>
    <w:rsid w:val="192C753C"/>
    <w:rsid w:val="193208CA"/>
    <w:rsid w:val="193C1A16"/>
    <w:rsid w:val="194B54E8"/>
    <w:rsid w:val="19595E57"/>
    <w:rsid w:val="195B0648"/>
    <w:rsid w:val="195B397D"/>
    <w:rsid w:val="195E033A"/>
    <w:rsid w:val="196A401F"/>
    <w:rsid w:val="197131A1"/>
    <w:rsid w:val="197E3186"/>
    <w:rsid w:val="197F4070"/>
    <w:rsid w:val="19801636"/>
    <w:rsid w:val="198C2944"/>
    <w:rsid w:val="198D0D7D"/>
    <w:rsid w:val="19A1335A"/>
    <w:rsid w:val="19A63465"/>
    <w:rsid w:val="19B117EF"/>
    <w:rsid w:val="19B80DD0"/>
    <w:rsid w:val="19BB441C"/>
    <w:rsid w:val="19BF7323"/>
    <w:rsid w:val="19CB0E1D"/>
    <w:rsid w:val="19D92AF4"/>
    <w:rsid w:val="19D96F98"/>
    <w:rsid w:val="19DC4392"/>
    <w:rsid w:val="19E80F89"/>
    <w:rsid w:val="19EA4D01"/>
    <w:rsid w:val="19EB448F"/>
    <w:rsid w:val="1A023DF9"/>
    <w:rsid w:val="1A085187"/>
    <w:rsid w:val="1A0D7600"/>
    <w:rsid w:val="1A0F70F3"/>
    <w:rsid w:val="1A141D7E"/>
    <w:rsid w:val="1A1C66C0"/>
    <w:rsid w:val="1A1D50D7"/>
    <w:rsid w:val="1A255D39"/>
    <w:rsid w:val="1A344690"/>
    <w:rsid w:val="1A42393B"/>
    <w:rsid w:val="1A433152"/>
    <w:rsid w:val="1A48197F"/>
    <w:rsid w:val="1A51244B"/>
    <w:rsid w:val="1A512FD2"/>
    <w:rsid w:val="1A5B79AD"/>
    <w:rsid w:val="1A653FA7"/>
    <w:rsid w:val="1A6E774D"/>
    <w:rsid w:val="1A750A6F"/>
    <w:rsid w:val="1A761279"/>
    <w:rsid w:val="1A786742"/>
    <w:rsid w:val="1A7A42D7"/>
    <w:rsid w:val="1A7E726F"/>
    <w:rsid w:val="1A853331"/>
    <w:rsid w:val="1A8C0D28"/>
    <w:rsid w:val="1A8E7E75"/>
    <w:rsid w:val="1A9B0BEB"/>
    <w:rsid w:val="1AAD45DE"/>
    <w:rsid w:val="1AB070A4"/>
    <w:rsid w:val="1AC95288"/>
    <w:rsid w:val="1ACA3F7E"/>
    <w:rsid w:val="1ACD08AB"/>
    <w:rsid w:val="1AE620DC"/>
    <w:rsid w:val="1AFB72AE"/>
    <w:rsid w:val="1AFD2812"/>
    <w:rsid w:val="1B046F80"/>
    <w:rsid w:val="1B053760"/>
    <w:rsid w:val="1B0625C3"/>
    <w:rsid w:val="1B09565B"/>
    <w:rsid w:val="1B0F1840"/>
    <w:rsid w:val="1B124955"/>
    <w:rsid w:val="1B1262BE"/>
    <w:rsid w:val="1B176ECC"/>
    <w:rsid w:val="1B267FBB"/>
    <w:rsid w:val="1B281F85"/>
    <w:rsid w:val="1B2B3823"/>
    <w:rsid w:val="1B2E317A"/>
    <w:rsid w:val="1B2F50C2"/>
    <w:rsid w:val="1B3267B5"/>
    <w:rsid w:val="1B3C333B"/>
    <w:rsid w:val="1B3E3557"/>
    <w:rsid w:val="1B40161D"/>
    <w:rsid w:val="1B441859"/>
    <w:rsid w:val="1B4A1EFB"/>
    <w:rsid w:val="1B4F12C0"/>
    <w:rsid w:val="1B5C1C2F"/>
    <w:rsid w:val="1B5E1503"/>
    <w:rsid w:val="1B6606B1"/>
    <w:rsid w:val="1B6A2A2C"/>
    <w:rsid w:val="1B6C14DF"/>
    <w:rsid w:val="1B6D57DA"/>
    <w:rsid w:val="1B8371BB"/>
    <w:rsid w:val="1B8847D2"/>
    <w:rsid w:val="1B8B6070"/>
    <w:rsid w:val="1B9253AE"/>
    <w:rsid w:val="1BA07D6D"/>
    <w:rsid w:val="1BAF7FB0"/>
    <w:rsid w:val="1BCC3DE4"/>
    <w:rsid w:val="1BD27AAB"/>
    <w:rsid w:val="1BE85270"/>
    <w:rsid w:val="1BED17B1"/>
    <w:rsid w:val="1BF031F9"/>
    <w:rsid w:val="1BF64C65"/>
    <w:rsid w:val="1BFA2FC3"/>
    <w:rsid w:val="1C0227D6"/>
    <w:rsid w:val="1C081F69"/>
    <w:rsid w:val="1C1059AD"/>
    <w:rsid w:val="1C122152"/>
    <w:rsid w:val="1C1C4F1A"/>
    <w:rsid w:val="1C3109C5"/>
    <w:rsid w:val="1C370605"/>
    <w:rsid w:val="1C3B4690"/>
    <w:rsid w:val="1C4050AC"/>
    <w:rsid w:val="1C420E24"/>
    <w:rsid w:val="1C446F80"/>
    <w:rsid w:val="1C5E166A"/>
    <w:rsid w:val="1C5E7925"/>
    <w:rsid w:val="1C626DD1"/>
    <w:rsid w:val="1C646FED"/>
    <w:rsid w:val="1C6472AE"/>
    <w:rsid w:val="1C6A2129"/>
    <w:rsid w:val="1C753556"/>
    <w:rsid w:val="1C7B7E93"/>
    <w:rsid w:val="1C8A7821"/>
    <w:rsid w:val="1C8F0C6C"/>
    <w:rsid w:val="1C970DB1"/>
    <w:rsid w:val="1C9B0292"/>
    <w:rsid w:val="1C9E5329"/>
    <w:rsid w:val="1C9F1D17"/>
    <w:rsid w:val="1CA23671"/>
    <w:rsid w:val="1CCA0A73"/>
    <w:rsid w:val="1CDC2147"/>
    <w:rsid w:val="1CDE4B9F"/>
    <w:rsid w:val="1CE41EDC"/>
    <w:rsid w:val="1CF10155"/>
    <w:rsid w:val="1CF24667"/>
    <w:rsid w:val="1CF510A3"/>
    <w:rsid w:val="1CFD070F"/>
    <w:rsid w:val="1CFF6D16"/>
    <w:rsid w:val="1D214EDE"/>
    <w:rsid w:val="1D2A3BA7"/>
    <w:rsid w:val="1D33076D"/>
    <w:rsid w:val="1D464637"/>
    <w:rsid w:val="1D47773C"/>
    <w:rsid w:val="1D4961E3"/>
    <w:rsid w:val="1D526E45"/>
    <w:rsid w:val="1D5F6196"/>
    <w:rsid w:val="1D6132A5"/>
    <w:rsid w:val="1D6628F1"/>
    <w:rsid w:val="1D682B0D"/>
    <w:rsid w:val="1D8E56D5"/>
    <w:rsid w:val="1D9373E6"/>
    <w:rsid w:val="1D9C27B6"/>
    <w:rsid w:val="1DA84CB7"/>
    <w:rsid w:val="1DB16262"/>
    <w:rsid w:val="1DBF5BAD"/>
    <w:rsid w:val="1DC75A85"/>
    <w:rsid w:val="1DCA10D2"/>
    <w:rsid w:val="1DD45DD2"/>
    <w:rsid w:val="1DD71A40"/>
    <w:rsid w:val="1DD91D07"/>
    <w:rsid w:val="1DD957B9"/>
    <w:rsid w:val="1DF63C75"/>
    <w:rsid w:val="1E0B7051"/>
    <w:rsid w:val="1E116D00"/>
    <w:rsid w:val="1E2702D2"/>
    <w:rsid w:val="1E2A1B70"/>
    <w:rsid w:val="1E3E7C4F"/>
    <w:rsid w:val="1E5D18D8"/>
    <w:rsid w:val="1E5F5CBE"/>
    <w:rsid w:val="1E696B3C"/>
    <w:rsid w:val="1E7A43DA"/>
    <w:rsid w:val="1E870D71"/>
    <w:rsid w:val="1E872A71"/>
    <w:rsid w:val="1E8770D6"/>
    <w:rsid w:val="1E8C45D9"/>
    <w:rsid w:val="1E90231B"/>
    <w:rsid w:val="1E926CA8"/>
    <w:rsid w:val="1E990AA4"/>
    <w:rsid w:val="1E9A7771"/>
    <w:rsid w:val="1EAE454F"/>
    <w:rsid w:val="1EB3600A"/>
    <w:rsid w:val="1EBA1146"/>
    <w:rsid w:val="1EBC6B1F"/>
    <w:rsid w:val="1EBF0CFF"/>
    <w:rsid w:val="1EC024D4"/>
    <w:rsid w:val="1EC44754"/>
    <w:rsid w:val="1EC93137"/>
    <w:rsid w:val="1EC975DB"/>
    <w:rsid w:val="1ECC2C27"/>
    <w:rsid w:val="1ECE3F75"/>
    <w:rsid w:val="1ED02718"/>
    <w:rsid w:val="1ED84022"/>
    <w:rsid w:val="1EE05092"/>
    <w:rsid w:val="1EE12DE6"/>
    <w:rsid w:val="1EEC67B8"/>
    <w:rsid w:val="1EED151B"/>
    <w:rsid w:val="1EF60CD0"/>
    <w:rsid w:val="1F0F0C33"/>
    <w:rsid w:val="1F162AD1"/>
    <w:rsid w:val="1F1F71FB"/>
    <w:rsid w:val="1F316F2E"/>
    <w:rsid w:val="1F3C5FFF"/>
    <w:rsid w:val="1F446C62"/>
    <w:rsid w:val="1F494278"/>
    <w:rsid w:val="1F5426F5"/>
    <w:rsid w:val="1F543CF5"/>
    <w:rsid w:val="1F552C1D"/>
    <w:rsid w:val="1F613A9F"/>
    <w:rsid w:val="1F777037"/>
    <w:rsid w:val="1F7F413E"/>
    <w:rsid w:val="1F8C32B1"/>
    <w:rsid w:val="1F994BCD"/>
    <w:rsid w:val="1FBC7140"/>
    <w:rsid w:val="1FCC72D0"/>
    <w:rsid w:val="1FD06747"/>
    <w:rsid w:val="1FD46237"/>
    <w:rsid w:val="1FD60202"/>
    <w:rsid w:val="1FD9439E"/>
    <w:rsid w:val="1FE707E5"/>
    <w:rsid w:val="1FE7539E"/>
    <w:rsid w:val="1FED10A7"/>
    <w:rsid w:val="1FF16DE9"/>
    <w:rsid w:val="2015483D"/>
    <w:rsid w:val="201D2D1F"/>
    <w:rsid w:val="2031368A"/>
    <w:rsid w:val="20370F4A"/>
    <w:rsid w:val="205D622D"/>
    <w:rsid w:val="206375BB"/>
    <w:rsid w:val="20671BE0"/>
    <w:rsid w:val="2069535D"/>
    <w:rsid w:val="20715E21"/>
    <w:rsid w:val="20717F2A"/>
    <w:rsid w:val="2081406E"/>
    <w:rsid w:val="20825C93"/>
    <w:rsid w:val="20827A42"/>
    <w:rsid w:val="20926958"/>
    <w:rsid w:val="20963CB8"/>
    <w:rsid w:val="209B6D55"/>
    <w:rsid w:val="209D590E"/>
    <w:rsid w:val="20A57BD4"/>
    <w:rsid w:val="20A81A1B"/>
    <w:rsid w:val="20B07FB6"/>
    <w:rsid w:val="20B56069"/>
    <w:rsid w:val="20B646FB"/>
    <w:rsid w:val="20BB0BC7"/>
    <w:rsid w:val="20BD5F59"/>
    <w:rsid w:val="20C51B0E"/>
    <w:rsid w:val="20C77B4A"/>
    <w:rsid w:val="20CA13E8"/>
    <w:rsid w:val="20D07FE6"/>
    <w:rsid w:val="20D109C9"/>
    <w:rsid w:val="20D372DB"/>
    <w:rsid w:val="20D529C8"/>
    <w:rsid w:val="20DA787E"/>
    <w:rsid w:val="20E06D46"/>
    <w:rsid w:val="20F070A1"/>
    <w:rsid w:val="20F16975"/>
    <w:rsid w:val="20F43005"/>
    <w:rsid w:val="20FB77F4"/>
    <w:rsid w:val="21052421"/>
    <w:rsid w:val="21204701"/>
    <w:rsid w:val="2120725A"/>
    <w:rsid w:val="21224D81"/>
    <w:rsid w:val="21240AF9"/>
    <w:rsid w:val="21253199"/>
    <w:rsid w:val="212D20A3"/>
    <w:rsid w:val="212E5253"/>
    <w:rsid w:val="213608D5"/>
    <w:rsid w:val="2136219A"/>
    <w:rsid w:val="213B74B1"/>
    <w:rsid w:val="21415B4F"/>
    <w:rsid w:val="21470C8B"/>
    <w:rsid w:val="21552B06"/>
    <w:rsid w:val="215A2310"/>
    <w:rsid w:val="21690C01"/>
    <w:rsid w:val="216E6218"/>
    <w:rsid w:val="21717AB6"/>
    <w:rsid w:val="2173382E"/>
    <w:rsid w:val="217E28FF"/>
    <w:rsid w:val="21A12149"/>
    <w:rsid w:val="21B00675"/>
    <w:rsid w:val="21B5306A"/>
    <w:rsid w:val="21B7196D"/>
    <w:rsid w:val="21C43D85"/>
    <w:rsid w:val="21CA5B44"/>
    <w:rsid w:val="21CB71C6"/>
    <w:rsid w:val="21D459F9"/>
    <w:rsid w:val="21DE318A"/>
    <w:rsid w:val="21E169EA"/>
    <w:rsid w:val="21E8421C"/>
    <w:rsid w:val="21EA1D42"/>
    <w:rsid w:val="21EF5B80"/>
    <w:rsid w:val="21FE5C62"/>
    <w:rsid w:val="22087C6F"/>
    <w:rsid w:val="22244B28"/>
    <w:rsid w:val="222D1C2F"/>
    <w:rsid w:val="222D4935"/>
    <w:rsid w:val="222F07BD"/>
    <w:rsid w:val="222F3BF9"/>
    <w:rsid w:val="223C39BF"/>
    <w:rsid w:val="224D407F"/>
    <w:rsid w:val="224F7DF7"/>
    <w:rsid w:val="2257460A"/>
    <w:rsid w:val="22576990"/>
    <w:rsid w:val="225863F2"/>
    <w:rsid w:val="226118D9"/>
    <w:rsid w:val="22613274"/>
    <w:rsid w:val="22635651"/>
    <w:rsid w:val="22680EB9"/>
    <w:rsid w:val="226D755F"/>
    <w:rsid w:val="22835CF3"/>
    <w:rsid w:val="22910CB0"/>
    <w:rsid w:val="22981E0A"/>
    <w:rsid w:val="229E0D7F"/>
    <w:rsid w:val="22B10AB2"/>
    <w:rsid w:val="22C35EAF"/>
    <w:rsid w:val="22CB778D"/>
    <w:rsid w:val="22CE33D3"/>
    <w:rsid w:val="22CF0F38"/>
    <w:rsid w:val="22D14CB0"/>
    <w:rsid w:val="22DF561F"/>
    <w:rsid w:val="22E5075C"/>
    <w:rsid w:val="22E75880"/>
    <w:rsid w:val="22E83DA8"/>
    <w:rsid w:val="22EE34BB"/>
    <w:rsid w:val="22F47480"/>
    <w:rsid w:val="22F8093D"/>
    <w:rsid w:val="22F8223D"/>
    <w:rsid w:val="22F83FEB"/>
    <w:rsid w:val="22F92EA7"/>
    <w:rsid w:val="23031F0A"/>
    <w:rsid w:val="23047A11"/>
    <w:rsid w:val="2309269C"/>
    <w:rsid w:val="23103EFD"/>
    <w:rsid w:val="23164DB9"/>
    <w:rsid w:val="23166B67"/>
    <w:rsid w:val="231D1CA3"/>
    <w:rsid w:val="23290648"/>
    <w:rsid w:val="233174FD"/>
    <w:rsid w:val="23474F72"/>
    <w:rsid w:val="2359221F"/>
    <w:rsid w:val="235C6C70"/>
    <w:rsid w:val="235D6544"/>
    <w:rsid w:val="23751ADF"/>
    <w:rsid w:val="23757D31"/>
    <w:rsid w:val="237D73A1"/>
    <w:rsid w:val="23856442"/>
    <w:rsid w:val="238D507B"/>
    <w:rsid w:val="238F736E"/>
    <w:rsid w:val="23966EEA"/>
    <w:rsid w:val="23977CA8"/>
    <w:rsid w:val="23AC2838"/>
    <w:rsid w:val="23B05984"/>
    <w:rsid w:val="23C44815"/>
    <w:rsid w:val="23D06D16"/>
    <w:rsid w:val="23D31501"/>
    <w:rsid w:val="23DE1C48"/>
    <w:rsid w:val="23E1433B"/>
    <w:rsid w:val="23E55854"/>
    <w:rsid w:val="23EF2469"/>
    <w:rsid w:val="23F522EE"/>
    <w:rsid w:val="23FB1453"/>
    <w:rsid w:val="240210CD"/>
    <w:rsid w:val="24084702"/>
    <w:rsid w:val="24123284"/>
    <w:rsid w:val="24127AC4"/>
    <w:rsid w:val="242515DF"/>
    <w:rsid w:val="242552B4"/>
    <w:rsid w:val="24341D04"/>
    <w:rsid w:val="24380BEA"/>
    <w:rsid w:val="244054FC"/>
    <w:rsid w:val="24442916"/>
    <w:rsid w:val="244D0366"/>
    <w:rsid w:val="2450331E"/>
    <w:rsid w:val="245142FB"/>
    <w:rsid w:val="24683C5B"/>
    <w:rsid w:val="246851A0"/>
    <w:rsid w:val="246B4C91"/>
    <w:rsid w:val="246C4610"/>
    <w:rsid w:val="246E1F18"/>
    <w:rsid w:val="247B5098"/>
    <w:rsid w:val="24807432"/>
    <w:rsid w:val="24816262"/>
    <w:rsid w:val="248A2B54"/>
    <w:rsid w:val="248B7B1A"/>
    <w:rsid w:val="248C728E"/>
    <w:rsid w:val="24A501A2"/>
    <w:rsid w:val="24B324D0"/>
    <w:rsid w:val="24B45064"/>
    <w:rsid w:val="24B61093"/>
    <w:rsid w:val="24B65F0C"/>
    <w:rsid w:val="24B95A52"/>
    <w:rsid w:val="24BF09F7"/>
    <w:rsid w:val="24C83E91"/>
    <w:rsid w:val="24CD76F9"/>
    <w:rsid w:val="24D34D10"/>
    <w:rsid w:val="24E45DA7"/>
    <w:rsid w:val="24E61397"/>
    <w:rsid w:val="24E707BB"/>
    <w:rsid w:val="24EA11A8"/>
    <w:rsid w:val="24F50E8C"/>
    <w:rsid w:val="24FC6743"/>
    <w:rsid w:val="24FE24F0"/>
    <w:rsid w:val="250D053D"/>
    <w:rsid w:val="251D678D"/>
    <w:rsid w:val="252235A1"/>
    <w:rsid w:val="25236E94"/>
    <w:rsid w:val="252D53FE"/>
    <w:rsid w:val="25321BD9"/>
    <w:rsid w:val="253A6E09"/>
    <w:rsid w:val="253B299A"/>
    <w:rsid w:val="254C2D14"/>
    <w:rsid w:val="254E083A"/>
    <w:rsid w:val="25535E50"/>
    <w:rsid w:val="2554491A"/>
    <w:rsid w:val="25592D3B"/>
    <w:rsid w:val="255A0F8D"/>
    <w:rsid w:val="255E4103"/>
    <w:rsid w:val="255F47F5"/>
    <w:rsid w:val="2568667C"/>
    <w:rsid w:val="257D2ECD"/>
    <w:rsid w:val="258F5A9A"/>
    <w:rsid w:val="259326F1"/>
    <w:rsid w:val="259D3570"/>
    <w:rsid w:val="25CC351A"/>
    <w:rsid w:val="25DF37DF"/>
    <w:rsid w:val="25E20F82"/>
    <w:rsid w:val="25EB42DB"/>
    <w:rsid w:val="25EC2D81"/>
    <w:rsid w:val="25ED1E01"/>
    <w:rsid w:val="25F72C80"/>
    <w:rsid w:val="26025181"/>
    <w:rsid w:val="260D0749"/>
    <w:rsid w:val="2636704F"/>
    <w:rsid w:val="26373D44"/>
    <w:rsid w:val="263A2F04"/>
    <w:rsid w:val="26495B5B"/>
    <w:rsid w:val="264B6B28"/>
    <w:rsid w:val="2652698E"/>
    <w:rsid w:val="26661BB3"/>
    <w:rsid w:val="266A5519"/>
    <w:rsid w:val="267047E0"/>
    <w:rsid w:val="26727555"/>
    <w:rsid w:val="26773DC1"/>
    <w:rsid w:val="268B161A"/>
    <w:rsid w:val="268D7140"/>
    <w:rsid w:val="268F3578"/>
    <w:rsid w:val="269308AC"/>
    <w:rsid w:val="269F0C21"/>
    <w:rsid w:val="26A41361"/>
    <w:rsid w:val="26AE0144"/>
    <w:rsid w:val="26AF355A"/>
    <w:rsid w:val="26B162F5"/>
    <w:rsid w:val="26B40A03"/>
    <w:rsid w:val="26B9204F"/>
    <w:rsid w:val="26BD5C77"/>
    <w:rsid w:val="26C03072"/>
    <w:rsid w:val="26C50688"/>
    <w:rsid w:val="26D42FC1"/>
    <w:rsid w:val="26D66D39"/>
    <w:rsid w:val="26DD7C86"/>
    <w:rsid w:val="26DE5D97"/>
    <w:rsid w:val="26DF2C3F"/>
    <w:rsid w:val="26F40F6D"/>
    <w:rsid w:val="26F91C8F"/>
    <w:rsid w:val="27004421"/>
    <w:rsid w:val="270259F8"/>
    <w:rsid w:val="270278E7"/>
    <w:rsid w:val="270D7755"/>
    <w:rsid w:val="270F224B"/>
    <w:rsid w:val="271635D9"/>
    <w:rsid w:val="271F42F5"/>
    <w:rsid w:val="27225ADA"/>
    <w:rsid w:val="27233601"/>
    <w:rsid w:val="27281ED1"/>
    <w:rsid w:val="27346553"/>
    <w:rsid w:val="273612DB"/>
    <w:rsid w:val="273C2F55"/>
    <w:rsid w:val="273E2729"/>
    <w:rsid w:val="273F48DE"/>
    <w:rsid w:val="27545CC0"/>
    <w:rsid w:val="27604855"/>
    <w:rsid w:val="27642706"/>
    <w:rsid w:val="2769199A"/>
    <w:rsid w:val="276A6F9C"/>
    <w:rsid w:val="277057A2"/>
    <w:rsid w:val="277701EC"/>
    <w:rsid w:val="2778394C"/>
    <w:rsid w:val="27870033"/>
    <w:rsid w:val="278A123C"/>
    <w:rsid w:val="278C73F8"/>
    <w:rsid w:val="279462AC"/>
    <w:rsid w:val="27A209C9"/>
    <w:rsid w:val="27BC1792"/>
    <w:rsid w:val="27C7477A"/>
    <w:rsid w:val="27CF5E60"/>
    <w:rsid w:val="27D74B17"/>
    <w:rsid w:val="27DA4FCA"/>
    <w:rsid w:val="27DC13F0"/>
    <w:rsid w:val="27EC60E8"/>
    <w:rsid w:val="27F826EB"/>
    <w:rsid w:val="27FC68F0"/>
    <w:rsid w:val="28090A48"/>
    <w:rsid w:val="28111CB8"/>
    <w:rsid w:val="281A7247"/>
    <w:rsid w:val="28294F99"/>
    <w:rsid w:val="282D4176"/>
    <w:rsid w:val="28305FD5"/>
    <w:rsid w:val="28357A8F"/>
    <w:rsid w:val="28373807"/>
    <w:rsid w:val="283A50A6"/>
    <w:rsid w:val="283E7D0C"/>
    <w:rsid w:val="284101E2"/>
    <w:rsid w:val="28413440"/>
    <w:rsid w:val="28417B1C"/>
    <w:rsid w:val="284276C0"/>
    <w:rsid w:val="284D03D7"/>
    <w:rsid w:val="28506677"/>
    <w:rsid w:val="28520641"/>
    <w:rsid w:val="28582BE0"/>
    <w:rsid w:val="28722A91"/>
    <w:rsid w:val="28773CA1"/>
    <w:rsid w:val="2879797C"/>
    <w:rsid w:val="28841EF2"/>
    <w:rsid w:val="28861EB0"/>
    <w:rsid w:val="28893937"/>
    <w:rsid w:val="288D1679"/>
    <w:rsid w:val="289A78F2"/>
    <w:rsid w:val="289E4F72"/>
    <w:rsid w:val="28A349F9"/>
    <w:rsid w:val="28A36AB9"/>
    <w:rsid w:val="28A40771"/>
    <w:rsid w:val="28A54C15"/>
    <w:rsid w:val="28A864B3"/>
    <w:rsid w:val="28AD63A0"/>
    <w:rsid w:val="28B409B4"/>
    <w:rsid w:val="28B872A1"/>
    <w:rsid w:val="28BE433A"/>
    <w:rsid w:val="28C52BC1"/>
    <w:rsid w:val="28DE0127"/>
    <w:rsid w:val="28F11C08"/>
    <w:rsid w:val="28F811E9"/>
    <w:rsid w:val="29047EBC"/>
    <w:rsid w:val="29206EB8"/>
    <w:rsid w:val="293253E8"/>
    <w:rsid w:val="29347D47"/>
    <w:rsid w:val="293E5DCA"/>
    <w:rsid w:val="29421AD6"/>
    <w:rsid w:val="29475CCC"/>
    <w:rsid w:val="29521EA0"/>
    <w:rsid w:val="295250C8"/>
    <w:rsid w:val="29561E3C"/>
    <w:rsid w:val="29595666"/>
    <w:rsid w:val="295B1778"/>
    <w:rsid w:val="2961371B"/>
    <w:rsid w:val="296643D8"/>
    <w:rsid w:val="297B506E"/>
    <w:rsid w:val="29803CD8"/>
    <w:rsid w:val="298536B5"/>
    <w:rsid w:val="29874881"/>
    <w:rsid w:val="29916F47"/>
    <w:rsid w:val="299B499C"/>
    <w:rsid w:val="299D769A"/>
    <w:rsid w:val="299F4C7B"/>
    <w:rsid w:val="29A05952"/>
    <w:rsid w:val="29AD49D4"/>
    <w:rsid w:val="29B63E38"/>
    <w:rsid w:val="29C42E79"/>
    <w:rsid w:val="29D67050"/>
    <w:rsid w:val="29E325E0"/>
    <w:rsid w:val="29F14252"/>
    <w:rsid w:val="29FE7B47"/>
    <w:rsid w:val="2A097EDE"/>
    <w:rsid w:val="2A0E1DFA"/>
    <w:rsid w:val="2A1C0F07"/>
    <w:rsid w:val="2A3E2317"/>
    <w:rsid w:val="2A4346E5"/>
    <w:rsid w:val="2A452503"/>
    <w:rsid w:val="2A467D32"/>
    <w:rsid w:val="2A552199"/>
    <w:rsid w:val="2A5D507B"/>
    <w:rsid w:val="2A6B59EA"/>
    <w:rsid w:val="2A756BC7"/>
    <w:rsid w:val="2A787A01"/>
    <w:rsid w:val="2A7E11EF"/>
    <w:rsid w:val="2A95126D"/>
    <w:rsid w:val="2AB4113F"/>
    <w:rsid w:val="2ABA427C"/>
    <w:rsid w:val="2ABC3423"/>
    <w:rsid w:val="2ABF79A3"/>
    <w:rsid w:val="2AC82E3D"/>
    <w:rsid w:val="2ACF41CB"/>
    <w:rsid w:val="2AD210CD"/>
    <w:rsid w:val="2AD662EE"/>
    <w:rsid w:val="2AE412F9"/>
    <w:rsid w:val="2AE5754B"/>
    <w:rsid w:val="2AE97A83"/>
    <w:rsid w:val="2AED24C6"/>
    <w:rsid w:val="2AF83661"/>
    <w:rsid w:val="2AFF7566"/>
    <w:rsid w:val="2B013817"/>
    <w:rsid w:val="2B0D0D38"/>
    <w:rsid w:val="2B193698"/>
    <w:rsid w:val="2B1D5318"/>
    <w:rsid w:val="2B1E0CAF"/>
    <w:rsid w:val="2B1F25C2"/>
    <w:rsid w:val="2B2C49D8"/>
    <w:rsid w:val="2B2D2CA0"/>
    <w:rsid w:val="2B373B1E"/>
    <w:rsid w:val="2B3B360F"/>
    <w:rsid w:val="2B4104F9"/>
    <w:rsid w:val="2B4472E1"/>
    <w:rsid w:val="2B485D2C"/>
    <w:rsid w:val="2B4D50F0"/>
    <w:rsid w:val="2B5E7908"/>
    <w:rsid w:val="2B631F9F"/>
    <w:rsid w:val="2B6F32B8"/>
    <w:rsid w:val="2B726905"/>
    <w:rsid w:val="2B844FB6"/>
    <w:rsid w:val="2B925164"/>
    <w:rsid w:val="2BA74800"/>
    <w:rsid w:val="2BA936A8"/>
    <w:rsid w:val="2BB1567F"/>
    <w:rsid w:val="2BCC2D4B"/>
    <w:rsid w:val="2BD870AF"/>
    <w:rsid w:val="2BE01947"/>
    <w:rsid w:val="2BE03BB0"/>
    <w:rsid w:val="2BF533E7"/>
    <w:rsid w:val="2BFB4B4C"/>
    <w:rsid w:val="2BFD2672"/>
    <w:rsid w:val="2C0D3D8E"/>
    <w:rsid w:val="2C114269"/>
    <w:rsid w:val="2C131E96"/>
    <w:rsid w:val="2C1A76C8"/>
    <w:rsid w:val="2C1E6CCC"/>
    <w:rsid w:val="2C245E51"/>
    <w:rsid w:val="2C29368A"/>
    <w:rsid w:val="2C29790B"/>
    <w:rsid w:val="2C315A5A"/>
    <w:rsid w:val="2C33608E"/>
    <w:rsid w:val="2C3655AF"/>
    <w:rsid w:val="2C396FCF"/>
    <w:rsid w:val="2C424529"/>
    <w:rsid w:val="2C467225"/>
    <w:rsid w:val="2C492527"/>
    <w:rsid w:val="2C4B1C25"/>
    <w:rsid w:val="2C520C10"/>
    <w:rsid w:val="2C527DA2"/>
    <w:rsid w:val="2C66290D"/>
    <w:rsid w:val="2C67650C"/>
    <w:rsid w:val="2C6E41E1"/>
    <w:rsid w:val="2C785A0E"/>
    <w:rsid w:val="2C7F6617"/>
    <w:rsid w:val="2C8837FB"/>
    <w:rsid w:val="2C8D1001"/>
    <w:rsid w:val="2CA32B17"/>
    <w:rsid w:val="2CA93306"/>
    <w:rsid w:val="2CAC0E70"/>
    <w:rsid w:val="2CBA0563"/>
    <w:rsid w:val="2CBA6005"/>
    <w:rsid w:val="2CC118F2"/>
    <w:rsid w:val="2CC345EF"/>
    <w:rsid w:val="2CC413E2"/>
    <w:rsid w:val="2CD51841"/>
    <w:rsid w:val="2CDD4252"/>
    <w:rsid w:val="2CE117E4"/>
    <w:rsid w:val="2CFF57DD"/>
    <w:rsid w:val="2D1063D5"/>
    <w:rsid w:val="2D141D2F"/>
    <w:rsid w:val="2D197316"/>
    <w:rsid w:val="2D1A1B91"/>
    <w:rsid w:val="2D297497"/>
    <w:rsid w:val="2D39592C"/>
    <w:rsid w:val="2D3C47CE"/>
    <w:rsid w:val="2D452523"/>
    <w:rsid w:val="2D46629B"/>
    <w:rsid w:val="2D4C43EC"/>
    <w:rsid w:val="2D574004"/>
    <w:rsid w:val="2D5E66CC"/>
    <w:rsid w:val="2D727270"/>
    <w:rsid w:val="2D772123"/>
    <w:rsid w:val="2D7801B3"/>
    <w:rsid w:val="2D7C1CBC"/>
    <w:rsid w:val="2D8079FF"/>
    <w:rsid w:val="2D8868B3"/>
    <w:rsid w:val="2D8D5DD8"/>
    <w:rsid w:val="2D9D235F"/>
    <w:rsid w:val="2D9E56F5"/>
    <w:rsid w:val="2DA4664B"/>
    <w:rsid w:val="2DAE26E1"/>
    <w:rsid w:val="2DB03710"/>
    <w:rsid w:val="2DB11966"/>
    <w:rsid w:val="2DB15E8A"/>
    <w:rsid w:val="2DB43204"/>
    <w:rsid w:val="2DB85B51"/>
    <w:rsid w:val="2DBE1471"/>
    <w:rsid w:val="2DD13DB6"/>
    <w:rsid w:val="2DE9470A"/>
    <w:rsid w:val="2DF301D1"/>
    <w:rsid w:val="2DF64649"/>
    <w:rsid w:val="2DF83A39"/>
    <w:rsid w:val="2DFD77D0"/>
    <w:rsid w:val="2E075A2A"/>
    <w:rsid w:val="2E0833ED"/>
    <w:rsid w:val="2E084AD9"/>
    <w:rsid w:val="2E0B5AC1"/>
    <w:rsid w:val="2E0C222D"/>
    <w:rsid w:val="2E1078B5"/>
    <w:rsid w:val="2E141575"/>
    <w:rsid w:val="2E260CA3"/>
    <w:rsid w:val="2E262354"/>
    <w:rsid w:val="2E310CF9"/>
    <w:rsid w:val="2E447470"/>
    <w:rsid w:val="2E532A1D"/>
    <w:rsid w:val="2E644C2A"/>
    <w:rsid w:val="2E667F96"/>
    <w:rsid w:val="2E7A52A4"/>
    <w:rsid w:val="2E8226AB"/>
    <w:rsid w:val="2E861689"/>
    <w:rsid w:val="2E8838A9"/>
    <w:rsid w:val="2E91633E"/>
    <w:rsid w:val="2E9D1C0D"/>
    <w:rsid w:val="2EB03048"/>
    <w:rsid w:val="2EB31F63"/>
    <w:rsid w:val="2EB45BB2"/>
    <w:rsid w:val="2EBB06A6"/>
    <w:rsid w:val="2EBB3162"/>
    <w:rsid w:val="2EBC434A"/>
    <w:rsid w:val="2EBC6814"/>
    <w:rsid w:val="2EBD258D"/>
    <w:rsid w:val="2EC658E5"/>
    <w:rsid w:val="2EDF0755"/>
    <w:rsid w:val="2EF57F78"/>
    <w:rsid w:val="2EFF2BA5"/>
    <w:rsid w:val="2EFF7065"/>
    <w:rsid w:val="2F0106CB"/>
    <w:rsid w:val="2F032695"/>
    <w:rsid w:val="2F0361F1"/>
    <w:rsid w:val="2F05640D"/>
    <w:rsid w:val="2F097B4B"/>
    <w:rsid w:val="2F112E73"/>
    <w:rsid w:val="2F1403FE"/>
    <w:rsid w:val="2F256978"/>
    <w:rsid w:val="2F3565C7"/>
    <w:rsid w:val="2F36051C"/>
    <w:rsid w:val="2F406858"/>
    <w:rsid w:val="2F44456A"/>
    <w:rsid w:val="2F572ED3"/>
    <w:rsid w:val="2F5E78CC"/>
    <w:rsid w:val="2F642A08"/>
    <w:rsid w:val="2F6D7B0F"/>
    <w:rsid w:val="2F715851"/>
    <w:rsid w:val="2F7B4B0E"/>
    <w:rsid w:val="2F82274A"/>
    <w:rsid w:val="2F824CD4"/>
    <w:rsid w:val="2F8A06C1"/>
    <w:rsid w:val="2F963995"/>
    <w:rsid w:val="2F987D63"/>
    <w:rsid w:val="2F9A3429"/>
    <w:rsid w:val="2F9C21A2"/>
    <w:rsid w:val="2FAA2B11"/>
    <w:rsid w:val="2FB67708"/>
    <w:rsid w:val="2FBC25A1"/>
    <w:rsid w:val="2FC77388"/>
    <w:rsid w:val="2FD065E6"/>
    <w:rsid w:val="2FD602BF"/>
    <w:rsid w:val="2FD96870"/>
    <w:rsid w:val="2FDA7A94"/>
    <w:rsid w:val="2FDF1E0C"/>
    <w:rsid w:val="2FE222AB"/>
    <w:rsid w:val="2FEC4ED7"/>
    <w:rsid w:val="300466C5"/>
    <w:rsid w:val="3011493E"/>
    <w:rsid w:val="3011597F"/>
    <w:rsid w:val="301306B6"/>
    <w:rsid w:val="30191A45"/>
    <w:rsid w:val="30236579"/>
    <w:rsid w:val="302567CF"/>
    <w:rsid w:val="30275F10"/>
    <w:rsid w:val="30283CC0"/>
    <w:rsid w:val="302A24F4"/>
    <w:rsid w:val="30442F65"/>
    <w:rsid w:val="30466CDD"/>
    <w:rsid w:val="30474804"/>
    <w:rsid w:val="304B1C2B"/>
    <w:rsid w:val="304C1E1A"/>
    <w:rsid w:val="304E7940"/>
    <w:rsid w:val="305455D1"/>
    <w:rsid w:val="30580BC9"/>
    <w:rsid w:val="305D4040"/>
    <w:rsid w:val="306A02BB"/>
    <w:rsid w:val="306D53A2"/>
    <w:rsid w:val="307A0735"/>
    <w:rsid w:val="307F314F"/>
    <w:rsid w:val="30850E88"/>
    <w:rsid w:val="308C7A8B"/>
    <w:rsid w:val="309D61D2"/>
    <w:rsid w:val="30A73B89"/>
    <w:rsid w:val="30AA6AC3"/>
    <w:rsid w:val="30AD76C5"/>
    <w:rsid w:val="30B05F05"/>
    <w:rsid w:val="30C419B0"/>
    <w:rsid w:val="30C544DE"/>
    <w:rsid w:val="30E402A4"/>
    <w:rsid w:val="30E958BB"/>
    <w:rsid w:val="30EB2193"/>
    <w:rsid w:val="30F20743"/>
    <w:rsid w:val="30F954FA"/>
    <w:rsid w:val="30FD7BE4"/>
    <w:rsid w:val="310271F1"/>
    <w:rsid w:val="31097D0B"/>
    <w:rsid w:val="31101099"/>
    <w:rsid w:val="31197284"/>
    <w:rsid w:val="311E2ED7"/>
    <w:rsid w:val="31293F09"/>
    <w:rsid w:val="312E1520"/>
    <w:rsid w:val="31341A5B"/>
    <w:rsid w:val="31374878"/>
    <w:rsid w:val="314317CD"/>
    <w:rsid w:val="31462D0D"/>
    <w:rsid w:val="314D19A6"/>
    <w:rsid w:val="314D71F4"/>
    <w:rsid w:val="314F1BC2"/>
    <w:rsid w:val="31523460"/>
    <w:rsid w:val="315619EE"/>
    <w:rsid w:val="315C449C"/>
    <w:rsid w:val="316822DD"/>
    <w:rsid w:val="316A05FF"/>
    <w:rsid w:val="31705FC1"/>
    <w:rsid w:val="31741628"/>
    <w:rsid w:val="317433D6"/>
    <w:rsid w:val="31772EC7"/>
    <w:rsid w:val="31791556"/>
    <w:rsid w:val="317B34E1"/>
    <w:rsid w:val="31807FCD"/>
    <w:rsid w:val="31857392"/>
    <w:rsid w:val="3186310A"/>
    <w:rsid w:val="319C46DB"/>
    <w:rsid w:val="31A46478"/>
    <w:rsid w:val="31A7070D"/>
    <w:rsid w:val="31B1225D"/>
    <w:rsid w:val="31B639EF"/>
    <w:rsid w:val="31B77104"/>
    <w:rsid w:val="31B82709"/>
    <w:rsid w:val="31B97805"/>
    <w:rsid w:val="31BA656E"/>
    <w:rsid w:val="31BC1696"/>
    <w:rsid w:val="31CA1248"/>
    <w:rsid w:val="31D05482"/>
    <w:rsid w:val="31D10829"/>
    <w:rsid w:val="31D36CF7"/>
    <w:rsid w:val="31D70084"/>
    <w:rsid w:val="31E77411"/>
    <w:rsid w:val="3203475A"/>
    <w:rsid w:val="32036508"/>
    <w:rsid w:val="320A3D3B"/>
    <w:rsid w:val="32286055"/>
    <w:rsid w:val="322A7F39"/>
    <w:rsid w:val="322F2170"/>
    <w:rsid w:val="323636BE"/>
    <w:rsid w:val="323925D6"/>
    <w:rsid w:val="32400B34"/>
    <w:rsid w:val="324234D5"/>
    <w:rsid w:val="32472899"/>
    <w:rsid w:val="324A339B"/>
    <w:rsid w:val="324E00CB"/>
    <w:rsid w:val="324E3C27"/>
    <w:rsid w:val="32552373"/>
    <w:rsid w:val="32786EF6"/>
    <w:rsid w:val="328533C1"/>
    <w:rsid w:val="32863E13"/>
    <w:rsid w:val="32894C60"/>
    <w:rsid w:val="328E671A"/>
    <w:rsid w:val="32935ADE"/>
    <w:rsid w:val="32935F4F"/>
    <w:rsid w:val="32947BD3"/>
    <w:rsid w:val="32981347"/>
    <w:rsid w:val="329E6876"/>
    <w:rsid w:val="32AC4DF2"/>
    <w:rsid w:val="32AD754F"/>
    <w:rsid w:val="32B23188"/>
    <w:rsid w:val="32B2344D"/>
    <w:rsid w:val="32BD2D68"/>
    <w:rsid w:val="32C20633"/>
    <w:rsid w:val="32C30F5E"/>
    <w:rsid w:val="32C77F94"/>
    <w:rsid w:val="32C959A4"/>
    <w:rsid w:val="32D14858"/>
    <w:rsid w:val="32DF0D23"/>
    <w:rsid w:val="32E4788E"/>
    <w:rsid w:val="32F6289F"/>
    <w:rsid w:val="32F93915"/>
    <w:rsid w:val="3301513E"/>
    <w:rsid w:val="33163F42"/>
    <w:rsid w:val="331C5AD4"/>
    <w:rsid w:val="331F7372"/>
    <w:rsid w:val="332B3F69"/>
    <w:rsid w:val="333015F2"/>
    <w:rsid w:val="33370B5F"/>
    <w:rsid w:val="3342280B"/>
    <w:rsid w:val="334B6320"/>
    <w:rsid w:val="335334BF"/>
    <w:rsid w:val="335A65FC"/>
    <w:rsid w:val="33770F5C"/>
    <w:rsid w:val="337C3265"/>
    <w:rsid w:val="33833DA5"/>
    <w:rsid w:val="338D4C23"/>
    <w:rsid w:val="33953AD8"/>
    <w:rsid w:val="339903EC"/>
    <w:rsid w:val="33997B48"/>
    <w:rsid w:val="339B778A"/>
    <w:rsid w:val="33B112DE"/>
    <w:rsid w:val="33B73A4E"/>
    <w:rsid w:val="33C619A7"/>
    <w:rsid w:val="33C70135"/>
    <w:rsid w:val="33D53ED4"/>
    <w:rsid w:val="33D934D4"/>
    <w:rsid w:val="33DC34B5"/>
    <w:rsid w:val="33E12879"/>
    <w:rsid w:val="33F21521"/>
    <w:rsid w:val="33FE2F6A"/>
    <w:rsid w:val="340E07E5"/>
    <w:rsid w:val="3419336C"/>
    <w:rsid w:val="341B3FDD"/>
    <w:rsid w:val="34235BF7"/>
    <w:rsid w:val="34270BD4"/>
    <w:rsid w:val="34360E17"/>
    <w:rsid w:val="343B2752"/>
    <w:rsid w:val="34452E08"/>
    <w:rsid w:val="34473D81"/>
    <w:rsid w:val="3451510B"/>
    <w:rsid w:val="345530C9"/>
    <w:rsid w:val="345D45F6"/>
    <w:rsid w:val="346040E6"/>
    <w:rsid w:val="346C4839"/>
    <w:rsid w:val="346F60D7"/>
    <w:rsid w:val="34786D65"/>
    <w:rsid w:val="34845565"/>
    <w:rsid w:val="3488553B"/>
    <w:rsid w:val="348A6ADD"/>
    <w:rsid w:val="349017D8"/>
    <w:rsid w:val="34A00986"/>
    <w:rsid w:val="34A044E2"/>
    <w:rsid w:val="34AE292D"/>
    <w:rsid w:val="34B14942"/>
    <w:rsid w:val="34C44675"/>
    <w:rsid w:val="34CB7C0B"/>
    <w:rsid w:val="34CC3529"/>
    <w:rsid w:val="34CD6267"/>
    <w:rsid w:val="34CD748C"/>
    <w:rsid w:val="34D16B44"/>
    <w:rsid w:val="34DA19A7"/>
    <w:rsid w:val="34DA2C58"/>
    <w:rsid w:val="34EF5AD1"/>
    <w:rsid w:val="34FB46C2"/>
    <w:rsid w:val="34FD36E3"/>
    <w:rsid w:val="35042CC3"/>
    <w:rsid w:val="35082542"/>
    <w:rsid w:val="350C08BE"/>
    <w:rsid w:val="350C7DCA"/>
    <w:rsid w:val="3513447B"/>
    <w:rsid w:val="351C49CB"/>
    <w:rsid w:val="353D0C81"/>
    <w:rsid w:val="3547448A"/>
    <w:rsid w:val="35492DCC"/>
    <w:rsid w:val="354D08D2"/>
    <w:rsid w:val="355157DD"/>
    <w:rsid w:val="35584DBD"/>
    <w:rsid w:val="35624D04"/>
    <w:rsid w:val="35641B31"/>
    <w:rsid w:val="35677CB6"/>
    <w:rsid w:val="356C00B9"/>
    <w:rsid w:val="35736B2F"/>
    <w:rsid w:val="35747E49"/>
    <w:rsid w:val="35812566"/>
    <w:rsid w:val="35883CDB"/>
    <w:rsid w:val="358A4684"/>
    <w:rsid w:val="358A7C9F"/>
    <w:rsid w:val="358B6F41"/>
    <w:rsid w:val="358C5FA8"/>
    <w:rsid w:val="35987D06"/>
    <w:rsid w:val="35A1013E"/>
    <w:rsid w:val="35AF7046"/>
    <w:rsid w:val="35C15DF1"/>
    <w:rsid w:val="35C44201"/>
    <w:rsid w:val="35C54315"/>
    <w:rsid w:val="35C67F79"/>
    <w:rsid w:val="35E36D7D"/>
    <w:rsid w:val="35EF5721"/>
    <w:rsid w:val="35F83E9E"/>
    <w:rsid w:val="35F965A0"/>
    <w:rsid w:val="35FE67E5"/>
    <w:rsid w:val="36050AA1"/>
    <w:rsid w:val="36074A7F"/>
    <w:rsid w:val="360B0081"/>
    <w:rsid w:val="360D3DFA"/>
    <w:rsid w:val="360D630F"/>
    <w:rsid w:val="360E18DF"/>
    <w:rsid w:val="361433DA"/>
    <w:rsid w:val="36145188"/>
    <w:rsid w:val="361B1B0D"/>
    <w:rsid w:val="361C228F"/>
    <w:rsid w:val="361E1B63"/>
    <w:rsid w:val="362058DB"/>
    <w:rsid w:val="362D7FF8"/>
    <w:rsid w:val="3637518B"/>
    <w:rsid w:val="363B53DF"/>
    <w:rsid w:val="364517E5"/>
    <w:rsid w:val="364F4412"/>
    <w:rsid w:val="36507E0C"/>
    <w:rsid w:val="3651512A"/>
    <w:rsid w:val="365B6913"/>
    <w:rsid w:val="365C2D8C"/>
    <w:rsid w:val="365D0365"/>
    <w:rsid w:val="3660217B"/>
    <w:rsid w:val="36662AAD"/>
    <w:rsid w:val="366C6D72"/>
    <w:rsid w:val="36747D11"/>
    <w:rsid w:val="36782CE1"/>
    <w:rsid w:val="36785717"/>
    <w:rsid w:val="367D1C99"/>
    <w:rsid w:val="36826596"/>
    <w:rsid w:val="36857E34"/>
    <w:rsid w:val="36914A2B"/>
    <w:rsid w:val="3692068D"/>
    <w:rsid w:val="36923549"/>
    <w:rsid w:val="36981915"/>
    <w:rsid w:val="36987B67"/>
    <w:rsid w:val="36A06A1C"/>
    <w:rsid w:val="36A864C7"/>
    <w:rsid w:val="36AB56CE"/>
    <w:rsid w:val="36B75FBF"/>
    <w:rsid w:val="36BD0C45"/>
    <w:rsid w:val="36C2145E"/>
    <w:rsid w:val="36C56482"/>
    <w:rsid w:val="36CA1CEB"/>
    <w:rsid w:val="36CA5847"/>
    <w:rsid w:val="36CB704A"/>
    <w:rsid w:val="36CC482B"/>
    <w:rsid w:val="36D05553"/>
    <w:rsid w:val="36DA0180"/>
    <w:rsid w:val="36EA7C97"/>
    <w:rsid w:val="36F23231"/>
    <w:rsid w:val="36F60FCC"/>
    <w:rsid w:val="36F9612C"/>
    <w:rsid w:val="36FB00F6"/>
    <w:rsid w:val="36FD79CA"/>
    <w:rsid w:val="3705648E"/>
    <w:rsid w:val="370944C7"/>
    <w:rsid w:val="370B67E0"/>
    <w:rsid w:val="370F669F"/>
    <w:rsid w:val="37192788"/>
    <w:rsid w:val="373026BB"/>
    <w:rsid w:val="3733163E"/>
    <w:rsid w:val="37335AE2"/>
    <w:rsid w:val="37390C2F"/>
    <w:rsid w:val="373D24BC"/>
    <w:rsid w:val="37405B09"/>
    <w:rsid w:val="37517D16"/>
    <w:rsid w:val="37620175"/>
    <w:rsid w:val="376A384F"/>
    <w:rsid w:val="376F4F56"/>
    <w:rsid w:val="37755CB2"/>
    <w:rsid w:val="3784633D"/>
    <w:rsid w:val="3789092E"/>
    <w:rsid w:val="378A1A60"/>
    <w:rsid w:val="379E2857"/>
    <w:rsid w:val="37A147F9"/>
    <w:rsid w:val="37BC7885"/>
    <w:rsid w:val="37BD53AB"/>
    <w:rsid w:val="37C404E8"/>
    <w:rsid w:val="37C61224"/>
    <w:rsid w:val="37C9300B"/>
    <w:rsid w:val="37E00298"/>
    <w:rsid w:val="37E56DDC"/>
    <w:rsid w:val="37E868CC"/>
    <w:rsid w:val="37EA43F2"/>
    <w:rsid w:val="37EA4F24"/>
    <w:rsid w:val="37F25303"/>
    <w:rsid w:val="37F60FE9"/>
    <w:rsid w:val="38082ACA"/>
    <w:rsid w:val="3809216C"/>
    <w:rsid w:val="3817332C"/>
    <w:rsid w:val="38185EAC"/>
    <w:rsid w:val="381E22EE"/>
    <w:rsid w:val="382673F4"/>
    <w:rsid w:val="382B67B9"/>
    <w:rsid w:val="382F62A9"/>
    <w:rsid w:val="38392C84"/>
    <w:rsid w:val="383A256E"/>
    <w:rsid w:val="383F3657"/>
    <w:rsid w:val="38422C1B"/>
    <w:rsid w:val="384D672F"/>
    <w:rsid w:val="385201EA"/>
    <w:rsid w:val="3864475C"/>
    <w:rsid w:val="38765C86"/>
    <w:rsid w:val="387939C8"/>
    <w:rsid w:val="387E0FDF"/>
    <w:rsid w:val="387E2D8D"/>
    <w:rsid w:val="3882513D"/>
    <w:rsid w:val="388365F5"/>
    <w:rsid w:val="38860C91"/>
    <w:rsid w:val="38884DA4"/>
    <w:rsid w:val="388859B9"/>
    <w:rsid w:val="388F2F70"/>
    <w:rsid w:val="389600D6"/>
    <w:rsid w:val="38961E84"/>
    <w:rsid w:val="38991974"/>
    <w:rsid w:val="38995E18"/>
    <w:rsid w:val="38997BC6"/>
    <w:rsid w:val="389B5166"/>
    <w:rsid w:val="38AC3CFF"/>
    <w:rsid w:val="38AC5B4C"/>
    <w:rsid w:val="38B302F9"/>
    <w:rsid w:val="38C77FB9"/>
    <w:rsid w:val="38CB12D5"/>
    <w:rsid w:val="38CC7F9C"/>
    <w:rsid w:val="38CF5396"/>
    <w:rsid w:val="38D45631"/>
    <w:rsid w:val="38DE55D9"/>
    <w:rsid w:val="38EB256D"/>
    <w:rsid w:val="38EF191E"/>
    <w:rsid w:val="38F12CD3"/>
    <w:rsid w:val="38F8669B"/>
    <w:rsid w:val="38F94775"/>
    <w:rsid w:val="390E7466"/>
    <w:rsid w:val="39116875"/>
    <w:rsid w:val="391D07F7"/>
    <w:rsid w:val="391D4354"/>
    <w:rsid w:val="391F3F3A"/>
    <w:rsid w:val="39213C0B"/>
    <w:rsid w:val="39216897"/>
    <w:rsid w:val="39292CF8"/>
    <w:rsid w:val="392971ED"/>
    <w:rsid w:val="39317DFF"/>
    <w:rsid w:val="39325651"/>
    <w:rsid w:val="39396EC4"/>
    <w:rsid w:val="393B3C5A"/>
    <w:rsid w:val="393E3E02"/>
    <w:rsid w:val="393F42CA"/>
    <w:rsid w:val="3947398A"/>
    <w:rsid w:val="39483B33"/>
    <w:rsid w:val="3956276E"/>
    <w:rsid w:val="39587A5F"/>
    <w:rsid w:val="395D082E"/>
    <w:rsid w:val="395E1AD0"/>
    <w:rsid w:val="395F4958"/>
    <w:rsid w:val="39616936"/>
    <w:rsid w:val="39671A73"/>
    <w:rsid w:val="396E4BAF"/>
    <w:rsid w:val="3977257D"/>
    <w:rsid w:val="398118CC"/>
    <w:rsid w:val="3986639D"/>
    <w:rsid w:val="398B5761"/>
    <w:rsid w:val="39900FC9"/>
    <w:rsid w:val="39AC6244"/>
    <w:rsid w:val="39AF5FDE"/>
    <w:rsid w:val="39BF18AF"/>
    <w:rsid w:val="39C15B2A"/>
    <w:rsid w:val="39C96289"/>
    <w:rsid w:val="39CD7CFC"/>
    <w:rsid w:val="39DE1D35"/>
    <w:rsid w:val="39E74354"/>
    <w:rsid w:val="39EB26A4"/>
    <w:rsid w:val="39EE7DC0"/>
    <w:rsid w:val="39F258B2"/>
    <w:rsid w:val="39F72DF7"/>
    <w:rsid w:val="39F96B6F"/>
    <w:rsid w:val="39FE4185"/>
    <w:rsid w:val="3A0A215A"/>
    <w:rsid w:val="3A1044C2"/>
    <w:rsid w:val="3A1E65D5"/>
    <w:rsid w:val="3A2317DB"/>
    <w:rsid w:val="3A2B4E42"/>
    <w:rsid w:val="3A2B6F44"/>
    <w:rsid w:val="3A347BA7"/>
    <w:rsid w:val="3A377697"/>
    <w:rsid w:val="3A4B3142"/>
    <w:rsid w:val="3A6132E0"/>
    <w:rsid w:val="3A645BBF"/>
    <w:rsid w:val="3A647D60"/>
    <w:rsid w:val="3A686A7E"/>
    <w:rsid w:val="3A7E7241"/>
    <w:rsid w:val="3A804B9A"/>
    <w:rsid w:val="3A872856"/>
    <w:rsid w:val="3A8D23F6"/>
    <w:rsid w:val="3A9F49E0"/>
    <w:rsid w:val="3AA06FEA"/>
    <w:rsid w:val="3AAA1667"/>
    <w:rsid w:val="3AAC38BC"/>
    <w:rsid w:val="3AB24F6F"/>
    <w:rsid w:val="3AB4611D"/>
    <w:rsid w:val="3AB6680E"/>
    <w:rsid w:val="3ACC4A2B"/>
    <w:rsid w:val="3AD931A3"/>
    <w:rsid w:val="3ADA5906"/>
    <w:rsid w:val="3AE07D2F"/>
    <w:rsid w:val="3AEA4709"/>
    <w:rsid w:val="3AF235BE"/>
    <w:rsid w:val="3AF37A62"/>
    <w:rsid w:val="3AFE1F63"/>
    <w:rsid w:val="3B082DE1"/>
    <w:rsid w:val="3B1D2F01"/>
    <w:rsid w:val="3B225C51"/>
    <w:rsid w:val="3B2903B1"/>
    <w:rsid w:val="3B2976F1"/>
    <w:rsid w:val="3B36794F"/>
    <w:rsid w:val="3B3763D1"/>
    <w:rsid w:val="3B381919"/>
    <w:rsid w:val="3B39113B"/>
    <w:rsid w:val="3B4007CD"/>
    <w:rsid w:val="3B5129DA"/>
    <w:rsid w:val="3B556027"/>
    <w:rsid w:val="3B573492"/>
    <w:rsid w:val="3B583D69"/>
    <w:rsid w:val="3B6B445D"/>
    <w:rsid w:val="3B7566C9"/>
    <w:rsid w:val="3B8438B4"/>
    <w:rsid w:val="3B8763FC"/>
    <w:rsid w:val="3B92419E"/>
    <w:rsid w:val="3B9603ED"/>
    <w:rsid w:val="3B9823B7"/>
    <w:rsid w:val="3B9F6B70"/>
    <w:rsid w:val="3BA174BE"/>
    <w:rsid w:val="3BA66882"/>
    <w:rsid w:val="3BAD1C8A"/>
    <w:rsid w:val="3BAE3989"/>
    <w:rsid w:val="3BB23479"/>
    <w:rsid w:val="3BB46272"/>
    <w:rsid w:val="3BB645EB"/>
    <w:rsid w:val="3BC1190E"/>
    <w:rsid w:val="3BCF69FF"/>
    <w:rsid w:val="3BDF1D94"/>
    <w:rsid w:val="3BE21884"/>
    <w:rsid w:val="3BE64ED1"/>
    <w:rsid w:val="3BE70C49"/>
    <w:rsid w:val="3C0812EB"/>
    <w:rsid w:val="3C1852A6"/>
    <w:rsid w:val="3C2B6D87"/>
    <w:rsid w:val="3C2F6E1E"/>
    <w:rsid w:val="3C320116"/>
    <w:rsid w:val="3C38549C"/>
    <w:rsid w:val="3C387AAE"/>
    <w:rsid w:val="3C465856"/>
    <w:rsid w:val="3C4F64BA"/>
    <w:rsid w:val="3C591B47"/>
    <w:rsid w:val="3C5938F5"/>
    <w:rsid w:val="3C603026"/>
    <w:rsid w:val="3C6B187A"/>
    <w:rsid w:val="3C897F0F"/>
    <w:rsid w:val="3C8A7F52"/>
    <w:rsid w:val="3C9708C1"/>
    <w:rsid w:val="3C9963E7"/>
    <w:rsid w:val="3CA737D7"/>
    <w:rsid w:val="3CAB31D6"/>
    <w:rsid w:val="3CB52AF5"/>
    <w:rsid w:val="3CBA1FCF"/>
    <w:rsid w:val="3CC80EB2"/>
    <w:rsid w:val="3CCE5883"/>
    <w:rsid w:val="3CD63197"/>
    <w:rsid w:val="3CD92C87"/>
    <w:rsid w:val="3CDA245A"/>
    <w:rsid w:val="3CEF3F1E"/>
    <w:rsid w:val="3CEF6007"/>
    <w:rsid w:val="3CFB0E50"/>
    <w:rsid w:val="3D006466"/>
    <w:rsid w:val="3D0A4BEF"/>
    <w:rsid w:val="3D1130C9"/>
    <w:rsid w:val="3D1B6DFC"/>
    <w:rsid w:val="3D1C254B"/>
    <w:rsid w:val="3D1E06B7"/>
    <w:rsid w:val="3D2008B6"/>
    <w:rsid w:val="3D29776B"/>
    <w:rsid w:val="3D347EBE"/>
    <w:rsid w:val="3D3829F1"/>
    <w:rsid w:val="3D3A62D8"/>
    <w:rsid w:val="3D4072AC"/>
    <w:rsid w:val="3D506527"/>
    <w:rsid w:val="3D560569"/>
    <w:rsid w:val="3D5F13DF"/>
    <w:rsid w:val="3D632551"/>
    <w:rsid w:val="3D65451B"/>
    <w:rsid w:val="3D67016E"/>
    <w:rsid w:val="3D684847"/>
    <w:rsid w:val="3D691B62"/>
    <w:rsid w:val="3D7A7FC6"/>
    <w:rsid w:val="3D7D7AB7"/>
    <w:rsid w:val="3D7F5B69"/>
    <w:rsid w:val="3D8611EF"/>
    <w:rsid w:val="3D883E24"/>
    <w:rsid w:val="3D884009"/>
    <w:rsid w:val="3D8B6010"/>
    <w:rsid w:val="3D98044D"/>
    <w:rsid w:val="3DA45043"/>
    <w:rsid w:val="3DAD1691"/>
    <w:rsid w:val="3DAD3404"/>
    <w:rsid w:val="3DAE1A1E"/>
    <w:rsid w:val="3DB22A85"/>
    <w:rsid w:val="3DC456E6"/>
    <w:rsid w:val="3DC92CFC"/>
    <w:rsid w:val="3DEB4EDD"/>
    <w:rsid w:val="3DED6027"/>
    <w:rsid w:val="3DF97B11"/>
    <w:rsid w:val="3E014244"/>
    <w:rsid w:val="3E104487"/>
    <w:rsid w:val="3E23240C"/>
    <w:rsid w:val="3E287A22"/>
    <w:rsid w:val="3E2B7513"/>
    <w:rsid w:val="3E2D328B"/>
    <w:rsid w:val="3E3B1129"/>
    <w:rsid w:val="3E427218"/>
    <w:rsid w:val="3E510064"/>
    <w:rsid w:val="3E5B3EC1"/>
    <w:rsid w:val="3E636CAD"/>
    <w:rsid w:val="3E66054B"/>
    <w:rsid w:val="3E693B97"/>
    <w:rsid w:val="3E703D80"/>
    <w:rsid w:val="3E7843DA"/>
    <w:rsid w:val="3E86299B"/>
    <w:rsid w:val="3E970704"/>
    <w:rsid w:val="3EA11583"/>
    <w:rsid w:val="3EB017C6"/>
    <w:rsid w:val="3EBF3660"/>
    <w:rsid w:val="3EC040FF"/>
    <w:rsid w:val="3EDA0523"/>
    <w:rsid w:val="3EDE6333"/>
    <w:rsid w:val="3EE80F60"/>
    <w:rsid w:val="3EEC1527"/>
    <w:rsid w:val="3EEC4EF4"/>
    <w:rsid w:val="3EEF0540"/>
    <w:rsid w:val="3EF17A19"/>
    <w:rsid w:val="3F0044FB"/>
    <w:rsid w:val="3F022EF8"/>
    <w:rsid w:val="3F143BA5"/>
    <w:rsid w:val="3F18735D"/>
    <w:rsid w:val="3F317F68"/>
    <w:rsid w:val="3F3348D1"/>
    <w:rsid w:val="3F3B2034"/>
    <w:rsid w:val="3F3B2293"/>
    <w:rsid w:val="3F3D74FE"/>
    <w:rsid w:val="3F5E19DF"/>
    <w:rsid w:val="3F5F0BD5"/>
    <w:rsid w:val="3F6007E6"/>
    <w:rsid w:val="3F6825E9"/>
    <w:rsid w:val="3F6C7497"/>
    <w:rsid w:val="3F9D1D4A"/>
    <w:rsid w:val="3FA5475E"/>
    <w:rsid w:val="3FA6322C"/>
    <w:rsid w:val="3FAA26B9"/>
    <w:rsid w:val="3FB3156E"/>
    <w:rsid w:val="3FC4377B"/>
    <w:rsid w:val="3FC7326B"/>
    <w:rsid w:val="3FCD3D57"/>
    <w:rsid w:val="3FD13783"/>
    <w:rsid w:val="3FD85478"/>
    <w:rsid w:val="3FDF4AF7"/>
    <w:rsid w:val="400242A3"/>
    <w:rsid w:val="400503F5"/>
    <w:rsid w:val="400D3374"/>
    <w:rsid w:val="400F62C2"/>
    <w:rsid w:val="40153FD6"/>
    <w:rsid w:val="4024246B"/>
    <w:rsid w:val="40277FDB"/>
    <w:rsid w:val="402B37FA"/>
    <w:rsid w:val="40330524"/>
    <w:rsid w:val="40364F60"/>
    <w:rsid w:val="40375844"/>
    <w:rsid w:val="405014B2"/>
    <w:rsid w:val="405C1C05"/>
    <w:rsid w:val="40630A6C"/>
    <w:rsid w:val="40703903"/>
    <w:rsid w:val="407451A1"/>
    <w:rsid w:val="40796BE7"/>
    <w:rsid w:val="407A6407"/>
    <w:rsid w:val="40832DFB"/>
    <w:rsid w:val="408F2AA8"/>
    <w:rsid w:val="40A24042"/>
    <w:rsid w:val="40AD06B3"/>
    <w:rsid w:val="40BB2E9A"/>
    <w:rsid w:val="40C003E6"/>
    <w:rsid w:val="40D55514"/>
    <w:rsid w:val="40D75F52"/>
    <w:rsid w:val="40D774DE"/>
    <w:rsid w:val="40DE261A"/>
    <w:rsid w:val="40E1798C"/>
    <w:rsid w:val="40F621C4"/>
    <w:rsid w:val="41006A35"/>
    <w:rsid w:val="4105229D"/>
    <w:rsid w:val="41067DC3"/>
    <w:rsid w:val="41171FD0"/>
    <w:rsid w:val="412546ED"/>
    <w:rsid w:val="412638ED"/>
    <w:rsid w:val="412D5350"/>
    <w:rsid w:val="41306BEE"/>
    <w:rsid w:val="41330D5D"/>
    <w:rsid w:val="413606A8"/>
    <w:rsid w:val="413D1A37"/>
    <w:rsid w:val="413F04E4"/>
    <w:rsid w:val="414803DC"/>
    <w:rsid w:val="41481085"/>
    <w:rsid w:val="414C2F42"/>
    <w:rsid w:val="415F164C"/>
    <w:rsid w:val="41676AB4"/>
    <w:rsid w:val="417D5732"/>
    <w:rsid w:val="41923405"/>
    <w:rsid w:val="41A03D74"/>
    <w:rsid w:val="41A33D27"/>
    <w:rsid w:val="41AA2E44"/>
    <w:rsid w:val="41B33F1B"/>
    <w:rsid w:val="41BA6CCB"/>
    <w:rsid w:val="41BB0BAE"/>
    <w:rsid w:val="41BB6E00"/>
    <w:rsid w:val="41CC380A"/>
    <w:rsid w:val="41CD4292"/>
    <w:rsid w:val="41E873F6"/>
    <w:rsid w:val="41EF42DB"/>
    <w:rsid w:val="41F27A3D"/>
    <w:rsid w:val="41FD11C6"/>
    <w:rsid w:val="41FD2F74"/>
    <w:rsid w:val="4200449D"/>
    <w:rsid w:val="42022339"/>
    <w:rsid w:val="42026F12"/>
    <w:rsid w:val="4208159F"/>
    <w:rsid w:val="42102F2D"/>
    <w:rsid w:val="42193A6A"/>
    <w:rsid w:val="42246753"/>
    <w:rsid w:val="42277FF1"/>
    <w:rsid w:val="422A6FDF"/>
    <w:rsid w:val="422E75D1"/>
    <w:rsid w:val="42312C1E"/>
    <w:rsid w:val="4235270E"/>
    <w:rsid w:val="423A3BCC"/>
    <w:rsid w:val="424567FD"/>
    <w:rsid w:val="424E57D2"/>
    <w:rsid w:val="42641245"/>
    <w:rsid w:val="42664FBD"/>
    <w:rsid w:val="42714171"/>
    <w:rsid w:val="427174BE"/>
    <w:rsid w:val="428471F1"/>
    <w:rsid w:val="42864F1C"/>
    <w:rsid w:val="428E5496"/>
    <w:rsid w:val="42941572"/>
    <w:rsid w:val="42957651"/>
    <w:rsid w:val="42997ACA"/>
    <w:rsid w:val="42AD4959"/>
    <w:rsid w:val="42B26C49"/>
    <w:rsid w:val="42B34BC3"/>
    <w:rsid w:val="42B41B20"/>
    <w:rsid w:val="42B9371C"/>
    <w:rsid w:val="42CE7F3B"/>
    <w:rsid w:val="42D27778"/>
    <w:rsid w:val="42D71A17"/>
    <w:rsid w:val="42DA6A53"/>
    <w:rsid w:val="42DE2DA6"/>
    <w:rsid w:val="42E3660E"/>
    <w:rsid w:val="42F92D27"/>
    <w:rsid w:val="430B1A01"/>
    <w:rsid w:val="43122A4F"/>
    <w:rsid w:val="43270E5B"/>
    <w:rsid w:val="432D3D9A"/>
    <w:rsid w:val="43340C18"/>
    <w:rsid w:val="433A6FE6"/>
    <w:rsid w:val="433C56F1"/>
    <w:rsid w:val="43413334"/>
    <w:rsid w:val="43462E22"/>
    <w:rsid w:val="43480868"/>
    <w:rsid w:val="4349673C"/>
    <w:rsid w:val="434D3A87"/>
    <w:rsid w:val="4350713C"/>
    <w:rsid w:val="435412BA"/>
    <w:rsid w:val="435766B4"/>
    <w:rsid w:val="435C1F1C"/>
    <w:rsid w:val="43615785"/>
    <w:rsid w:val="43635059"/>
    <w:rsid w:val="43642B49"/>
    <w:rsid w:val="436653E0"/>
    <w:rsid w:val="436E55D2"/>
    <w:rsid w:val="436F7EA2"/>
    <w:rsid w:val="437454B8"/>
    <w:rsid w:val="438356FB"/>
    <w:rsid w:val="43864FE1"/>
    <w:rsid w:val="438C2802"/>
    <w:rsid w:val="4392593E"/>
    <w:rsid w:val="439356A2"/>
    <w:rsid w:val="43963731"/>
    <w:rsid w:val="43A10F2E"/>
    <w:rsid w:val="43A35F21"/>
    <w:rsid w:val="43AC4C52"/>
    <w:rsid w:val="43BC29BB"/>
    <w:rsid w:val="43C006FD"/>
    <w:rsid w:val="43C24475"/>
    <w:rsid w:val="43C4431A"/>
    <w:rsid w:val="43C55D14"/>
    <w:rsid w:val="43E9173C"/>
    <w:rsid w:val="43EA7528"/>
    <w:rsid w:val="44064FEB"/>
    <w:rsid w:val="441141A2"/>
    <w:rsid w:val="441B5933"/>
    <w:rsid w:val="4422118E"/>
    <w:rsid w:val="44254648"/>
    <w:rsid w:val="44352E99"/>
    <w:rsid w:val="443D139E"/>
    <w:rsid w:val="443D1D4E"/>
    <w:rsid w:val="443F7042"/>
    <w:rsid w:val="44450C02"/>
    <w:rsid w:val="44466E54"/>
    <w:rsid w:val="4447497A"/>
    <w:rsid w:val="445216D4"/>
    <w:rsid w:val="445A46AE"/>
    <w:rsid w:val="445E033A"/>
    <w:rsid w:val="44627A06"/>
    <w:rsid w:val="44654E01"/>
    <w:rsid w:val="44726589"/>
    <w:rsid w:val="44755079"/>
    <w:rsid w:val="447E61CC"/>
    <w:rsid w:val="44822BC8"/>
    <w:rsid w:val="448B7A5F"/>
    <w:rsid w:val="44A11F53"/>
    <w:rsid w:val="44A678F3"/>
    <w:rsid w:val="44A746D4"/>
    <w:rsid w:val="44B00772"/>
    <w:rsid w:val="44B951CC"/>
    <w:rsid w:val="44BC0EC5"/>
    <w:rsid w:val="44BD10DE"/>
    <w:rsid w:val="44C1472D"/>
    <w:rsid w:val="44C2239D"/>
    <w:rsid w:val="44CD14E0"/>
    <w:rsid w:val="44CE1986"/>
    <w:rsid w:val="44D02A19"/>
    <w:rsid w:val="44D35094"/>
    <w:rsid w:val="44DD0E3B"/>
    <w:rsid w:val="44E1092B"/>
    <w:rsid w:val="44E126D9"/>
    <w:rsid w:val="44E95A32"/>
    <w:rsid w:val="44EE0237"/>
    <w:rsid w:val="44EE3048"/>
    <w:rsid w:val="44F20B0B"/>
    <w:rsid w:val="44FC7FF2"/>
    <w:rsid w:val="44FE772F"/>
    <w:rsid w:val="45060CA3"/>
    <w:rsid w:val="450E7246"/>
    <w:rsid w:val="452A0524"/>
    <w:rsid w:val="452C56B4"/>
    <w:rsid w:val="452E5F4C"/>
    <w:rsid w:val="45321187"/>
    <w:rsid w:val="4537637C"/>
    <w:rsid w:val="4541586E"/>
    <w:rsid w:val="45490368"/>
    <w:rsid w:val="45575091"/>
    <w:rsid w:val="45612018"/>
    <w:rsid w:val="45615679"/>
    <w:rsid w:val="4565330A"/>
    <w:rsid w:val="456E3E5C"/>
    <w:rsid w:val="456F4189"/>
    <w:rsid w:val="45723C79"/>
    <w:rsid w:val="45765517"/>
    <w:rsid w:val="4585575A"/>
    <w:rsid w:val="4587615A"/>
    <w:rsid w:val="4589206F"/>
    <w:rsid w:val="458946E9"/>
    <w:rsid w:val="458A4B1F"/>
    <w:rsid w:val="459B6D2C"/>
    <w:rsid w:val="45A47C0E"/>
    <w:rsid w:val="45A959C8"/>
    <w:rsid w:val="45B918A8"/>
    <w:rsid w:val="45BB4C6F"/>
    <w:rsid w:val="45C344D5"/>
    <w:rsid w:val="45E76415"/>
    <w:rsid w:val="45E87A97"/>
    <w:rsid w:val="45F93B7A"/>
    <w:rsid w:val="45FC5788"/>
    <w:rsid w:val="46222FA9"/>
    <w:rsid w:val="463158E2"/>
    <w:rsid w:val="463552ED"/>
    <w:rsid w:val="463E3B5B"/>
    <w:rsid w:val="4646138E"/>
    <w:rsid w:val="46470C62"/>
    <w:rsid w:val="465025C4"/>
    <w:rsid w:val="46511AE0"/>
    <w:rsid w:val="46577FD6"/>
    <w:rsid w:val="465B1709"/>
    <w:rsid w:val="465B64BB"/>
    <w:rsid w:val="465E3EFC"/>
    <w:rsid w:val="466C2476"/>
    <w:rsid w:val="466E276A"/>
    <w:rsid w:val="4676240A"/>
    <w:rsid w:val="467947B1"/>
    <w:rsid w:val="467A2DE5"/>
    <w:rsid w:val="467F664E"/>
    <w:rsid w:val="469043B7"/>
    <w:rsid w:val="46957C1F"/>
    <w:rsid w:val="469B12D2"/>
    <w:rsid w:val="469C7200"/>
    <w:rsid w:val="469E0050"/>
    <w:rsid w:val="46A7512D"/>
    <w:rsid w:val="46B8390E"/>
    <w:rsid w:val="46B856BC"/>
    <w:rsid w:val="46BC32F1"/>
    <w:rsid w:val="46BF4C9C"/>
    <w:rsid w:val="46C10A14"/>
    <w:rsid w:val="46CD560B"/>
    <w:rsid w:val="46CF6E7E"/>
    <w:rsid w:val="46D955A7"/>
    <w:rsid w:val="46DB7844"/>
    <w:rsid w:val="46F10BCE"/>
    <w:rsid w:val="46FC37FA"/>
    <w:rsid w:val="47022DDB"/>
    <w:rsid w:val="470B3A79"/>
    <w:rsid w:val="47133957"/>
    <w:rsid w:val="47152B0E"/>
    <w:rsid w:val="47226FD9"/>
    <w:rsid w:val="47365C65"/>
    <w:rsid w:val="473A4323"/>
    <w:rsid w:val="4740402F"/>
    <w:rsid w:val="4743767B"/>
    <w:rsid w:val="474433F3"/>
    <w:rsid w:val="474C39E8"/>
    <w:rsid w:val="47550408"/>
    <w:rsid w:val="475A6773"/>
    <w:rsid w:val="475E0A4F"/>
    <w:rsid w:val="4760647F"/>
    <w:rsid w:val="47615D53"/>
    <w:rsid w:val="47653A95"/>
    <w:rsid w:val="476A366E"/>
    <w:rsid w:val="476B0561"/>
    <w:rsid w:val="477C0DDF"/>
    <w:rsid w:val="47812A0D"/>
    <w:rsid w:val="478B1022"/>
    <w:rsid w:val="478F466E"/>
    <w:rsid w:val="47A07E0C"/>
    <w:rsid w:val="47A877C9"/>
    <w:rsid w:val="47B769D0"/>
    <w:rsid w:val="47B83CA0"/>
    <w:rsid w:val="47BD16E7"/>
    <w:rsid w:val="47C02A7A"/>
    <w:rsid w:val="47C94945"/>
    <w:rsid w:val="47CA56A6"/>
    <w:rsid w:val="47D12ED9"/>
    <w:rsid w:val="47D53D81"/>
    <w:rsid w:val="47E349BA"/>
    <w:rsid w:val="47E66258"/>
    <w:rsid w:val="47E94C00"/>
    <w:rsid w:val="47ED75E7"/>
    <w:rsid w:val="47F91839"/>
    <w:rsid w:val="47F92050"/>
    <w:rsid w:val="48027536"/>
    <w:rsid w:val="48132FC6"/>
    <w:rsid w:val="481903DC"/>
    <w:rsid w:val="482E7B3D"/>
    <w:rsid w:val="483635A9"/>
    <w:rsid w:val="483E6094"/>
    <w:rsid w:val="4847487F"/>
    <w:rsid w:val="484F2050"/>
    <w:rsid w:val="485177A7"/>
    <w:rsid w:val="4860425D"/>
    <w:rsid w:val="4860600B"/>
    <w:rsid w:val="48614317"/>
    <w:rsid w:val="486763BD"/>
    <w:rsid w:val="48677399"/>
    <w:rsid w:val="486C0E54"/>
    <w:rsid w:val="486D5C93"/>
    <w:rsid w:val="4870272E"/>
    <w:rsid w:val="487B1097"/>
    <w:rsid w:val="488241D3"/>
    <w:rsid w:val="48853CC3"/>
    <w:rsid w:val="48855A71"/>
    <w:rsid w:val="48945CB4"/>
    <w:rsid w:val="489518A1"/>
    <w:rsid w:val="489839F7"/>
    <w:rsid w:val="48A24875"/>
    <w:rsid w:val="48A26623"/>
    <w:rsid w:val="48A310A3"/>
    <w:rsid w:val="48AC74A2"/>
    <w:rsid w:val="48BA509D"/>
    <w:rsid w:val="48C23BAB"/>
    <w:rsid w:val="48C60564"/>
    <w:rsid w:val="48C617AB"/>
    <w:rsid w:val="48CB3DCC"/>
    <w:rsid w:val="48D6451F"/>
    <w:rsid w:val="48DD58AD"/>
    <w:rsid w:val="48E50A71"/>
    <w:rsid w:val="48EA3B26"/>
    <w:rsid w:val="48F27216"/>
    <w:rsid w:val="48F7696F"/>
    <w:rsid w:val="48F843EA"/>
    <w:rsid w:val="48FA020D"/>
    <w:rsid w:val="49003E49"/>
    <w:rsid w:val="49033EF2"/>
    <w:rsid w:val="490A165B"/>
    <w:rsid w:val="49117305"/>
    <w:rsid w:val="49156DF5"/>
    <w:rsid w:val="4929037B"/>
    <w:rsid w:val="49290AF3"/>
    <w:rsid w:val="493354CD"/>
    <w:rsid w:val="49426F7A"/>
    <w:rsid w:val="494553E6"/>
    <w:rsid w:val="494871CB"/>
    <w:rsid w:val="49557B3A"/>
    <w:rsid w:val="496B2686"/>
    <w:rsid w:val="496D4E83"/>
    <w:rsid w:val="497011BF"/>
    <w:rsid w:val="49792496"/>
    <w:rsid w:val="49816239"/>
    <w:rsid w:val="4987288B"/>
    <w:rsid w:val="49875CC7"/>
    <w:rsid w:val="49A01F26"/>
    <w:rsid w:val="49A02311"/>
    <w:rsid w:val="49AA5DC0"/>
    <w:rsid w:val="49BE123B"/>
    <w:rsid w:val="49C00CFF"/>
    <w:rsid w:val="49C468B5"/>
    <w:rsid w:val="49CD147E"/>
    <w:rsid w:val="49CF51F6"/>
    <w:rsid w:val="49D00F6E"/>
    <w:rsid w:val="49D51540"/>
    <w:rsid w:val="49D95ED1"/>
    <w:rsid w:val="49DC7715"/>
    <w:rsid w:val="49E2334A"/>
    <w:rsid w:val="49ED1B20"/>
    <w:rsid w:val="49ED64CA"/>
    <w:rsid w:val="49F92273"/>
    <w:rsid w:val="49FD12F9"/>
    <w:rsid w:val="4A023139"/>
    <w:rsid w:val="4A0808F4"/>
    <w:rsid w:val="4A0A4F59"/>
    <w:rsid w:val="4A0C644A"/>
    <w:rsid w:val="4A0D21C2"/>
    <w:rsid w:val="4A0E210D"/>
    <w:rsid w:val="4A1068A8"/>
    <w:rsid w:val="4A111CB3"/>
    <w:rsid w:val="4A121228"/>
    <w:rsid w:val="4A201EF6"/>
    <w:rsid w:val="4A2A4B22"/>
    <w:rsid w:val="4A2A68D0"/>
    <w:rsid w:val="4A314103"/>
    <w:rsid w:val="4A355474"/>
    <w:rsid w:val="4A376E0C"/>
    <w:rsid w:val="4A394D65"/>
    <w:rsid w:val="4A3A24A8"/>
    <w:rsid w:val="4A3B0C1C"/>
    <w:rsid w:val="4A3B6D2F"/>
    <w:rsid w:val="4A471230"/>
    <w:rsid w:val="4A525E27"/>
    <w:rsid w:val="4A541479"/>
    <w:rsid w:val="4A745D9D"/>
    <w:rsid w:val="4A7B576F"/>
    <w:rsid w:val="4A7E6C1C"/>
    <w:rsid w:val="4A8E07F8"/>
    <w:rsid w:val="4A8F0E29"/>
    <w:rsid w:val="4A8F4FD1"/>
    <w:rsid w:val="4A90136E"/>
    <w:rsid w:val="4A934476"/>
    <w:rsid w:val="4A985F30"/>
    <w:rsid w:val="4A9C3BCC"/>
    <w:rsid w:val="4AA2290B"/>
    <w:rsid w:val="4AAE04A2"/>
    <w:rsid w:val="4ABA40F8"/>
    <w:rsid w:val="4ABB1C1E"/>
    <w:rsid w:val="4AD66D74"/>
    <w:rsid w:val="4ADB5E1D"/>
    <w:rsid w:val="4ADE751A"/>
    <w:rsid w:val="4AE64290"/>
    <w:rsid w:val="4AF561A9"/>
    <w:rsid w:val="4AF9419C"/>
    <w:rsid w:val="4AFA2747"/>
    <w:rsid w:val="4AFD2951"/>
    <w:rsid w:val="4AFD5D93"/>
    <w:rsid w:val="4B06387A"/>
    <w:rsid w:val="4B0C5FD6"/>
    <w:rsid w:val="4B182BCD"/>
    <w:rsid w:val="4B1A6945"/>
    <w:rsid w:val="4B1D01E3"/>
    <w:rsid w:val="4B2658D4"/>
    <w:rsid w:val="4B271062"/>
    <w:rsid w:val="4B321EE0"/>
    <w:rsid w:val="4B3869E1"/>
    <w:rsid w:val="4B3B61D9"/>
    <w:rsid w:val="4B3C6D18"/>
    <w:rsid w:val="4B3D2633"/>
    <w:rsid w:val="4B490FD8"/>
    <w:rsid w:val="4B4F0714"/>
    <w:rsid w:val="4B517E8D"/>
    <w:rsid w:val="4B571947"/>
    <w:rsid w:val="4B5A4F93"/>
    <w:rsid w:val="4B6033C8"/>
    <w:rsid w:val="4B683BBC"/>
    <w:rsid w:val="4B705CD4"/>
    <w:rsid w:val="4B7476E5"/>
    <w:rsid w:val="4B780219"/>
    <w:rsid w:val="4B7B4D7B"/>
    <w:rsid w:val="4B7C315C"/>
    <w:rsid w:val="4B7F49FA"/>
    <w:rsid w:val="4B800EFD"/>
    <w:rsid w:val="4B8E10E1"/>
    <w:rsid w:val="4B906C07"/>
    <w:rsid w:val="4B92472D"/>
    <w:rsid w:val="4B9E1324"/>
    <w:rsid w:val="4BA81AEE"/>
    <w:rsid w:val="4BAA6E0C"/>
    <w:rsid w:val="4BB02E05"/>
    <w:rsid w:val="4BB23021"/>
    <w:rsid w:val="4BC4643C"/>
    <w:rsid w:val="4BCA036B"/>
    <w:rsid w:val="4BCD40B9"/>
    <w:rsid w:val="4BFA006A"/>
    <w:rsid w:val="4C0373D9"/>
    <w:rsid w:val="4C1930A0"/>
    <w:rsid w:val="4C1D7300"/>
    <w:rsid w:val="4C213D03"/>
    <w:rsid w:val="4C23155C"/>
    <w:rsid w:val="4C2630C7"/>
    <w:rsid w:val="4C2D252F"/>
    <w:rsid w:val="4C453E95"/>
    <w:rsid w:val="4C4A0649"/>
    <w:rsid w:val="4C4A14AC"/>
    <w:rsid w:val="4C5365B2"/>
    <w:rsid w:val="4C5C2F8D"/>
    <w:rsid w:val="4C6A7458"/>
    <w:rsid w:val="4C787DC7"/>
    <w:rsid w:val="4C7E4CB1"/>
    <w:rsid w:val="4C7E5ECA"/>
    <w:rsid w:val="4C876AA5"/>
    <w:rsid w:val="4C8F5319"/>
    <w:rsid w:val="4C935908"/>
    <w:rsid w:val="4C9B1D07"/>
    <w:rsid w:val="4CA46E0E"/>
    <w:rsid w:val="4CA778DF"/>
    <w:rsid w:val="4CAC31FB"/>
    <w:rsid w:val="4CBF59F6"/>
    <w:rsid w:val="4CC13379"/>
    <w:rsid w:val="4CC25702"/>
    <w:rsid w:val="4CC65150"/>
    <w:rsid w:val="4CCB5097"/>
    <w:rsid w:val="4CF01817"/>
    <w:rsid w:val="4CF17B79"/>
    <w:rsid w:val="4CF65190"/>
    <w:rsid w:val="4CFA4C80"/>
    <w:rsid w:val="4D057102"/>
    <w:rsid w:val="4D0E00FB"/>
    <w:rsid w:val="4D10167A"/>
    <w:rsid w:val="4D176606"/>
    <w:rsid w:val="4D1847D0"/>
    <w:rsid w:val="4D2A6BE7"/>
    <w:rsid w:val="4D2B1051"/>
    <w:rsid w:val="4D333CEE"/>
    <w:rsid w:val="4D341877"/>
    <w:rsid w:val="4D537EEC"/>
    <w:rsid w:val="4D597F92"/>
    <w:rsid w:val="4D5A571F"/>
    <w:rsid w:val="4D626958"/>
    <w:rsid w:val="4D6754C5"/>
    <w:rsid w:val="4D68704A"/>
    <w:rsid w:val="4D782049"/>
    <w:rsid w:val="4D875DE8"/>
    <w:rsid w:val="4DA466C0"/>
    <w:rsid w:val="4DBC3EF9"/>
    <w:rsid w:val="4DC808DA"/>
    <w:rsid w:val="4DD7069B"/>
    <w:rsid w:val="4DE17BEE"/>
    <w:rsid w:val="4DEB5083"/>
    <w:rsid w:val="4DEC4FB0"/>
    <w:rsid w:val="4DEF40B9"/>
    <w:rsid w:val="4DF3347D"/>
    <w:rsid w:val="4E0004C9"/>
    <w:rsid w:val="4E075D8A"/>
    <w:rsid w:val="4E0F02B7"/>
    <w:rsid w:val="4E2142A9"/>
    <w:rsid w:val="4E3221F7"/>
    <w:rsid w:val="4E3B5E95"/>
    <w:rsid w:val="4E485577"/>
    <w:rsid w:val="4E4F2DA9"/>
    <w:rsid w:val="4E55787C"/>
    <w:rsid w:val="4E5E5E34"/>
    <w:rsid w:val="4E6F037D"/>
    <w:rsid w:val="4E7520E4"/>
    <w:rsid w:val="4E782781"/>
    <w:rsid w:val="4E796078"/>
    <w:rsid w:val="4E7B76FB"/>
    <w:rsid w:val="4E826828"/>
    <w:rsid w:val="4EA46ACB"/>
    <w:rsid w:val="4EA824BA"/>
    <w:rsid w:val="4EAC34B0"/>
    <w:rsid w:val="4EAD6B8D"/>
    <w:rsid w:val="4EB350E6"/>
    <w:rsid w:val="4EB66985"/>
    <w:rsid w:val="4EC00FAD"/>
    <w:rsid w:val="4EC372F3"/>
    <w:rsid w:val="4EC5306C"/>
    <w:rsid w:val="4ED432AF"/>
    <w:rsid w:val="4ED55B31"/>
    <w:rsid w:val="4ED67027"/>
    <w:rsid w:val="4EDD0AB8"/>
    <w:rsid w:val="4EDD4928"/>
    <w:rsid w:val="4EE07EA5"/>
    <w:rsid w:val="4EEB5BF7"/>
    <w:rsid w:val="4EF456FF"/>
    <w:rsid w:val="4EFA0F0B"/>
    <w:rsid w:val="4EFB2EC4"/>
    <w:rsid w:val="4F0A41E7"/>
    <w:rsid w:val="4F161B19"/>
    <w:rsid w:val="4F18763F"/>
    <w:rsid w:val="4F192E39"/>
    <w:rsid w:val="4F265262"/>
    <w:rsid w:val="4F3C208C"/>
    <w:rsid w:val="4F4764B2"/>
    <w:rsid w:val="4F4915A7"/>
    <w:rsid w:val="4F542EE9"/>
    <w:rsid w:val="4F563CC4"/>
    <w:rsid w:val="4F5703EE"/>
    <w:rsid w:val="4F602896"/>
    <w:rsid w:val="4F604F02"/>
    <w:rsid w:val="4F6D6A9E"/>
    <w:rsid w:val="4F72357B"/>
    <w:rsid w:val="4F86199C"/>
    <w:rsid w:val="4F917B91"/>
    <w:rsid w:val="4F9843DC"/>
    <w:rsid w:val="4FA40ED3"/>
    <w:rsid w:val="4FAE58AE"/>
    <w:rsid w:val="4FBD186C"/>
    <w:rsid w:val="4FC15F66"/>
    <w:rsid w:val="4FC62A8C"/>
    <w:rsid w:val="4FC66381"/>
    <w:rsid w:val="4FC6709B"/>
    <w:rsid w:val="4FD95020"/>
    <w:rsid w:val="4FE20F0D"/>
    <w:rsid w:val="4FE51552"/>
    <w:rsid w:val="4FEE6CAE"/>
    <w:rsid w:val="4FF84D7B"/>
    <w:rsid w:val="50083210"/>
    <w:rsid w:val="50151DD1"/>
    <w:rsid w:val="501726BA"/>
    <w:rsid w:val="5022081D"/>
    <w:rsid w:val="50262A12"/>
    <w:rsid w:val="502722A4"/>
    <w:rsid w:val="5035488A"/>
    <w:rsid w:val="50504C4B"/>
    <w:rsid w:val="505A11B1"/>
    <w:rsid w:val="505A77E4"/>
    <w:rsid w:val="505C7A00"/>
    <w:rsid w:val="50650662"/>
    <w:rsid w:val="506C1787"/>
    <w:rsid w:val="506F14E1"/>
    <w:rsid w:val="5076286F"/>
    <w:rsid w:val="50783C11"/>
    <w:rsid w:val="5080765E"/>
    <w:rsid w:val="508A631B"/>
    <w:rsid w:val="508B5BEF"/>
    <w:rsid w:val="50973224"/>
    <w:rsid w:val="509755BF"/>
    <w:rsid w:val="5099038C"/>
    <w:rsid w:val="509C6E7C"/>
    <w:rsid w:val="509E3B74"/>
    <w:rsid w:val="50A141CB"/>
    <w:rsid w:val="50AD025B"/>
    <w:rsid w:val="50B15E8C"/>
    <w:rsid w:val="50B45146"/>
    <w:rsid w:val="50BB64D4"/>
    <w:rsid w:val="50BD049E"/>
    <w:rsid w:val="50E33C7D"/>
    <w:rsid w:val="50E35A2B"/>
    <w:rsid w:val="50E517A3"/>
    <w:rsid w:val="50F35F21"/>
    <w:rsid w:val="50F97DF7"/>
    <w:rsid w:val="50FF3888"/>
    <w:rsid w:val="51002139"/>
    <w:rsid w:val="510734C7"/>
    <w:rsid w:val="51090DE6"/>
    <w:rsid w:val="511E4CB5"/>
    <w:rsid w:val="512A18AC"/>
    <w:rsid w:val="512F3DC2"/>
    <w:rsid w:val="513D671E"/>
    <w:rsid w:val="514A4593"/>
    <w:rsid w:val="51532BB1"/>
    <w:rsid w:val="5162104E"/>
    <w:rsid w:val="51730B5D"/>
    <w:rsid w:val="51791EEB"/>
    <w:rsid w:val="51862935"/>
    <w:rsid w:val="51912D1E"/>
    <w:rsid w:val="519F1952"/>
    <w:rsid w:val="51A52B12"/>
    <w:rsid w:val="51A60F32"/>
    <w:rsid w:val="51A770D1"/>
    <w:rsid w:val="51A90A23"/>
    <w:rsid w:val="51AB3D3B"/>
    <w:rsid w:val="51B1007D"/>
    <w:rsid w:val="51B66831"/>
    <w:rsid w:val="51B94A72"/>
    <w:rsid w:val="51C63383"/>
    <w:rsid w:val="51C66B19"/>
    <w:rsid w:val="51D610EC"/>
    <w:rsid w:val="51DD247A"/>
    <w:rsid w:val="51DD3FF8"/>
    <w:rsid w:val="51DF61F2"/>
    <w:rsid w:val="51E24306"/>
    <w:rsid w:val="51E9259B"/>
    <w:rsid w:val="51ED02F0"/>
    <w:rsid w:val="51EE22AD"/>
    <w:rsid w:val="51EE28D9"/>
    <w:rsid w:val="51F07EE3"/>
    <w:rsid w:val="51F9664C"/>
    <w:rsid w:val="51FC1DE3"/>
    <w:rsid w:val="51FD0995"/>
    <w:rsid w:val="520143BB"/>
    <w:rsid w:val="520D28A1"/>
    <w:rsid w:val="5215352B"/>
    <w:rsid w:val="52173BDE"/>
    <w:rsid w:val="52344790"/>
    <w:rsid w:val="52495D62"/>
    <w:rsid w:val="524A1938"/>
    <w:rsid w:val="525C3CE7"/>
    <w:rsid w:val="526133D5"/>
    <w:rsid w:val="526E5CBC"/>
    <w:rsid w:val="52770B21"/>
    <w:rsid w:val="527D1FEA"/>
    <w:rsid w:val="52950FA7"/>
    <w:rsid w:val="5295488A"/>
    <w:rsid w:val="52974D1F"/>
    <w:rsid w:val="52A35472"/>
    <w:rsid w:val="52B15DE1"/>
    <w:rsid w:val="52B70F1D"/>
    <w:rsid w:val="52C60024"/>
    <w:rsid w:val="52D30BE7"/>
    <w:rsid w:val="52DE46FC"/>
    <w:rsid w:val="52E066C6"/>
    <w:rsid w:val="52E23E82"/>
    <w:rsid w:val="53080B30"/>
    <w:rsid w:val="53146370"/>
    <w:rsid w:val="531620E8"/>
    <w:rsid w:val="5325734E"/>
    <w:rsid w:val="532C36B9"/>
    <w:rsid w:val="53310CD0"/>
    <w:rsid w:val="53346A12"/>
    <w:rsid w:val="533E4B1C"/>
    <w:rsid w:val="534A7FE3"/>
    <w:rsid w:val="534F27E1"/>
    <w:rsid w:val="5351758E"/>
    <w:rsid w:val="53542C10"/>
    <w:rsid w:val="53566988"/>
    <w:rsid w:val="53582700"/>
    <w:rsid w:val="53585719"/>
    <w:rsid w:val="53590226"/>
    <w:rsid w:val="53673A3C"/>
    <w:rsid w:val="536A5B44"/>
    <w:rsid w:val="536E5A80"/>
    <w:rsid w:val="536F35A6"/>
    <w:rsid w:val="53706852"/>
    <w:rsid w:val="53762B86"/>
    <w:rsid w:val="537B24E8"/>
    <w:rsid w:val="538232D9"/>
    <w:rsid w:val="538C4808"/>
    <w:rsid w:val="53933738"/>
    <w:rsid w:val="539D6365"/>
    <w:rsid w:val="53A01AB1"/>
    <w:rsid w:val="53A039CC"/>
    <w:rsid w:val="53A1505A"/>
    <w:rsid w:val="53A158CC"/>
    <w:rsid w:val="53A27141"/>
    <w:rsid w:val="53A414A2"/>
    <w:rsid w:val="53AF7E46"/>
    <w:rsid w:val="53B3136E"/>
    <w:rsid w:val="53B611D5"/>
    <w:rsid w:val="53B90038"/>
    <w:rsid w:val="53BD6A07"/>
    <w:rsid w:val="53C02053"/>
    <w:rsid w:val="53C07DDC"/>
    <w:rsid w:val="53C3158E"/>
    <w:rsid w:val="53D77A4C"/>
    <w:rsid w:val="53E43F94"/>
    <w:rsid w:val="53E47207"/>
    <w:rsid w:val="53EF7D0D"/>
    <w:rsid w:val="54063E08"/>
    <w:rsid w:val="540D56D8"/>
    <w:rsid w:val="540F1ACD"/>
    <w:rsid w:val="54102FDB"/>
    <w:rsid w:val="54183C3E"/>
    <w:rsid w:val="542D593B"/>
    <w:rsid w:val="543437E8"/>
    <w:rsid w:val="543B5757"/>
    <w:rsid w:val="543B5F1F"/>
    <w:rsid w:val="544762D1"/>
    <w:rsid w:val="5450087B"/>
    <w:rsid w:val="54556C40"/>
    <w:rsid w:val="545A7E39"/>
    <w:rsid w:val="54624B90"/>
    <w:rsid w:val="546314A0"/>
    <w:rsid w:val="5474484E"/>
    <w:rsid w:val="54840371"/>
    <w:rsid w:val="548412D3"/>
    <w:rsid w:val="548A4B3B"/>
    <w:rsid w:val="549870A0"/>
    <w:rsid w:val="549A0AF6"/>
    <w:rsid w:val="549F610D"/>
    <w:rsid w:val="54A035C0"/>
    <w:rsid w:val="54A0435F"/>
    <w:rsid w:val="54A23E3E"/>
    <w:rsid w:val="54A61249"/>
    <w:rsid w:val="54B03E76"/>
    <w:rsid w:val="54B27BEE"/>
    <w:rsid w:val="54B41297"/>
    <w:rsid w:val="54C811C0"/>
    <w:rsid w:val="54CF13D6"/>
    <w:rsid w:val="54D65A5F"/>
    <w:rsid w:val="54DD0C3B"/>
    <w:rsid w:val="54E029AD"/>
    <w:rsid w:val="54EA1131"/>
    <w:rsid w:val="54EA4F99"/>
    <w:rsid w:val="54F73313"/>
    <w:rsid w:val="54F80955"/>
    <w:rsid w:val="550146D2"/>
    <w:rsid w:val="55052414"/>
    <w:rsid w:val="550C2012"/>
    <w:rsid w:val="5513494D"/>
    <w:rsid w:val="551408A9"/>
    <w:rsid w:val="551B39E5"/>
    <w:rsid w:val="551C775D"/>
    <w:rsid w:val="55236D3E"/>
    <w:rsid w:val="552503C0"/>
    <w:rsid w:val="55313209"/>
    <w:rsid w:val="554A42CB"/>
    <w:rsid w:val="554F368F"/>
    <w:rsid w:val="555170A7"/>
    <w:rsid w:val="555B0286"/>
    <w:rsid w:val="555F4030"/>
    <w:rsid w:val="556709D9"/>
    <w:rsid w:val="556841B1"/>
    <w:rsid w:val="55705959"/>
    <w:rsid w:val="55747599"/>
    <w:rsid w:val="557C3038"/>
    <w:rsid w:val="557C5C3A"/>
    <w:rsid w:val="5587536D"/>
    <w:rsid w:val="55911EF9"/>
    <w:rsid w:val="559B174B"/>
    <w:rsid w:val="559B4B26"/>
    <w:rsid w:val="55AD0466"/>
    <w:rsid w:val="55B31E70"/>
    <w:rsid w:val="55BB197F"/>
    <w:rsid w:val="55BF08AF"/>
    <w:rsid w:val="55C0633B"/>
    <w:rsid w:val="55C537BC"/>
    <w:rsid w:val="55CA71B9"/>
    <w:rsid w:val="55CE0A58"/>
    <w:rsid w:val="55CE0CF4"/>
    <w:rsid w:val="55DF2C65"/>
    <w:rsid w:val="55E112DF"/>
    <w:rsid w:val="55E24503"/>
    <w:rsid w:val="55E464CD"/>
    <w:rsid w:val="55E6205E"/>
    <w:rsid w:val="55E814C7"/>
    <w:rsid w:val="56076A84"/>
    <w:rsid w:val="560B3A5A"/>
    <w:rsid w:val="560C5B61"/>
    <w:rsid w:val="56116B96"/>
    <w:rsid w:val="561D553B"/>
    <w:rsid w:val="562403AC"/>
    <w:rsid w:val="56287855"/>
    <w:rsid w:val="562C277F"/>
    <w:rsid w:val="564231F4"/>
    <w:rsid w:val="56426CE9"/>
    <w:rsid w:val="564337C1"/>
    <w:rsid w:val="56436DEA"/>
    <w:rsid w:val="56504B81"/>
    <w:rsid w:val="566329DD"/>
    <w:rsid w:val="56737851"/>
    <w:rsid w:val="567D65E2"/>
    <w:rsid w:val="56813C89"/>
    <w:rsid w:val="56850191"/>
    <w:rsid w:val="569577C7"/>
    <w:rsid w:val="569B1F10"/>
    <w:rsid w:val="56B22A9C"/>
    <w:rsid w:val="56C80134"/>
    <w:rsid w:val="56CC38D1"/>
    <w:rsid w:val="56D13F4F"/>
    <w:rsid w:val="56DC7907"/>
    <w:rsid w:val="56E0560F"/>
    <w:rsid w:val="56E115BC"/>
    <w:rsid w:val="56E12A0D"/>
    <w:rsid w:val="56ED315F"/>
    <w:rsid w:val="56F444EE"/>
    <w:rsid w:val="56FB3ACE"/>
    <w:rsid w:val="570010E5"/>
    <w:rsid w:val="57052503"/>
    <w:rsid w:val="57081D47"/>
    <w:rsid w:val="570B328C"/>
    <w:rsid w:val="570E068D"/>
    <w:rsid w:val="571526B6"/>
    <w:rsid w:val="57160908"/>
    <w:rsid w:val="572639BB"/>
    <w:rsid w:val="572708DF"/>
    <w:rsid w:val="572A43B4"/>
    <w:rsid w:val="572A6162"/>
    <w:rsid w:val="5744738A"/>
    <w:rsid w:val="574B60D8"/>
    <w:rsid w:val="574D3BFE"/>
    <w:rsid w:val="575219FE"/>
    <w:rsid w:val="575C02E5"/>
    <w:rsid w:val="57686C8A"/>
    <w:rsid w:val="577A3835"/>
    <w:rsid w:val="577D2735"/>
    <w:rsid w:val="57833AC4"/>
    <w:rsid w:val="578641E7"/>
    <w:rsid w:val="57875362"/>
    <w:rsid w:val="57945CD1"/>
    <w:rsid w:val="5797131D"/>
    <w:rsid w:val="579E73BA"/>
    <w:rsid w:val="57B10631"/>
    <w:rsid w:val="57B72A76"/>
    <w:rsid w:val="57B8376D"/>
    <w:rsid w:val="57BF2D4E"/>
    <w:rsid w:val="57C00D3D"/>
    <w:rsid w:val="57C3426C"/>
    <w:rsid w:val="57C540DC"/>
    <w:rsid w:val="57CE1F93"/>
    <w:rsid w:val="57DA3E98"/>
    <w:rsid w:val="57DD1426"/>
    <w:rsid w:val="57E722A5"/>
    <w:rsid w:val="57F624E8"/>
    <w:rsid w:val="580170AE"/>
    <w:rsid w:val="5805272B"/>
    <w:rsid w:val="581F559B"/>
    <w:rsid w:val="58207565"/>
    <w:rsid w:val="58207580"/>
    <w:rsid w:val="583125FC"/>
    <w:rsid w:val="58323126"/>
    <w:rsid w:val="58353010"/>
    <w:rsid w:val="58365C18"/>
    <w:rsid w:val="58410767"/>
    <w:rsid w:val="5847689F"/>
    <w:rsid w:val="58496ABB"/>
    <w:rsid w:val="584B2834"/>
    <w:rsid w:val="58523BC2"/>
    <w:rsid w:val="585D60C3"/>
    <w:rsid w:val="587238D7"/>
    <w:rsid w:val="5874533D"/>
    <w:rsid w:val="58762279"/>
    <w:rsid w:val="588743D1"/>
    <w:rsid w:val="5887701A"/>
    <w:rsid w:val="589C4E3D"/>
    <w:rsid w:val="58A91308"/>
    <w:rsid w:val="58AF57EB"/>
    <w:rsid w:val="58BA79EE"/>
    <w:rsid w:val="58C12AF6"/>
    <w:rsid w:val="58D3390B"/>
    <w:rsid w:val="58D90FCC"/>
    <w:rsid w:val="58E13419"/>
    <w:rsid w:val="58E93DFA"/>
    <w:rsid w:val="58EB1921"/>
    <w:rsid w:val="58F033DB"/>
    <w:rsid w:val="58F9403E"/>
    <w:rsid w:val="58FC1D80"/>
    <w:rsid w:val="59000F50"/>
    <w:rsid w:val="59124E75"/>
    <w:rsid w:val="5918713B"/>
    <w:rsid w:val="59217A0E"/>
    <w:rsid w:val="592724B7"/>
    <w:rsid w:val="592B7F6F"/>
    <w:rsid w:val="593B4656"/>
    <w:rsid w:val="593C03CE"/>
    <w:rsid w:val="59406867"/>
    <w:rsid w:val="59411541"/>
    <w:rsid w:val="594352B9"/>
    <w:rsid w:val="5947124D"/>
    <w:rsid w:val="59605937"/>
    <w:rsid w:val="596272F3"/>
    <w:rsid w:val="5966544B"/>
    <w:rsid w:val="59747B68"/>
    <w:rsid w:val="599B3347"/>
    <w:rsid w:val="599C0826"/>
    <w:rsid w:val="59A2321A"/>
    <w:rsid w:val="59A553E9"/>
    <w:rsid w:val="59A87812"/>
    <w:rsid w:val="59AD0472"/>
    <w:rsid w:val="59B127F2"/>
    <w:rsid w:val="59B30690"/>
    <w:rsid w:val="59B3542F"/>
    <w:rsid w:val="59B5219E"/>
    <w:rsid w:val="59BC5A1F"/>
    <w:rsid w:val="59BE7035"/>
    <w:rsid w:val="59C0439F"/>
    <w:rsid w:val="59C26B25"/>
    <w:rsid w:val="59CA6EEF"/>
    <w:rsid w:val="59CA7788"/>
    <w:rsid w:val="59CD1026"/>
    <w:rsid w:val="59D32AE1"/>
    <w:rsid w:val="59D4740C"/>
    <w:rsid w:val="59DC7538"/>
    <w:rsid w:val="59DF76D7"/>
    <w:rsid w:val="59F40CA9"/>
    <w:rsid w:val="59F42A57"/>
    <w:rsid w:val="5A105AE3"/>
    <w:rsid w:val="5A144EA7"/>
    <w:rsid w:val="5A146C55"/>
    <w:rsid w:val="5A1A51A1"/>
    <w:rsid w:val="5A1A657A"/>
    <w:rsid w:val="5A1D5E3A"/>
    <w:rsid w:val="5A2275C4"/>
    <w:rsid w:val="5A252C10"/>
    <w:rsid w:val="5A2A3575"/>
    <w:rsid w:val="5A2C21F1"/>
    <w:rsid w:val="5A3F0176"/>
    <w:rsid w:val="5A400378"/>
    <w:rsid w:val="5A4B6B1B"/>
    <w:rsid w:val="5A4E660B"/>
    <w:rsid w:val="5A537A07"/>
    <w:rsid w:val="5A582FE6"/>
    <w:rsid w:val="5A6C6A91"/>
    <w:rsid w:val="5A7140A7"/>
    <w:rsid w:val="5A735A18"/>
    <w:rsid w:val="5A737E20"/>
    <w:rsid w:val="5A82412A"/>
    <w:rsid w:val="5A8262B5"/>
    <w:rsid w:val="5A90406F"/>
    <w:rsid w:val="5A9304C2"/>
    <w:rsid w:val="5A981634"/>
    <w:rsid w:val="5AA0484E"/>
    <w:rsid w:val="5AA75D1B"/>
    <w:rsid w:val="5AA92D86"/>
    <w:rsid w:val="5AB22A59"/>
    <w:rsid w:val="5AB3021C"/>
    <w:rsid w:val="5AB35DEC"/>
    <w:rsid w:val="5AB60353"/>
    <w:rsid w:val="5AB72734"/>
    <w:rsid w:val="5ABD553F"/>
    <w:rsid w:val="5ABE2233"/>
    <w:rsid w:val="5ABF12B7"/>
    <w:rsid w:val="5ABF328C"/>
    <w:rsid w:val="5AC753EE"/>
    <w:rsid w:val="5AD20FEA"/>
    <w:rsid w:val="5AD54636"/>
    <w:rsid w:val="5ADC379C"/>
    <w:rsid w:val="5ADF1011"/>
    <w:rsid w:val="5AE623A0"/>
    <w:rsid w:val="5AEE74A6"/>
    <w:rsid w:val="5B23528D"/>
    <w:rsid w:val="5B247817"/>
    <w:rsid w:val="5B2B24A8"/>
    <w:rsid w:val="5B394BC5"/>
    <w:rsid w:val="5B413264"/>
    <w:rsid w:val="5B4F6978"/>
    <w:rsid w:val="5B6360E6"/>
    <w:rsid w:val="5B687259"/>
    <w:rsid w:val="5B6A1223"/>
    <w:rsid w:val="5B6B01C7"/>
    <w:rsid w:val="5B6D486F"/>
    <w:rsid w:val="5B793214"/>
    <w:rsid w:val="5B8147BE"/>
    <w:rsid w:val="5B81656C"/>
    <w:rsid w:val="5B841BB9"/>
    <w:rsid w:val="5B865931"/>
    <w:rsid w:val="5B9067AF"/>
    <w:rsid w:val="5B9444F1"/>
    <w:rsid w:val="5B962E2C"/>
    <w:rsid w:val="5B9A06E1"/>
    <w:rsid w:val="5B9C5154"/>
    <w:rsid w:val="5BA26C0E"/>
    <w:rsid w:val="5BA364E3"/>
    <w:rsid w:val="5BA67D81"/>
    <w:rsid w:val="5BAE2C31"/>
    <w:rsid w:val="5BB24978"/>
    <w:rsid w:val="5BB406F0"/>
    <w:rsid w:val="5BB4249E"/>
    <w:rsid w:val="5BB701E0"/>
    <w:rsid w:val="5BBD16BD"/>
    <w:rsid w:val="5BCD0EC8"/>
    <w:rsid w:val="5BDF5D95"/>
    <w:rsid w:val="5BE03293"/>
    <w:rsid w:val="5BEC1C38"/>
    <w:rsid w:val="5BFB61CC"/>
    <w:rsid w:val="5BFE7528"/>
    <w:rsid w:val="5C044ACF"/>
    <w:rsid w:val="5C134929"/>
    <w:rsid w:val="5C14118E"/>
    <w:rsid w:val="5C163158"/>
    <w:rsid w:val="5C184260"/>
    <w:rsid w:val="5C1F42A8"/>
    <w:rsid w:val="5C2313D1"/>
    <w:rsid w:val="5C237623"/>
    <w:rsid w:val="5C254D64"/>
    <w:rsid w:val="5C25514A"/>
    <w:rsid w:val="5C2869E8"/>
    <w:rsid w:val="5C2A09B2"/>
    <w:rsid w:val="5C2C0286"/>
    <w:rsid w:val="5C2C35E1"/>
    <w:rsid w:val="5C367357"/>
    <w:rsid w:val="5C3A0536"/>
    <w:rsid w:val="5C4B1054"/>
    <w:rsid w:val="5C4B3703"/>
    <w:rsid w:val="5C4E46A0"/>
    <w:rsid w:val="5C50666A"/>
    <w:rsid w:val="5C5B500F"/>
    <w:rsid w:val="5C5E240A"/>
    <w:rsid w:val="5C5F065B"/>
    <w:rsid w:val="5C6528BA"/>
    <w:rsid w:val="5C653798"/>
    <w:rsid w:val="5C675762"/>
    <w:rsid w:val="5C6F51E6"/>
    <w:rsid w:val="5C725641"/>
    <w:rsid w:val="5C7A5495"/>
    <w:rsid w:val="5C8C5E10"/>
    <w:rsid w:val="5C913D64"/>
    <w:rsid w:val="5C946DFB"/>
    <w:rsid w:val="5C9522CF"/>
    <w:rsid w:val="5C9C17DB"/>
    <w:rsid w:val="5C9E3CC1"/>
    <w:rsid w:val="5CA40366"/>
    <w:rsid w:val="5CA644DC"/>
    <w:rsid w:val="5CA70DF7"/>
    <w:rsid w:val="5CA81968"/>
    <w:rsid w:val="5CA940FC"/>
    <w:rsid w:val="5CA95D7B"/>
    <w:rsid w:val="5CB36BF9"/>
    <w:rsid w:val="5CB62246"/>
    <w:rsid w:val="5CBA45BB"/>
    <w:rsid w:val="5CBD21B3"/>
    <w:rsid w:val="5CC24E9F"/>
    <w:rsid w:val="5CC44828"/>
    <w:rsid w:val="5CC55D17"/>
    <w:rsid w:val="5CD32DF8"/>
    <w:rsid w:val="5CD66444"/>
    <w:rsid w:val="5CE172C2"/>
    <w:rsid w:val="5CE727F2"/>
    <w:rsid w:val="5D011713"/>
    <w:rsid w:val="5D042FB1"/>
    <w:rsid w:val="5D0810FC"/>
    <w:rsid w:val="5D113240"/>
    <w:rsid w:val="5D211DB5"/>
    <w:rsid w:val="5D292A17"/>
    <w:rsid w:val="5D2E6280"/>
    <w:rsid w:val="5D2F2FA6"/>
    <w:rsid w:val="5D412CB6"/>
    <w:rsid w:val="5D465377"/>
    <w:rsid w:val="5D4E51AF"/>
    <w:rsid w:val="5D5977A1"/>
    <w:rsid w:val="5D5E758D"/>
    <w:rsid w:val="5D641CA2"/>
    <w:rsid w:val="5D6F323C"/>
    <w:rsid w:val="5D704AEA"/>
    <w:rsid w:val="5D70790B"/>
    <w:rsid w:val="5D783361"/>
    <w:rsid w:val="5D8D4397"/>
    <w:rsid w:val="5D9205BD"/>
    <w:rsid w:val="5D94674E"/>
    <w:rsid w:val="5DA327CA"/>
    <w:rsid w:val="5DCA7D57"/>
    <w:rsid w:val="5DD1336E"/>
    <w:rsid w:val="5DD7378A"/>
    <w:rsid w:val="5DDE730D"/>
    <w:rsid w:val="5DE84681"/>
    <w:rsid w:val="5DEA664B"/>
    <w:rsid w:val="5DEF1EB3"/>
    <w:rsid w:val="5DF94AE0"/>
    <w:rsid w:val="5E0D6B87"/>
    <w:rsid w:val="5E2356B9"/>
    <w:rsid w:val="5E2467F1"/>
    <w:rsid w:val="5E280F21"/>
    <w:rsid w:val="5E287173"/>
    <w:rsid w:val="5E331DA0"/>
    <w:rsid w:val="5E345B18"/>
    <w:rsid w:val="5E36363E"/>
    <w:rsid w:val="5E3A11F2"/>
    <w:rsid w:val="5E3E01FB"/>
    <w:rsid w:val="5E4D7446"/>
    <w:rsid w:val="5E602490"/>
    <w:rsid w:val="5E664BC1"/>
    <w:rsid w:val="5E6B2DE0"/>
    <w:rsid w:val="5E7128C8"/>
    <w:rsid w:val="5E8847FE"/>
    <w:rsid w:val="5E8A398A"/>
    <w:rsid w:val="5E962E89"/>
    <w:rsid w:val="5EA13984"/>
    <w:rsid w:val="5EAB3CD7"/>
    <w:rsid w:val="5EAC7607"/>
    <w:rsid w:val="5EB153BA"/>
    <w:rsid w:val="5EB34C8F"/>
    <w:rsid w:val="5ECD3F70"/>
    <w:rsid w:val="5EE25574"/>
    <w:rsid w:val="5EE27322"/>
    <w:rsid w:val="5EE872E0"/>
    <w:rsid w:val="5F0159A0"/>
    <w:rsid w:val="5F13572D"/>
    <w:rsid w:val="5F1A2B43"/>
    <w:rsid w:val="5F1B0D98"/>
    <w:rsid w:val="5F1F3963"/>
    <w:rsid w:val="5F2219CF"/>
    <w:rsid w:val="5F24793A"/>
    <w:rsid w:val="5F2D46F6"/>
    <w:rsid w:val="5F2E6371"/>
    <w:rsid w:val="5F3C1030"/>
    <w:rsid w:val="5F3F37BE"/>
    <w:rsid w:val="5F3F6522"/>
    <w:rsid w:val="5F4B4EC7"/>
    <w:rsid w:val="5F577D10"/>
    <w:rsid w:val="5F6B7317"/>
    <w:rsid w:val="5F7E0196"/>
    <w:rsid w:val="5F7F241A"/>
    <w:rsid w:val="5F830779"/>
    <w:rsid w:val="5F8623A3"/>
    <w:rsid w:val="5F863F6F"/>
    <w:rsid w:val="5F881C77"/>
    <w:rsid w:val="5F8865F9"/>
    <w:rsid w:val="5F886D29"/>
    <w:rsid w:val="5F920D48"/>
    <w:rsid w:val="5F9F552C"/>
    <w:rsid w:val="5FA647F3"/>
    <w:rsid w:val="5FA97894"/>
    <w:rsid w:val="5FAA07F1"/>
    <w:rsid w:val="5FAF36A8"/>
    <w:rsid w:val="5FB837BB"/>
    <w:rsid w:val="5FB93FA6"/>
    <w:rsid w:val="5FBB2FBC"/>
    <w:rsid w:val="5FDD31C3"/>
    <w:rsid w:val="5FE82C95"/>
    <w:rsid w:val="5FED41D0"/>
    <w:rsid w:val="5FF4555F"/>
    <w:rsid w:val="5FF97B31"/>
    <w:rsid w:val="5FFE462F"/>
    <w:rsid w:val="600D6620"/>
    <w:rsid w:val="60163727"/>
    <w:rsid w:val="6017732C"/>
    <w:rsid w:val="601C29D7"/>
    <w:rsid w:val="602D2580"/>
    <w:rsid w:val="602D6EC7"/>
    <w:rsid w:val="60394C13"/>
    <w:rsid w:val="603C144B"/>
    <w:rsid w:val="606B5F2B"/>
    <w:rsid w:val="60727B73"/>
    <w:rsid w:val="60762977"/>
    <w:rsid w:val="60771CEC"/>
    <w:rsid w:val="608B485B"/>
    <w:rsid w:val="60917251"/>
    <w:rsid w:val="60950395"/>
    <w:rsid w:val="60982218"/>
    <w:rsid w:val="609A21B5"/>
    <w:rsid w:val="609A4358"/>
    <w:rsid w:val="609B00D0"/>
    <w:rsid w:val="60A7067E"/>
    <w:rsid w:val="60AA0313"/>
    <w:rsid w:val="60B62AF0"/>
    <w:rsid w:val="60BD73FF"/>
    <w:rsid w:val="60CC405A"/>
    <w:rsid w:val="60D82421"/>
    <w:rsid w:val="60D96503"/>
    <w:rsid w:val="60E76E71"/>
    <w:rsid w:val="60F20869"/>
    <w:rsid w:val="60F24FCB"/>
    <w:rsid w:val="60F90953"/>
    <w:rsid w:val="6105554A"/>
    <w:rsid w:val="61091A4B"/>
    <w:rsid w:val="610B5810"/>
    <w:rsid w:val="61186BC7"/>
    <w:rsid w:val="611D6D37"/>
    <w:rsid w:val="612400C6"/>
    <w:rsid w:val="61324198"/>
    <w:rsid w:val="6138009E"/>
    <w:rsid w:val="613D2F35"/>
    <w:rsid w:val="614075BA"/>
    <w:rsid w:val="614C3178"/>
    <w:rsid w:val="614E0C9F"/>
    <w:rsid w:val="6151078F"/>
    <w:rsid w:val="61534507"/>
    <w:rsid w:val="615D5B1D"/>
    <w:rsid w:val="6162299C"/>
    <w:rsid w:val="617036E2"/>
    <w:rsid w:val="61750921"/>
    <w:rsid w:val="618172C6"/>
    <w:rsid w:val="618C17C7"/>
    <w:rsid w:val="618E553F"/>
    <w:rsid w:val="619C5EAE"/>
    <w:rsid w:val="61AB2775"/>
    <w:rsid w:val="61B31479"/>
    <w:rsid w:val="61C61CED"/>
    <w:rsid w:val="61D03DA9"/>
    <w:rsid w:val="61E138C1"/>
    <w:rsid w:val="61E14B50"/>
    <w:rsid w:val="61E215D8"/>
    <w:rsid w:val="61E635CD"/>
    <w:rsid w:val="61E64AEC"/>
    <w:rsid w:val="61E768CF"/>
    <w:rsid w:val="61E81904"/>
    <w:rsid w:val="61EB5D67"/>
    <w:rsid w:val="61EF5D60"/>
    <w:rsid w:val="61F21F72"/>
    <w:rsid w:val="61F45CEA"/>
    <w:rsid w:val="61F94CFC"/>
    <w:rsid w:val="61FF5D31"/>
    <w:rsid w:val="62027B86"/>
    <w:rsid w:val="620A33F2"/>
    <w:rsid w:val="620B2F0B"/>
    <w:rsid w:val="621243C2"/>
    <w:rsid w:val="621517BC"/>
    <w:rsid w:val="621B3775"/>
    <w:rsid w:val="621C3CEA"/>
    <w:rsid w:val="621E68C3"/>
    <w:rsid w:val="62233E61"/>
    <w:rsid w:val="623206A3"/>
    <w:rsid w:val="62353C0D"/>
    <w:rsid w:val="62364782"/>
    <w:rsid w:val="62435902"/>
    <w:rsid w:val="62445A94"/>
    <w:rsid w:val="62516C98"/>
    <w:rsid w:val="62570027"/>
    <w:rsid w:val="62595B4D"/>
    <w:rsid w:val="625D388F"/>
    <w:rsid w:val="626C5880"/>
    <w:rsid w:val="626D33A6"/>
    <w:rsid w:val="6271733B"/>
    <w:rsid w:val="627E55B4"/>
    <w:rsid w:val="6280132C"/>
    <w:rsid w:val="62902965"/>
    <w:rsid w:val="629A2C3C"/>
    <w:rsid w:val="629D3C8C"/>
    <w:rsid w:val="629E7A04"/>
    <w:rsid w:val="62A414BE"/>
    <w:rsid w:val="62B17737"/>
    <w:rsid w:val="62BD432E"/>
    <w:rsid w:val="62C03E1E"/>
    <w:rsid w:val="62C80A41"/>
    <w:rsid w:val="62CB77C6"/>
    <w:rsid w:val="62D376AD"/>
    <w:rsid w:val="62DB47B4"/>
    <w:rsid w:val="62E25B42"/>
    <w:rsid w:val="62E51CB5"/>
    <w:rsid w:val="62F1362E"/>
    <w:rsid w:val="62FD472A"/>
    <w:rsid w:val="62FF7219"/>
    <w:rsid w:val="6300246C"/>
    <w:rsid w:val="63041F5D"/>
    <w:rsid w:val="63052DBE"/>
    <w:rsid w:val="630554FA"/>
    <w:rsid w:val="63065CD5"/>
    <w:rsid w:val="630B0B6F"/>
    <w:rsid w:val="6322392B"/>
    <w:rsid w:val="63230B51"/>
    <w:rsid w:val="63251ED3"/>
    <w:rsid w:val="632D2297"/>
    <w:rsid w:val="63332BC4"/>
    <w:rsid w:val="633D26C6"/>
    <w:rsid w:val="633F4D43"/>
    <w:rsid w:val="635A1B7D"/>
    <w:rsid w:val="635B4372"/>
    <w:rsid w:val="635B76A3"/>
    <w:rsid w:val="636750FF"/>
    <w:rsid w:val="636D5EC6"/>
    <w:rsid w:val="63750A53"/>
    <w:rsid w:val="637527AA"/>
    <w:rsid w:val="637644DD"/>
    <w:rsid w:val="63770981"/>
    <w:rsid w:val="6377272F"/>
    <w:rsid w:val="63776BBE"/>
    <w:rsid w:val="637A7B03"/>
    <w:rsid w:val="637B14FC"/>
    <w:rsid w:val="6394356A"/>
    <w:rsid w:val="639C03E7"/>
    <w:rsid w:val="639E4CF8"/>
    <w:rsid w:val="63A92B04"/>
    <w:rsid w:val="63A948B2"/>
    <w:rsid w:val="63AE604C"/>
    <w:rsid w:val="63B03E93"/>
    <w:rsid w:val="63C61B2C"/>
    <w:rsid w:val="63C81D2A"/>
    <w:rsid w:val="63CE3EE2"/>
    <w:rsid w:val="63D40BE9"/>
    <w:rsid w:val="63DA3CB2"/>
    <w:rsid w:val="63DC4C88"/>
    <w:rsid w:val="63E453B6"/>
    <w:rsid w:val="63E56928"/>
    <w:rsid w:val="63E56E61"/>
    <w:rsid w:val="63F773CC"/>
    <w:rsid w:val="63FE69AC"/>
    <w:rsid w:val="63FF2724"/>
    <w:rsid w:val="64061D04"/>
    <w:rsid w:val="64100A78"/>
    <w:rsid w:val="64102431"/>
    <w:rsid w:val="64140A35"/>
    <w:rsid w:val="6414148B"/>
    <w:rsid w:val="641461CF"/>
    <w:rsid w:val="64155AA4"/>
    <w:rsid w:val="64277EB3"/>
    <w:rsid w:val="642915EB"/>
    <w:rsid w:val="64291907"/>
    <w:rsid w:val="64395C36"/>
    <w:rsid w:val="643C6AED"/>
    <w:rsid w:val="644840CB"/>
    <w:rsid w:val="644B03FF"/>
    <w:rsid w:val="6453553C"/>
    <w:rsid w:val="64591E34"/>
    <w:rsid w:val="645B2050"/>
    <w:rsid w:val="645C1924"/>
    <w:rsid w:val="645F7686"/>
    <w:rsid w:val="64615DAB"/>
    <w:rsid w:val="646F1658"/>
    <w:rsid w:val="647540C9"/>
    <w:rsid w:val="647E5D3F"/>
    <w:rsid w:val="648222B1"/>
    <w:rsid w:val="648439EE"/>
    <w:rsid w:val="6486074F"/>
    <w:rsid w:val="648F14B8"/>
    <w:rsid w:val="649A2705"/>
    <w:rsid w:val="649B069F"/>
    <w:rsid w:val="649F75D1"/>
    <w:rsid w:val="64A34468"/>
    <w:rsid w:val="64A5243A"/>
    <w:rsid w:val="64A86918"/>
    <w:rsid w:val="64AC6408"/>
    <w:rsid w:val="64B80A40"/>
    <w:rsid w:val="64B90B25"/>
    <w:rsid w:val="64DA6F6E"/>
    <w:rsid w:val="64E35BA2"/>
    <w:rsid w:val="64E42046"/>
    <w:rsid w:val="64F531DE"/>
    <w:rsid w:val="651C0C2D"/>
    <w:rsid w:val="651F307E"/>
    <w:rsid w:val="652463B4"/>
    <w:rsid w:val="652A557F"/>
    <w:rsid w:val="652B0F8A"/>
    <w:rsid w:val="65337DB4"/>
    <w:rsid w:val="65373578"/>
    <w:rsid w:val="65403C5D"/>
    <w:rsid w:val="654B3E73"/>
    <w:rsid w:val="65516FAF"/>
    <w:rsid w:val="655325BB"/>
    <w:rsid w:val="65585F5F"/>
    <w:rsid w:val="655C21AE"/>
    <w:rsid w:val="6562740E"/>
    <w:rsid w:val="656B2EEE"/>
    <w:rsid w:val="65750EF0"/>
    <w:rsid w:val="65882DCF"/>
    <w:rsid w:val="65921AA2"/>
    <w:rsid w:val="65962C14"/>
    <w:rsid w:val="65A11E3D"/>
    <w:rsid w:val="65AA60B9"/>
    <w:rsid w:val="65B35574"/>
    <w:rsid w:val="65BF03BD"/>
    <w:rsid w:val="65CD2ADA"/>
    <w:rsid w:val="65CE23AE"/>
    <w:rsid w:val="65E41BD1"/>
    <w:rsid w:val="65E6594A"/>
    <w:rsid w:val="65E9368C"/>
    <w:rsid w:val="65F51632"/>
    <w:rsid w:val="65FF1F03"/>
    <w:rsid w:val="660916F6"/>
    <w:rsid w:val="66146478"/>
    <w:rsid w:val="661E3335"/>
    <w:rsid w:val="66297F46"/>
    <w:rsid w:val="662B7800"/>
    <w:rsid w:val="662D5327"/>
    <w:rsid w:val="663012BB"/>
    <w:rsid w:val="66440188"/>
    <w:rsid w:val="664457FD"/>
    <w:rsid w:val="66522FDF"/>
    <w:rsid w:val="66546D57"/>
    <w:rsid w:val="665B6338"/>
    <w:rsid w:val="66646E77"/>
    <w:rsid w:val="666C3121"/>
    <w:rsid w:val="66795592"/>
    <w:rsid w:val="66820D63"/>
    <w:rsid w:val="66836460"/>
    <w:rsid w:val="66A8190A"/>
    <w:rsid w:val="66A90FE6"/>
    <w:rsid w:val="66AA408A"/>
    <w:rsid w:val="66B71DB0"/>
    <w:rsid w:val="66BC2B4E"/>
    <w:rsid w:val="66C0619B"/>
    <w:rsid w:val="66CD311C"/>
    <w:rsid w:val="66D734E4"/>
    <w:rsid w:val="66DC6D4D"/>
    <w:rsid w:val="66F916AD"/>
    <w:rsid w:val="66F952F8"/>
    <w:rsid w:val="66FD119D"/>
    <w:rsid w:val="67044F7F"/>
    <w:rsid w:val="67087B42"/>
    <w:rsid w:val="6715264A"/>
    <w:rsid w:val="671B479B"/>
    <w:rsid w:val="671F124A"/>
    <w:rsid w:val="67210991"/>
    <w:rsid w:val="6732696D"/>
    <w:rsid w:val="673D70A9"/>
    <w:rsid w:val="673E681D"/>
    <w:rsid w:val="67414DAC"/>
    <w:rsid w:val="675B5805"/>
    <w:rsid w:val="675F42B1"/>
    <w:rsid w:val="677671A1"/>
    <w:rsid w:val="67770426"/>
    <w:rsid w:val="67782F4D"/>
    <w:rsid w:val="677A33C6"/>
    <w:rsid w:val="67896ED4"/>
    <w:rsid w:val="678D5B25"/>
    <w:rsid w:val="67902011"/>
    <w:rsid w:val="67922B4D"/>
    <w:rsid w:val="67966EFB"/>
    <w:rsid w:val="67A23AF2"/>
    <w:rsid w:val="67A27F96"/>
    <w:rsid w:val="67A930D3"/>
    <w:rsid w:val="67B37AAD"/>
    <w:rsid w:val="67B505F4"/>
    <w:rsid w:val="67B66EB2"/>
    <w:rsid w:val="67C968B1"/>
    <w:rsid w:val="67CE0D8B"/>
    <w:rsid w:val="67D0353C"/>
    <w:rsid w:val="67D143D7"/>
    <w:rsid w:val="67D82CBD"/>
    <w:rsid w:val="67DB0DB2"/>
    <w:rsid w:val="67DE751F"/>
    <w:rsid w:val="67E1286C"/>
    <w:rsid w:val="67E4410B"/>
    <w:rsid w:val="67F500C6"/>
    <w:rsid w:val="67FC2F18"/>
    <w:rsid w:val="68033400"/>
    <w:rsid w:val="680B4763"/>
    <w:rsid w:val="681D08AF"/>
    <w:rsid w:val="681F6961"/>
    <w:rsid w:val="68242759"/>
    <w:rsid w:val="68282249"/>
    <w:rsid w:val="682C160E"/>
    <w:rsid w:val="682D02C4"/>
    <w:rsid w:val="68307350"/>
    <w:rsid w:val="683F57E5"/>
    <w:rsid w:val="684C3086"/>
    <w:rsid w:val="684D41BC"/>
    <w:rsid w:val="685201E4"/>
    <w:rsid w:val="68556DB7"/>
    <w:rsid w:val="685A261F"/>
    <w:rsid w:val="686008CE"/>
    <w:rsid w:val="68610A2F"/>
    <w:rsid w:val="686231A1"/>
    <w:rsid w:val="68624066"/>
    <w:rsid w:val="68646FFA"/>
    <w:rsid w:val="6868130C"/>
    <w:rsid w:val="68701E42"/>
    <w:rsid w:val="6873723D"/>
    <w:rsid w:val="68805514"/>
    <w:rsid w:val="68994715"/>
    <w:rsid w:val="689B3BCA"/>
    <w:rsid w:val="689C49E5"/>
    <w:rsid w:val="689E3DC0"/>
    <w:rsid w:val="68A5389A"/>
    <w:rsid w:val="68B00491"/>
    <w:rsid w:val="68BA526B"/>
    <w:rsid w:val="68C55CEA"/>
    <w:rsid w:val="68D02BEC"/>
    <w:rsid w:val="68D61B92"/>
    <w:rsid w:val="68DA5A63"/>
    <w:rsid w:val="68DE6DAC"/>
    <w:rsid w:val="68E343C2"/>
    <w:rsid w:val="68E63EB3"/>
    <w:rsid w:val="68E65681"/>
    <w:rsid w:val="68E832A9"/>
    <w:rsid w:val="68F40F5D"/>
    <w:rsid w:val="68FC07E4"/>
    <w:rsid w:val="69011920"/>
    <w:rsid w:val="69020CEC"/>
    <w:rsid w:val="69096BB1"/>
    <w:rsid w:val="69152A61"/>
    <w:rsid w:val="69224EEB"/>
    <w:rsid w:val="69250FAD"/>
    <w:rsid w:val="692A0243"/>
    <w:rsid w:val="69316E2F"/>
    <w:rsid w:val="693469CC"/>
    <w:rsid w:val="69366BC3"/>
    <w:rsid w:val="69470DF5"/>
    <w:rsid w:val="694B5592"/>
    <w:rsid w:val="694E2071"/>
    <w:rsid w:val="695928D6"/>
    <w:rsid w:val="696574CD"/>
    <w:rsid w:val="69735746"/>
    <w:rsid w:val="69741D3B"/>
    <w:rsid w:val="69766163"/>
    <w:rsid w:val="697A3B33"/>
    <w:rsid w:val="697B45FB"/>
    <w:rsid w:val="698711F2"/>
    <w:rsid w:val="69A07FDC"/>
    <w:rsid w:val="69A71894"/>
    <w:rsid w:val="69B27C98"/>
    <w:rsid w:val="69BF30D1"/>
    <w:rsid w:val="69CB6BDB"/>
    <w:rsid w:val="69CC12FA"/>
    <w:rsid w:val="69D04CCC"/>
    <w:rsid w:val="69D15F52"/>
    <w:rsid w:val="69D44760"/>
    <w:rsid w:val="69D501AF"/>
    <w:rsid w:val="69D56401"/>
    <w:rsid w:val="69E1767B"/>
    <w:rsid w:val="69F53666"/>
    <w:rsid w:val="69F80164"/>
    <w:rsid w:val="69F85C4B"/>
    <w:rsid w:val="69FA5E67"/>
    <w:rsid w:val="6A086A76"/>
    <w:rsid w:val="6A107439"/>
    <w:rsid w:val="6A1E06F2"/>
    <w:rsid w:val="6A355E39"/>
    <w:rsid w:val="6A366774"/>
    <w:rsid w:val="6A38073E"/>
    <w:rsid w:val="6A3C6480"/>
    <w:rsid w:val="6A520EC7"/>
    <w:rsid w:val="6A526E07"/>
    <w:rsid w:val="6A567351"/>
    <w:rsid w:val="6A5D11DA"/>
    <w:rsid w:val="6A7554EE"/>
    <w:rsid w:val="6A7C7C19"/>
    <w:rsid w:val="6A9F07BD"/>
    <w:rsid w:val="6AAB137F"/>
    <w:rsid w:val="6AB34D32"/>
    <w:rsid w:val="6AB73D58"/>
    <w:rsid w:val="6AD20B92"/>
    <w:rsid w:val="6AD22940"/>
    <w:rsid w:val="6AD472F2"/>
    <w:rsid w:val="6ADC731B"/>
    <w:rsid w:val="6AF02DC7"/>
    <w:rsid w:val="6AF04617"/>
    <w:rsid w:val="6AF26B3F"/>
    <w:rsid w:val="6AF87E20"/>
    <w:rsid w:val="6AF9611F"/>
    <w:rsid w:val="6AFE3735"/>
    <w:rsid w:val="6B065627"/>
    <w:rsid w:val="6B09593D"/>
    <w:rsid w:val="6B1C3BBC"/>
    <w:rsid w:val="6B2C44CD"/>
    <w:rsid w:val="6B322639"/>
    <w:rsid w:val="6B3372F0"/>
    <w:rsid w:val="6B344FEC"/>
    <w:rsid w:val="6B396615"/>
    <w:rsid w:val="6B3A0E67"/>
    <w:rsid w:val="6B3A3BE0"/>
    <w:rsid w:val="6B65789A"/>
    <w:rsid w:val="6B672DC4"/>
    <w:rsid w:val="6B680BAF"/>
    <w:rsid w:val="6B726345"/>
    <w:rsid w:val="6B7632CC"/>
    <w:rsid w:val="6B781A16"/>
    <w:rsid w:val="6B8E6F9E"/>
    <w:rsid w:val="6B9323ED"/>
    <w:rsid w:val="6B97363D"/>
    <w:rsid w:val="6BA20565"/>
    <w:rsid w:val="6BA442DD"/>
    <w:rsid w:val="6BA77929"/>
    <w:rsid w:val="6BA95D63"/>
    <w:rsid w:val="6BAA6A67"/>
    <w:rsid w:val="6BAB5DDA"/>
    <w:rsid w:val="6BB13B6A"/>
    <w:rsid w:val="6BB32772"/>
    <w:rsid w:val="6BC71D79"/>
    <w:rsid w:val="6BCA7826"/>
    <w:rsid w:val="6BCD02EE"/>
    <w:rsid w:val="6BD57935"/>
    <w:rsid w:val="6BDA7CFF"/>
    <w:rsid w:val="6BDD159D"/>
    <w:rsid w:val="6BEB14B8"/>
    <w:rsid w:val="6BF15048"/>
    <w:rsid w:val="6C040BA3"/>
    <w:rsid w:val="6C0525C5"/>
    <w:rsid w:val="6C0671EF"/>
    <w:rsid w:val="6C131FAF"/>
    <w:rsid w:val="6C193704"/>
    <w:rsid w:val="6C1B5940"/>
    <w:rsid w:val="6C1D7BEB"/>
    <w:rsid w:val="6C296590"/>
    <w:rsid w:val="6C2C7D3B"/>
    <w:rsid w:val="6C2D302F"/>
    <w:rsid w:val="6C400A9D"/>
    <w:rsid w:val="6C4D6722"/>
    <w:rsid w:val="6C522B6C"/>
    <w:rsid w:val="6C59599A"/>
    <w:rsid w:val="6C5C0714"/>
    <w:rsid w:val="6C5C3C87"/>
    <w:rsid w:val="6C5C6966"/>
    <w:rsid w:val="6C5E0930"/>
    <w:rsid w:val="6C636C38"/>
    <w:rsid w:val="6C64581A"/>
    <w:rsid w:val="6C6B6BA9"/>
    <w:rsid w:val="6C7435D5"/>
    <w:rsid w:val="6C7C7008"/>
    <w:rsid w:val="6C847C6A"/>
    <w:rsid w:val="6C951E77"/>
    <w:rsid w:val="6C9B2F8F"/>
    <w:rsid w:val="6C9F50EE"/>
    <w:rsid w:val="6CAB3449"/>
    <w:rsid w:val="6CAE4CE7"/>
    <w:rsid w:val="6CD7423E"/>
    <w:rsid w:val="6CD87A44"/>
    <w:rsid w:val="6CDE6295"/>
    <w:rsid w:val="6CDF30F3"/>
    <w:rsid w:val="6CE7542D"/>
    <w:rsid w:val="6CF44DF0"/>
    <w:rsid w:val="6CFE17CB"/>
    <w:rsid w:val="6D085C4B"/>
    <w:rsid w:val="6D0B1BA5"/>
    <w:rsid w:val="6D0B3EE8"/>
    <w:rsid w:val="6D154CBB"/>
    <w:rsid w:val="6D194382"/>
    <w:rsid w:val="6D321474"/>
    <w:rsid w:val="6D343492"/>
    <w:rsid w:val="6D492D89"/>
    <w:rsid w:val="6D54763D"/>
    <w:rsid w:val="6D5835D1"/>
    <w:rsid w:val="6D70286F"/>
    <w:rsid w:val="6D725D15"/>
    <w:rsid w:val="6D761744"/>
    <w:rsid w:val="6D7838A9"/>
    <w:rsid w:val="6D8431D7"/>
    <w:rsid w:val="6D8A5754"/>
    <w:rsid w:val="6D8B6DD7"/>
    <w:rsid w:val="6D967C55"/>
    <w:rsid w:val="6D9C0D39"/>
    <w:rsid w:val="6DAD31F1"/>
    <w:rsid w:val="6DB34098"/>
    <w:rsid w:val="6DB4528C"/>
    <w:rsid w:val="6DB545B6"/>
    <w:rsid w:val="6DBB3B60"/>
    <w:rsid w:val="6DC94FCE"/>
    <w:rsid w:val="6DD16EDF"/>
    <w:rsid w:val="6DD644F6"/>
    <w:rsid w:val="6DD662A4"/>
    <w:rsid w:val="6DD75C4B"/>
    <w:rsid w:val="6DE02FB4"/>
    <w:rsid w:val="6DE8487B"/>
    <w:rsid w:val="6DEE5CE3"/>
    <w:rsid w:val="6DFF3A4C"/>
    <w:rsid w:val="6E0A7235"/>
    <w:rsid w:val="6E254FB0"/>
    <w:rsid w:val="6E25722B"/>
    <w:rsid w:val="6E357253"/>
    <w:rsid w:val="6E443B55"/>
    <w:rsid w:val="6E48107D"/>
    <w:rsid w:val="6E492F1A"/>
    <w:rsid w:val="6E4F6056"/>
    <w:rsid w:val="6E514CED"/>
    <w:rsid w:val="6E552B81"/>
    <w:rsid w:val="6E677844"/>
    <w:rsid w:val="6E680FFF"/>
    <w:rsid w:val="6E777A87"/>
    <w:rsid w:val="6E7855AD"/>
    <w:rsid w:val="6E7A31DF"/>
    <w:rsid w:val="6E8370EA"/>
    <w:rsid w:val="6E9A77B7"/>
    <w:rsid w:val="6E9F0D8B"/>
    <w:rsid w:val="6EA168B2"/>
    <w:rsid w:val="6EA2087C"/>
    <w:rsid w:val="6EB16500"/>
    <w:rsid w:val="6EB563D5"/>
    <w:rsid w:val="6EBB01AE"/>
    <w:rsid w:val="6EC1608F"/>
    <w:rsid w:val="6ED553A8"/>
    <w:rsid w:val="6ED92677"/>
    <w:rsid w:val="6EDE4CC0"/>
    <w:rsid w:val="6EE3336E"/>
    <w:rsid w:val="6EE82732"/>
    <w:rsid w:val="6EF75965"/>
    <w:rsid w:val="6F0137F4"/>
    <w:rsid w:val="6F0D2199"/>
    <w:rsid w:val="6F115932"/>
    <w:rsid w:val="6F1430C3"/>
    <w:rsid w:val="6F1B2B08"/>
    <w:rsid w:val="6F1C23DC"/>
    <w:rsid w:val="6F203940"/>
    <w:rsid w:val="6F225983"/>
    <w:rsid w:val="6F3326BD"/>
    <w:rsid w:val="6F341AC6"/>
    <w:rsid w:val="6F3E2E25"/>
    <w:rsid w:val="6F413BF1"/>
    <w:rsid w:val="6F451933"/>
    <w:rsid w:val="6F4A6F49"/>
    <w:rsid w:val="6F4D4C8B"/>
    <w:rsid w:val="6F6049BF"/>
    <w:rsid w:val="6F6618A9"/>
    <w:rsid w:val="6F765F90"/>
    <w:rsid w:val="6F8A37EA"/>
    <w:rsid w:val="6F9B77A5"/>
    <w:rsid w:val="6F9F54FF"/>
    <w:rsid w:val="6FA13646"/>
    <w:rsid w:val="6FAA3E8C"/>
    <w:rsid w:val="6FAD057F"/>
    <w:rsid w:val="6FAD1286"/>
    <w:rsid w:val="6FAD3EF8"/>
    <w:rsid w:val="6FAF14A2"/>
    <w:rsid w:val="6FB05543"/>
    <w:rsid w:val="6FBA6112"/>
    <w:rsid w:val="6FC500C9"/>
    <w:rsid w:val="6FC868C3"/>
    <w:rsid w:val="6FCB7F43"/>
    <w:rsid w:val="6FCC077A"/>
    <w:rsid w:val="6FE3114C"/>
    <w:rsid w:val="6FE95DE3"/>
    <w:rsid w:val="6FF84BF7"/>
    <w:rsid w:val="6FFC5590"/>
    <w:rsid w:val="6FFD592E"/>
    <w:rsid w:val="70027824"/>
    <w:rsid w:val="70040499"/>
    <w:rsid w:val="700C2451"/>
    <w:rsid w:val="701E6DF9"/>
    <w:rsid w:val="70310109"/>
    <w:rsid w:val="7039642D"/>
    <w:rsid w:val="7040659E"/>
    <w:rsid w:val="704768DE"/>
    <w:rsid w:val="704E6825"/>
    <w:rsid w:val="70591E5B"/>
    <w:rsid w:val="705F07D2"/>
    <w:rsid w:val="705F2AF8"/>
    <w:rsid w:val="70657DB3"/>
    <w:rsid w:val="706D1DD0"/>
    <w:rsid w:val="706F478E"/>
    <w:rsid w:val="7073427E"/>
    <w:rsid w:val="707F3A1C"/>
    <w:rsid w:val="7080699B"/>
    <w:rsid w:val="70856B87"/>
    <w:rsid w:val="70981F36"/>
    <w:rsid w:val="70A24B63"/>
    <w:rsid w:val="70A46B2D"/>
    <w:rsid w:val="70B00980"/>
    <w:rsid w:val="70B2124A"/>
    <w:rsid w:val="70BB3A5A"/>
    <w:rsid w:val="70CD1CC2"/>
    <w:rsid w:val="70D527EE"/>
    <w:rsid w:val="70E433CD"/>
    <w:rsid w:val="70F01D72"/>
    <w:rsid w:val="71094BE2"/>
    <w:rsid w:val="710C5163"/>
    <w:rsid w:val="711361BE"/>
    <w:rsid w:val="712E2D97"/>
    <w:rsid w:val="7137174F"/>
    <w:rsid w:val="713A6021"/>
    <w:rsid w:val="714A76D4"/>
    <w:rsid w:val="715047D3"/>
    <w:rsid w:val="71546148"/>
    <w:rsid w:val="715B5300"/>
    <w:rsid w:val="71622092"/>
    <w:rsid w:val="71810C1C"/>
    <w:rsid w:val="719C5A56"/>
    <w:rsid w:val="719E532A"/>
    <w:rsid w:val="71A62431"/>
    <w:rsid w:val="71A62998"/>
    <w:rsid w:val="71BE777B"/>
    <w:rsid w:val="71C026CC"/>
    <w:rsid w:val="71D27F8A"/>
    <w:rsid w:val="71D6361D"/>
    <w:rsid w:val="71E35A1A"/>
    <w:rsid w:val="71E51B16"/>
    <w:rsid w:val="71E85A49"/>
    <w:rsid w:val="71EC078C"/>
    <w:rsid w:val="7205184D"/>
    <w:rsid w:val="720535FB"/>
    <w:rsid w:val="720775E6"/>
    <w:rsid w:val="720C6738"/>
    <w:rsid w:val="720E7CA0"/>
    <w:rsid w:val="72113D4E"/>
    <w:rsid w:val="72135D18"/>
    <w:rsid w:val="72161365"/>
    <w:rsid w:val="72367C59"/>
    <w:rsid w:val="7238752D"/>
    <w:rsid w:val="723E6B71"/>
    <w:rsid w:val="723F4D5F"/>
    <w:rsid w:val="72553024"/>
    <w:rsid w:val="72563E57"/>
    <w:rsid w:val="725E4ABA"/>
    <w:rsid w:val="7260609B"/>
    <w:rsid w:val="72612EF1"/>
    <w:rsid w:val="72676064"/>
    <w:rsid w:val="727F3B8E"/>
    <w:rsid w:val="728974C3"/>
    <w:rsid w:val="729A01E8"/>
    <w:rsid w:val="729A1F96"/>
    <w:rsid w:val="729F670E"/>
    <w:rsid w:val="72A526E9"/>
    <w:rsid w:val="72A76461"/>
    <w:rsid w:val="72AE5A41"/>
    <w:rsid w:val="72B172DF"/>
    <w:rsid w:val="72B33057"/>
    <w:rsid w:val="72B50B7E"/>
    <w:rsid w:val="72B82BAB"/>
    <w:rsid w:val="72BD2C86"/>
    <w:rsid w:val="72D90331"/>
    <w:rsid w:val="72DB5F1E"/>
    <w:rsid w:val="72E72D01"/>
    <w:rsid w:val="72F0605A"/>
    <w:rsid w:val="730331EF"/>
    <w:rsid w:val="73122968"/>
    <w:rsid w:val="731A162D"/>
    <w:rsid w:val="731B2B50"/>
    <w:rsid w:val="731D7D2E"/>
    <w:rsid w:val="731F5D5E"/>
    <w:rsid w:val="73263829"/>
    <w:rsid w:val="73284E1E"/>
    <w:rsid w:val="732B52E4"/>
    <w:rsid w:val="732F6717"/>
    <w:rsid w:val="73361BED"/>
    <w:rsid w:val="733817AF"/>
    <w:rsid w:val="733D4A5B"/>
    <w:rsid w:val="735E01A9"/>
    <w:rsid w:val="73610D05"/>
    <w:rsid w:val="736425A4"/>
    <w:rsid w:val="736D3206"/>
    <w:rsid w:val="737A3B75"/>
    <w:rsid w:val="737A5923"/>
    <w:rsid w:val="737E5413"/>
    <w:rsid w:val="737F06A0"/>
    <w:rsid w:val="738A200A"/>
    <w:rsid w:val="738E13CF"/>
    <w:rsid w:val="738F5872"/>
    <w:rsid w:val="73966C01"/>
    <w:rsid w:val="73972979"/>
    <w:rsid w:val="73A155A6"/>
    <w:rsid w:val="73A46D9A"/>
    <w:rsid w:val="73A604A5"/>
    <w:rsid w:val="73B61051"/>
    <w:rsid w:val="73B80A58"/>
    <w:rsid w:val="73BA21C4"/>
    <w:rsid w:val="73BB6668"/>
    <w:rsid w:val="73BF029A"/>
    <w:rsid w:val="73C03C7E"/>
    <w:rsid w:val="73C51AD5"/>
    <w:rsid w:val="73C80D84"/>
    <w:rsid w:val="73C92407"/>
    <w:rsid w:val="73CA51CE"/>
    <w:rsid w:val="73D72923"/>
    <w:rsid w:val="73E04797"/>
    <w:rsid w:val="73E334C8"/>
    <w:rsid w:val="73E536E4"/>
    <w:rsid w:val="73EE31E0"/>
    <w:rsid w:val="73F80FDB"/>
    <w:rsid w:val="73F97190"/>
    <w:rsid w:val="7400407A"/>
    <w:rsid w:val="74024296"/>
    <w:rsid w:val="74033B6B"/>
    <w:rsid w:val="74035919"/>
    <w:rsid w:val="74152B15"/>
    <w:rsid w:val="741E793C"/>
    <w:rsid w:val="74247EAC"/>
    <w:rsid w:val="74273CFD"/>
    <w:rsid w:val="742D6E39"/>
    <w:rsid w:val="743326A2"/>
    <w:rsid w:val="743401C8"/>
    <w:rsid w:val="74377F65"/>
    <w:rsid w:val="743C0E2B"/>
    <w:rsid w:val="7444607E"/>
    <w:rsid w:val="744E1844"/>
    <w:rsid w:val="74512670"/>
    <w:rsid w:val="745A55F3"/>
    <w:rsid w:val="745C52C0"/>
    <w:rsid w:val="745E3944"/>
    <w:rsid w:val="7467234B"/>
    <w:rsid w:val="746B7ED9"/>
    <w:rsid w:val="7476433D"/>
    <w:rsid w:val="74794316"/>
    <w:rsid w:val="747D56CB"/>
    <w:rsid w:val="74815D12"/>
    <w:rsid w:val="7496678D"/>
    <w:rsid w:val="74A4534E"/>
    <w:rsid w:val="74B11819"/>
    <w:rsid w:val="74B1569F"/>
    <w:rsid w:val="74B4507D"/>
    <w:rsid w:val="74BA06CD"/>
    <w:rsid w:val="74C23A26"/>
    <w:rsid w:val="74C37184"/>
    <w:rsid w:val="74CA6436"/>
    <w:rsid w:val="74DA48CB"/>
    <w:rsid w:val="74E44282"/>
    <w:rsid w:val="74E7348C"/>
    <w:rsid w:val="74F66D9E"/>
    <w:rsid w:val="74F72203"/>
    <w:rsid w:val="751C3136"/>
    <w:rsid w:val="752C0E9F"/>
    <w:rsid w:val="75324707"/>
    <w:rsid w:val="7534591D"/>
    <w:rsid w:val="755539A3"/>
    <w:rsid w:val="755B0F56"/>
    <w:rsid w:val="755F3023"/>
    <w:rsid w:val="75630D65"/>
    <w:rsid w:val="758F1B5A"/>
    <w:rsid w:val="75953442"/>
    <w:rsid w:val="759E1D9D"/>
    <w:rsid w:val="75A31161"/>
    <w:rsid w:val="75A80912"/>
    <w:rsid w:val="75B23A9A"/>
    <w:rsid w:val="75B25848"/>
    <w:rsid w:val="75CE1F56"/>
    <w:rsid w:val="75E659CC"/>
    <w:rsid w:val="75EB48B6"/>
    <w:rsid w:val="75F02999"/>
    <w:rsid w:val="760119DA"/>
    <w:rsid w:val="7601232C"/>
    <w:rsid w:val="760A5948"/>
    <w:rsid w:val="760D0CD1"/>
    <w:rsid w:val="76157686"/>
    <w:rsid w:val="76182A5E"/>
    <w:rsid w:val="761A67FE"/>
    <w:rsid w:val="761B58E2"/>
    <w:rsid w:val="7635099D"/>
    <w:rsid w:val="764367AE"/>
    <w:rsid w:val="76472434"/>
    <w:rsid w:val="764D5571"/>
    <w:rsid w:val="765A1611"/>
    <w:rsid w:val="766034F6"/>
    <w:rsid w:val="76661B74"/>
    <w:rsid w:val="76720D7B"/>
    <w:rsid w:val="767E1BCE"/>
    <w:rsid w:val="76876CD5"/>
    <w:rsid w:val="76897077"/>
    <w:rsid w:val="768A6E0D"/>
    <w:rsid w:val="768E0063"/>
    <w:rsid w:val="7691238F"/>
    <w:rsid w:val="76946CFC"/>
    <w:rsid w:val="76965E5F"/>
    <w:rsid w:val="76A01B45"/>
    <w:rsid w:val="76B86E9F"/>
    <w:rsid w:val="76C23869"/>
    <w:rsid w:val="76C94DAC"/>
    <w:rsid w:val="76D11FE1"/>
    <w:rsid w:val="76D31F1A"/>
    <w:rsid w:val="76D34653"/>
    <w:rsid w:val="76E71522"/>
    <w:rsid w:val="76EF78DA"/>
    <w:rsid w:val="76F6130C"/>
    <w:rsid w:val="76FE0619"/>
    <w:rsid w:val="76FE522B"/>
    <w:rsid w:val="76FF27FA"/>
    <w:rsid w:val="770D6979"/>
    <w:rsid w:val="77197D0F"/>
    <w:rsid w:val="77302EC9"/>
    <w:rsid w:val="773501BA"/>
    <w:rsid w:val="773C7ABF"/>
    <w:rsid w:val="77627D63"/>
    <w:rsid w:val="776963DA"/>
    <w:rsid w:val="77725321"/>
    <w:rsid w:val="77762421"/>
    <w:rsid w:val="77933457"/>
    <w:rsid w:val="77955421"/>
    <w:rsid w:val="779F1DFC"/>
    <w:rsid w:val="77A07EC2"/>
    <w:rsid w:val="77AE3DED"/>
    <w:rsid w:val="77B122C2"/>
    <w:rsid w:val="77B56B1F"/>
    <w:rsid w:val="77BA6C36"/>
    <w:rsid w:val="77BF424C"/>
    <w:rsid w:val="77C3131B"/>
    <w:rsid w:val="77ED700C"/>
    <w:rsid w:val="78014865"/>
    <w:rsid w:val="780F09F4"/>
    <w:rsid w:val="78126A72"/>
    <w:rsid w:val="78207629"/>
    <w:rsid w:val="782B5247"/>
    <w:rsid w:val="783C037C"/>
    <w:rsid w:val="7842282E"/>
    <w:rsid w:val="784A620C"/>
    <w:rsid w:val="784F737E"/>
    <w:rsid w:val="78510950"/>
    <w:rsid w:val="78544C37"/>
    <w:rsid w:val="78570929"/>
    <w:rsid w:val="786E40D5"/>
    <w:rsid w:val="78774C3C"/>
    <w:rsid w:val="7879264D"/>
    <w:rsid w:val="787E7C64"/>
    <w:rsid w:val="78951BFA"/>
    <w:rsid w:val="78A60933"/>
    <w:rsid w:val="78A90480"/>
    <w:rsid w:val="78AE57D5"/>
    <w:rsid w:val="78B6564F"/>
    <w:rsid w:val="78D6184E"/>
    <w:rsid w:val="78E0091E"/>
    <w:rsid w:val="78E214E9"/>
    <w:rsid w:val="78E26444"/>
    <w:rsid w:val="78E421BD"/>
    <w:rsid w:val="78F85B04"/>
    <w:rsid w:val="790740FD"/>
    <w:rsid w:val="79091B3A"/>
    <w:rsid w:val="791A5BDE"/>
    <w:rsid w:val="79442C5B"/>
    <w:rsid w:val="794C2198"/>
    <w:rsid w:val="79584959"/>
    <w:rsid w:val="795B1D53"/>
    <w:rsid w:val="795F7A95"/>
    <w:rsid w:val="7969631A"/>
    <w:rsid w:val="797A7C24"/>
    <w:rsid w:val="79867B4E"/>
    <w:rsid w:val="7989246C"/>
    <w:rsid w:val="799040F2"/>
    <w:rsid w:val="79981007"/>
    <w:rsid w:val="79992A19"/>
    <w:rsid w:val="799C60EF"/>
    <w:rsid w:val="799D236B"/>
    <w:rsid w:val="79A4194C"/>
    <w:rsid w:val="79A47B9E"/>
    <w:rsid w:val="79C97604"/>
    <w:rsid w:val="79CB512B"/>
    <w:rsid w:val="79D264B9"/>
    <w:rsid w:val="79D33FDF"/>
    <w:rsid w:val="79DD6C0C"/>
    <w:rsid w:val="79F0693F"/>
    <w:rsid w:val="79F301DD"/>
    <w:rsid w:val="79F77CCE"/>
    <w:rsid w:val="79FA36A9"/>
    <w:rsid w:val="7A187C44"/>
    <w:rsid w:val="7A2221D2"/>
    <w:rsid w:val="7A3251AA"/>
    <w:rsid w:val="7A364017"/>
    <w:rsid w:val="7A384FF4"/>
    <w:rsid w:val="7A480529"/>
    <w:rsid w:val="7A505630"/>
    <w:rsid w:val="7A61186F"/>
    <w:rsid w:val="7A636D62"/>
    <w:rsid w:val="7A6A0DAE"/>
    <w:rsid w:val="7A6B71FA"/>
    <w:rsid w:val="7A73790A"/>
    <w:rsid w:val="7A7F1A71"/>
    <w:rsid w:val="7A804167"/>
    <w:rsid w:val="7A805F15"/>
    <w:rsid w:val="7A8265E1"/>
    <w:rsid w:val="7A8552D9"/>
    <w:rsid w:val="7A8F4231"/>
    <w:rsid w:val="7A925DA4"/>
    <w:rsid w:val="7A9B2D4F"/>
    <w:rsid w:val="7AA20E32"/>
    <w:rsid w:val="7AB041E9"/>
    <w:rsid w:val="7AB618DB"/>
    <w:rsid w:val="7ABE4089"/>
    <w:rsid w:val="7AC266C4"/>
    <w:rsid w:val="7AC676A0"/>
    <w:rsid w:val="7AD2139B"/>
    <w:rsid w:val="7AD874E9"/>
    <w:rsid w:val="7AE6416C"/>
    <w:rsid w:val="7AEA5A84"/>
    <w:rsid w:val="7AFA50A1"/>
    <w:rsid w:val="7AFE508C"/>
    <w:rsid w:val="7B0029F6"/>
    <w:rsid w:val="7B0F7299"/>
    <w:rsid w:val="7B197943"/>
    <w:rsid w:val="7B1D7C08"/>
    <w:rsid w:val="7B272834"/>
    <w:rsid w:val="7B2E0BFB"/>
    <w:rsid w:val="7B2F16E9"/>
    <w:rsid w:val="7B3B62E0"/>
    <w:rsid w:val="7B4A207F"/>
    <w:rsid w:val="7B4C229B"/>
    <w:rsid w:val="7B5045C5"/>
    <w:rsid w:val="7B551150"/>
    <w:rsid w:val="7B590514"/>
    <w:rsid w:val="7B686D42"/>
    <w:rsid w:val="7B695037"/>
    <w:rsid w:val="7B6C6BA5"/>
    <w:rsid w:val="7B71191C"/>
    <w:rsid w:val="7B71585E"/>
    <w:rsid w:val="7B840A4C"/>
    <w:rsid w:val="7B841746"/>
    <w:rsid w:val="7B86755B"/>
    <w:rsid w:val="7B886DF6"/>
    <w:rsid w:val="7B8B4B71"/>
    <w:rsid w:val="7B917389"/>
    <w:rsid w:val="7B95779E"/>
    <w:rsid w:val="7B971768"/>
    <w:rsid w:val="7B98103C"/>
    <w:rsid w:val="7B996CA0"/>
    <w:rsid w:val="7B9A6B62"/>
    <w:rsid w:val="7BA4768F"/>
    <w:rsid w:val="7BA82556"/>
    <w:rsid w:val="7BAB6FC2"/>
    <w:rsid w:val="7BB3231A"/>
    <w:rsid w:val="7BB87930"/>
    <w:rsid w:val="7BC40083"/>
    <w:rsid w:val="7BC448CD"/>
    <w:rsid w:val="7BCC294E"/>
    <w:rsid w:val="7BD00050"/>
    <w:rsid w:val="7BDA1655"/>
    <w:rsid w:val="7BDD796A"/>
    <w:rsid w:val="7BE129E3"/>
    <w:rsid w:val="7BEE3352"/>
    <w:rsid w:val="7BFF2E69"/>
    <w:rsid w:val="7C030BAC"/>
    <w:rsid w:val="7C190ABB"/>
    <w:rsid w:val="7C262AEC"/>
    <w:rsid w:val="7C2823C0"/>
    <w:rsid w:val="7C336FB7"/>
    <w:rsid w:val="7C4521E0"/>
    <w:rsid w:val="7C4618F4"/>
    <w:rsid w:val="7C4D1E27"/>
    <w:rsid w:val="7C4E5B9F"/>
    <w:rsid w:val="7C5326C5"/>
    <w:rsid w:val="7C5570BA"/>
    <w:rsid w:val="7C5735B6"/>
    <w:rsid w:val="7C63789C"/>
    <w:rsid w:val="7C6C5AC7"/>
    <w:rsid w:val="7C745605"/>
    <w:rsid w:val="7C765821"/>
    <w:rsid w:val="7C857813"/>
    <w:rsid w:val="7CA12173"/>
    <w:rsid w:val="7CA742B0"/>
    <w:rsid w:val="7CAD6D69"/>
    <w:rsid w:val="7CB43C54"/>
    <w:rsid w:val="7CB65C1E"/>
    <w:rsid w:val="7CBB1486"/>
    <w:rsid w:val="7CBB5010"/>
    <w:rsid w:val="7CC6544B"/>
    <w:rsid w:val="7CC83BA3"/>
    <w:rsid w:val="7CCD3818"/>
    <w:rsid w:val="7CCE44FE"/>
    <w:rsid w:val="7CE7227B"/>
    <w:rsid w:val="7CE777C6"/>
    <w:rsid w:val="7CEC4DB8"/>
    <w:rsid w:val="7CED21F4"/>
    <w:rsid w:val="7D0239FF"/>
    <w:rsid w:val="7D050F9F"/>
    <w:rsid w:val="7D1F286A"/>
    <w:rsid w:val="7D2863F0"/>
    <w:rsid w:val="7D2D2704"/>
    <w:rsid w:val="7D33726F"/>
    <w:rsid w:val="7D400FFE"/>
    <w:rsid w:val="7D423956"/>
    <w:rsid w:val="7D4274B2"/>
    <w:rsid w:val="7D4C0330"/>
    <w:rsid w:val="7D537911"/>
    <w:rsid w:val="7D553CB8"/>
    <w:rsid w:val="7D570460"/>
    <w:rsid w:val="7D5B4A17"/>
    <w:rsid w:val="7D5E0064"/>
    <w:rsid w:val="7D5E1E12"/>
    <w:rsid w:val="7D5E40CD"/>
    <w:rsid w:val="7D6513F2"/>
    <w:rsid w:val="7D6733BC"/>
    <w:rsid w:val="7D6E474B"/>
    <w:rsid w:val="7D7237E8"/>
    <w:rsid w:val="7D751B04"/>
    <w:rsid w:val="7D782ED3"/>
    <w:rsid w:val="7D80622C"/>
    <w:rsid w:val="7D8775BA"/>
    <w:rsid w:val="7D9341B1"/>
    <w:rsid w:val="7D957F29"/>
    <w:rsid w:val="7DA01B27"/>
    <w:rsid w:val="7DA261A2"/>
    <w:rsid w:val="7DA71A0B"/>
    <w:rsid w:val="7DA84E51"/>
    <w:rsid w:val="7DB67599"/>
    <w:rsid w:val="7DB67EA0"/>
    <w:rsid w:val="7DBA0081"/>
    <w:rsid w:val="7DBA173E"/>
    <w:rsid w:val="7DC223A1"/>
    <w:rsid w:val="7DC66335"/>
    <w:rsid w:val="7DC82C3F"/>
    <w:rsid w:val="7DCD56F2"/>
    <w:rsid w:val="7DD94854"/>
    <w:rsid w:val="7E0230E5"/>
    <w:rsid w:val="7E0B1F99"/>
    <w:rsid w:val="7E107DBC"/>
    <w:rsid w:val="7E1150D6"/>
    <w:rsid w:val="7E171CA2"/>
    <w:rsid w:val="7E266DD3"/>
    <w:rsid w:val="7E2766A8"/>
    <w:rsid w:val="7E301A00"/>
    <w:rsid w:val="7E387DAE"/>
    <w:rsid w:val="7E3A378D"/>
    <w:rsid w:val="7E426F42"/>
    <w:rsid w:val="7E434750"/>
    <w:rsid w:val="7E533FE2"/>
    <w:rsid w:val="7E546F05"/>
    <w:rsid w:val="7E5D7C79"/>
    <w:rsid w:val="7E655B4E"/>
    <w:rsid w:val="7E6B2A38"/>
    <w:rsid w:val="7E74183B"/>
    <w:rsid w:val="7E775881"/>
    <w:rsid w:val="7E77762F"/>
    <w:rsid w:val="7E8671C3"/>
    <w:rsid w:val="7E910D6D"/>
    <w:rsid w:val="7E982E03"/>
    <w:rsid w:val="7EA52DB4"/>
    <w:rsid w:val="7EAA3118"/>
    <w:rsid w:val="7EAA3560"/>
    <w:rsid w:val="7EAF0B77"/>
    <w:rsid w:val="7EB532DF"/>
    <w:rsid w:val="7EBD0143"/>
    <w:rsid w:val="7EBD46E2"/>
    <w:rsid w:val="7EC363D0"/>
    <w:rsid w:val="7ECB248A"/>
    <w:rsid w:val="7ED02F35"/>
    <w:rsid w:val="7ED216C9"/>
    <w:rsid w:val="7ED305B1"/>
    <w:rsid w:val="7EDB7BBE"/>
    <w:rsid w:val="7EE8390A"/>
    <w:rsid w:val="7F001CE7"/>
    <w:rsid w:val="7F0426A9"/>
    <w:rsid w:val="7F160BF6"/>
    <w:rsid w:val="7F182BC0"/>
    <w:rsid w:val="7F1A57E0"/>
    <w:rsid w:val="7F1F2FEA"/>
    <w:rsid w:val="7F2D4191"/>
    <w:rsid w:val="7F391E52"/>
    <w:rsid w:val="7F3B240A"/>
    <w:rsid w:val="7F4514DB"/>
    <w:rsid w:val="7F45211C"/>
    <w:rsid w:val="7F486CD6"/>
    <w:rsid w:val="7F4A58FD"/>
    <w:rsid w:val="7F533BF8"/>
    <w:rsid w:val="7F5D6825"/>
    <w:rsid w:val="7F6C2F0C"/>
    <w:rsid w:val="7F7B4EFD"/>
    <w:rsid w:val="7F7D0C75"/>
    <w:rsid w:val="7F870EA7"/>
    <w:rsid w:val="7F8C710A"/>
    <w:rsid w:val="7FA501CC"/>
    <w:rsid w:val="7FAE2934"/>
    <w:rsid w:val="7FB14ABB"/>
    <w:rsid w:val="7FB4040F"/>
    <w:rsid w:val="7FB63B91"/>
    <w:rsid w:val="7FB6763B"/>
    <w:rsid w:val="7FB81CC5"/>
    <w:rsid w:val="7FB90B0A"/>
    <w:rsid w:val="7FB977D3"/>
    <w:rsid w:val="7FBB33CF"/>
    <w:rsid w:val="7FBB354B"/>
    <w:rsid w:val="7FC248DA"/>
    <w:rsid w:val="7FD85EAB"/>
    <w:rsid w:val="7FDC1E3F"/>
    <w:rsid w:val="7FDF5BAB"/>
    <w:rsid w:val="7FE47E50"/>
    <w:rsid w:val="7FE900B8"/>
    <w:rsid w:val="7FE9455C"/>
    <w:rsid w:val="7FEC1957"/>
    <w:rsid w:val="7FF55D3F"/>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iPriority="99" w:name="toc 1" w:locked="1"/>
    <w:lsdException w:qFormat="1" w:unhideWhenUsed="0" w:uiPriority="0" w:semiHidden="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0" w:semiHidden="0" w:name="Normal Indent" w:locked="1"/>
    <w:lsdException w:uiPriority="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ocked="1"/>
    <w:lsdException w:qFormat="1" w:unhideWhenUsed="0" w:uiPriority="35" w:semiHidden="0" w:name="caption" w:locked="1"/>
    <w:lsdException w:qFormat="1" w:uiPriority="99" w:semiHidden="0" w:name="table of figures" w:locked="1"/>
    <w:lsdException w:uiPriority="0" w:name="envelope address" w:locked="1"/>
    <w:lsdException w:uiPriority="0" w:name="envelope return" w:locked="1"/>
    <w:lsdException w:uiPriority="0" w:name="footnote reference" w:locked="1"/>
    <w:lsdException w:qFormat="1" w:unhideWhenUsed="0" w:uiPriority="0" w:name="annotation reference"/>
    <w:lsdException w:uiPriority="0" w:name="line number" w:locked="1"/>
    <w:lsdException w:qFormat="1" w:unhideWhenUsed="0" w:uiPriority="0" w:semiHidden="0" w:name="page number" w:locked="1"/>
    <w:lsdException w:uiPriority="0" w:name="endnote reference" w:locked="1"/>
    <w:lsdException w:uiPriority="0" w:name="endnote text" w:locked="1"/>
    <w:lsdException w:unhideWhenUsed="0" w:uiPriority="0" w:semiHidden="0" w:name="table of authorities" w:locked="1"/>
    <w:lsdException w:uiPriority="0" w:name="macro" w:locked="1"/>
    <w:lsdException w:uiPriority="0" w:name="toa heading" w:locked="1"/>
    <w:lsdException w:qFormat="1" w:unhideWhenUsed="0" w:uiPriority="0" w:semiHidden="0" w:name="List" w:locked="1"/>
    <w:lsdException w:unhideWhenUsed="0" w:uiPriority="0" w:semiHidden="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qFormat="1"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iPriority="0" w:name="Message Header" w:locked="1"/>
    <w:lsdException w:qFormat="1" w:unhideWhenUsed="0" w:uiPriority="11" w:semiHidden="0" w:name="Subtitle" w:locked="1"/>
    <w:lsdException w:uiPriority="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qFormat="1" w:unhideWhenUsed="0" w:uiPriority="0" w:semiHidden="0" w:name="Note Heading" w:locked="1"/>
    <w:lsdException w:qFormat="1" w:unhideWhenUsed="0" w:uiPriority="0" w:semiHidden="0" w:name="Body Text 2" w:locked="1"/>
    <w:lsdException w:uiPriority="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99" w:semiHidden="0" w:name="Block Text" w:locked="1"/>
    <w:lsdException w:qFormat="1" w:unhideWhenUsed="0" w:uiPriority="0" w:semiHidden="0" w:name="Hyperlink" w:locked="1"/>
    <w:lsdException w:uiPriority="0" w:name="FollowedHyperlink" w:locked="1"/>
    <w:lsdException w:qFormat="1" w:unhideWhenUsed="0" w:uiPriority="0" w:semiHidden="0" w:name="Strong" w:locked="1"/>
    <w:lsdException w:qFormat="1" w:unhideWhenUsed="0" w:uiPriority="0" w:semiHidden="0" w:name="Emphasis" w:locked="1"/>
    <w:lsdException w:qFormat="1" w:unhideWhenUsed="0" w:uiPriority="0" w:name="Document Map" w:locked="1"/>
    <w:lsdException w:qFormat="1" w:unhideWhenUsed="0" w:uiPriority="0" w:semiHidden="0" w:name="Plain Text" w:locked="1"/>
    <w:lsdException w:uiPriority="0" w:name="E-mail Signature" w:locked="1"/>
    <w:lsdException w:qFormat="1" w:unhideWhenUsed="0" w:uiPriority="0"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qFormat="1"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59" w:semiHidden="0" w:name="Table Grid"/>
    <w:lsdException w:uiPriority="0" w:name="Table Theme" w:locked="1"/>
    <w:lsdException w:qFormat="1" w:unhideWhenUsed="0" w:uiPriority="0" w:semiHidden="0" w:name="No Spacing"/>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57"/>
    <w:autoRedefine/>
    <w:qFormat/>
    <w:locked/>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link w:val="46"/>
    <w:autoRedefine/>
    <w:qFormat/>
    <w:locked/>
    <w:uiPriority w:val="0"/>
    <w:pPr>
      <w:keepNext/>
      <w:keepLines/>
      <w:spacing w:before="260" w:after="260" w:line="416" w:lineRule="auto"/>
      <w:outlineLvl w:val="1"/>
    </w:pPr>
    <w:rPr>
      <w:rFonts w:ascii="Cambria" w:hAnsi="Cambria"/>
      <w:b/>
      <w:bCs/>
      <w:sz w:val="32"/>
      <w:szCs w:val="32"/>
      <w:lang w:val="zh-CN"/>
    </w:rPr>
  </w:style>
  <w:style w:type="paragraph" w:styleId="5">
    <w:name w:val="heading 3"/>
    <w:basedOn w:val="1"/>
    <w:next w:val="1"/>
    <w:link w:val="58"/>
    <w:autoRedefine/>
    <w:qFormat/>
    <w:locked/>
    <w:uiPriority w:val="0"/>
    <w:pPr>
      <w:keepNext/>
      <w:keepLines/>
      <w:spacing w:before="260" w:after="260" w:line="416" w:lineRule="auto"/>
      <w:outlineLvl w:val="2"/>
    </w:pPr>
    <w:rPr>
      <w:b/>
      <w:bCs/>
      <w:sz w:val="32"/>
      <w:szCs w:val="32"/>
    </w:rPr>
  </w:style>
  <w:style w:type="paragraph" w:styleId="6">
    <w:name w:val="heading 4"/>
    <w:basedOn w:val="1"/>
    <w:next w:val="1"/>
    <w:link w:val="59"/>
    <w:autoRedefine/>
    <w:qFormat/>
    <w:locked/>
    <w:uiPriority w:val="0"/>
    <w:pPr>
      <w:keepNext/>
      <w:keepLines/>
      <w:tabs>
        <w:tab w:val="left" w:pos="851"/>
        <w:tab w:val="left" w:pos="960"/>
      </w:tabs>
      <w:adjustRightInd w:val="0"/>
      <w:spacing w:before="60" w:after="60"/>
      <w:ind w:left="851" w:hanging="851"/>
      <w:textAlignment w:val="baseline"/>
      <w:outlineLvl w:val="3"/>
    </w:pPr>
    <w:rPr>
      <w:rFonts w:hAnsi="Arial" w:eastAsia="黑体"/>
      <w:b/>
      <w:kern w:val="0"/>
      <w:sz w:val="28"/>
      <w:szCs w:val="20"/>
      <w:lang w:val="zh-CN"/>
    </w:rPr>
  </w:style>
  <w:style w:type="character" w:default="1" w:styleId="40">
    <w:name w:val="Default Paragraph Font"/>
    <w:autoRedefine/>
    <w:semiHidden/>
    <w:unhideWhenUsed/>
    <w:qFormat/>
    <w:uiPriority w:val="1"/>
  </w:style>
  <w:style w:type="table" w:default="1" w:styleId="3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1"/>
    <w:link w:val="96"/>
    <w:autoRedefine/>
    <w:qFormat/>
    <w:locked/>
    <w:uiPriority w:val="0"/>
    <w:pPr>
      <w:ind w:firstLine="420"/>
    </w:pPr>
    <w:rPr>
      <w:sz w:val="28"/>
      <w:szCs w:val="20"/>
    </w:rPr>
  </w:style>
  <w:style w:type="paragraph" w:styleId="7">
    <w:name w:val="Note Heading"/>
    <w:basedOn w:val="1"/>
    <w:next w:val="1"/>
    <w:link w:val="118"/>
    <w:autoRedefine/>
    <w:qFormat/>
    <w:locked/>
    <w:uiPriority w:val="0"/>
    <w:pPr>
      <w:jc w:val="center"/>
    </w:pPr>
    <w:rPr>
      <w:szCs w:val="20"/>
    </w:rPr>
  </w:style>
  <w:style w:type="paragraph" w:styleId="8">
    <w:name w:val="caption"/>
    <w:basedOn w:val="1"/>
    <w:next w:val="1"/>
    <w:autoRedefine/>
    <w:qFormat/>
    <w:locked/>
    <w:uiPriority w:val="35"/>
    <w:pPr>
      <w:adjustRightInd w:val="0"/>
      <w:snapToGrid w:val="0"/>
      <w:jc w:val="center"/>
    </w:pPr>
    <w:rPr>
      <w:rFonts w:eastAsia="黑体"/>
      <w:sz w:val="22"/>
      <w:szCs w:val="20"/>
    </w:rPr>
  </w:style>
  <w:style w:type="paragraph" w:styleId="9">
    <w:name w:val="Document Map"/>
    <w:basedOn w:val="1"/>
    <w:link w:val="120"/>
    <w:autoRedefine/>
    <w:semiHidden/>
    <w:qFormat/>
    <w:locked/>
    <w:uiPriority w:val="0"/>
    <w:pPr>
      <w:shd w:val="clear" w:color="auto" w:fill="000080"/>
    </w:pPr>
    <w:rPr>
      <w:sz w:val="28"/>
      <w:szCs w:val="20"/>
    </w:rPr>
  </w:style>
  <w:style w:type="paragraph" w:styleId="10">
    <w:name w:val="annotation text"/>
    <w:basedOn w:val="1"/>
    <w:link w:val="66"/>
    <w:autoRedefine/>
    <w:semiHidden/>
    <w:qFormat/>
    <w:uiPriority w:val="0"/>
    <w:rPr>
      <w:kern w:val="0"/>
      <w:szCs w:val="20"/>
    </w:rPr>
  </w:style>
  <w:style w:type="paragraph" w:styleId="11">
    <w:name w:val="Body Text"/>
    <w:basedOn w:val="1"/>
    <w:next w:val="1"/>
    <w:link w:val="65"/>
    <w:autoRedefine/>
    <w:qFormat/>
    <w:uiPriority w:val="0"/>
    <w:pPr>
      <w:widowControl/>
      <w:snapToGrid w:val="0"/>
      <w:spacing w:before="60" w:after="160" w:line="259" w:lineRule="auto"/>
      <w:ind w:right="113"/>
    </w:pPr>
    <w:rPr>
      <w:kern w:val="0"/>
      <w:sz w:val="18"/>
      <w:szCs w:val="20"/>
    </w:rPr>
  </w:style>
  <w:style w:type="paragraph" w:styleId="12">
    <w:name w:val="Body Text Indent"/>
    <w:basedOn w:val="1"/>
    <w:link w:val="72"/>
    <w:autoRedefine/>
    <w:qFormat/>
    <w:uiPriority w:val="0"/>
    <w:pPr>
      <w:spacing w:after="120"/>
      <w:ind w:left="420" w:leftChars="200"/>
    </w:pPr>
    <w:rPr>
      <w:kern w:val="0"/>
      <w:szCs w:val="20"/>
    </w:rPr>
  </w:style>
  <w:style w:type="paragraph" w:styleId="13">
    <w:name w:val="Block Text"/>
    <w:basedOn w:val="1"/>
    <w:autoRedefine/>
    <w:qFormat/>
    <w:locked/>
    <w:uiPriority w:val="99"/>
    <w:pPr>
      <w:ind w:left="46" w:leftChars="22" w:right="29" w:rightChars="14" w:firstLine="210" w:firstLineChars="100"/>
    </w:pPr>
    <w:rPr>
      <w:rFonts w:ascii="宋体" w:hAnsi="宋体"/>
      <w:color w:val="FF0000"/>
    </w:rPr>
  </w:style>
  <w:style w:type="paragraph" w:styleId="14">
    <w:name w:val="Plain Text"/>
    <w:basedOn w:val="1"/>
    <w:next w:val="1"/>
    <w:link w:val="84"/>
    <w:autoRedefine/>
    <w:qFormat/>
    <w:locked/>
    <w:uiPriority w:val="0"/>
    <w:rPr>
      <w:rFonts w:ascii="宋体" w:hAnsi="Courier New"/>
      <w:szCs w:val="20"/>
    </w:rPr>
  </w:style>
  <w:style w:type="paragraph" w:styleId="15">
    <w:name w:val="List Bullet 5"/>
    <w:basedOn w:val="1"/>
    <w:autoRedefine/>
    <w:semiHidden/>
    <w:unhideWhenUsed/>
    <w:qFormat/>
    <w:locked/>
    <w:uiPriority w:val="0"/>
    <w:pPr>
      <w:numPr>
        <w:ilvl w:val="0"/>
        <w:numId w:val="1"/>
      </w:numPr>
    </w:pPr>
  </w:style>
  <w:style w:type="paragraph" w:styleId="16">
    <w:name w:val="Date"/>
    <w:basedOn w:val="1"/>
    <w:next w:val="1"/>
    <w:link w:val="61"/>
    <w:autoRedefine/>
    <w:qFormat/>
    <w:uiPriority w:val="0"/>
    <w:pPr>
      <w:ind w:left="100" w:leftChars="2500"/>
    </w:pPr>
    <w:rPr>
      <w:kern w:val="0"/>
      <w:szCs w:val="20"/>
    </w:rPr>
  </w:style>
  <w:style w:type="paragraph" w:styleId="17">
    <w:name w:val="Body Text Indent 2"/>
    <w:basedOn w:val="1"/>
    <w:next w:val="18"/>
    <w:link w:val="99"/>
    <w:autoRedefine/>
    <w:qFormat/>
    <w:locked/>
    <w:uiPriority w:val="0"/>
    <w:pPr>
      <w:spacing w:line="620" w:lineRule="exact"/>
      <w:ind w:firstLine="570"/>
    </w:pPr>
    <w:rPr>
      <w:sz w:val="28"/>
      <w:szCs w:val="20"/>
    </w:rPr>
  </w:style>
  <w:style w:type="paragraph" w:customStyle="1" w:styleId="18">
    <w:name w:val="Char"/>
    <w:basedOn w:val="1"/>
    <w:autoRedefine/>
    <w:qFormat/>
    <w:uiPriority w:val="0"/>
  </w:style>
  <w:style w:type="paragraph" w:styleId="19">
    <w:name w:val="Balloon Text"/>
    <w:basedOn w:val="1"/>
    <w:link w:val="68"/>
    <w:autoRedefine/>
    <w:semiHidden/>
    <w:qFormat/>
    <w:uiPriority w:val="0"/>
    <w:rPr>
      <w:kern w:val="0"/>
      <w:sz w:val="18"/>
      <w:szCs w:val="20"/>
    </w:rPr>
  </w:style>
  <w:style w:type="paragraph" w:styleId="20">
    <w:name w:val="footer"/>
    <w:basedOn w:val="1"/>
    <w:link w:val="60"/>
    <w:autoRedefine/>
    <w:qFormat/>
    <w:uiPriority w:val="99"/>
    <w:pPr>
      <w:tabs>
        <w:tab w:val="center" w:pos="4153"/>
        <w:tab w:val="right" w:pos="8306"/>
      </w:tabs>
      <w:snapToGrid w:val="0"/>
    </w:pPr>
    <w:rPr>
      <w:kern w:val="0"/>
      <w:sz w:val="18"/>
      <w:szCs w:val="20"/>
    </w:rPr>
  </w:style>
  <w:style w:type="paragraph" w:styleId="21">
    <w:name w:val="header"/>
    <w:basedOn w:val="1"/>
    <w:next w:val="22"/>
    <w:link w:val="70"/>
    <w:autoRedefine/>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22">
    <w:name w:val="样式5"/>
    <w:basedOn w:val="23"/>
    <w:next w:val="1"/>
    <w:autoRedefine/>
    <w:qFormat/>
    <w:uiPriority w:val="0"/>
    <w:rPr>
      <w:rFonts w:ascii="黑体"/>
    </w:rPr>
  </w:style>
  <w:style w:type="paragraph" w:customStyle="1" w:styleId="23">
    <w:name w:val="样式3"/>
    <w:basedOn w:val="24"/>
    <w:autoRedefine/>
    <w:qFormat/>
    <w:uiPriority w:val="0"/>
    <w:pPr>
      <w:snapToGrid w:val="0"/>
      <w:jc w:val="center"/>
    </w:pPr>
    <w:rPr>
      <w:rFonts w:hAnsi="黑体" w:eastAsia="黑体"/>
      <w:color w:val="000000"/>
    </w:rPr>
  </w:style>
  <w:style w:type="paragraph" w:styleId="24">
    <w:name w:val="List"/>
    <w:basedOn w:val="1"/>
    <w:autoRedefine/>
    <w:qFormat/>
    <w:locked/>
    <w:uiPriority w:val="0"/>
    <w:pPr>
      <w:ind w:left="200" w:hanging="200" w:hangingChars="200"/>
    </w:pPr>
  </w:style>
  <w:style w:type="paragraph" w:styleId="25">
    <w:name w:val="toc 1"/>
    <w:basedOn w:val="1"/>
    <w:next w:val="1"/>
    <w:autoRedefine/>
    <w:semiHidden/>
    <w:unhideWhenUsed/>
    <w:qFormat/>
    <w:locked/>
    <w:uiPriority w:val="99"/>
  </w:style>
  <w:style w:type="paragraph" w:styleId="26">
    <w:name w:val="Subtitle"/>
    <w:basedOn w:val="1"/>
    <w:next w:val="1"/>
    <w:link w:val="97"/>
    <w:autoRedefine/>
    <w:qFormat/>
    <w:locked/>
    <w:uiPriority w:val="11"/>
    <w:pPr>
      <w:snapToGrid w:val="0"/>
      <w:jc w:val="center"/>
    </w:pPr>
    <w:rPr>
      <w:rFonts w:ascii="Cambria" w:hAnsi="Cambria"/>
      <w:bCs/>
      <w:kern w:val="28"/>
      <w:sz w:val="20"/>
      <w:szCs w:val="32"/>
    </w:rPr>
  </w:style>
  <w:style w:type="paragraph" w:styleId="27">
    <w:name w:val="Body Text Indent 3"/>
    <w:basedOn w:val="1"/>
    <w:link w:val="119"/>
    <w:autoRedefine/>
    <w:qFormat/>
    <w:locked/>
    <w:uiPriority w:val="0"/>
    <w:pPr>
      <w:spacing w:line="500" w:lineRule="exact"/>
      <w:ind w:firstLine="570"/>
    </w:pPr>
    <w:rPr>
      <w:szCs w:val="20"/>
    </w:rPr>
  </w:style>
  <w:style w:type="paragraph" w:styleId="28">
    <w:name w:val="table of figures"/>
    <w:basedOn w:val="1"/>
    <w:next w:val="1"/>
    <w:autoRedefine/>
    <w:unhideWhenUsed/>
    <w:qFormat/>
    <w:locked/>
    <w:uiPriority w:val="99"/>
  </w:style>
  <w:style w:type="paragraph" w:styleId="29">
    <w:name w:val="toc 2"/>
    <w:basedOn w:val="1"/>
    <w:next w:val="1"/>
    <w:autoRedefine/>
    <w:qFormat/>
    <w:locked/>
    <w:uiPriority w:val="0"/>
    <w:pPr>
      <w:ind w:left="200" w:leftChars="200"/>
    </w:pPr>
    <w:rPr>
      <w:sz w:val="28"/>
      <w:szCs w:val="28"/>
    </w:rPr>
  </w:style>
  <w:style w:type="paragraph" w:styleId="30">
    <w:name w:val="Body Text 2"/>
    <w:basedOn w:val="1"/>
    <w:link w:val="125"/>
    <w:autoRedefine/>
    <w:qFormat/>
    <w:locked/>
    <w:uiPriority w:val="0"/>
    <w:rPr>
      <w:b/>
      <w:sz w:val="28"/>
      <w:szCs w:val="20"/>
    </w:rPr>
  </w:style>
  <w:style w:type="paragraph" w:styleId="31">
    <w:name w:val="HTML Preformatted"/>
    <w:basedOn w:val="1"/>
    <w:autoRedefine/>
    <w:semiHidden/>
    <w:unhideWhenUsed/>
    <w:qFormat/>
    <w:lock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rPr>
  </w:style>
  <w:style w:type="paragraph" w:styleId="32">
    <w:name w:val="Normal (Web)"/>
    <w:basedOn w:val="1"/>
    <w:link w:val="63"/>
    <w:autoRedefine/>
    <w:qFormat/>
    <w:uiPriority w:val="0"/>
    <w:pPr>
      <w:widowControl/>
      <w:spacing w:before="100" w:beforeAutospacing="1" w:after="100" w:afterAutospacing="1"/>
    </w:pPr>
    <w:rPr>
      <w:rFonts w:ascii="宋体" w:hAnsi="宋体"/>
      <w:kern w:val="0"/>
      <w:szCs w:val="20"/>
    </w:rPr>
  </w:style>
  <w:style w:type="paragraph" w:styleId="33">
    <w:name w:val="Title"/>
    <w:basedOn w:val="1"/>
    <w:next w:val="1"/>
    <w:link w:val="90"/>
    <w:autoRedefine/>
    <w:qFormat/>
    <w:locked/>
    <w:uiPriority w:val="0"/>
    <w:pPr>
      <w:snapToGrid w:val="0"/>
      <w:jc w:val="center"/>
    </w:pPr>
    <w:rPr>
      <w:rFonts w:ascii="黑体" w:eastAsia="黑体"/>
      <w:sz w:val="36"/>
      <w:szCs w:val="20"/>
    </w:rPr>
  </w:style>
  <w:style w:type="paragraph" w:styleId="34">
    <w:name w:val="annotation subject"/>
    <w:basedOn w:val="10"/>
    <w:next w:val="10"/>
    <w:link w:val="69"/>
    <w:autoRedefine/>
    <w:semiHidden/>
    <w:qFormat/>
    <w:uiPriority w:val="0"/>
    <w:rPr>
      <w:b/>
    </w:rPr>
  </w:style>
  <w:style w:type="paragraph" w:styleId="35">
    <w:name w:val="Body Text First Indent"/>
    <w:basedOn w:val="11"/>
    <w:next w:val="1"/>
    <w:link w:val="102"/>
    <w:autoRedefine/>
    <w:qFormat/>
    <w:locked/>
    <w:uiPriority w:val="0"/>
    <w:pPr>
      <w:widowControl w:val="0"/>
      <w:snapToGrid/>
      <w:spacing w:before="0" w:after="120" w:line="240" w:lineRule="auto"/>
      <w:ind w:right="0" w:firstLine="420" w:firstLineChars="100"/>
    </w:pPr>
    <w:rPr>
      <w:kern w:val="2"/>
      <w:sz w:val="24"/>
      <w:szCs w:val="24"/>
    </w:rPr>
  </w:style>
  <w:style w:type="paragraph" w:styleId="36">
    <w:name w:val="Body Text First Indent 2"/>
    <w:basedOn w:val="12"/>
    <w:next w:val="1"/>
    <w:link w:val="76"/>
    <w:autoRedefine/>
    <w:qFormat/>
    <w:locked/>
    <w:uiPriority w:val="0"/>
    <w:pPr>
      <w:ind w:firstLine="420"/>
    </w:pPr>
  </w:style>
  <w:style w:type="table" w:styleId="38">
    <w:name w:val="Table Grid"/>
    <w:basedOn w:val="3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9">
    <w:name w:val="Light Shading"/>
    <w:basedOn w:val="37"/>
    <w:autoRedefine/>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character" w:styleId="41">
    <w:name w:val="Strong"/>
    <w:autoRedefine/>
    <w:qFormat/>
    <w:locked/>
    <w:uiPriority w:val="0"/>
    <w:rPr>
      <w:b/>
      <w:bCs/>
    </w:rPr>
  </w:style>
  <w:style w:type="character" w:styleId="42">
    <w:name w:val="page number"/>
    <w:basedOn w:val="40"/>
    <w:autoRedefine/>
    <w:qFormat/>
    <w:locked/>
    <w:uiPriority w:val="0"/>
  </w:style>
  <w:style w:type="character" w:styleId="43">
    <w:name w:val="Emphasis"/>
    <w:basedOn w:val="40"/>
    <w:autoRedefine/>
    <w:qFormat/>
    <w:locked/>
    <w:uiPriority w:val="0"/>
    <w:rPr>
      <w:i/>
    </w:rPr>
  </w:style>
  <w:style w:type="character" w:styleId="44">
    <w:name w:val="Hyperlink"/>
    <w:autoRedefine/>
    <w:qFormat/>
    <w:locked/>
    <w:uiPriority w:val="0"/>
    <w:rPr>
      <w:color w:val="3366CC"/>
      <w:u w:val="single"/>
    </w:rPr>
  </w:style>
  <w:style w:type="character" w:styleId="45">
    <w:name w:val="annotation reference"/>
    <w:autoRedefine/>
    <w:semiHidden/>
    <w:qFormat/>
    <w:uiPriority w:val="0"/>
    <w:rPr>
      <w:sz w:val="21"/>
    </w:rPr>
  </w:style>
  <w:style w:type="character" w:customStyle="1" w:styleId="46">
    <w:name w:val="标题 2 Char"/>
    <w:basedOn w:val="40"/>
    <w:link w:val="4"/>
    <w:autoRedefine/>
    <w:qFormat/>
    <w:uiPriority w:val="0"/>
    <w:rPr>
      <w:rFonts w:ascii="Cambria" w:hAnsi="Cambria"/>
      <w:b/>
      <w:bCs/>
      <w:kern w:val="2"/>
      <w:sz w:val="32"/>
      <w:szCs w:val="32"/>
      <w:lang w:val="zh-CN" w:eastAsia="zh-CN"/>
    </w:rPr>
  </w:style>
  <w:style w:type="character" w:customStyle="1" w:styleId="47">
    <w:name w:val="标题 1 Char"/>
    <w:autoRedefine/>
    <w:qFormat/>
    <w:uiPriority w:val="0"/>
    <w:rPr>
      <w:b/>
      <w:bCs/>
      <w:kern w:val="44"/>
      <w:sz w:val="44"/>
      <w:szCs w:val="44"/>
    </w:rPr>
  </w:style>
  <w:style w:type="paragraph" w:customStyle="1" w:styleId="48">
    <w:name w:val="表格"/>
    <w:basedOn w:val="1"/>
    <w:next w:val="1"/>
    <w:link w:val="49"/>
    <w:autoRedefine/>
    <w:qFormat/>
    <w:uiPriority w:val="0"/>
    <w:pPr>
      <w:adjustRightInd w:val="0"/>
      <w:snapToGrid w:val="0"/>
      <w:spacing w:beforeLines="10" w:afterLines="10" w:line="259" w:lineRule="auto"/>
      <w:jc w:val="center"/>
    </w:pPr>
    <w:rPr>
      <w:rFonts w:ascii="宋体"/>
      <w:kern w:val="0"/>
      <w:szCs w:val="20"/>
    </w:rPr>
  </w:style>
  <w:style w:type="character" w:customStyle="1" w:styleId="49">
    <w:name w:val="表格 Char"/>
    <w:link w:val="48"/>
    <w:autoRedefine/>
    <w:qFormat/>
    <w:locked/>
    <w:uiPriority w:val="0"/>
    <w:rPr>
      <w:rFonts w:ascii="宋体"/>
      <w:sz w:val="21"/>
    </w:rPr>
  </w:style>
  <w:style w:type="paragraph" w:customStyle="1" w:styleId="50">
    <w:name w:val="Default"/>
    <w:basedOn w:val="51"/>
    <w:autoRedefine/>
    <w:qFormat/>
    <w:uiPriority w:val="0"/>
    <w:rPr>
      <w:rFonts w:hAnsi="宋体" w:cs="宋体"/>
      <w:color w:val="000000"/>
      <w:szCs w:val="24"/>
    </w:rPr>
  </w:style>
  <w:style w:type="paragraph" w:customStyle="1" w:styleId="51">
    <w:name w:val="纯文本1"/>
    <w:basedOn w:val="1"/>
    <w:autoRedefine/>
    <w:qFormat/>
    <w:uiPriority w:val="99"/>
    <w:pPr>
      <w:autoSpaceDE w:val="0"/>
      <w:autoSpaceDN w:val="0"/>
      <w:adjustRightInd w:val="0"/>
      <w:textAlignment w:val="baseline"/>
    </w:pPr>
    <w:rPr>
      <w:rFonts w:ascii="宋体"/>
      <w:szCs w:val="20"/>
    </w:rPr>
  </w:style>
  <w:style w:type="paragraph" w:customStyle="1" w:styleId="52">
    <w:name w:val="图表名"/>
    <w:basedOn w:val="1"/>
    <w:autoRedefine/>
    <w:qFormat/>
    <w:uiPriority w:val="0"/>
    <w:pPr>
      <w:adjustRightInd w:val="0"/>
      <w:snapToGrid w:val="0"/>
      <w:spacing w:before="50" w:beforeLines="50" w:after="50" w:afterLines="50"/>
      <w:jc w:val="center"/>
    </w:pPr>
    <w:rPr>
      <w:b/>
      <w:sz w:val="32"/>
      <w:szCs w:val="20"/>
    </w:rPr>
  </w:style>
  <w:style w:type="paragraph" w:customStyle="1" w:styleId="53">
    <w:name w:val="_Style 1"/>
    <w:autoRedefine/>
    <w:qFormat/>
    <w:uiPriority w:val="0"/>
    <w:pPr>
      <w:adjustRightInd w:val="0"/>
      <w:snapToGrid w:val="0"/>
      <w:spacing w:line="480" w:lineRule="exact"/>
      <w:ind w:firstLine="480" w:firstLineChars="200"/>
    </w:pPr>
    <w:rPr>
      <w:rFonts w:ascii="Times New Roman" w:hAnsi="Times New Roman" w:eastAsia="宋体" w:cs="Times New Roman"/>
      <w:sz w:val="24"/>
      <w:szCs w:val="22"/>
      <w:lang w:val="en-US" w:eastAsia="zh-CN" w:bidi="ar-SA"/>
    </w:rPr>
  </w:style>
  <w:style w:type="paragraph" w:customStyle="1" w:styleId="54">
    <w:name w:val="样式 标题 1一级标题 + 段前: 0.5 行 段后: 0.5 行"/>
    <w:basedOn w:val="3"/>
    <w:autoRedefine/>
    <w:qFormat/>
    <w:uiPriority w:val="99"/>
    <w:pPr>
      <w:spacing w:line="320" w:lineRule="exact"/>
      <w:outlineLvl w:val="9"/>
    </w:pPr>
    <w:rPr>
      <w:spacing w:val="-6"/>
      <w:sz w:val="21"/>
      <w:szCs w:val="21"/>
    </w:rPr>
  </w:style>
  <w:style w:type="paragraph" w:customStyle="1" w:styleId="55">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56">
    <w:name w:val="正文文字 6"/>
    <w:next w:val="1"/>
    <w:autoRedefine/>
    <w:qFormat/>
    <w:uiPriority w:val="0"/>
    <w:pPr>
      <w:widowControl w:val="0"/>
      <w:ind w:left="240"/>
      <w:jc w:val="both"/>
    </w:pPr>
    <w:rPr>
      <w:rFonts w:ascii="宋体" w:hAnsi="Calibri" w:eastAsia="宋体" w:cs="Times New Roman"/>
      <w:b/>
      <w:bCs/>
      <w:kern w:val="2"/>
      <w:sz w:val="32"/>
      <w:szCs w:val="32"/>
      <w:lang w:val="en-US" w:eastAsia="zh-CN" w:bidi="ar-SA"/>
    </w:rPr>
  </w:style>
  <w:style w:type="character" w:customStyle="1" w:styleId="57">
    <w:name w:val="标题 1 Char1"/>
    <w:link w:val="3"/>
    <w:autoRedefine/>
    <w:qFormat/>
    <w:uiPriority w:val="0"/>
    <w:rPr>
      <w:rFonts w:eastAsia="黑体"/>
      <w:b/>
      <w:bCs/>
      <w:color w:val="000000"/>
      <w:kern w:val="44"/>
      <w:sz w:val="30"/>
      <w:szCs w:val="30"/>
    </w:rPr>
  </w:style>
  <w:style w:type="character" w:customStyle="1" w:styleId="58">
    <w:name w:val="标题 3 Char"/>
    <w:basedOn w:val="40"/>
    <w:link w:val="5"/>
    <w:autoRedefine/>
    <w:qFormat/>
    <w:uiPriority w:val="0"/>
    <w:rPr>
      <w:b/>
      <w:bCs/>
      <w:kern w:val="2"/>
      <w:sz w:val="32"/>
      <w:szCs w:val="32"/>
    </w:rPr>
  </w:style>
  <w:style w:type="character" w:customStyle="1" w:styleId="59">
    <w:name w:val="标题 4 Char"/>
    <w:basedOn w:val="40"/>
    <w:link w:val="6"/>
    <w:autoRedefine/>
    <w:qFormat/>
    <w:uiPriority w:val="0"/>
    <w:rPr>
      <w:rFonts w:hAnsi="Arial" w:eastAsia="黑体"/>
      <w:b/>
      <w:sz w:val="28"/>
      <w:lang w:val="zh-CN" w:eastAsia="zh-CN"/>
    </w:rPr>
  </w:style>
  <w:style w:type="character" w:customStyle="1" w:styleId="60">
    <w:name w:val="页脚 Char"/>
    <w:link w:val="20"/>
    <w:autoRedefine/>
    <w:qFormat/>
    <w:locked/>
    <w:uiPriority w:val="99"/>
    <w:rPr>
      <w:sz w:val="18"/>
    </w:rPr>
  </w:style>
  <w:style w:type="character" w:customStyle="1" w:styleId="61">
    <w:name w:val="日期 Char"/>
    <w:link w:val="16"/>
    <w:autoRedefine/>
    <w:qFormat/>
    <w:locked/>
    <w:uiPriority w:val="0"/>
    <w:rPr>
      <w:rFonts w:ascii="Times New Roman" w:hAnsi="Times New Roman" w:eastAsia="宋体"/>
      <w:sz w:val="24"/>
    </w:rPr>
  </w:style>
  <w:style w:type="character" w:customStyle="1" w:styleId="62">
    <w:name w:val="页脚 字符"/>
    <w:basedOn w:val="40"/>
    <w:autoRedefine/>
    <w:qFormat/>
    <w:uiPriority w:val="99"/>
  </w:style>
  <w:style w:type="character" w:customStyle="1" w:styleId="63">
    <w:name w:val="普通(网站) Char"/>
    <w:link w:val="32"/>
    <w:autoRedefine/>
    <w:qFormat/>
    <w:locked/>
    <w:uiPriority w:val="0"/>
    <w:rPr>
      <w:rFonts w:ascii="宋体" w:hAnsi="宋体" w:eastAsia="宋体"/>
      <w:sz w:val="24"/>
    </w:rPr>
  </w:style>
  <w:style w:type="character" w:customStyle="1" w:styleId="64">
    <w:name w:val="正文文本 字符1"/>
    <w:autoRedefine/>
    <w:semiHidden/>
    <w:qFormat/>
    <w:uiPriority w:val="0"/>
    <w:rPr>
      <w:rFonts w:ascii="Times New Roman" w:hAnsi="Times New Roman" w:eastAsia="宋体"/>
      <w:sz w:val="24"/>
    </w:rPr>
  </w:style>
  <w:style w:type="character" w:customStyle="1" w:styleId="65">
    <w:name w:val="正文文本 Char"/>
    <w:link w:val="11"/>
    <w:autoRedefine/>
    <w:qFormat/>
    <w:locked/>
    <w:uiPriority w:val="0"/>
    <w:rPr>
      <w:sz w:val="18"/>
    </w:rPr>
  </w:style>
  <w:style w:type="character" w:customStyle="1" w:styleId="66">
    <w:name w:val="批注文字 Char"/>
    <w:link w:val="10"/>
    <w:autoRedefine/>
    <w:qFormat/>
    <w:locked/>
    <w:uiPriority w:val="0"/>
    <w:rPr>
      <w:rFonts w:ascii="Times New Roman" w:hAnsi="Times New Roman" w:eastAsia="宋体"/>
      <w:sz w:val="24"/>
    </w:rPr>
  </w:style>
  <w:style w:type="character" w:customStyle="1" w:styleId="67">
    <w:name w:val="日期 字符"/>
    <w:autoRedefine/>
    <w:semiHidden/>
    <w:qFormat/>
    <w:uiPriority w:val="0"/>
    <w:rPr>
      <w:rFonts w:ascii="Times New Roman" w:hAnsi="Times New Roman" w:eastAsia="宋体"/>
      <w:sz w:val="24"/>
    </w:rPr>
  </w:style>
  <w:style w:type="character" w:customStyle="1" w:styleId="68">
    <w:name w:val="批注框文本 Char"/>
    <w:link w:val="19"/>
    <w:autoRedefine/>
    <w:semiHidden/>
    <w:qFormat/>
    <w:locked/>
    <w:uiPriority w:val="0"/>
    <w:rPr>
      <w:rFonts w:ascii="Times New Roman" w:hAnsi="Times New Roman" w:eastAsia="宋体"/>
      <w:sz w:val="18"/>
    </w:rPr>
  </w:style>
  <w:style w:type="character" w:customStyle="1" w:styleId="69">
    <w:name w:val="批注主题 Char"/>
    <w:link w:val="34"/>
    <w:autoRedefine/>
    <w:semiHidden/>
    <w:qFormat/>
    <w:locked/>
    <w:uiPriority w:val="0"/>
    <w:rPr>
      <w:rFonts w:ascii="Times New Roman" w:hAnsi="Times New Roman" w:eastAsia="宋体"/>
      <w:b/>
      <w:kern w:val="2"/>
      <w:sz w:val="24"/>
    </w:rPr>
  </w:style>
  <w:style w:type="character" w:customStyle="1" w:styleId="70">
    <w:name w:val="页眉 Char"/>
    <w:link w:val="21"/>
    <w:autoRedefine/>
    <w:qFormat/>
    <w:locked/>
    <w:uiPriority w:val="0"/>
    <w:rPr>
      <w:sz w:val="18"/>
    </w:rPr>
  </w:style>
  <w:style w:type="character" w:customStyle="1" w:styleId="71">
    <w:name w:val="批注文字 字符1"/>
    <w:autoRedefine/>
    <w:semiHidden/>
    <w:qFormat/>
    <w:uiPriority w:val="0"/>
    <w:rPr>
      <w:rFonts w:ascii="Times New Roman" w:hAnsi="Times New Roman" w:eastAsia="宋体"/>
      <w:sz w:val="24"/>
    </w:rPr>
  </w:style>
  <w:style w:type="character" w:customStyle="1" w:styleId="72">
    <w:name w:val="正文文本缩进 Char"/>
    <w:link w:val="12"/>
    <w:autoRedefine/>
    <w:qFormat/>
    <w:locked/>
    <w:uiPriority w:val="0"/>
    <w:rPr>
      <w:rFonts w:ascii="Times New Roman" w:hAnsi="Times New Roman" w:eastAsia="宋体"/>
      <w:sz w:val="24"/>
    </w:rPr>
  </w:style>
  <w:style w:type="paragraph" w:customStyle="1" w:styleId="73">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4">
    <w:name w:val="普通(网站)2"/>
    <w:basedOn w:val="1"/>
    <w:autoRedefine/>
    <w:qFormat/>
    <w:uiPriority w:val="0"/>
    <w:pPr>
      <w:widowControl/>
      <w:spacing w:before="100" w:beforeAutospacing="1" w:after="100" w:afterAutospacing="1"/>
    </w:pPr>
    <w:rPr>
      <w:rFonts w:ascii="宋体" w:hAnsi="宋体"/>
      <w:szCs w:val="20"/>
    </w:rPr>
  </w:style>
  <w:style w:type="paragraph" w:customStyle="1" w:styleId="75">
    <w:name w:val="xl24"/>
    <w:basedOn w:val="1"/>
    <w:autoRedefine/>
    <w:qFormat/>
    <w:uiPriority w:val="0"/>
    <w:pPr>
      <w:widowControl/>
      <w:spacing w:before="100" w:beforeAutospacing="1" w:after="100" w:afterAutospacing="1"/>
      <w:jc w:val="center"/>
    </w:pPr>
    <w:rPr>
      <w:rFonts w:ascii="Arial Unicode MS" w:hAnsi="Arial Unicode MS" w:eastAsia="Arial Unicode MS" w:cs="Arial Unicode MS"/>
      <w:kern w:val="0"/>
    </w:rPr>
  </w:style>
  <w:style w:type="character" w:customStyle="1" w:styleId="76">
    <w:name w:val="正文首行缩进 2 Char"/>
    <w:basedOn w:val="72"/>
    <w:link w:val="36"/>
    <w:autoRedefine/>
    <w:qFormat/>
    <w:uiPriority w:val="0"/>
    <w:rPr>
      <w:rFonts w:ascii="Times New Roman" w:hAnsi="Times New Roman" w:eastAsia="宋体"/>
      <w:kern w:val="2"/>
      <w:sz w:val="21"/>
      <w:szCs w:val="24"/>
    </w:rPr>
  </w:style>
  <w:style w:type="paragraph" w:customStyle="1" w:styleId="77">
    <w:name w:val="图表标题"/>
    <w:autoRedefine/>
    <w:qFormat/>
    <w:uiPriority w:val="0"/>
    <w:pPr>
      <w:spacing w:before="50" w:beforeLines="50" w:line="360" w:lineRule="auto"/>
      <w:jc w:val="center"/>
    </w:pPr>
    <w:rPr>
      <w:rFonts w:ascii="Times New Roman" w:hAnsi="Times New Roman" w:eastAsia="黑体" w:cs="Times New Roman"/>
      <w:kern w:val="2"/>
      <w:sz w:val="24"/>
      <w:szCs w:val="22"/>
      <w:lang w:val="en-US" w:eastAsia="zh-CN" w:bidi="ar-SA"/>
    </w:rPr>
  </w:style>
  <w:style w:type="paragraph" w:customStyle="1" w:styleId="78">
    <w:name w:val="图表文字"/>
    <w:basedOn w:val="11"/>
    <w:next w:val="1"/>
    <w:autoRedefine/>
    <w:qFormat/>
    <w:uiPriority w:val="0"/>
    <w:pPr>
      <w:widowControl w:val="0"/>
      <w:snapToGrid/>
      <w:spacing w:before="0" w:after="0" w:line="240" w:lineRule="auto"/>
      <w:ind w:right="0"/>
      <w:jc w:val="center"/>
    </w:pPr>
    <w:rPr>
      <w:snapToGrid w:val="0"/>
      <w:kern w:val="2"/>
      <w:sz w:val="21"/>
      <w:szCs w:val="24"/>
    </w:rPr>
  </w:style>
  <w:style w:type="character" w:customStyle="1" w:styleId="79">
    <w:name w:val="报告表格 Char"/>
    <w:link w:val="80"/>
    <w:autoRedefine/>
    <w:qFormat/>
    <w:uiPriority w:val="0"/>
    <w:rPr>
      <w:sz w:val="21"/>
    </w:rPr>
  </w:style>
  <w:style w:type="paragraph" w:customStyle="1" w:styleId="80">
    <w:name w:val="报告表格"/>
    <w:link w:val="79"/>
    <w:autoRedefine/>
    <w:qFormat/>
    <w:uiPriority w:val="0"/>
    <w:pPr>
      <w:autoSpaceDE w:val="0"/>
      <w:autoSpaceDN w:val="0"/>
      <w:adjustRightInd w:val="0"/>
      <w:jc w:val="center"/>
      <w:textAlignment w:val="bottom"/>
    </w:pPr>
    <w:rPr>
      <w:rFonts w:ascii="Times New Roman" w:hAnsi="Times New Roman" w:eastAsia="宋体" w:cs="Times New Roman"/>
      <w:sz w:val="21"/>
      <w:lang w:val="en-US" w:eastAsia="zh-CN" w:bidi="ar-SA"/>
    </w:rPr>
  </w:style>
  <w:style w:type="character" w:customStyle="1" w:styleId="81">
    <w:name w:val="报告 Char"/>
    <w:link w:val="82"/>
    <w:autoRedefine/>
    <w:qFormat/>
    <w:uiPriority w:val="0"/>
    <w:rPr>
      <w:rFonts w:ascii="TimesNewRoman" w:hAnsi="TimesNewRoman"/>
      <w:sz w:val="24"/>
    </w:rPr>
  </w:style>
  <w:style w:type="paragraph" w:customStyle="1" w:styleId="82">
    <w:name w:val="报告"/>
    <w:basedOn w:val="1"/>
    <w:link w:val="81"/>
    <w:autoRedefine/>
    <w:qFormat/>
    <w:uiPriority w:val="0"/>
    <w:pPr>
      <w:adjustRightInd w:val="0"/>
      <w:ind w:firstLine="505"/>
      <w:textAlignment w:val="center"/>
    </w:pPr>
    <w:rPr>
      <w:rFonts w:ascii="TimesNewRoman" w:hAnsi="TimesNewRoman"/>
      <w:kern w:val="0"/>
      <w:szCs w:val="20"/>
    </w:rPr>
  </w:style>
  <w:style w:type="character" w:customStyle="1" w:styleId="83">
    <w:name w:val="文本 Char"/>
    <w:autoRedefine/>
    <w:qFormat/>
    <w:uiPriority w:val="0"/>
    <w:rPr>
      <w:rFonts w:eastAsia="宋体"/>
      <w:kern w:val="2"/>
      <w:sz w:val="21"/>
      <w:szCs w:val="24"/>
      <w:lang w:val="en-US" w:eastAsia="zh-CN" w:bidi="ar-SA"/>
    </w:rPr>
  </w:style>
  <w:style w:type="character" w:customStyle="1" w:styleId="84">
    <w:name w:val="纯文本 Char"/>
    <w:link w:val="14"/>
    <w:autoRedefine/>
    <w:qFormat/>
    <w:uiPriority w:val="0"/>
    <w:rPr>
      <w:rFonts w:ascii="宋体" w:hAnsi="Courier New"/>
      <w:kern w:val="2"/>
      <w:sz w:val="21"/>
    </w:rPr>
  </w:style>
  <w:style w:type="character" w:customStyle="1" w:styleId="85">
    <w:name w:val="表格 Char Char"/>
    <w:autoRedefine/>
    <w:qFormat/>
    <w:uiPriority w:val="0"/>
    <w:rPr>
      <w:kern w:val="2"/>
      <w:sz w:val="21"/>
      <w:szCs w:val="21"/>
    </w:rPr>
  </w:style>
  <w:style w:type="character" w:customStyle="1" w:styleId="86">
    <w:name w:val="xl26 Char"/>
    <w:link w:val="87"/>
    <w:autoRedefine/>
    <w:qFormat/>
    <w:uiPriority w:val="0"/>
    <w:rPr>
      <w:rFonts w:ascii="宋体" w:hAnsi="宋体"/>
      <w:sz w:val="21"/>
      <w:szCs w:val="21"/>
    </w:rPr>
  </w:style>
  <w:style w:type="paragraph" w:customStyle="1" w:styleId="87">
    <w:name w:val="xl26"/>
    <w:basedOn w:val="1"/>
    <w:link w:val="86"/>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Cs w:val="21"/>
    </w:rPr>
  </w:style>
  <w:style w:type="character" w:customStyle="1" w:styleId="88">
    <w:name w:val="节标题 Char1"/>
    <w:autoRedefine/>
    <w:qFormat/>
    <w:uiPriority w:val="0"/>
    <w:rPr>
      <w:rFonts w:eastAsia="黑体"/>
      <w:b/>
      <w:kern w:val="32"/>
      <w:sz w:val="32"/>
      <w:lang w:val="en-US" w:eastAsia="zh-CN" w:bidi="ar-SA"/>
    </w:rPr>
  </w:style>
  <w:style w:type="character" w:customStyle="1" w:styleId="89">
    <w:name w:val="副标题 Char1"/>
    <w:autoRedefine/>
    <w:qFormat/>
    <w:uiPriority w:val="0"/>
    <w:rPr>
      <w:rFonts w:ascii="Cambria" w:hAnsi="Cambria" w:cs="Times New Roman"/>
      <w:b/>
      <w:bCs/>
      <w:kern w:val="28"/>
      <w:sz w:val="32"/>
      <w:szCs w:val="32"/>
    </w:rPr>
  </w:style>
  <w:style w:type="character" w:customStyle="1" w:styleId="90">
    <w:name w:val="标题 Char"/>
    <w:link w:val="33"/>
    <w:autoRedefine/>
    <w:qFormat/>
    <w:uiPriority w:val="0"/>
    <w:rPr>
      <w:rFonts w:ascii="黑体" w:eastAsia="黑体"/>
      <w:kern w:val="2"/>
      <w:sz w:val="36"/>
    </w:rPr>
  </w:style>
  <w:style w:type="character" w:customStyle="1" w:styleId="91">
    <w:name w:val="表格内文字 Char"/>
    <w:link w:val="92"/>
    <w:autoRedefine/>
    <w:qFormat/>
    <w:uiPriority w:val="0"/>
    <w:rPr>
      <w:rFonts w:eastAsia="仿宋_GB2312"/>
      <w:kern w:val="2"/>
      <w:sz w:val="24"/>
      <w:szCs w:val="28"/>
    </w:rPr>
  </w:style>
  <w:style w:type="paragraph" w:customStyle="1" w:styleId="92">
    <w:name w:val="表格内文字"/>
    <w:basedOn w:val="1"/>
    <w:link w:val="91"/>
    <w:autoRedefine/>
    <w:qFormat/>
    <w:uiPriority w:val="0"/>
    <w:pPr>
      <w:tabs>
        <w:tab w:val="left" w:pos="0"/>
      </w:tabs>
      <w:adjustRightInd w:val="0"/>
      <w:snapToGrid w:val="0"/>
      <w:jc w:val="center"/>
    </w:pPr>
    <w:rPr>
      <w:rFonts w:eastAsia="仿宋_GB2312"/>
      <w:szCs w:val="28"/>
    </w:rPr>
  </w:style>
  <w:style w:type="character" w:customStyle="1" w:styleId="93">
    <w:name w:val="unnamed1"/>
    <w:autoRedefine/>
    <w:qFormat/>
    <w:uiPriority w:val="0"/>
  </w:style>
  <w:style w:type="character" w:customStyle="1" w:styleId="94">
    <w:name w:val="样式 正文缩进表正文正文非缩进 + Char"/>
    <w:link w:val="95"/>
    <w:autoRedefine/>
    <w:qFormat/>
    <w:uiPriority w:val="0"/>
    <w:rPr>
      <w:rFonts w:ascii="宋体" w:hAnsi="宋体"/>
      <w:kern w:val="2"/>
      <w:sz w:val="28"/>
      <w:szCs w:val="24"/>
    </w:rPr>
  </w:style>
  <w:style w:type="paragraph" w:customStyle="1" w:styleId="95">
    <w:name w:val="样式 正文缩进表正文正文非缩进 +"/>
    <w:basedOn w:val="2"/>
    <w:link w:val="94"/>
    <w:autoRedefine/>
    <w:qFormat/>
    <w:uiPriority w:val="0"/>
    <w:pPr>
      <w:ind w:firstLine="200"/>
    </w:pPr>
    <w:rPr>
      <w:rFonts w:ascii="宋体" w:hAnsi="宋体"/>
      <w:szCs w:val="24"/>
    </w:rPr>
  </w:style>
  <w:style w:type="character" w:customStyle="1" w:styleId="96">
    <w:name w:val="正文缩进 Char"/>
    <w:link w:val="2"/>
    <w:autoRedefine/>
    <w:qFormat/>
    <w:uiPriority w:val="0"/>
    <w:rPr>
      <w:kern w:val="2"/>
      <w:sz w:val="28"/>
    </w:rPr>
  </w:style>
  <w:style w:type="character" w:customStyle="1" w:styleId="97">
    <w:name w:val="副标题 Char"/>
    <w:link w:val="26"/>
    <w:autoRedefine/>
    <w:qFormat/>
    <w:uiPriority w:val="11"/>
    <w:rPr>
      <w:rFonts w:ascii="Cambria" w:hAnsi="Cambria"/>
      <w:bCs/>
      <w:kern w:val="28"/>
      <w:szCs w:val="32"/>
    </w:rPr>
  </w:style>
  <w:style w:type="character" w:customStyle="1" w:styleId="98">
    <w:name w:val="apple-converted-space"/>
    <w:basedOn w:val="40"/>
    <w:autoRedefine/>
    <w:qFormat/>
    <w:uiPriority w:val="0"/>
  </w:style>
  <w:style w:type="character" w:customStyle="1" w:styleId="99">
    <w:name w:val="正文文本缩进 2 Char"/>
    <w:link w:val="17"/>
    <w:autoRedefine/>
    <w:qFormat/>
    <w:uiPriority w:val="0"/>
    <w:rPr>
      <w:kern w:val="2"/>
      <w:sz w:val="28"/>
    </w:rPr>
  </w:style>
  <w:style w:type="character" w:customStyle="1" w:styleId="100">
    <w:name w:val="word16b1"/>
    <w:autoRedefine/>
    <w:qFormat/>
    <w:uiPriority w:val="0"/>
    <w:rPr>
      <w:rFonts w:hint="default" w:ascii="Arial" w:hAnsi="Arial" w:cs="Arial"/>
      <w:b/>
      <w:bCs/>
      <w:spacing w:val="15"/>
      <w:sz w:val="24"/>
      <w:szCs w:val="24"/>
    </w:rPr>
  </w:style>
  <w:style w:type="character" w:customStyle="1" w:styleId="101">
    <w:name w:val="标题 3 Char1"/>
    <w:autoRedefine/>
    <w:qFormat/>
    <w:uiPriority w:val="0"/>
    <w:rPr>
      <w:rFonts w:eastAsia="宋体"/>
      <w:b/>
      <w:bCs/>
      <w:kern w:val="2"/>
      <w:sz w:val="32"/>
      <w:szCs w:val="32"/>
      <w:lang w:val="en-US" w:eastAsia="zh-CN" w:bidi="ar-SA"/>
    </w:rPr>
  </w:style>
  <w:style w:type="character" w:customStyle="1" w:styleId="102">
    <w:name w:val="正文首行缩进 Char"/>
    <w:link w:val="35"/>
    <w:autoRedefine/>
    <w:qFormat/>
    <w:uiPriority w:val="0"/>
    <w:rPr>
      <w:kern w:val="2"/>
      <w:sz w:val="24"/>
      <w:szCs w:val="24"/>
    </w:rPr>
  </w:style>
  <w:style w:type="character" w:customStyle="1" w:styleId="103">
    <w:name w:val="0正文 Char"/>
    <w:link w:val="104"/>
    <w:autoRedefine/>
    <w:qFormat/>
    <w:uiPriority w:val="0"/>
    <w:rPr>
      <w:rFonts w:cs="宋体"/>
      <w:sz w:val="24"/>
    </w:rPr>
  </w:style>
  <w:style w:type="paragraph" w:customStyle="1" w:styleId="104">
    <w:name w:val="0正文"/>
    <w:basedOn w:val="12"/>
    <w:link w:val="103"/>
    <w:autoRedefine/>
    <w:qFormat/>
    <w:uiPriority w:val="0"/>
    <w:pPr>
      <w:spacing w:after="0"/>
      <w:ind w:left="0" w:leftChars="0"/>
    </w:pPr>
    <w:rPr>
      <w:rFonts w:cs="宋体"/>
    </w:rPr>
  </w:style>
  <w:style w:type="character" w:customStyle="1" w:styleId="105">
    <w:name w:val="正文格式 Char"/>
    <w:link w:val="106"/>
    <w:autoRedefine/>
    <w:qFormat/>
    <w:uiPriority w:val="0"/>
    <w:rPr>
      <w:rFonts w:cs="宋体"/>
      <w:kern w:val="2"/>
      <w:sz w:val="24"/>
      <w:szCs w:val="24"/>
    </w:rPr>
  </w:style>
  <w:style w:type="paragraph" w:customStyle="1" w:styleId="106">
    <w:name w:val="正文格式"/>
    <w:basedOn w:val="1"/>
    <w:link w:val="105"/>
    <w:autoRedefine/>
    <w:qFormat/>
    <w:uiPriority w:val="0"/>
    <w:rPr>
      <w:rFonts w:cs="宋体"/>
    </w:rPr>
  </w:style>
  <w:style w:type="character" w:customStyle="1" w:styleId="107">
    <w:name w:val="Char Char Char Char1"/>
    <w:link w:val="108"/>
    <w:autoRedefine/>
    <w:qFormat/>
    <w:locked/>
    <w:uiPriority w:val="0"/>
    <w:rPr>
      <w:kern w:val="2"/>
      <w:sz w:val="28"/>
    </w:rPr>
  </w:style>
  <w:style w:type="paragraph" w:customStyle="1" w:styleId="108">
    <w:name w:val="Char Char Char"/>
    <w:basedOn w:val="1"/>
    <w:link w:val="107"/>
    <w:autoRedefine/>
    <w:qFormat/>
    <w:uiPriority w:val="0"/>
    <w:rPr>
      <w:sz w:val="28"/>
      <w:szCs w:val="20"/>
    </w:rPr>
  </w:style>
  <w:style w:type="paragraph" w:customStyle="1" w:styleId="109">
    <w:name w:val="表体（富士康）"/>
    <w:autoRedefine/>
    <w:qFormat/>
    <w:uiPriority w:val="0"/>
    <w:pPr>
      <w:adjustRightInd w:val="0"/>
      <w:snapToGrid w:val="0"/>
      <w:jc w:val="center"/>
    </w:pPr>
    <w:rPr>
      <w:rFonts w:ascii="Times New Roman" w:hAnsi="Times New Roman" w:eastAsia="宋体" w:cs="宋体"/>
      <w:bCs/>
      <w:kern w:val="2"/>
      <w:lang w:val="en-US" w:eastAsia="zh-CN" w:bidi="ar-SA"/>
    </w:rPr>
  </w:style>
  <w:style w:type="paragraph" w:customStyle="1" w:styleId="110">
    <w:name w:val="2007正文"/>
    <w:autoRedefine/>
    <w:qFormat/>
    <w:uiPriority w:val="0"/>
    <w:pPr>
      <w:spacing w:line="500" w:lineRule="exact"/>
      <w:ind w:firstLine="560" w:firstLineChars="200"/>
      <w:jc w:val="both"/>
    </w:pPr>
    <w:rPr>
      <w:rFonts w:ascii="Times New Roman" w:hAnsi="Times New Roman" w:eastAsia="仿宋_GB2312" w:cs="Times New Roman"/>
      <w:kern w:val="2"/>
      <w:sz w:val="28"/>
      <w:lang w:val="en-GB" w:eastAsia="zh-CN" w:bidi="ar-SA"/>
    </w:rPr>
  </w:style>
  <w:style w:type="paragraph" w:customStyle="1" w:styleId="111">
    <w:name w:val="10"/>
    <w:basedOn w:val="1"/>
    <w:next w:val="12"/>
    <w:autoRedefine/>
    <w:qFormat/>
    <w:uiPriority w:val="0"/>
    <w:pPr>
      <w:ind w:firstLine="540"/>
    </w:pPr>
    <w:rPr>
      <w:rFonts w:ascii="宋体"/>
      <w:sz w:val="28"/>
      <w:szCs w:val="20"/>
    </w:rPr>
  </w:style>
  <w:style w:type="paragraph" w:customStyle="1" w:styleId="112">
    <w:name w:val="Char11"/>
    <w:basedOn w:val="1"/>
    <w:autoRedefine/>
    <w:qFormat/>
    <w:uiPriority w:val="0"/>
    <w:rPr>
      <w:rFonts w:ascii="宋体" w:hAnsi="宋体" w:cs="宋体"/>
    </w:rPr>
  </w:style>
  <w:style w:type="character" w:customStyle="1" w:styleId="113">
    <w:name w:val="副标题 Char2"/>
    <w:basedOn w:val="40"/>
    <w:autoRedefine/>
    <w:qFormat/>
    <w:uiPriority w:val="0"/>
    <w:rPr>
      <w:rFonts w:asciiTheme="majorHAnsi" w:hAnsiTheme="majorHAnsi" w:cstheme="majorBidi"/>
      <w:b/>
      <w:bCs/>
      <w:kern w:val="28"/>
      <w:sz w:val="32"/>
      <w:szCs w:val="32"/>
    </w:rPr>
  </w:style>
  <w:style w:type="paragraph" w:customStyle="1" w:styleId="114">
    <w:name w:val="封面正文"/>
    <w:autoRedefine/>
    <w:qFormat/>
    <w:uiPriority w:val="0"/>
    <w:pPr>
      <w:jc w:val="both"/>
    </w:pPr>
    <w:rPr>
      <w:rFonts w:ascii="Times New Roman" w:hAnsi="Times New Roman" w:eastAsia="宋体" w:cs="Times New Roman"/>
      <w:lang w:val="en-US" w:eastAsia="zh-CN" w:bidi="ar-SA"/>
    </w:rPr>
  </w:style>
  <w:style w:type="paragraph" w:customStyle="1" w:styleId="115">
    <w:name w:val="Char Char Char Char11"/>
    <w:basedOn w:val="1"/>
    <w:autoRedefine/>
    <w:qFormat/>
    <w:uiPriority w:val="0"/>
    <w:rPr>
      <w:rFonts w:ascii="宋体" w:hAnsi="宋体" w:cs="宋体"/>
    </w:rPr>
  </w:style>
  <w:style w:type="paragraph" w:customStyle="1" w:styleId="116">
    <w:name w:val="注释"/>
    <w:basedOn w:val="1"/>
    <w:autoRedefine/>
    <w:qFormat/>
    <w:uiPriority w:val="0"/>
    <w:pPr>
      <w:adjustRightInd w:val="0"/>
      <w:snapToGrid w:val="0"/>
      <w:textAlignment w:val="baseline"/>
    </w:pPr>
    <w:rPr>
      <w:rFonts w:ascii="宋体" w:eastAsia="仿宋_GB2312" w:cs="宋体"/>
      <w:snapToGrid w:val="0"/>
      <w:spacing w:val="4"/>
      <w:kern w:val="0"/>
      <w:szCs w:val="20"/>
    </w:rPr>
  </w:style>
  <w:style w:type="character" w:customStyle="1" w:styleId="117">
    <w:name w:val="正文首行缩进 Char1"/>
    <w:basedOn w:val="65"/>
    <w:autoRedefine/>
    <w:semiHidden/>
    <w:qFormat/>
    <w:uiPriority w:val="0"/>
    <w:rPr>
      <w:kern w:val="2"/>
      <w:sz w:val="21"/>
      <w:szCs w:val="24"/>
    </w:rPr>
  </w:style>
  <w:style w:type="character" w:customStyle="1" w:styleId="118">
    <w:name w:val="注释标题 Char"/>
    <w:basedOn w:val="40"/>
    <w:link w:val="7"/>
    <w:autoRedefine/>
    <w:qFormat/>
    <w:uiPriority w:val="0"/>
    <w:rPr>
      <w:kern w:val="2"/>
      <w:sz w:val="21"/>
    </w:rPr>
  </w:style>
  <w:style w:type="character" w:customStyle="1" w:styleId="119">
    <w:name w:val="正文文本缩进 3 Char"/>
    <w:basedOn w:val="40"/>
    <w:link w:val="27"/>
    <w:autoRedefine/>
    <w:qFormat/>
    <w:uiPriority w:val="0"/>
    <w:rPr>
      <w:kern w:val="2"/>
      <w:sz w:val="24"/>
    </w:rPr>
  </w:style>
  <w:style w:type="character" w:customStyle="1" w:styleId="120">
    <w:name w:val="文档结构图 Char"/>
    <w:basedOn w:val="40"/>
    <w:link w:val="9"/>
    <w:autoRedefine/>
    <w:semiHidden/>
    <w:qFormat/>
    <w:uiPriority w:val="0"/>
    <w:rPr>
      <w:kern w:val="2"/>
      <w:sz w:val="28"/>
      <w:shd w:val="clear" w:color="auto" w:fill="000080"/>
    </w:rPr>
  </w:style>
  <w:style w:type="paragraph" w:customStyle="1" w:styleId="121">
    <w:name w:val="样式8"/>
    <w:basedOn w:val="1"/>
    <w:autoRedefine/>
    <w:qFormat/>
    <w:uiPriority w:val="0"/>
    <w:pPr>
      <w:ind w:firstLine="499"/>
    </w:pPr>
    <w:rPr>
      <w:rFonts w:ascii="宋体"/>
      <w:szCs w:val="20"/>
    </w:rPr>
  </w:style>
  <w:style w:type="character" w:customStyle="1" w:styleId="122">
    <w:name w:val="纯文本 Char1"/>
    <w:basedOn w:val="40"/>
    <w:autoRedefine/>
    <w:semiHidden/>
    <w:qFormat/>
    <w:uiPriority w:val="0"/>
    <w:rPr>
      <w:rFonts w:ascii="宋体" w:hAnsi="Courier New" w:cs="Courier New"/>
      <w:kern w:val="2"/>
      <w:sz w:val="21"/>
      <w:szCs w:val="21"/>
    </w:rPr>
  </w:style>
  <w:style w:type="paragraph" w:customStyle="1" w:styleId="123">
    <w:name w:val="样式 (中文) 仿宋_GB2312 小四 首行缩进:  0.85 厘米 行距: 1.5 倍行距"/>
    <w:basedOn w:val="1"/>
    <w:autoRedefine/>
    <w:qFormat/>
    <w:uiPriority w:val="0"/>
    <w:pPr>
      <w:ind w:firstLine="482"/>
    </w:pPr>
    <w:rPr>
      <w:rFonts w:eastAsia="仿宋_GB2312" w:cs="宋体"/>
      <w:szCs w:val="20"/>
    </w:rPr>
  </w:style>
  <w:style w:type="paragraph" w:customStyle="1" w:styleId="124">
    <w:name w:val="表格文字2"/>
    <w:basedOn w:val="1"/>
    <w:autoRedefine/>
    <w:qFormat/>
    <w:uiPriority w:val="0"/>
    <w:pPr>
      <w:tabs>
        <w:tab w:val="left" w:pos="277"/>
        <w:tab w:val="left" w:pos="600"/>
        <w:tab w:val="left" w:pos="780"/>
        <w:tab w:val="left" w:pos="2517"/>
      </w:tabs>
      <w:adjustRightInd w:val="0"/>
      <w:spacing w:before="60"/>
      <w:jc w:val="center"/>
      <w:textAlignment w:val="baseline"/>
    </w:pPr>
    <w:rPr>
      <w:kern w:val="0"/>
      <w:szCs w:val="21"/>
    </w:rPr>
  </w:style>
  <w:style w:type="character" w:customStyle="1" w:styleId="125">
    <w:name w:val="正文文本 2 Char"/>
    <w:basedOn w:val="40"/>
    <w:link w:val="30"/>
    <w:autoRedefine/>
    <w:qFormat/>
    <w:uiPriority w:val="0"/>
    <w:rPr>
      <w:b/>
      <w:kern w:val="2"/>
      <w:sz w:val="28"/>
    </w:rPr>
  </w:style>
  <w:style w:type="paragraph" w:customStyle="1" w:styleId="126">
    <w:name w:val="样式 首行缩进:  0.77 厘米 行距: 固定值 20 磅"/>
    <w:basedOn w:val="1"/>
    <w:autoRedefine/>
    <w:qFormat/>
    <w:uiPriority w:val="0"/>
    <w:pPr>
      <w:ind w:firstLine="435"/>
    </w:pPr>
    <w:rPr>
      <w:szCs w:val="20"/>
    </w:rPr>
  </w:style>
  <w:style w:type="paragraph" w:customStyle="1" w:styleId="127">
    <w:name w:val="2 Char Char Char Char Char Char Char Char Char Char"/>
    <w:basedOn w:val="1"/>
    <w:autoRedefine/>
    <w:qFormat/>
    <w:uiPriority w:val="0"/>
  </w:style>
  <w:style w:type="paragraph" w:customStyle="1" w:styleId="128">
    <w:name w:val="Char Char Char Char Char Char Char"/>
    <w:basedOn w:val="1"/>
    <w:autoRedefine/>
    <w:qFormat/>
    <w:uiPriority w:val="0"/>
  </w:style>
  <w:style w:type="paragraph" w:customStyle="1" w:styleId="129">
    <w:name w:val="Char Char Char Char Char Char Char Char Char Char Char"/>
    <w:autoRedefine/>
    <w:qFormat/>
    <w:uiPriority w:val="0"/>
    <w:pPr>
      <w:widowControl w:val="0"/>
      <w:spacing w:line="30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130">
    <w:name w:val="Char2 Char Char Char"/>
    <w:basedOn w:val="1"/>
    <w:autoRedefine/>
    <w:qFormat/>
    <w:uiPriority w:val="0"/>
    <w:pPr>
      <w:tabs>
        <w:tab w:val="left" w:pos="1360"/>
      </w:tabs>
      <w:ind w:left="1360" w:hanging="720"/>
    </w:pPr>
  </w:style>
  <w:style w:type="paragraph" w:customStyle="1" w:styleId="131">
    <w:name w:val="Char Char Char Char"/>
    <w:basedOn w:val="1"/>
    <w:next w:val="1"/>
    <w:autoRedefine/>
    <w:qFormat/>
    <w:uiPriority w:val="0"/>
    <w:pPr>
      <w:pBdr>
        <w:right w:val="single" w:color="auto" w:sz="12" w:space="4"/>
      </w:pBdr>
    </w:pPr>
    <w:rPr>
      <w:szCs w:val="20"/>
    </w:rPr>
  </w:style>
  <w:style w:type="paragraph" w:customStyle="1" w:styleId="132">
    <w:name w:val="Char Char1"/>
    <w:basedOn w:val="1"/>
    <w:autoRedefine/>
    <w:semiHidden/>
    <w:qFormat/>
    <w:uiPriority w:val="0"/>
    <w:pPr>
      <w:adjustRightInd w:val="0"/>
      <w:snapToGrid w:val="0"/>
    </w:pPr>
    <w:rPr>
      <w:rFonts w:ascii="宋体" w:hAnsi="宋体" w:cs="宋体"/>
      <w:szCs w:val="26"/>
    </w:rPr>
  </w:style>
  <w:style w:type="paragraph" w:customStyle="1" w:styleId="133">
    <w:name w:val="正文 + 宋体"/>
    <w:basedOn w:val="1"/>
    <w:autoRedefine/>
    <w:qFormat/>
    <w:uiPriority w:val="0"/>
    <w:pPr>
      <w:snapToGrid w:val="0"/>
      <w:ind w:firstLine="648" w:firstLineChars="245"/>
    </w:pPr>
    <w:rPr>
      <w:rFonts w:ascii="宋体" w:hAnsi="宋体"/>
    </w:rPr>
  </w:style>
  <w:style w:type="paragraph" w:customStyle="1" w:styleId="134">
    <w:name w:val="Char Char Char1"/>
    <w:basedOn w:val="1"/>
    <w:autoRedefine/>
    <w:qFormat/>
    <w:uiPriority w:val="99"/>
    <w:rPr>
      <w:rFonts w:ascii="宋体"/>
    </w:rPr>
  </w:style>
  <w:style w:type="paragraph" w:customStyle="1" w:styleId="135">
    <w:name w:val="表格1"/>
    <w:autoRedefine/>
    <w:qFormat/>
    <w:uiPriority w:val="0"/>
    <w:pPr>
      <w:spacing w:line="300" w:lineRule="auto"/>
    </w:pPr>
    <w:rPr>
      <w:rFonts w:ascii="Times New Roman" w:hAnsi="Times New Roman" w:eastAsia="宋体" w:cs="Times New Roman"/>
      <w:kern w:val="2"/>
      <w:sz w:val="21"/>
      <w:szCs w:val="24"/>
      <w:lang w:val="en-US" w:eastAsia="zh-CN" w:bidi="ar-SA"/>
    </w:rPr>
  </w:style>
  <w:style w:type="paragraph" w:customStyle="1" w:styleId="136">
    <w:name w:val="pvc1.1"/>
    <w:basedOn w:val="4"/>
    <w:next w:val="4"/>
    <w:autoRedefine/>
    <w:qFormat/>
    <w:uiPriority w:val="0"/>
    <w:pPr>
      <w:tabs>
        <w:tab w:val="left" w:pos="576"/>
        <w:tab w:val="left" w:pos="768"/>
      </w:tabs>
      <w:adjustRightInd w:val="0"/>
      <w:spacing w:before="312" w:beforeLines="100" w:after="312" w:afterLines="100" w:line="324" w:lineRule="auto"/>
      <w:ind w:left="576" w:hanging="576"/>
    </w:pPr>
    <w:rPr>
      <w:rFonts w:ascii="Arial" w:hAnsi="Arial" w:eastAsia="黑体"/>
      <w:bCs w:val="0"/>
      <w:color w:val="000000"/>
      <w:sz w:val="28"/>
      <w:szCs w:val="20"/>
    </w:rPr>
  </w:style>
  <w:style w:type="paragraph" w:customStyle="1" w:styleId="137">
    <w:name w:val="样式 小四 首行缩进:  1.01 厘米 行距: 1.5 倍行距"/>
    <w:basedOn w:val="1"/>
    <w:autoRedefine/>
    <w:qFormat/>
    <w:uiPriority w:val="0"/>
    <w:pPr>
      <w:adjustRightInd w:val="0"/>
      <w:snapToGrid w:val="0"/>
    </w:pPr>
    <w:rPr>
      <w:snapToGrid w:val="0"/>
      <w:kern w:val="24"/>
      <w:szCs w:val="20"/>
    </w:rPr>
  </w:style>
  <w:style w:type="paragraph" w:customStyle="1" w:styleId="138">
    <w:name w:val="表格内容居中"/>
    <w:autoRedefine/>
    <w:qFormat/>
    <w:uiPriority w:val="0"/>
    <w:pPr>
      <w:adjustRightInd w:val="0"/>
      <w:snapToGrid w:val="0"/>
      <w:jc w:val="center"/>
    </w:pPr>
    <w:rPr>
      <w:rFonts w:ascii="Times New Roman" w:hAnsi="Times New Roman" w:eastAsia="宋体" w:cs="Times New Roman"/>
      <w:snapToGrid w:val="0"/>
      <w:sz w:val="21"/>
      <w:lang w:val="en-US" w:eastAsia="zh-CN" w:bidi="ar-SA"/>
    </w:rPr>
  </w:style>
  <w:style w:type="paragraph" w:customStyle="1" w:styleId="139">
    <w:name w:val="xl72"/>
    <w:basedOn w:val="1"/>
    <w:autoRedefine/>
    <w:qFormat/>
    <w:uiPriority w:val="0"/>
    <w:pPr>
      <w:widowControl/>
      <w:spacing w:before="100" w:beforeAutospacing="1" w:after="100" w:afterAutospacing="1"/>
      <w:jc w:val="center"/>
      <w:textAlignment w:val="center"/>
    </w:pPr>
    <w:rPr>
      <w:rFonts w:ascii="宋体" w:hAnsi="宋体" w:eastAsia="仿宋_GB2312"/>
      <w:b/>
      <w:kern w:val="0"/>
      <w:sz w:val="32"/>
      <w:szCs w:val="20"/>
    </w:rPr>
  </w:style>
  <w:style w:type="paragraph" w:customStyle="1" w:styleId="140">
    <w:name w:val="表格文字"/>
    <w:basedOn w:val="11"/>
    <w:link w:val="141"/>
    <w:autoRedefine/>
    <w:qFormat/>
    <w:uiPriority w:val="0"/>
    <w:pPr>
      <w:widowControl w:val="0"/>
      <w:tabs>
        <w:tab w:val="left" w:pos="972"/>
      </w:tabs>
      <w:snapToGrid/>
      <w:spacing w:before="0" w:after="0" w:line="240" w:lineRule="auto"/>
      <w:ind w:right="0"/>
      <w:jc w:val="center"/>
    </w:pPr>
    <w:rPr>
      <w:rFonts w:ascii="宋体" w:hAnsi="宋体"/>
      <w:color w:val="000000"/>
      <w:kern w:val="40"/>
      <w:szCs w:val="30"/>
      <w:lang w:val="zh-CN"/>
    </w:rPr>
  </w:style>
  <w:style w:type="character" w:customStyle="1" w:styleId="141">
    <w:name w:val="表格文字 Char"/>
    <w:link w:val="140"/>
    <w:autoRedefine/>
    <w:qFormat/>
    <w:uiPriority w:val="0"/>
    <w:rPr>
      <w:rFonts w:ascii="宋体" w:hAnsi="宋体"/>
      <w:color w:val="000000"/>
      <w:kern w:val="40"/>
      <w:sz w:val="18"/>
      <w:szCs w:val="30"/>
      <w:lang w:val="zh-CN" w:eastAsia="zh-CN"/>
    </w:rPr>
  </w:style>
  <w:style w:type="paragraph" w:customStyle="1" w:styleId="142">
    <w:name w:val="简单回函地址"/>
    <w:basedOn w:val="1"/>
    <w:autoRedefine/>
    <w:qFormat/>
    <w:uiPriority w:val="0"/>
    <w:pPr>
      <w:adjustRightInd w:val="0"/>
      <w:spacing w:line="312" w:lineRule="atLeast"/>
      <w:textAlignment w:val="baseline"/>
    </w:pPr>
    <w:rPr>
      <w:kern w:val="0"/>
      <w:szCs w:val="20"/>
    </w:rPr>
  </w:style>
  <w:style w:type="paragraph" w:customStyle="1" w:styleId="143">
    <w:name w:val="默认段落字体 Para Char Char Char Char"/>
    <w:basedOn w:val="1"/>
    <w:autoRedefine/>
    <w:qFormat/>
    <w:uiPriority w:val="0"/>
  </w:style>
  <w:style w:type="paragraph" w:customStyle="1" w:styleId="144">
    <w:name w:val="正文文本首行缩进2字符"/>
    <w:basedOn w:val="1"/>
    <w:autoRedefine/>
    <w:qFormat/>
    <w:uiPriority w:val="0"/>
    <w:pPr>
      <w:adjustRightInd w:val="0"/>
      <w:snapToGrid w:val="0"/>
      <w:ind w:firstLine="480"/>
    </w:pPr>
    <w:rPr>
      <w:rFonts w:ascii="宋体"/>
      <w:color w:val="FF0000"/>
    </w:rPr>
  </w:style>
  <w:style w:type="paragraph" w:customStyle="1" w:styleId="145">
    <w:name w:val="表头（富士康1）"/>
    <w:autoRedefine/>
    <w:qFormat/>
    <w:uiPriority w:val="99"/>
    <w:pPr>
      <w:jc w:val="center"/>
    </w:pPr>
    <w:rPr>
      <w:rFonts w:ascii="Times New Roman" w:hAnsi="Times New Roman" w:eastAsia="黑体" w:cs="Times New Roman"/>
      <w:kern w:val="2"/>
      <w:sz w:val="22"/>
      <w:szCs w:val="21"/>
      <w:lang w:val="en-US" w:eastAsia="zh-CN" w:bidi="ar-SA"/>
    </w:rPr>
  </w:style>
  <w:style w:type="character" w:customStyle="1" w:styleId="146">
    <w:name w:val="标题 Char1"/>
    <w:basedOn w:val="40"/>
    <w:autoRedefine/>
    <w:qFormat/>
    <w:uiPriority w:val="0"/>
    <w:rPr>
      <w:rFonts w:asciiTheme="majorHAnsi" w:hAnsiTheme="majorHAnsi" w:cstheme="majorBidi"/>
      <w:b/>
      <w:bCs/>
      <w:kern w:val="2"/>
      <w:sz w:val="32"/>
      <w:szCs w:val="32"/>
    </w:rPr>
  </w:style>
  <w:style w:type="paragraph" w:customStyle="1" w:styleId="147">
    <w:name w:val="Char Char13 Char Char Char Char Char Char Char Char Char Char"/>
    <w:basedOn w:val="1"/>
    <w:autoRedefine/>
    <w:qFormat/>
    <w:uiPriority w:val="0"/>
    <w:pPr>
      <w:adjustRightInd w:val="0"/>
      <w:snapToGrid w:val="0"/>
    </w:pPr>
  </w:style>
  <w:style w:type="paragraph" w:styleId="148">
    <w:name w:val="List Paragraph"/>
    <w:basedOn w:val="1"/>
    <w:autoRedefine/>
    <w:qFormat/>
    <w:uiPriority w:val="0"/>
    <w:pPr>
      <w:ind w:firstLine="420"/>
    </w:pPr>
    <w:rPr>
      <w:rFonts w:ascii="Calibri" w:hAnsi="Calibri"/>
      <w:szCs w:val="22"/>
    </w:rPr>
  </w:style>
  <w:style w:type="character" w:customStyle="1" w:styleId="149">
    <w:name w:val="正文文本缩进 2 Char1"/>
    <w:basedOn w:val="40"/>
    <w:autoRedefine/>
    <w:semiHidden/>
    <w:qFormat/>
    <w:uiPriority w:val="0"/>
    <w:rPr>
      <w:kern w:val="2"/>
      <w:sz w:val="21"/>
      <w:szCs w:val="24"/>
    </w:rPr>
  </w:style>
  <w:style w:type="paragraph" w:customStyle="1" w:styleId="150">
    <w:name w:val="Char Char Char2 Char"/>
    <w:basedOn w:val="1"/>
    <w:autoRedefine/>
    <w:qFormat/>
    <w:uiPriority w:val="0"/>
    <w:rPr>
      <w:rFonts w:ascii="宋体" w:hAnsi="宋体" w:cs="宋体"/>
    </w:rPr>
  </w:style>
  <w:style w:type="paragraph" w:customStyle="1" w:styleId="151">
    <w:name w:val="9"/>
    <w:basedOn w:val="1"/>
    <w:next w:val="12"/>
    <w:autoRedefine/>
    <w:qFormat/>
    <w:uiPriority w:val="0"/>
    <w:pPr>
      <w:ind w:firstLine="540"/>
    </w:pPr>
    <w:rPr>
      <w:rFonts w:ascii="宋体"/>
      <w:sz w:val="28"/>
      <w:szCs w:val="20"/>
    </w:rPr>
  </w:style>
  <w:style w:type="paragraph" w:customStyle="1" w:styleId="152">
    <w:name w:val="1 Char"/>
    <w:basedOn w:val="1"/>
    <w:autoRedefine/>
    <w:qFormat/>
    <w:uiPriority w:val="0"/>
  </w:style>
  <w:style w:type="paragraph" w:customStyle="1" w:styleId="153">
    <w:name w:val="默认段落字体 Para Char"/>
    <w:basedOn w:val="1"/>
    <w:autoRedefine/>
    <w:qFormat/>
    <w:uiPriority w:val="0"/>
    <w:rPr>
      <w:rFonts w:ascii="宋体" w:hAnsi="宋体" w:cs="宋体"/>
    </w:rPr>
  </w:style>
  <w:style w:type="paragraph" w:customStyle="1" w:styleId="154">
    <w:name w:val="正文样式3"/>
    <w:basedOn w:val="1"/>
    <w:autoRedefine/>
    <w:qFormat/>
    <w:uiPriority w:val="0"/>
    <w:pPr>
      <w:adjustRightInd w:val="0"/>
      <w:spacing w:line="20" w:lineRule="atLeast"/>
      <w:jc w:val="center"/>
    </w:pPr>
    <w:rPr>
      <w:kern w:val="0"/>
      <w:szCs w:val="20"/>
    </w:rPr>
  </w:style>
  <w:style w:type="paragraph" w:customStyle="1" w:styleId="155">
    <w:name w:val="正文（富士康）"/>
    <w:basedOn w:val="1"/>
    <w:autoRedefine/>
    <w:qFormat/>
    <w:uiPriority w:val="99"/>
    <w:pPr>
      <w:adjustRightInd w:val="0"/>
      <w:snapToGrid w:val="0"/>
      <w:spacing w:beforeLines="30"/>
    </w:pPr>
  </w:style>
  <w:style w:type="paragraph" w:customStyle="1" w:styleId="156">
    <w:name w:val="表中"/>
    <w:basedOn w:val="1"/>
    <w:autoRedefine/>
    <w:qFormat/>
    <w:uiPriority w:val="0"/>
    <w:pPr>
      <w:adjustRightInd w:val="0"/>
      <w:snapToGrid w:val="0"/>
      <w:spacing w:line="360" w:lineRule="atLeast"/>
      <w:jc w:val="center"/>
      <w:textAlignment w:val="baseline"/>
    </w:pPr>
    <w:rPr>
      <w:rFonts w:ascii="宋体" w:hAnsi="宋体" w:cs="宋体"/>
      <w:kern w:val="0"/>
      <w:szCs w:val="21"/>
    </w:rPr>
  </w:style>
  <w:style w:type="paragraph" w:customStyle="1" w:styleId="157">
    <w:name w:val="Char1"/>
    <w:basedOn w:val="1"/>
    <w:autoRedefine/>
    <w:qFormat/>
    <w:uiPriority w:val="0"/>
    <w:pPr>
      <w:snapToGrid w:val="0"/>
      <w:ind w:firstLine="529"/>
    </w:pPr>
    <w:rPr>
      <w:rFonts w:ascii="宋体" w:hAnsi="宋体"/>
      <w:b/>
    </w:rPr>
  </w:style>
  <w:style w:type="paragraph" w:customStyle="1" w:styleId="158">
    <w:name w:val="Char Char Char Char2"/>
    <w:basedOn w:val="1"/>
    <w:autoRedefine/>
    <w:qFormat/>
    <w:uiPriority w:val="0"/>
    <w:rPr>
      <w:szCs w:val="21"/>
    </w:rPr>
  </w:style>
  <w:style w:type="paragraph" w:customStyle="1" w:styleId="159">
    <w:name w:val="Char2"/>
    <w:basedOn w:val="1"/>
    <w:autoRedefine/>
    <w:qFormat/>
    <w:uiPriority w:val="0"/>
    <w:rPr>
      <w:rFonts w:ascii="宋体" w:hAnsi="宋体" w:cs="宋体"/>
    </w:rPr>
  </w:style>
  <w:style w:type="paragraph" w:customStyle="1" w:styleId="160">
    <w:name w:val="正文01"/>
    <w:basedOn w:val="1"/>
    <w:autoRedefine/>
    <w:qFormat/>
    <w:uiPriority w:val="0"/>
    <w:pPr>
      <w:spacing w:before="60" w:line="460" w:lineRule="exact"/>
    </w:pPr>
  </w:style>
  <w:style w:type="paragraph" w:customStyle="1" w:styleId="161">
    <w:name w:val="word"/>
    <w:basedOn w:val="1"/>
    <w:autoRedefine/>
    <w:qFormat/>
    <w:uiPriority w:val="0"/>
    <w:pPr>
      <w:ind w:firstLine="480"/>
    </w:pPr>
    <w:rPr>
      <w:color w:val="000000"/>
    </w:rPr>
  </w:style>
  <w:style w:type="paragraph" w:customStyle="1" w:styleId="162">
    <w:name w:val="妇幼正文"/>
    <w:basedOn w:val="1"/>
    <w:autoRedefine/>
    <w:qFormat/>
    <w:uiPriority w:val="0"/>
    <w:pPr>
      <w:adjustRightInd w:val="0"/>
      <w:ind w:firstLine="480"/>
    </w:pPr>
    <w:rPr>
      <w:color w:val="000000"/>
      <w:kern w:val="0"/>
    </w:rPr>
  </w:style>
  <w:style w:type="character" w:customStyle="1" w:styleId="163">
    <w:name w:val="我的正文 Char"/>
    <w:link w:val="164"/>
    <w:autoRedefine/>
    <w:qFormat/>
    <w:uiPriority w:val="0"/>
    <w:rPr>
      <w:kern w:val="2"/>
      <w:sz w:val="28"/>
    </w:rPr>
  </w:style>
  <w:style w:type="paragraph" w:customStyle="1" w:styleId="164">
    <w:name w:val="我的正文"/>
    <w:basedOn w:val="1"/>
    <w:link w:val="163"/>
    <w:autoRedefine/>
    <w:qFormat/>
    <w:uiPriority w:val="0"/>
    <w:pPr>
      <w:ind w:firstLine="560"/>
    </w:pPr>
    <w:rPr>
      <w:sz w:val="28"/>
      <w:szCs w:val="20"/>
    </w:rPr>
  </w:style>
  <w:style w:type="paragraph" w:customStyle="1" w:styleId="165">
    <w:name w:val="p0"/>
    <w:basedOn w:val="1"/>
    <w:autoRedefine/>
    <w:qFormat/>
    <w:uiPriority w:val="0"/>
    <w:pPr>
      <w:widowControl/>
    </w:pPr>
    <w:rPr>
      <w:rFonts w:ascii="Calibri" w:hAnsi="Calibri"/>
      <w:kern w:val="0"/>
      <w:szCs w:val="21"/>
    </w:rPr>
  </w:style>
  <w:style w:type="character" w:customStyle="1" w:styleId="166">
    <w:name w:val="Font Style221"/>
    <w:autoRedefine/>
    <w:qFormat/>
    <w:uiPriority w:val="0"/>
    <w:rPr>
      <w:rFonts w:ascii="宋体" w:eastAsia="宋体" w:cs="宋体"/>
      <w:sz w:val="22"/>
      <w:szCs w:val="22"/>
      <w:lang w:bidi="ar-SA"/>
    </w:rPr>
  </w:style>
  <w:style w:type="paragraph" w:customStyle="1" w:styleId="167">
    <w:name w:val="惠泽表格"/>
    <w:basedOn w:val="1"/>
    <w:autoRedefine/>
    <w:qFormat/>
    <w:uiPriority w:val="0"/>
    <w:pPr>
      <w:spacing w:line="480" w:lineRule="exact"/>
      <w:jc w:val="center"/>
    </w:pPr>
    <w:rPr>
      <w:rFonts w:ascii="黑体" w:hAnsi="黑体" w:eastAsia="黑体" w:cs="宋体"/>
      <w:szCs w:val="20"/>
    </w:rPr>
  </w:style>
  <w:style w:type="character" w:customStyle="1" w:styleId="168">
    <w:name w:val="font01"/>
    <w:basedOn w:val="40"/>
    <w:autoRedefine/>
    <w:qFormat/>
    <w:uiPriority w:val="0"/>
    <w:rPr>
      <w:rFonts w:hint="default" w:ascii="Times New Roman" w:hAnsi="Times New Roman" w:cs="Times New Roman"/>
      <w:color w:val="000000"/>
      <w:sz w:val="21"/>
      <w:szCs w:val="21"/>
      <w:u w:val="none"/>
    </w:rPr>
  </w:style>
  <w:style w:type="paragraph" w:customStyle="1" w:styleId="169">
    <w:name w:val="Default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0">
    <w:name w:val="惠泽正文"/>
    <w:basedOn w:val="1"/>
    <w:autoRedefine/>
    <w:qFormat/>
    <w:uiPriority w:val="0"/>
    <w:pPr>
      <w:spacing w:line="480" w:lineRule="exact"/>
      <w:ind w:firstLine="480"/>
    </w:pPr>
    <w:rPr>
      <w:rFonts w:hAnsi="宋体" w:cs="宋体"/>
      <w:szCs w:val="20"/>
    </w:rPr>
  </w:style>
  <w:style w:type="paragraph" w:styleId="171">
    <w:name w:val="No Spacing"/>
    <w:autoRedefine/>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72">
    <w:name w:val="Table Paragraph"/>
    <w:basedOn w:val="1"/>
    <w:autoRedefine/>
    <w:qFormat/>
    <w:uiPriority w:val="1"/>
    <w:rPr>
      <w:rFonts w:ascii="宋体" w:hAnsi="宋体" w:cs="宋体"/>
      <w:lang w:val="zh-CN" w:bidi="zh-CN"/>
    </w:rPr>
  </w:style>
  <w:style w:type="paragraph" w:customStyle="1" w:styleId="173">
    <w:name w:val="Body text|2"/>
    <w:basedOn w:val="1"/>
    <w:autoRedefine/>
    <w:qFormat/>
    <w:uiPriority w:val="0"/>
    <w:pPr>
      <w:spacing w:line="355" w:lineRule="exact"/>
      <w:ind w:firstLine="580"/>
    </w:pPr>
    <w:rPr>
      <w:rFonts w:ascii="宋体" w:hAnsi="宋体" w:cs="宋体"/>
      <w:sz w:val="22"/>
      <w:szCs w:val="22"/>
      <w:lang w:val="zh-TW" w:eastAsia="zh-TW" w:bidi="zh-TW"/>
    </w:rPr>
  </w:style>
  <w:style w:type="paragraph" w:customStyle="1" w:styleId="174">
    <w:name w:val="Body text|1"/>
    <w:basedOn w:val="1"/>
    <w:autoRedefine/>
    <w:qFormat/>
    <w:uiPriority w:val="0"/>
    <w:pPr>
      <w:spacing w:line="468" w:lineRule="auto"/>
      <w:ind w:firstLine="400"/>
    </w:pPr>
    <w:rPr>
      <w:rFonts w:ascii="宋体" w:hAnsi="宋体" w:cs="宋体"/>
      <w:sz w:val="28"/>
      <w:szCs w:val="28"/>
      <w:lang w:val="zh-TW" w:eastAsia="zh-TW" w:bidi="zh-TW"/>
    </w:rPr>
  </w:style>
  <w:style w:type="paragraph" w:customStyle="1" w:styleId="175">
    <w:name w:val="表名"/>
    <w:autoRedefine/>
    <w:qFormat/>
    <w:uiPriority w:val="0"/>
    <w:pPr>
      <w:overflowPunct w:val="0"/>
      <w:spacing w:line="300" w:lineRule="auto"/>
      <w:jc w:val="center"/>
      <w:textAlignment w:val="baseline"/>
    </w:pPr>
    <w:rPr>
      <w:rFonts w:ascii="Times New Roman" w:hAnsi="Times New Roman" w:eastAsia="宋体" w:cs="Times New Roman"/>
      <w:b/>
      <w:kern w:val="2"/>
      <w:sz w:val="21"/>
      <w:szCs w:val="24"/>
      <w:lang w:val="en-US" w:eastAsia="zh-CN" w:bidi="ar-SA"/>
    </w:rPr>
  </w:style>
  <w:style w:type="character" w:customStyle="1" w:styleId="176">
    <w:name w:val="font21"/>
    <w:basedOn w:val="40"/>
    <w:autoRedefine/>
    <w:qFormat/>
    <w:uiPriority w:val="0"/>
    <w:rPr>
      <w:rFonts w:hint="default" w:ascii="Times New Roman" w:hAnsi="Times New Roman" w:cs="Times New Roman"/>
      <w:color w:val="000000"/>
      <w:sz w:val="21"/>
      <w:szCs w:val="21"/>
      <w:u w:val="none"/>
      <w:vertAlign w:val="superscript"/>
    </w:rPr>
  </w:style>
  <w:style w:type="character" w:customStyle="1" w:styleId="177">
    <w:name w:val="font11"/>
    <w:basedOn w:val="40"/>
    <w:autoRedefine/>
    <w:qFormat/>
    <w:uiPriority w:val="0"/>
    <w:rPr>
      <w:rFonts w:hint="default" w:ascii="Times New Roman" w:hAnsi="Times New Roman" w:cs="Times New Roman"/>
      <w:color w:val="000000"/>
      <w:sz w:val="21"/>
      <w:szCs w:val="21"/>
      <w:u w:val="none"/>
    </w:rPr>
  </w:style>
  <w:style w:type="character" w:customStyle="1" w:styleId="178">
    <w:name w:val="font31"/>
    <w:basedOn w:val="40"/>
    <w:autoRedefine/>
    <w:qFormat/>
    <w:uiPriority w:val="0"/>
    <w:rPr>
      <w:rFonts w:hint="eastAsia" w:ascii="宋体" w:hAnsi="宋体" w:eastAsia="宋体" w:cs="宋体"/>
      <w:color w:val="000000"/>
      <w:sz w:val="21"/>
      <w:szCs w:val="21"/>
      <w:u w:val="none"/>
    </w:rPr>
  </w:style>
  <w:style w:type="paragraph" w:customStyle="1" w:styleId="179">
    <w:name w:val="样式 正文文本 + 首行缩进:  2 字符"/>
    <w:basedOn w:val="11"/>
    <w:autoRedefine/>
    <w:qFormat/>
    <w:uiPriority w:val="99"/>
    <w:pPr>
      <w:spacing w:after="200" w:line="480" w:lineRule="exact"/>
      <w:ind w:firstLine="480"/>
    </w:pPr>
    <w:rPr>
      <w:rFonts w:eastAsia="微软雅黑"/>
      <w:sz w:val="24"/>
      <w:szCs w:val="22"/>
    </w:rPr>
  </w:style>
  <w:style w:type="paragraph" w:customStyle="1" w:styleId="180">
    <w:name w:val="法规"/>
    <w:basedOn w:val="1"/>
    <w:autoRedefine/>
    <w:qFormat/>
    <w:uiPriority w:val="0"/>
    <w:pPr>
      <w:tabs>
        <w:tab w:val="left" w:pos="400"/>
      </w:tabs>
      <w:spacing w:line="440" w:lineRule="exact"/>
      <w:ind w:firstLine="400"/>
    </w:pPr>
    <w:rPr>
      <w:sz w:val="25"/>
      <w:szCs w:val="20"/>
    </w:rPr>
  </w:style>
  <w:style w:type="paragraph" w:customStyle="1" w:styleId="181">
    <w:name w:val="3"/>
    <w:basedOn w:val="1"/>
    <w:next w:val="17"/>
    <w:autoRedefine/>
    <w:qFormat/>
    <w:uiPriority w:val="0"/>
    <w:pPr>
      <w:tabs>
        <w:tab w:val="left" w:pos="6855"/>
      </w:tabs>
      <w:ind w:firstLine="560"/>
    </w:pPr>
    <w:rPr>
      <w:rFonts w:eastAsia="仿宋_GB2312"/>
      <w:sz w:val="28"/>
    </w:rPr>
  </w:style>
  <w:style w:type="paragraph" w:customStyle="1" w:styleId="182">
    <w:name w:val="【正文】"/>
    <w:basedOn w:val="1"/>
    <w:link w:val="184"/>
    <w:autoRedefine/>
    <w:qFormat/>
    <w:uiPriority w:val="0"/>
    <w:pPr>
      <w:autoSpaceDE w:val="0"/>
      <w:autoSpaceDN w:val="0"/>
      <w:spacing w:before="120" w:beforeLines="50"/>
      <w:ind w:firstLine="480"/>
    </w:pPr>
  </w:style>
  <w:style w:type="paragraph" w:customStyle="1" w:styleId="183">
    <w:name w:val="正文-ls"/>
    <w:basedOn w:val="1"/>
    <w:autoRedefine/>
    <w:qFormat/>
    <w:uiPriority w:val="0"/>
    <w:rPr>
      <w:rFonts w:hAnsi="宋体"/>
      <w:kern w:val="0"/>
      <w:szCs w:val="20"/>
    </w:rPr>
  </w:style>
  <w:style w:type="character" w:customStyle="1" w:styleId="184">
    <w:name w:val="【正文】 Char"/>
    <w:link w:val="182"/>
    <w:autoRedefine/>
    <w:qFormat/>
    <w:uiPriority w:val="0"/>
    <w:rPr>
      <w:kern w:val="2"/>
      <w:sz w:val="24"/>
      <w:szCs w:val="24"/>
    </w:rPr>
  </w:style>
  <w:style w:type="paragraph" w:customStyle="1" w:styleId="185">
    <w:name w:val="表格文字我要的"/>
    <w:basedOn w:val="1"/>
    <w:autoRedefine/>
    <w:qFormat/>
    <w:uiPriority w:val="0"/>
    <w:pPr>
      <w:jc w:val="center"/>
    </w:pPr>
    <w:rPr>
      <w:kern w:val="0"/>
      <w:szCs w:val="21"/>
    </w:rPr>
  </w:style>
  <w:style w:type="table" w:customStyle="1" w:styleId="186">
    <w:name w:val="Table Normal"/>
    <w:autoRedefine/>
    <w:semiHidden/>
    <w:unhideWhenUsed/>
    <w:qFormat/>
    <w:uiPriority w:val="0"/>
    <w:tblPr>
      <w:tblCellMar>
        <w:top w:w="0" w:type="dxa"/>
        <w:left w:w="0" w:type="dxa"/>
        <w:bottom w:w="0" w:type="dxa"/>
        <w:right w:w="0" w:type="dxa"/>
      </w:tblCellMar>
    </w:tblPr>
  </w:style>
  <w:style w:type="paragraph" w:customStyle="1" w:styleId="187">
    <w:name w:val="样式 样式 样式 样式 小四 左 首行缩进:  2 字符 + 首行缩进:  2 字符 Char + 右  0 字符1 + 首行缩...3"/>
    <w:basedOn w:val="1"/>
    <w:autoRedefine/>
    <w:qFormat/>
    <w:uiPriority w:val="0"/>
    <w:pPr>
      <w:adjustRightInd w:val="0"/>
      <w:ind w:firstLine="480"/>
      <w:textAlignment w:val="baseline"/>
    </w:pPr>
    <w:rPr>
      <w:rFonts w:cs="宋体"/>
      <w:szCs w:val="20"/>
    </w:rPr>
  </w:style>
  <w:style w:type="paragraph" w:customStyle="1" w:styleId="188">
    <w:name w:val="22222"/>
    <w:basedOn w:val="1"/>
    <w:autoRedefine/>
    <w:qFormat/>
    <w:uiPriority w:val="0"/>
    <w:pPr>
      <w:spacing w:line="480" w:lineRule="exact"/>
      <w:ind w:firstLine="480"/>
    </w:pPr>
    <w:rPr>
      <w:rFonts w:hAnsi="宋体"/>
    </w:rPr>
  </w:style>
  <w:style w:type="paragraph" w:customStyle="1" w:styleId="189">
    <w:name w:val="表格2"/>
    <w:basedOn w:val="1"/>
    <w:autoRedefine/>
    <w:qFormat/>
    <w:uiPriority w:val="0"/>
    <w:pPr>
      <w:jc w:val="center"/>
    </w:pPr>
  </w:style>
  <w:style w:type="paragraph" w:customStyle="1" w:styleId="190">
    <w:name w:val="6表头"/>
    <w:basedOn w:val="1"/>
    <w:autoRedefine/>
    <w:qFormat/>
    <w:uiPriority w:val="0"/>
    <w:pPr>
      <w:widowControl/>
      <w:spacing w:before="156" w:beforeLines="50"/>
      <w:jc w:val="center"/>
    </w:pPr>
    <w:rPr>
      <w:rFonts w:eastAsia="黑体"/>
      <w:szCs w:val="21"/>
    </w:rPr>
  </w:style>
  <w:style w:type="paragraph" w:customStyle="1" w:styleId="191">
    <w:name w:val="应填表格"/>
    <w:basedOn w:val="1"/>
    <w:autoRedefine/>
    <w:qFormat/>
    <w:uiPriority w:val="0"/>
    <w:pPr>
      <w:adjustRightInd w:val="0"/>
      <w:spacing w:before="40" w:after="40"/>
      <w:textAlignment w:val="baseline"/>
    </w:pPr>
    <w:rPr>
      <w:kern w:val="0"/>
    </w:rPr>
  </w:style>
  <w:style w:type="character" w:customStyle="1" w:styleId="192">
    <w:name w:val="NormalCharacter"/>
    <w:autoRedefine/>
    <w:semiHidden/>
    <w:qFormat/>
    <w:uiPriority w:val="0"/>
  </w:style>
  <w:style w:type="paragraph" w:customStyle="1" w:styleId="193">
    <w:name w:val="样式1"/>
    <w:basedOn w:val="25"/>
    <w:autoRedefine/>
    <w:qFormat/>
    <w:uiPriority w:val="0"/>
    <w:pPr>
      <w:spacing w:before="20" w:after="2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9.png"/><Relationship Id="rId27" Type="http://schemas.openxmlformats.org/officeDocument/2006/relationships/image" Target="media/image8.png"/><Relationship Id="rId26" Type="http://schemas.openxmlformats.org/officeDocument/2006/relationships/image" Target="media/image7.emf"/><Relationship Id="rId25" Type="http://schemas.openxmlformats.org/officeDocument/2006/relationships/oleObject" Target="embeddings/oleObject5.bin"/><Relationship Id="rId24" Type="http://schemas.openxmlformats.org/officeDocument/2006/relationships/image" Target="media/image6.emf"/><Relationship Id="rId23" Type="http://schemas.openxmlformats.org/officeDocument/2006/relationships/oleObject" Target="embeddings/oleObject4.bin"/><Relationship Id="rId22" Type="http://schemas.openxmlformats.org/officeDocument/2006/relationships/image" Target="media/image5.emf"/><Relationship Id="rId21" Type="http://schemas.openxmlformats.org/officeDocument/2006/relationships/oleObject" Target="embeddings/oleObject3.bin"/><Relationship Id="rId20" Type="http://schemas.openxmlformats.org/officeDocument/2006/relationships/image" Target="media/image4.e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3.emf"/><Relationship Id="rId17" Type="http://schemas.openxmlformats.org/officeDocument/2006/relationships/image" Target="media/image2.emf"/><Relationship Id="rId16" Type="http://schemas.openxmlformats.org/officeDocument/2006/relationships/oleObject" Target="embeddings/oleObject1.bin"/><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7A96AE-8D2D-4085-923C-E09A78E1CB1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55</Pages>
  <Words>28768</Words>
  <Characters>32799</Characters>
  <Lines>1</Lines>
  <Paragraphs>1</Paragraphs>
  <TotalTime>56</TotalTime>
  <ScaleCrop>false</ScaleCrop>
  <LinksUpToDate>false</LinksUpToDate>
  <CharactersWithSpaces>33093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2024-01-27T14:02:00Z</dcterms:created>
  <dc:creator>lhj</dc:creator>
  <cp:lastModifiedBy>柒柒</cp:lastModifiedBy>
  <cp:lastPrinted>2024-06-28T09:41:00Z</cp:lastPrinted>
  <dcterms:modified xsi:type="dcterms:W3CDTF">2024-07-02T09:07:12Z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ECE571D39FD448CEBF1EEF2A0DEAAC73_13</vt:lpwstr>
  </property>
</Properties>
</file>